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CEF3" w14:textId="71425263" w:rsidR="005325B5" w:rsidRDefault="005325B5" w:rsidP="00C033EB">
      <w:pPr>
        <w:widowControl w:val="0"/>
        <w:tabs>
          <w:tab w:val="left" w:pos="720"/>
          <w:tab w:val="left" w:pos="7200"/>
        </w:tabs>
        <w:rPr>
          <w:rFonts w:asciiTheme="minorHAnsi" w:hAnsiTheme="minorHAnsi" w:cs="Arial"/>
          <w:b/>
          <w:sz w:val="28"/>
          <w:szCs w:val="28"/>
        </w:rPr>
      </w:pPr>
      <w:r>
        <w:rPr>
          <w:noProof/>
        </w:rPr>
        <w:drawing>
          <wp:inline distT="0" distB="0" distL="0" distR="0" wp14:anchorId="644E5E6B" wp14:editId="68F511BA">
            <wp:extent cx="6570980" cy="9293860"/>
            <wp:effectExtent l="0" t="0" r="1270" b="2540"/>
            <wp:docPr id="1" name="Picture 1" descr="A picture containing scenes of Melton Borough with the Statement of Accounts 2022-2023 Subject to Audit head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enes of Melton Borough with the Statement of Accounts 2022-2023 Subject to Audit heading&#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9293860"/>
                    </a:xfrm>
                    <a:prstGeom prst="rect">
                      <a:avLst/>
                    </a:prstGeom>
                    <a:noFill/>
                    <a:ln>
                      <a:noFill/>
                    </a:ln>
                  </pic:spPr>
                </pic:pic>
              </a:graphicData>
            </a:graphic>
          </wp:inline>
        </w:drawing>
      </w:r>
    </w:p>
    <w:p w14:paraId="4CF533D5" w14:textId="4A7C57D7" w:rsidR="00AC5EA0" w:rsidRPr="00C033EB" w:rsidRDefault="002639E4" w:rsidP="00C033EB">
      <w:pPr>
        <w:widowControl w:val="0"/>
        <w:tabs>
          <w:tab w:val="left" w:pos="720"/>
          <w:tab w:val="left" w:pos="7200"/>
        </w:tabs>
        <w:rPr>
          <w:rFonts w:asciiTheme="minorHAnsi" w:hAnsiTheme="minorHAnsi" w:cs="Arial"/>
          <w:b/>
          <w:sz w:val="28"/>
          <w:szCs w:val="28"/>
        </w:rPr>
      </w:pPr>
      <w:r>
        <w:lastRenderedPageBreak/>
        <w:t>Statement of Accounts 202</w:t>
      </w:r>
      <w:r w:rsidR="00143878">
        <w:t>2</w:t>
      </w:r>
      <w:r>
        <w:t>-202</w:t>
      </w:r>
      <w:r w:rsidR="00143878">
        <w:t>3</w:t>
      </w:r>
      <w:r w:rsidR="00E93FEF">
        <w:t xml:space="preserve"> Subject to Audit</w:t>
      </w:r>
      <w:r>
        <w:t xml:space="preserve"> – Melton Borough Council </w:t>
      </w:r>
      <w:r w:rsidR="00AC5EA0">
        <w:br w:type="page"/>
      </w:r>
    </w:p>
    <w:p w14:paraId="04787A5B" w14:textId="77777777" w:rsidR="00AC5EA0" w:rsidRDefault="00AC5EA0" w:rsidP="00F96339">
      <w:pPr>
        <w:widowControl w:val="0"/>
        <w:tabs>
          <w:tab w:val="left" w:pos="720"/>
          <w:tab w:val="left" w:pos="7200"/>
        </w:tabs>
        <w:rPr>
          <w:rFonts w:asciiTheme="minorHAnsi" w:hAnsiTheme="minorHAnsi" w:cs="Arial"/>
          <w:b/>
          <w:sz w:val="28"/>
          <w:szCs w:val="28"/>
        </w:rPr>
      </w:pPr>
    </w:p>
    <w:p w14:paraId="0421CE15" w14:textId="2B0F7CFC" w:rsidR="00F96339" w:rsidRPr="00704A70" w:rsidRDefault="00D80F0B" w:rsidP="00704A70">
      <w:pPr>
        <w:pStyle w:val="Heading1"/>
        <w:rPr>
          <w:rFonts w:cstheme="minorHAnsi"/>
          <w:szCs w:val="28"/>
        </w:rPr>
      </w:pPr>
      <w:r w:rsidRPr="00704A70">
        <w:rPr>
          <w:rFonts w:cstheme="minorHAnsi"/>
          <w:szCs w:val="28"/>
        </w:rPr>
        <w:t>Contents</w:t>
      </w:r>
    </w:p>
    <w:p w14:paraId="1A709BCB" w14:textId="285AD699" w:rsidR="00704A70" w:rsidRPr="00D80F0B" w:rsidRDefault="00704A70" w:rsidP="00F96339">
      <w:pPr>
        <w:widowControl w:val="0"/>
        <w:tabs>
          <w:tab w:val="left" w:pos="720"/>
          <w:tab w:val="left" w:pos="7200"/>
        </w:tabs>
        <w:rPr>
          <w:rFonts w:asciiTheme="minorHAnsi" w:hAnsiTheme="minorHAnsi" w:cs="Arial"/>
          <w:sz w:val="28"/>
          <w:szCs w:val="28"/>
        </w:rPr>
      </w:pPr>
    </w:p>
    <w:tbl>
      <w:tblPr>
        <w:tblW w:w="9880" w:type="dxa"/>
        <w:tblLayout w:type="fixed"/>
        <w:tblLook w:val="04A0" w:firstRow="1" w:lastRow="0" w:firstColumn="1" w:lastColumn="0" w:noHBand="0" w:noVBand="1"/>
        <w:tblCaption w:val="Contents"/>
        <w:tblDescription w:val="Contents list for the main financial statements"/>
      </w:tblPr>
      <w:tblGrid>
        <w:gridCol w:w="8160"/>
        <w:gridCol w:w="1720"/>
      </w:tblGrid>
      <w:tr w:rsidR="00165F88" w:rsidRPr="00157753" w14:paraId="0080C660" w14:textId="77777777" w:rsidTr="00903C27">
        <w:trPr>
          <w:cantSplit/>
          <w:trHeight w:val="300"/>
          <w:tblHeader/>
        </w:trPr>
        <w:tc>
          <w:tcPr>
            <w:tcW w:w="8160" w:type="dxa"/>
            <w:tcBorders>
              <w:top w:val="single" w:sz="4" w:space="0" w:color="FFFFFF"/>
              <w:left w:val="single" w:sz="4" w:space="0" w:color="FFFFFF"/>
              <w:bottom w:val="single" w:sz="4" w:space="0" w:color="FFFFFF"/>
              <w:right w:val="single" w:sz="4" w:space="0" w:color="FFFFFF"/>
            </w:tcBorders>
            <w:shd w:val="clear" w:color="000000" w:fill="DA9694"/>
            <w:noWrap/>
            <w:vAlign w:val="bottom"/>
            <w:hideMark/>
          </w:tcPr>
          <w:p w14:paraId="5AF934B0"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szCs w:val="22"/>
                <w:lang w:eastAsia="en-GB"/>
              </w:rPr>
              <w:t> </w:t>
            </w:r>
            <w:r>
              <w:rPr>
                <w:rFonts w:ascii="Calibri" w:hAnsi="Calibri"/>
                <w:color w:val="000000"/>
                <w:sz w:val="22"/>
                <w:szCs w:val="22"/>
                <w:lang w:eastAsia="en-GB"/>
              </w:rPr>
              <w:t>Contents</w:t>
            </w:r>
          </w:p>
        </w:tc>
        <w:tc>
          <w:tcPr>
            <w:tcW w:w="1720" w:type="dxa"/>
            <w:tcBorders>
              <w:top w:val="single" w:sz="4" w:space="0" w:color="FFFFFF"/>
              <w:left w:val="nil"/>
              <w:bottom w:val="single" w:sz="4" w:space="0" w:color="FFFFFF"/>
              <w:right w:val="single" w:sz="4" w:space="0" w:color="FFFFFF"/>
            </w:tcBorders>
            <w:shd w:val="clear" w:color="000000" w:fill="DA9694"/>
            <w:noWrap/>
            <w:vAlign w:val="center"/>
            <w:hideMark/>
          </w:tcPr>
          <w:p w14:paraId="2567219A" w14:textId="77777777" w:rsidR="00165F88" w:rsidRPr="00157753" w:rsidRDefault="00165F88" w:rsidP="00903C27">
            <w:pPr>
              <w:jc w:val="center"/>
              <w:rPr>
                <w:rFonts w:ascii="Calibri" w:hAnsi="Calibri"/>
                <w:color w:val="000000"/>
                <w:sz w:val="22"/>
                <w:szCs w:val="22"/>
                <w:lang w:eastAsia="en-GB"/>
              </w:rPr>
            </w:pPr>
            <w:r w:rsidRPr="00157753">
              <w:rPr>
                <w:rFonts w:ascii="Calibri" w:hAnsi="Calibri"/>
                <w:color w:val="000000"/>
                <w:sz w:val="22"/>
                <w:szCs w:val="22"/>
                <w:lang w:eastAsia="en-GB"/>
              </w:rPr>
              <w:t>Page Number</w:t>
            </w:r>
          </w:p>
        </w:tc>
      </w:tr>
      <w:tr w:rsidR="00165F88" w:rsidRPr="00157753" w14:paraId="3CE9A272" w14:textId="77777777" w:rsidTr="00903C27">
        <w:trPr>
          <w:trHeight w:val="63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6746F18B"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Statement of Responsibilities for the Statement of Accounts</w:t>
            </w:r>
          </w:p>
        </w:tc>
        <w:tc>
          <w:tcPr>
            <w:tcW w:w="1720" w:type="dxa"/>
            <w:tcBorders>
              <w:top w:val="nil"/>
              <w:left w:val="nil"/>
              <w:bottom w:val="single" w:sz="4" w:space="0" w:color="FFFFFF"/>
              <w:right w:val="single" w:sz="4" w:space="0" w:color="FFFFFF"/>
            </w:tcBorders>
            <w:shd w:val="clear" w:color="000000" w:fill="F2DCDB"/>
            <w:vAlign w:val="center"/>
            <w:hideMark/>
          </w:tcPr>
          <w:p w14:paraId="27AD42D5" w14:textId="77777777" w:rsidR="00165F88" w:rsidRPr="00157753" w:rsidRDefault="00165F88" w:rsidP="00903C27">
            <w:pPr>
              <w:jc w:val="center"/>
              <w:rPr>
                <w:rFonts w:ascii="Calibri" w:hAnsi="Calibri"/>
                <w:color w:val="000000"/>
                <w:sz w:val="22"/>
                <w:szCs w:val="22"/>
                <w:lang w:eastAsia="en-GB"/>
              </w:rPr>
            </w:pPr>
            <w:r>
              <w:rPr>
                <w:rFonts w:ascii="Calibri" w:hAnsi="Calibri"/>
                <w:color w:val="000000"/>
                <w:sz w:val="22"/>
                <w:szCs w:val="22"/>
                <w:lang w:eastAsia="en-GB"/>
              </w:rPr>
              <w:t>4</w:t>
            </w:r>
          </w:p>
        </w:tc>
      </w:tr>
      <w:tr w:rsidR="00165F88" w:rsidRPr="00157753" w14:paraId="6CD169D4" w14:textId="77777777" w:rsidTr="00903C27">
        <w:trPr>
          <w:trHeight w:val="60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6A09CAAD"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Comprehensive Income and Expenditure Statement</w:t>
            </w:r>
          </w:p>
        </w:tc>
        <w:tc>
          <w:tcPr>
            <w:tcW w:w="1720" w:type="dxa"/>
            <w:tcBorders>
              <w:top w:val="nil"/>
              <w:left w:val="nil"/>
              <w:bottom w:val="single" w:sz="4" w:space="0" w:color="FFFFFF"/>
              <w:right w:val="single" w:sz="4" w:space="0" w:color="FFFFFF"/>
            </w:tcBorders>
            <w:shd w:val="clear" w:color="000000" w:fill="F2DCDB"/>
            <w:vAlign w:val="center"/>
            <w:hideMark/>
          </w:tcPr>
          <w:p w14:paraId="14B131D5" w14:textId="7867A2C2" w:rsidR="00165F88" w:rsidRPr="00157753" w:rsidRDefault="001E6E45" w:rsidP="00903C27">
            <w:pPr>
              <w:jc w:val="center"/>
              <w:rPr>
                <w:rFonts w:ascii="Calibri" w:hAnsi="Calibri"/>
                <w:color w:val="000000"/>
                <w:sz w:val="22"/>
                <w:szCs w:val="22"/>
                <w:lang w:eastAsia="en-GB"/>
              </w:rPr>
            </w:pPr>
            <w:r>
              <w:rPr>
                <w:rFonts w:ascii="Calibri" w:hAnsi="Calibri"/>
                <w:color w:val="000000"/>
                <w:sz w:val="22"/>
                <w:szCs w:val="22"/>
                <w:lang w:eastAsia="en-GB"/>
              </w:rPr>
              <w:t>5</w:t>
            </w:r>
          </w:p>
        </w:tc>
      </w:tr>
      <w:tr w:rsidR="00165F88" w:rsidRPr="00157753" w14:paraId="62FED946" w14:textId="77777777" w:rsidTr="00903C27">
        <w:trPr>
          <w:trHeight w:val="60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38D5E5B9"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Movement in Reserves Statement</w:t>
            </w:r>
          </w:p>
        </w:tc>
        <w:tc>
          <w:tcPr>
            <w:tcW w:w="1720" w:type="dxa"/>
            <w:tcBorders>
              <w:top w:val="nil"/>
              <w:left w:val="nil"/>
              <w:bottom w:val="single" w:sz="4" w:space="0" w:color="FFFFFF"/>
              <w:right w:val="single" w:sz="4" w:space="0" w:color="FFFFFF"/>
            </w:tcBorders>
            <w:shd w:val="clear" w:color="000000" w:fill="F2DCDB"/>
            <w:vAlign w:val="center"/>
            <w:hideMark/>
          </w:tcPr>
          <w:p w14:paraId="00DABFDB" w14:textId="010A42CC" w:rsidR="00165F88" w:rsidRPr="00157753" w:rsidRDefault="001E6E45" w:rsidP="00903C27">
            <w:pPr>
              <w:jc w:val="center"/>
              <w:rPr>
                <w:rFonts w:ascii="Calibri" w:hAnsi="Calibri"/>
                <w:color w:val="000000"/>
                <w:sz w:val="22"/>
                <w:szCs w:val="22"/>
                <w:lang w:eastAsia="en-GB"/>
              </w:rPr>
            </w:pPr>
            <w:r>
              <w:rPr>
                <w:rFonts w:ascii="Calibri" w:hAnsi="Calibri"/>
                <w:color w:val="000000"/>
                <w:sz w:val="22"/>
                <w:lang w:eastAsia="en-GB"/>
              </w:rPr>
              <w:t>6</w:t>
            </w:r>
          </w:p>
        </w:tc>
      </w:tr>
      <w:tr w:rsidR="00165F88" w:rsidRPr="00157753" w14:paraId="0DD7E00C" w14:textId="77777777" w:rsidTr="00903C27">
        <w:trPr>
          <w:trHeight w:val="60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65E22C6B"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Balance Sheet</w:t>
            </w:r>
          </w:p>
        </w:tc>
        <w:tc>
          <w:tcPr>
            <w:tcW w:w="1720" w:type="dxa"/>
            <w:tcBorders>
              <w:top w:val="nil"/>
              <w:left w:val="nil"/>
              <w:bottom w:val="single" w:sz="4" w:space="0" w:color="FFFFFF"/>
              <w:right w:val="single" w:sz="4" w:space="0" w:color="FFFFFF"/>
            </w:tcBorders>
            <w:shd w:val="clear" w:color="000000" w:fill="F2DCDB"/>
            <w:vAlign w:val="center"/>
            <w:hideMark/>
          </w:tcPr>
          <w:p w14:paraId="30CEEFF2" w14:textId="065760E3" w:rsidR="00165F88" w:rsidRPr="00157753" w:rsidRDefault="001E6E45" w:rsidP="00903C27">
            <w:pPr>
              <w:jc w:val="center"/>
              <w:rPr>
                <w:rFonts w:ascii="Calibri" w:hAnsi="Calibri"/>
                <w:color w:val="000000"/>
                <w:sz w:val="22"/>
                <w:szCs w:val="22"/>
                <w:lang w:eastAsia="en-GB"/>
              </w:rPr>
            </w:pPr>
            <w:r>
              <w:rPr>
                <w:rFonts w:ascii="Calibri" w:hAnsi="Calibri"/>
                <w:color w:val="000000"/>
                <w:sz w:val="22"/>
                <w:szCs w:val="22"/>
                <w:lang w:eastAsia="en-GB"/>
              </w:rPr>
              <w:t>7</w:t>
            </w:r>
          </w:p>
        </w:tc>
      </w:tr>
      <w:tr w:rsidR="00165F88" w:rsidRPr="00157753" w14:paraId="6B14DA27" w14:textId="77777777" w:rsidTr="00903C27">
        <w:trPr>
          <w:trHeight w:val="58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2DBAEAA0"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Cash Flow Statement</w:t>
            </w:r>
          </w:p>
        </w:tc>
        <w:tc>
          <w:tcPr>
            <w:tcW w:w="1720" w:type="dxa"/>
            <w:tcBorders>
              <w:top w:val="nil"/>
              <w:left w:val="nil"/>
              <w:bottom w:val="single" w:sz="4" w:space="0" w:color="FFFFFF"/>
              <w:right w:val="single" w:sz="4" w:space="0" w:color="FFFFFF"/>
            </w:tcBorders>
            <w:shd w:val="clear" w:color="000000" w:fill="F2DCDB"/>
            <w:vAlign w:val="center"/>
            <w:hideMark/>
          </w:tcPr>
          <w:p w14:paraId="76C7D3CA" w14:textId="06D4E2E9" w:rsidR="00165F88" w:rsidRPr="00157753" w:rsidRDefault="001E6E45" w:rsidP="00903C27">
            <w:pPr>
              <w:jc w:val="center"/>
              <w:rPr>
                <w:rFonts w:ascii="Calibri" w:hAnsi="Calibri"/>
                <w:color w:val="000000"/>
                <w:sz w:val="22"/>
                <w:szCs w:val="22"/>
                <w:lang w:eastAsia="en-GB"/>
              </w:rPr>
            </w:pPr>
            <w:r>
              <w:rPr>
                <w:rFonts w:ascii="Calibri" w:hAnsi="Calibri"/>
                <w:color w:val="000000"/>
                <w:sz w:val="22"/>
                <w:szCs w:val="22"/>
                <w:lang w:eastAsia="en-GB"/>
              </w:rPr>
              <w:t>8</w:t>
            </w:r>
          </w:p>
        </w:tc>
      </w:tr>
      <w:tr w:rsidR="00165F88" w:rsidRPr="00157753" w14:paraId="1101426A" w14:textId="77777777" w:rsidTr="00903C27">
        <w:trPr>
          <w:trHeight w:val="61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1A01E80E"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Notes to the Financial Statements</w:t>
            </w:r>
          </w:p>
        </w:tc>
        <w:tc>
          <w:tcPr>
            <w:tcW w:w="1720" w:type="dxa"/>
            <w:tcBorders>
              <w:top w:val="nil"/>
              <w:left w:val="nil"/>
              <w:bottom w:val="single" w:sz="4" w:space="0" w:color="FFFFFF"/>
              <w:right w:val="single" w:sz="4" w:space="0" w:color="FFFFFF"/>
            </w:tcBorders>
            <w:shd w:val="clear" w:color="000000" w:fill="F2DCDB"/>
            <w:vAlign w:val="center"/>
            <w:hideMark/>
          </w:tcPr>
          <w:p w14:paraId="56302B7D" w14:textId="542CFA6A" w:rsidR="00165F88" w:rsidRPr="00157753" w:rsidRDefault="001E6E45" w:rsidP="00903C27">
            <w:pPr>
              <w:jc w:val="center"/>
              <w:rPr>
                <w:rFonts w:ascii="Calibri" w:hAnsi="Calibri"/>
                <w:color w:val="000000"/>
                <w:sz w:val="22"/>
                <w:szCs w:val="22"/>
                <w:lang w:eastAsia="en-GB"/>
              </w:rPr>
            </w:pPr>
            <w:r>
              <w:rPr>
                <w:rFonts w:ascii="Calibri" w:hAnsi="Calibri"/>
                <w:color w:val="000000"/>
                <w:sz w:val="22"/>
                <w:szCs w:val="22"/>
                <w:lang w:eastAsia="en-GB"/>
              </w:rPr>
              <w:t>9</w:t>
            </w:r>
          </w:p>
        </w:tc>
      </w:tr>
      <w:tr w:rsidR="00165F88" w:rsidRPr="00157753" w14:paraId="1C1C7753" w14:textId="77777777" w:rsidTr="00903C27">
        <w:trPr>
          <w:trHeight w:val="60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785D947A"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Housing Revenue Account (HRA) Income and Expenditure Statement</w:t>
            </w:r>
          </w:p>
        </w:tc>
        <w:tc>
          <w:tcPr>
            <w:tcW w:w="1720" w:type="dxa"/>
            <w:tcBorders>
              <w:top w:val="nil"/>
              <w:left w:val="nil"/>
              <w:bottom w:val="single" w:sz="4" w:space="0" w:color="FFFFFF"/>
              <w:right w:val="single" w:sz="4" w:space="0" w:color="FFFFFF"/>
            </w:tcBorders>
            <w:shd w:val="clear" w:color="000000" w:fill="F2DCDB"/>
            <w:vAlign w:val="center"/>
            <w:hideMark/>
          </w:tcPr>
          <w:p w14:paraId="39160076" w14:textId="713BC617" w:rsidR="00165F88" w:rsidRPr="00157753" w:rsidRDefault="00165F88" w:rsidP="00903C27">
            <w:pPr>
              <w:jc w:val="center"/>
              <w:rPr>
                <w:rFonts w:ascii="Calibri" w:hAnsi="Calibri"/>
                <w:color w:val="000000"/>
                <w:sz w:val="22"/>
                <w:szCs w:val="22"/>
                <w:lang w:eastAsia="en-GB"/>
              </w:rPr>
            </w:pPr>
            <w:r>
              <w:rPr>
                <w:rFonts w:ascii="Calibri" w:hAnsi="Calibri"/>
                <w:color w:val="000000"/>
                <w:sz w:val="22"/>
                <w:szCs w:val="22"/>
                <w:lang w:eastAsia="en-GB"/>
              </w:rPr>
              <w:t>7</w:t>
            </w:r>
            <w:r w:rsidR="003C10AC">
              <w:rPr>
                <w:rFonts w:ascii="Calibri" w:hAnsi="Calibri"/>
                <w:color w:val="000000"/>
                <w:sz w:val="22"/>
                <w:szCs w:val="22"/>
                <w:lang w:eastAsia="en-GB"/>
              </w:rPr>
              <w:t>3</w:t>
            </w:r>
          </w:p>
        </w:tc>
      </w:tr>
      <w:tr w:rsidR="00165F88" w:rsidRPr="00157753" w14:paraId="598FA018" w14:textId="77777777" w:rsidTr="00903C27">
        <w:trPr>
          <w:trHeight w:val="58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0B1A776F"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Statement of Movement on the HRA Balance</w:t>
            </w:r>
          </w:p>
        </w:tc>
        <w:tc>
          <w:tcPr>
            <w:tcW w:w="1720" w:type="dxa"/>
            <w:tcBorders>
              <w:top w:val="nil"/>
              <w:left w:val="nil"/>
              <w:bottom w:val="single" w:sz="4" w:space="0" w:color="FFFFFF"/>
              <w:right w:val="single" w:sz="4" w:space="0" w:color="FFFFFF"/>
            </w:tcBorders>
            <w:shd w:val="clear" w:color="000000" w:fill="F2DCDB"/>
            <w:vAlign w:val="center"/>
            <w:hideMark/>
          </w:tcPr>
          <w:p w14:paraId="11648D5B" w14:textId="1F86B4C7" w:rsidR="00165F88" w:rsidRPr="00157753" w:rsidRDefault="00165F88" w:rsidP="00903C27">
            <w:pPr>
              <w:jc w:val="center"/>
              <w:rPr>
                <w:rFonts w:ascii="Calibri" w:hAnsi="Calibri"/>
                <w:color w:val="000000"/>
                <w:sz w:val="22"/>
                <w:szCs w:val="22"/>
                <w:lang w:eastAsia="en-GB"/>
              </w:rPr>
            </w:pPr>
            <w:r>
              <w:rPr>
                <w:rFonts w:ascii="Calibri" w:hAnsi="Calibri"/>
                <w:color w:val="000000"/>
                <w:sz w:val="22"/>
                <w:lang w:eastAsia="en-GB"/>
              </w:rPr>
              <w:t>7</w:t>
            </w:r>
            <w:r w:rsidR="003C10AC">
              <w:rPr>
                <w:rFonts w:ascii="Calibri" w:hAnsi="Calibri"/>
                <w:color w:val="000000"/>
                <w:sz w:val="22"/>
                <w:lang w:eastAsia="en-GB"/>
              </w:rPr>
              <w:t>3</w:t>
            </w:r>
          </w:p>
        </w:tc>
      </w:tr>
      <w:tr w:rsidR="00165F88" w:rsidRPr="00157753" w14:paraId="50EA4E3D" w14:textId="77777777" w:rsidTr="00903C27">
        <w:trPr>
          <w:trHeight w:val="600"/>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75FD8FDB"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Note to the Movement on the HRA statement</w:t>
            </w:r>
          </w:p>
        </w:tc>
        <w:tc>
          <w:tcPr>
            <w:tcW w:w="1720" w:type="dxa"/>
            <w:tcBorders>
              <w:top w:val="nil"/>
              <w:left w:val="nil"/>
              <w:bottom w:val="single" w:sz="4" w:space="0" w:color="FFFFFF"/>
              <w:right w:val="single" w:sz="4" w:space="0" w:color="FFFFFF"/>
            </w:tcBorders>
            <w:shd w:val="clear" w:color="000000" w:fill="F2DCDB"/>
            <w:vAlign w:val="center"/>
            <w:hideMark/>
          </w:tcPr>
          <w:p w14:paraId="1B84CE48" w14:textId="49CE130E" w:rsidR="00165F88" w:rsidRPr="00157753" w:rsidRDefault="00165F88" w:rsidP="00903C27">
            <w:pPr>
              <w:jc w:val="center"/>
              <w:rPr>
                <w:rFonts w:ascii="Calibri" w:hAnsi="Calibri"/>
                <w:color w:val="000000"/>
                <w:sz w:val="22"/>
                <w:szCs w:val="22"/>
                <w:lang w:eastAsia="en-GB"/>
              </w:rPr>
            </w:pPr>
            <w:r>
              <w:rPr>
                <w:rFonts w:ascii="Calibri" w:hAnsi="Calibri"/>
                <w:color w:val="000000"/>
                <w:sz w:val="22"/>
                <w:lang w:eastAsia="en-GB"/>
              </w:rPr>
              <w:t>7</w:t>
            </w:r>
            <w:r w:rsidR="003C10AC">
              <w:rPr>
                <w:rFonts w:ascii="Calibri" w:hAnsi="Calibri"/>
                <w:color w:val="000000"/>
                <w:sz w:val="22"/>
                <w:lang w:eastAsia="en-GB"/>
              </w:rPr>
              <w:t>4</w:t>
            </w:r>
          </w:p>
        </w:tc>
      </w:tr>
      <w:tr w:rsidR="00165F88" w:rsidRPr="00157753" w14:paraId="1526DF2B" w14:textId="77777777" w:rsidTr="00903C27">
        <w:trPr>
          <w:trHeight w:val="61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47C848D6"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Notes to the HRA Financial Statements</w:t>
            </w:r>
          </w:p>
        </w:tc>
        <w:tc>
          <w:tcPr>
            <w:tcW w:w="1720" w:type="dxa"/>
            <w:tcBorders>
              <w:top w:val="nil"/>
              <w:left w:val="nil"/>
              <w:bottom w:val="single" w:sz="4" w:space="0" w:color="FFFFFF"/>
              <w:right w:val="single" w:sz="4" w:space="0" w:color="FFFFFF"/>
            </w:tcBorders>
            <w:shd w:val="clear" w:color="000000" w:fill="F2DCDB"/>
            <w:vAlign w:val="center"/>
            <w:hideMark/>
          </w:tcPr>
          <w:p w14:paraId="699F08F0" w14:textId="6D71F2D7" w:rsidR="00165F88" w:rsidRPr="00157753" w:rsidRDefault="00165F88" w:rsidP="00903C27">
            <w:pPr>
              <w:jc w:val="center"/>
              <w:rPr>
                <w:rFonts w:ascii="Calibri" w:hAnsi="Calibri"/>
                <w:color w:val="000000"/>
                <w:sz w:val="22"/>
                <w:szCs w:val="22"/>
                <w:lang w:eastAsia="en-GB"/>
              </w:rPr>
            </w:pPr>
            <w:r>
              <w:rPr>
                <w:rFonts w:ascii="Calibri" w:hAnsi="Calibri"/>
                <w:color w:val="000000"/>
                <w:sz w:val="22"/>
                <w:lang w:eastAsia="en-GB"/>
              </w:rPr>
              <w:t>7</w:t>
            </w:r>
            <w:r w:rsidR="003C10AC">
              <w:rPr>
                <w:rFonts w:ascii="Calibri" w:hAnsi="Calibri"/>
                <w:color w:val="000000"/>
                <w:sz w:val="22"/>
                <w:lang w:eastAsia="en-GB"/>
              </w:rPr>
              <w:t>4</w:t>
            </w:r>
          </w:p>
        </w:tc>
      </w:tr>
      <w:tr w:rsidR="00165F88" w:rsidRPr="00157753" w14:paraId="63FCC7F1" w14:textId="77777777" w:rsidTr="00903C27">
        <w:trPr>
          <w:trHeight w:val="61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0F4C3164"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Collection Fund Statement</w:t>
            </w:r>
          </w:p>
        </w:tc>
        <w:tc>
          <w:tcPr>
            <w:tcW w:w="1720" w:type="dxa"/>
            <w:tcBorders>
              <w:top w:val="nil"/>
              <w:left w:val="nil"/>
              <w:bottom w:val="single" w:sz="4" w:space="0" w:color="FFFFFF"/>
              <w:right w:val="single" w:sz="4" w:space="0" w:color="FFFFFF"/>
            </w:tcBorders>
            <w:shd w:val="clear" w:color="000000" w:fill="F2DCDB"/>
            <w:vAlign w:val="center"/>
            <w:hideMark/>
          </w:tcPr>
          <w:p w14:paraId="790F88B7" w14:textId="30DC816F" w:rsidR="00165F88" w:rsidRPr="00157753" w:rsidRDefault="003C10AC" w:rsidP="00903C27">
            <w:pPr>
              <w:jc w:val="center"/>
              <w:rPr>
                <w:rFonts w:ascii="Calibri" w:hAnsi="Calibri"/>
                <w:color w:val="000000"/>
                <w:sz w:val="22"/>
                <w:szCs w:val="22"/>
                <w:lang w:eastAsia="en-GB"/>
              </w:rPr>
            </w:pPr>
            <w:r>
              <w:rPr>
                <w:rFonts w:ascii="Calibri" w:hAnsi="Calibri"/>
                <w:color w:val="000000"/>
                <w:sz w:val="22"/>
                <w:lang w:eastAsia="en-GB"/>
              </w:rPr>
              <w:t>80</w:t>
            </w:r>
          </w:p>
        </w:tc>
      </w:tr>
      <w:tr w:rsidR="00165F88" w:rsidRPr="00157753" w14:paraId="0E1C4271" w14:textId="77777777" w:rsidTr="00903C27">
        <w:trPr>
          <w:trHeight w:val="58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738F654E"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Notes to Collection Fund Statement</w:t>
            </w:r>
          </w:p>
        </w:tc>
        <w:tc>
          <w:tcPr>
            <w:tcW w:w="1720" w:type="dxa"/>
            <w:tcBorders>
              <w:top w:val="nil"/>
              <w:left w:val="nil"/>
              <w:bottom w:val="single" w:sz="4" w:space="0" w:color="FFFFFF"/>
              <w:right w:val="single" w:sz="4" w:space="0" w:color="FFFFFF"/>
            </w:tcBorders>
            <w:shd w:val="clear" w:color="000000" w:fill="F2DCDB"/>
            <w:vAlign w:val="center"/>
            <w:hideMark/>
          </w:tcPr>
          <w:p w14:paraId="5F2E4BBC" w14:textId="381A4546" w:rsidR="00165F88" w:rsidRPr="00157753" w:rsidRDefault="00165F88" w:rsidP="00903C27">
            <w:pPr>
              <w:jc w:val="center"/>
              <w:rPr>
                <w:rFonts w:ascii="Calibri" w:hAnsi="Calibri"/>
                <w:color w:val="000000"/>
                <w:sz w:val="22"/>
                <w:szCs w:val="22"/>
                <w:lang w:eastAsia="en-GB"/>
              </w:rPr>
            </w:pPr>
            <w:r>
              <w:rPr>
                <w:rFonts w:ascii="Calibri" w:hAnsi="Calibri"/>
                <w:color w:val="000000"/>
                <w:sz w:val="22"/>
                <w:lang w:eastAsia="en-GB"/>
              </w:rPr>
              <w:t>8</w:t>
            </w:r>
            <w:r w:rsidR="003C10AC">
              <w:rPr>
                <w:rFonts w:ascii="Calibri" w:hAnsi="Calibri"/>
                <w:color w:val="000000"/>
                <w:sz w:val="22"/>
                <w:lang w:eastAsia="en-GB"/>
              </w:rPr>
              <w:t>1</w:t>
            </w:r>
          </w:p>
        </w:tc>
      </w:tr>
      <w:tr w:rsidR="00165F88" w:rsidRPr="00157753" w14:paraId="5BDBA60F" w14:textId="77777777" w:rsidTr="00903C27">
        <w:trPr>
          <w:trHeight w:val="58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6D2DA60A"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Glossary of Financial Terms</w:t>
            </w:r>
          </w:p>
        </w:tc>
        <w:tc>
          <w:tcPr>
            <w:tcW w:w="1720" w:type="dxa"/>
            <w:tcBorders>
              <w:top w:val="nil"/>
              <w:left w:val="nil"/>
              <w:bottom w:val="single" w:sz="4" w:space="0" w:color="FFFFFF"/>
              <w:right w:val="single" w:sz="4" w:space="0" w:color="FFFFFF"/>
            </w:tcBorders>
            <w:shd w:val="clear" w:color="000000" w:fill="F2DCDB"/>
            <w:vAlign w:val="center"/>
            <w:hideMark/>
          </w:tcPr>
          <w:p w14:paraId="0B47C84B" w14:textId="53F368EC" w:rsidR="00165F88" w:rsidRPr="00157753" w:rsidRDefault="00165F88" w:rsidP="00903C27">
            <w:pPr>
              <w:jc w:val="center"/>
              <w:rPr>
                <w:rFonts w:ascii="Calibri" w:hAnsi="Calibri"/>
                <w:color w:val="000000"/>
                <w:sz w:val="22"/>
                <w:szCs w:val="22"/>
                <w:lang w:eastAsia="en-GB"/>
              </w:rPr>
            </w:pPr>
            <w:r>
              <w:rPr>
                <w:rFonts w:ascii="Calibri" w:hAnsi="Calibri"/>
                <w:color w:val="000000"/>
                <w:sz w:val="22"/>
                <w:lang w:eastAsia="en-GB"/>
              </w:rPr>
              <w:t>8</w:t>
            </w:r>
            <w:r w:rsidR="003C10AC">
              <w:rPr>
                <w:rFonts w:ascii="Calibri" w:hAnsi="Calibri"/>
                <w:color w:val="000000"/>
                <w:sz w:val="22"/>
                <w:lang w:eastAsia="en-GB"/>
              </w:rPr>
              <w:t>2</w:t>
            </w:r>
          </w:p>
        </w:tc>
      </w:tr>
      <w:tr w:rsidR="00165F88" w:rsidRPr="00157753" w14:paraId="0852834F" w14:textId="77777777" w:rsidTr="00903C27">
        <w:trPr>
          <w:trHeight w:val="615"/>
        </w:trPr>
        <w:tc>
          <w:tcPr>
            <w:tcW w:w="8160" w:type="dxa"/>
            <w:tcBorders>
              <w:top w:val="nil"/>
              <w:left w:val="single" w:sz="4" w:space="0" w:color="FFFFFF"/>
              <w:bottom w:val="single" w:sz="4" w:space="0" w:color="FFFFFF"/>
              <w:right w:val="single" w:sz="4" w:space="0" w:color="FFFFFF"/>
            </w:tcBorders>
            <w:shd w:val="clear" w:color="000000" w:fill="F2DCDB"/>
            <w:vAlign w:val="center"/>
            <w:hideMark/>
          </w:tcPr>
          <w:p w14:paraId="147E6BDD" w14:textId="77777777" w:rsidR="00165F88" w:rsidRPr="00157753" w:rsidRDefault="00165F88" w:rsidP="00903C27">
            <w:pPr>
              <w:rPr>
                <w:rFonts w:ascii="Calibri" w:hAnsi="Calibri"/>
                <w:color w:val="000000"/>
                <w:sz w:val="22"/>
                <w:szCs w:val="22"/>
                <w:lang w:eastAsia="en-GB"/>
              </w:rPr>
            </w:pPr>
            <w:r w:rsidRPr="00157753">
              <w:rPr>
                <w:rFonts w:ascii="Calibri" w:hAnsi="Calibri"/>
                <w:color w:val="000000"/>
                <w:sz w:val="22"/>
                <w:lang w:eastAsia="en-GB"/>
              </w:rPr>
              <w:t>Independent Auditors’ Report</w:t>
            </w:r>
          </w:p>
        </w:tc>
        <w:tc>
          <w:tcPr>
            <w:tcW w:w="1720" w:type="dxa"/>
            <w:tcBorders>
              <w:top w:val="nil"/>
              <w:left w:val="nil"/>
              <w:bottom w:val="single" w:sz="4" w:space="0" w:color="FFFFFF"/>
              <w:right w:val="single" w:sz="4" w:space="0" w:color="FFFFFF"/>
            </w:tcBorders>
            <w:shd w:val="clear" w:color="000000" w:fill="F2DCDB"/>
            <w:vAlign w:val="center"/>
            <w:hideMark/>
          </w:tcPr>
          <w:p w14:paraId="50FCABAA" w14:textId="5A259707" w:rsidR="00165F88" w:rsidRPr="00157753" w:rsidRDefault="001E6E45" w:rsidP="00903C27">
            <w:pPr>
              <w:jc w:val="center"/>
              <w:rPr>
                <w:rFonts w:ascii="Calibri" w:hAnsi="Calibri"/>
                <w:color w:val="000000"/>
                <w:sz w:val="22"/>
                <w:szCs w:val="22"/>
                <w:lang w:eastAsia="en-GB"/>
              </w:rPr>
            </w:pPr>
            <w:r>
              <w:rPr>
                <w:rFonts w:ascii="Calibri" w:hAnsi="Calibri"/>
                <w:color w:val="000000"/>
                <w:sz w:val="22"/>
                <w:szCs w:val="22"/>
                <w:lang w:eastAsia="en-GB"/>
              </w:rPr>
              <w:t>8</w:t>
            </w:r>
            <w:r w:rsidR="003C10AC">
              <w:rPr>
                <w:rFonts w:ascii="Calibri" w:hAnsi="Calibri"/>
                <w:color w:val="000000"/>
                <w:sz w:val="22"/>
                <w:szCs w:val="22"/>
                <w:lang w:eastAsia="en-GB"/>
              </w:rPr>
              <w:t>9</w:t>
            </w:r>
          </w:p>
        </w:tc>
      </w:tr>
    </w:tbl>
    <w:p w14:paraId="49A8B99F" w14:textId="77777777" w:rsidR="00165F88" w:rsidRDefault="00165F88"/>
    <w:p w14:paraId="71CE504D" w14:textId="77777777" w:rsidR="006259F1" w:rsidRDefault="006259F1" w:rsidP="006259F1">
      <w:pPr>
        <w:rPr>
          <w:rFonts w:asciiTheme="minorHAnsi" w:hAnsiTheme="minorHAnsi" w:cstheme="minorHAnsi"/>
          <w:sz w:val="22"/>
          <w:szCs w:val="22"/>
        </w:rPr>
      </w:pPr>
    </w:p>
    <w:p w14:paraId="441D49E0" w14:textId="2483DD52"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Printed and Published By</w:t>
      </w:r>
    </w:p>
    <w:p w14:paraId="32A800B3"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Melton Borough Council</w:t>
      </w:r>
    </w:p>
    <w:p w14:paraId="722FA333"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Parkside</w:t>
      </w:r>
    </w:p>
    <w:p w14:paraId="2894C301"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Station Approach</w:t>
      </w:r>
    </w:p>
    <w:p w14:paraId="6E09D15B"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Burton Street</w:t>
      </w:r>
    </w:p>
    <w:p w14:paraId="09B181A7"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Melton Mowbray</w:t>
      </w:r>
    </w:p>
    <w:p w14:paraId="79C7A53A"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Leicestershire</w:t>
      </w:r>
    </w:p>
    <w:p w14:paraId="7B1A9FCC"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LE13 1GH</w:t>
      </w:r>
    </w:p>
    <w:p w14:paraId="47714D85"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Telephone: 01664 502502</w:t>
      </w:r>
    </w:p>
    <w:p w14:paraId="60B7BD42" w14:textId="77777777" w:rsidR="006259F1" w:rsidRDefault="006259F1" w:rsidP="006259F1">
      <w:pPr>
        <w:rPr>
          <w:rFonts w:asciiTheme="minorHAnsi" w:hAnsiTheme="minorHAnsi" w:cstheme="minorHAnsi"/>
          <w:sz w:val="22"/>
          <w:szCs w:val="22"/>
        </w:rPr>
      </w:pPr>
    </w:p>
    <w:p w14:paraId="03E473EF" w14:textId="184C7C7E"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 xml:space="preserve">E-mail:        </w:t>
      </w:r>
      <w:hyperlink r:id="rId9" w:history="1">
        <w:r w:rsidR="00E93FEF" w:rsidRPr="00DF7D82">
          <w:rPr>
            <w:rStyle w:val="Hyperlink"/>
            <w:rFonts w:asciiTheme="minorHAnsi" w:hAnsiTheme="minorHAnsi" w:cstheme="minorHAnsi"/>
            <w:sz w:val="22"/>
            <w:szCs w:val="22"/>
          </w:rPr>
          <w:t>financialservices@melton.gov.uk</w:t>
        </w:r>
      </w:hyperlink>
    </w:p>
    <w:p w14:paraId="6E403AF7" w14:textId="31C263A4" w:rsidR="006259F1" w:rsidRPr="006259F1" w:rsidRDefault="00143878" w:rsidP="006259F1">
      <w:pPr>
        <w:rPr>
          <w:rFonts w:asciiTheme="minorHAnsi" w:hAnsiTheme="minorHAnsi" w:cstheme="minorHAnsi"/>
          <w:sz w:val="22"/>
          <w:szCs w:val="22"/>
        </w:rPr>
      </w:pPr>
      <w:r>
        <w:rPr>
          <w:rFonts w:asciiTheme="minorHAnsi" w:hAnsiTheme="minorHAnsi" w:cstheme="minorHAnsi"/>
          <w:sz w:val="22"/>
          <w:szCs w:val="22"/>
        </w:rPr>
        <w:t>31 May 2023</w:t>
      </w:r>
    </w:p>
    <w:p w14:paraId="557B07E5" w14:textId="77777777" w:rsidR="00165F88" w:rsidRDefault="00165F88">
      <w:r>
        <w:br w:type="page"/>
      </w:r>
    </w:p>
    <w:p w14:paraId="5CF65AA7" w14:textId="77777777" w:rsidR="00165F88" w:rsidRDefault="00165F88" w:rsidP="00165F88">
      <w:pPr>
        <w:pStyle w:val="Heading1"/>
      </w:pPr>
      <w:r>
        <w:lastRenderedPageBreak/>
        <w:t>Statement of Responsibilities for the Statement of Accounts</w:t>
      </w:r>
    </w:p>
    <w:p w14:paraId="7441599C" w14:textId="77777777" w:rsidR="006259F1" w:rsidRDefault="006259F1" w:rsidP="00165F88">
      <w:pPr>
        <w:rPr>
          <w:rFonts w:asciiTheme="minorHAnsi" w:hAnsiTheme="minorHAnsi" w:cstheme="minorHAnsi"/>
          <w:b/>
          <w:bCs/>
          <w:sz w:val="22"/>
          <w:szCs w:val="22"/>
        </w:rPr>
      </w:pPr>
    </w:p>
    <w:p w14:paraId="7200A397" w14:textId="12EB9F0C" w:rsidR="00165F88" w:rsidRPr="00165F88" w:rsidRDefault="00165F88" w:rsidP="00165F88">
      <w:pPr>
        <w:rPr>
          <w:rFonts w:asciiTheme="minorHAnsi" w:hAnsiTheme="minorHAnsi" w:cstheme="minorHAnsi"/>
          <w:b/>
          <w:bCs/>
          <w:sz w:val="22"/>
          <w:szCs w:val="22"/>
        </w:rPr>
      </w:pPr>
      <w:r w:rsidRPr="00165F88">
        <w:rPr>
          <w:rFonts w:asciiTheme="minorHAnsi" w:hAnsiTheme="minorHAnsi" w:cstheme="minorHAnsi"/>
          <w:b/>
          <w:bCs/>
          <w:sz w:val="22"/>
          <w:szCs w:val="22"/>
        </w:rPr>
        <w:t>The Council’s Responsibilities</w:t>
      </w:r>
    </w:p>
    <w:p w14:paraId="1D90B96A" w14:textId="77777777" w:rsidR="00165F88" w:rsidRPr="00165F88" w:rsidRDefault="00165F88" w:rsidP="00165F88">
      <w:pPr>
        <w:rPr>
          <w:rFonts w:asciiTheme="minorHAnsi" w:hAnsiTheme="minorHAnsi" w:cstheme="minorHAnsi"/>
          <w:sz w:val="22"/>
          <w:szCs w:val="22"/>
        </w:rPr>
      </w:pPr>
    </w:p>
    <w:p w14:paraId="5425DE2A" w14:textId="77777777" w:rsidR="00165F88" w:rsidRPr="00165F88" w:rsidRDefault="00165F88" w:rsidP="00165F88">
      <w:pPr>
        <w:rPr>
          <w:rFonts w:asciiTheme="minorHAnsi" w:hAnsiTheme="minorHAnsi" w:cstheme="minorHAnsi"/>
          <w:sz w:val="22"/>
          <w:szCs w:val="22"/>
        </w:rPr>
      </w:pPr>
      <w:r w:rsidRPr="00165F88">
        <w:rPr>
          <w:rFonts w:asciiTheme="minorHAnsi" w:hAnsiTheme="minorHAnsi" w:cstheme="minorHAnsi"/>
          <w:sz w:val="22"/>
          <w:szCs w:val="22"/>
        </w:rPr>
        <w:t xml:space="preserve">The Council is required:  </w:t>
      </w:r>
    </w:p>
    <w:p w14:paraId="4BC8D61C" w14:textId="77777777" w:rsidR="00165F88" w:rsidRPr="00165F88" w:rsidRDefault="00165F88" w:rsidP="00165F88">
      <w:pPr>
        <w:rPr>
          <w:rFonts w:asciiTheme="minorHAnsi" w:hAnsiTheme="minorHAnsi" w:cstheme="minorHAnsi"/>
          <w:sz w:val="22"/>
          <w:szCs w:val="22"/>
        </w:rPr>
      </w:pPr>
    </w:p>
    <w:p w14:paraId="72CADCBD" w14:textId="4B794818" w:rsidR="00165F88" w:rsidRPr="00165F88" w:rsidRDefault="00165F88" w:rsidP="00C76AD3">
      <w:pPr>
        <w:pStyle w:val="ListParagraph"/>
        <w:numPr>
          <w:ilvl w:val="0"/>
          <w:numId w:val="44"/>
        </w:numPr>
        <w:jc w:val="both"/>
        <w:rPr>
          <w:rFonts w:asciiTheme="minorHAnsi" w:hAnsiTheme="minorHAnsi" w:cstheme="minorHAnsi"/>
          <w:sz w:val="22"/>
          <w:szCs w:val="22"/>
        </w:rPr>
      </w:pPr>
      <w:r w:rsidRPr="00165F88">
        <w:rPr>
          <w:rFonts w:asciiTheme="minorHAnsi" w:hAnsiTheme="minorHAnsi" w:cstheme="minorHAnsi"/>
          <w:sz w:val="22"/>
          <w:szCs w:val="22"/>
        </w:rPr>
        <w:t xml:space="preserve">To </w:t>
      </w:r>
      <w:proofErr w:type="gramStart"/>
      <w:r w:rsidRPr="00165F88">
        <w:rPr>
          <w:rFonts w:asciiTheme="minorHAnsi" w:hAnsiTheme="minorHAnsi" w:cstheme="minorHAnsi"/>
          <w:sz w:val="22"/>
          <w:szCs w:val="22"/>
        </w:rPr>
        <w:t>make arrangements</w:t>
      </w:r>
      <w:proofErr w:type="gramEnd"/>
      <w:r w:rsidRPr="00165F88">
        <w:rPr>
          <w:rFonts w:asciiTheme="minorHAnsi" w:hAnsiTheme="minorHAnsi" w:cstheme="minorHAnsi"/>
          <w:sz w:val="22"/>
          <w:szCs w:val="22"/>
        </w:rPr>
        <w:t xml:space="preserve"> for the proper administration of its financial affairs and to secure that one of its officers has the responsibility for the administration of those affairs.  In this council, that officer is the Director for Corporate Services.</w:t>
      </w:r>
    </w:p>
    <w:p w14:paraId="6B83466E" w14:textId="683AB128" w:rsidR="00165F88" w:rsidRPr="00165F88" w:rsidRDefault="00165F88" w:rsidP="00C76AD3">
      <w:pPr>
        <w:pStyle w:val="ListParagraph"/>
        <w:numPr>
          <w:ilvl w:val="0"/>
          <w:numId w:val="44"/>
        </w:numPr>
        <w:rPr>
          <w:rFonts w:asciiTheme="minorHAnsi" w:hAnsiTheme="minorHAnsi" w:cstheme="minorHAnsi"/>
          <w:sz w:val="22"/>
          <w:szCs w:val="22"/>
        </w:rPr>
      </w:pPr>
      <w:r w:rsidRPr="00165F88">
        <w:rPr>
          <w:rFonts w:asciiTheme="minorHAnsi" w:hAnsiTheme="minorHAnsi" w:cstheme="minorHAnsi"/>
          <w:sz w:val="22"/>
          <w:szCs w:val="22"/>
        </w:rPr>
        <w:t>To manage its affairs to secure economic, efficient, and effective use of resources and safeguard its assets.</w:t>
      </w:r>
    </w:p>
    <w:p w14:paraId="2631C8E6" w14:textId="7CAA9B49" w:rsidR="00165F88" w:rsidRPr="00165F88" w:rsidRDefault="00165F88" w:rsidP="00C76AD3">
      <w:pPr>
        <w:pStyle w:val="ListParagraph"/>
        <w:numPr>
          <w:ilvl w:val="0"/>
          <w:numId w:val="44"/>
        </w:numPr>
        <w:rPr>
          <w:rFonts w:asciiTheme="minorHAnsi" w:hAnsiTheme="minorHAnsi" w:cstheme="minorHAnsi"/>
          <w:sz w:val="22"/>
          <w:szCs w:val="22"/>
        </w:rPr>
      </w:pPr>
      <w:r w:rsidRPr="00165F88">
        <w:rPr>
          <w:rFonts w:asciiTheme="minorHAnsi" w:hAnsiTheme="minorHAnsi" w:cstheme="minorHAnsi"/>
          <w:sz w:val="22"/>
          <w:szCs w:val="22"/>
        </w:rPr>
        <w:t>To approve the Statement of Accounts.</w:t>
      </w:r>
    </w:p>
    <w:p w14:paraId="5EF4D86C" w14:textId="77777777" w:rsidR="00165F88" w:rsidRPr="00165F88" w:rsidRDefault="00165F88" w:rsidP="00165F88">
      <w:pPr>
        <w:rPr>
          <w:rFonts w:asciiTheme="minorHAnsi" w:hAnsiTheme="minorHAnsi" w:cstheme="minorHAnsi"/>
          <w:sz w:val="22"/>
          <w:szCs w:val="22"/>
        </w:rPr>
      </w:pPr>
    </w:p>
    <w:p w14:paraId="721FA244" w14:textId="77777777" w:rsidR="00165F88" w:rsidRPr="00165F88" w:rsidRDefault="00165F88" w:rsidP="00165F88">
      <w:pPr>
        <w:rPr>
          <w:rFonts w:asciiTheme="minorHAnsi" w:hAnsiTheme="minorHAnsi" w:cstheme="minorHAnsi"/>
          <w:b/>
          <w:bCs/>
          <w:sz w:val="22"/>
          <w:szCs w:val="22"/>
        </w:rPr>
      </w:pPr>
      <w:r w:rsidRPr="00165F88">
        <w:rPr>
          <w:rFonts w:asciiTheme="minorHAnsi" w:hAnsiTheme="minorHAnsi" w:cstheme="minorHAnsi"/>
          <w:b/>
          <w:bCs/>
          <w:sz w:val="22"/>
          <w:szCs w:val="22"/>
        </w:rPr>
        <w:t>The Director for Corporate Services’ Responsibilities</w:t>
      </w:r>
    </w:p>
    <w:p w14:paraId="42A0EE48" w14:textId="77777777" w:rsidR="00165F88" w:rsidRPr="00165F88" w:rsidRDefault="00165F88" w:rsidP="00165F88">
      <w:pPr>
        <w:rPr>
          <w:rFonts w:asciiTheme="minorHAnsi" w:hAnsiTheme="minorHAnsi" w:cstheme="minorHAnsi"/>
          <w:sz w:val="22"/>
          <w:szCs w:val="22"/>
        </w:rPr>
      </w:pPr>
    </w:p>
    <w:p w14:paraId="32E2296E" w14:textId="77777777" w:rsidR="00165F88" w:rsidRPr="00165F88" w:rsidRDefault="00165F88" w:rsidP="001E6E45">
      <w:pPr>
        <w:jc w:val="both"/>
        <w:rPr>
          <w:rFonts w:asciiTheme="minorHAnsi" w:hAnsiTheme="minorHAnsi" w:cstheme="minorHAnsi"/>
          <w:sz w:val="22"/>
          <w:szCs w:val="22"/>
        </w:rPr>
      </w:pPr>
      <w:r w:rsidRPr="007F121F">
        <w:rPr>
          <w:rFonts w:asciiTheme="minorHAnsi" w:hAnsiTheme="minorHAnsi" w:cstheme="minorHAnsi"/>
          <w:sz w:val="22"/>
          <w:szCs w:val="22"/>
        </w:rPr>
        <w:t>The Director for Corporate Services is responsible for the preparation of the Council’s Statement of Accounts in accordance with proper practices as set out in the CIPFA/LASAAC Code of Practice on Local Authority Accounting in the United Kingdom (‘the Code’).</w:t>
      </w:r>
    </w:p>
    <w:p w14:paraId="295C42AB" w14:textId="77777777" w:rsidR="00165F88" w:rsidRPr="00165F88" w:rsidRDefault="00165F88" w:rsidP="00165F88">
      <w:pPr>
        <w:rPr>
          <w:rFonts w:asciiTheme="minorHAnsi" w:hAnsiTheme="minorHAnsi" w:cstheme="minorHAnsi"/>
          <w:sz w:val="22"/>
          <w:szCs w:val="22"/>
        </w:rPr>
      </w:pPr>
    </w:p>
    <w:p w14:paraId="53766E90" w14:textId="77777777" w:rsidR="00165F88" w:rsidRPr="00165F88" w:rsidRDefault="00165F88" w:rsidP="00165F88">
      <w:pPr>
        <w:rPr>
          <w:rFonts w:asciiTheme="minorHAnsi" w:hAnsiTheme="minorHAnsi" w:cstheme="minorHAnsi"/>
          <w:sz w:val="22"/>
          <w:szCs w:val="22"/>
        </w:rPr>
      </w:pPr>
      <w:r w:rsidRPr="00165F88">
        <w:rPr>
          <w:rFonts w:asciiTheme="minorHAnsi" w:hAnsiTheme="minorHAnsi" w:cstheme="minorHAnsi"/>
          <w:sz w:val="22"/>
          <w:szCs w:val="22"/>
        </w:rPr>
        <w:t>In preparing this Statement of Accounts, the Director for Corporate Services has:</w:t>
      </w:r>
    </w:p>
    <w:p w14:paraId="017C7F5B" w14:textId="77777777" w:rsidR="00165F88" w:rsidRPr="00165F88" w:rsidRDefault="00165F88" w:rsidP="00165F88">
      <w:pPr>
        <w:rPr>
          <w:rFonts w:asciiTheme="minorHAnsi" w:hAnsiTheme="minorHAnsi" w:cstheme="minorHAnsi"/>
          <w:sz w:val="22"/>
          <w:szCs w:val="22"/>
        </w:rPr>
      </w:pPr>
    </w:p>
    <w:p w14:paraId="202E6EE6" w14:textId="3113B14A" w:rsidR="00165F88" w:rsidRPr="00165F88" w:rsidRDefault="00165F88" w:rsidP="00C76AD3">
      <w:pPr>
        <w:pStyle w:val="ListParagraph"/>
        <w:numPr>
          <w:ilvl w:val="0"/>
          <w:numId w:val="45"/>
        </w:numPr>
        <w:rPr>
          <w:rFonts w:asciiTheme="minorHAnsi" w:hAnsiTheme="minorHAnsi" w:cstheme="minorHAnsi"/>
          <w:sz w:val="22"/>
          <w:szCs w:val="22"/>
        </w:rPr>
      </w:pPr>
      <w:r w:rsidRPr="00165F88">
        <w:rPr>
          <w:rFonts w:asciiTheme="minorHAnsi" w:hAnsiTheme="minorHAnsi" w:cstheme="minorHAnsi"/>
          <w:sz w:val="22"/>
          <w:szCs w:val="22"/>
        </w:rPr>
        <w:t>Selected suitable accounting policies and then applied them consistently.</w:t>
      </w:r>
    </w:p>
    <w:p w14:paraId="306120CF" w14:textId="18675C0B" w:rsidR="00165F88" w:rsidRPr="00165F88" w:rsidRDefault="00165F88" w:rsidP="00C76AD3">
      <w:pPr>
        <w:pStyle w:val="ListParagraph"/>
        <w:numPr>
          <w:ilvl w:val="0"/>
          <w:numId w:val="45"/>
        </w:numPr>
        <w:rPr>
          <w:rFonts w:asciiTheme="minorHAnsi" w:hAnsiTheme="minorHAnsi" w:cstheme="minorHAnsi"/>
          <w:sz w:val="22"/>
          <w:szCs w:val="22"/>
        </w:rPr>
      </w:pPr>
      <w:r w:rsidRPr="00165F88">
        <w:rPr>
          <w:rFonts w:asciiTheme="minorHAnsi" w:hAnsiTheme="minorHAnsi" w:cstheme="minorHAnsi"/>
          <w:sz w:val="22"/>
          <w:szCs w:val="22"/>
        </w:rPr>
        <w:t>Made judgements and estimates that were reasonable and prudent.</w:t>
      </w:r>
    </w:p>
    <w:p w14:paraId="19346D78" w14:textId="35D6F691" w:rsidR="00165F88" w:rsidRPr="00165F88" w:rsidRDefault="00165F88" w:rsidP="00C76AD3">
      <w:pPr>
        <w:pStyle w:val="ListParagraph"/>
        <w:numPr>
          <w:ilvl w:val="0"/>
          <w:numId w:val="45"/>
        </w:numPr>
        <w:rPr>
          <w:rFonts w:asciiTheme="minorHAnsi" w:hAnsiTheme="minorHAnsi" w:cstheme="minorHAnsi"/>
          <w:sz w:val="22"/>
          <w:szCs w:val="22"/>
        </w:rPr>
      </w:pPr>
      <w:r w:rsidRPr="00165F88">
        <w:rPr>
          <w:rFonts w:asciiTheme="minorHAnsi" w:hAnsiTheme="minorHAnsi" w:cstheme="minorHAnsi"/>
          <w:sz w:val="22"/>
          <w:szCs w:val="22"/>
        </w:rPr>
        <w:t>Complied with the local authority Code.</w:t>
      </w:r>
    </w:p>
    <w:p w14:paraId="0B5862A3" w14:textId="77777777" w:rsidR="00165F88" w:rsidRPr="00165F88" w:rsidRDefault="00165F88" w:rsidP="00165F88">
      <w:pPr>
        <w:rPr>
          <w:rFonts w:asciiTheme="minorHAnsi" w:hAnsiTheme="minorHAnsi" w:cstheme="minorHAnsi"/>
          <w:sz w:val="22"/>
          <w:szCs w:val="22"/>
        </w:rPr>
      </w:pPr>
    </w:p>
    <w:p w14:paraId="58CCAE5D" w14:textId="77777777" w:rsidR="00165F88" w:rsidRPr="00165F88" w:rsidRDefault="00165F88" w:rsidP="00165F88">
      <w:pPr>
        <w:rPr>
          <w:rFonts w:asciiTheme="minorHAnsi" w:hAnsiTheme="minorHAnsi" w:cstheme="minorHAnsi"/>
          <w:sz w:val="22"/>
          <w:szCs w:val="22"/>
        </w:rPr>
      </w:pPr>
      <w:r w:rsidRPr="00165F88">
        <w:rPr>
          <w:rFonts w:asciiTheme="minorHAnsi" w:hAnsiTheme="minorHAnsi" w:cstheme="minorHAnsi"/>
          <w:sz w:val="22"/>
          <w:szCs w:val="22"/>
        </w:rPr>
        <w:t>The Director for Corporate Services has also:</w:t>
      </w:r>
    </w:p>
    <w:p w14:paraId="3F4A0F3F" w14:textId="77777777" w:rsidR="00165F88" w:rsidRPr="00165F88" w:rsidRDefault="00165F88" w:rsidP="00165F88">
      <w:pPr>
        <w:rPr>
          <w:rFonts w:asciiTheme="minorHAnsi" w:hAnsiTheme="minorHAnsi" w:cstheme="minorHAnsi"/>
          <w:sz w:val="22"/>
          <w:szCs w:val="22"/>
        </w:rPr>
      </w:pPr>
    </w:p>
    <w:p w14:paraId="1737C3CC" w14:textId="49D64F36" w:rsidR="00165F88" w:rsidRPr="00165F88" w:rsidRDefault="00165F88" w:rsidP="00C76AD3">
      <w:pPr>
        <w:pStyle w:val="ListParagraph"/>
        <w:numPr>
          <w:ilvl w:val="0"/>
          <w:numId w:val="46"/>
        </w:numPr>
        <w:rPr>
          <w:rFonts w:asciiTheme="minorHAnsi" w:hAnsiTheme="minorHAnsi" w:cstheme="minorHAnsi"/>
          <w:sz w:val="22"/>
          <w:szCs w:val="22"/>
        </w:rPr>
      </w:pPr>
      <w:r w:rsidRPr="00165F88">
        <w:rPr>
          <w:rFonts w:asciiTheme="minorHAnsi" w:hAnsiTheme="minorHAnsi" w:cstheme="minorHAnsi"/>
          <w:sz w:val="22"/>
          <w:szCs w:val="22"/>
        </w:rPr>
        <w:t>Kept proper accounting records which were up to date.</w:t>
      </w:r>
    </w:p>
    <w:p w14:paraId="515F2FC4" w14:textId="60D449E9" w:rsidR="00165F88" w:rsidRPr="00165F88" w:rsidRDefault="00165F88" w:rsidP="00C76AD3">
      <w:pPr>
        <w:pStyle w:val="ListParagraph"/>
        <w:numPr>
          <w:ilvl w:val="0"/>
          <w:numId w:val="46"/>
        </w:numPr>
        <w:rPr>
          <w:rFonts w:asciiTheme="minorHAnsi" w:hAnsiTheme="minorHAnsi" w:cstheme="minorHAnsi"/>
          <w:sz w:val="22"/>
          <w:szCs w:val="22"/>
        </w:rPr>
      </w:pPr>
      <w:r w:rsidRPr="00165F88">
        <w:rPr>
          <w:rFonts w:asciiTheme="minorHAnsi" w:hAnsiTheme="minorHAnsi" w:cstheme="minorHAnsi"/>
          <w:sz w:val="22"/>
          <w:szCs w:val="22"/>
        </w:rPr>
        <w:t>Taken reasonable steps for the prevention and detection of fraud and other irregularities.</w:t>
      </w:r>
    </w:p>
    <w:p w14:paraId="4BB8570E" w14:textId="77777777" w:rsidR="00165F88" w:rsidRPr="00165F88" w:rsidRDefault="00165F88" w:rsidP="00165F88">
      <w:pPr>
        <w:rPr>
          <w:rFonts w:asciiTheme="minorHAnsi" w:hAnsiTheme="minorHAnsi" w:cstheme="minorHAnsi"/>
          <w:sz w:val="22"/>
          <w:szCs w:val="22"/>
        </w:rPr>
      </w:pPr>
    </w:p>
    <w:p w14:paraId="79F0A0A7" w14:textId="77777777" w:rsidR="00165F88" w:rsidRPr="00165F88" w:rsidRDefault="00165F88" w:rsidP="00165F88">
      <w:pPr>
        <w:rPr>
          <w:rFonts w:asciiTheme="minorHAnsi" w:hAnsiTheme="minorHAnsi" w:cstheme="minorHAnsi"/>
          <w:b/>
          <w:bCs/>
          <w:sz w:val="22"/>
          <w:szCs w:val="22"/>
        </w:rPr>
      </w:pPr>
      <w:r w:rsidRPr="00165F88">
        <w:rPr>
          <w:rFonts w:asciiTheme="minorHAnsi" w:hAnsiTheme="minorHAnsi" w:cstheme="minorHAnsi"/>
          <w:b/>
          <w:bCs/>
          <w:sz w:val="22"/>
          <w:szCs w:val="22"/>
        </w:rPr>
        <w:t>Certificate</w:t>
      </w:r>
    </w:p>
    <w:p w14:paraId="1F502E71" w14:textId="77777777" w:rsidR="00165F88" w:rsidRPr="00165F88" w:rsidRDefault="00165F88" w:rsidP="00165F88">
      <w:pPr>
        <w:rPr>
          <w:rFonts w:asciiTheme="minorHAnsi" w:hAnsiTheme="minorHAnsi" w:cstheme="minorHAnsi"/>
          <w:sz w:val="22"/>
          <w:szCs w:val="22"/>
        </w:rPr>
      </w:pPr>
    </w:p>
    <w:p w14:paraId="2BBD8A52" w14:textId="16AF67F6" w:rsidR="00165F88" w:rsidRDefault="00165F88" w:rsidP="001E6E45">
      <w:pPr>
        <w:jc w:val="both"/>
        <w:rPr>
          <w:rFonts w:asciiTheme="minorHAnsi" w:hAnsiTheme="minorHAnsi" w:cstheme="minorHAnsi"/>
          <w:sz w:val="22"/>
          <w:szCs w:val="22"/>
        </w:rPr>
      </w:pPr>
      <w:r w:rsidRPr="00165F88">
        <w:rPr>
          <w:rFonts w:asciiTheme="minorHAnsi" w:hAnsiTheme="minorHAnsi" w:cstheme="minorHAnsi"/>
          <w:sz w:val="22"/>
          <w:szCs w:val="22"/>
        </w:rPr>
        <w:t xml:space="preserve">I certify that this Statement of Accounts presents a true and fair view of the financial position of Melton Borough Council </w:t>
      </w:r>
      <w:proofErr w:type="gramStart"/>
      <w:r w:rsidRPr="00165F88">
        <w:rPr>
          <w:rFonts w:asciiTheme="minorHAnsi" w:hAnsiTheme="minorHAnsi" w:cstheme="minorHAnsi"/>
          <w:sz w:val="22"/>
          <w:szCs w:val="22"/>
        </w:rPr>
        <w:t>at</w:t>
      </w:r>
      <w:proofErr w:type="gramEnd"/>
      <w:r w:rsidRPr="00165F88">
        <w:rPr>
          <w:rFonts w:asciiTheme="minorHAnsi" w:hAnsiTheme="minorHAnsi" w:cstheme="minorHAnsi"/>
          <w:sz w:val="22"/>
          <w:szCs w:val="22"/>
        </w:rPr>
        <w:t xml:space="preserve"> 31st March 202</w:t>
      </w:r>
      <w:r w:rsidR="00570042">
        <w:rPr>
          <w:rFonts w:asciiTheme="minorHAnsi" w:hAnsiTheme="minorHAnsi" w:cstheme="minorHAnsi"/>
          <w:sz w:val="22"/>
          <w:szCs w:val="22"/>
        </w:rPr>
        <w:t>3</w:t>
      </w:r>
      <w:r w:rsidRPr="00165F88">
        <w:rPr>
          <w:rFonts w:asciiTheme="minorHAnsi" w:hAnsiTheme="minorHAnsi" w:cstheme="minorHAnsi"/>
          <w:sz w:val="22"/>
          <w:szCs w:val="22"/>
        </w:rPr>
        <w:t>, and its income and expenditure for the period 1st April 202</w:t>
      </w:r>
      <w:r w:rsidR="00570042">
        <w:rPr>
          <w:rFonts w:asciiTheme="minorHAnsi" w:hAnsiTheme="minorHAnsi" w:cstheme="minorHAnsi"/>
          <w:sz w:val="22"/>
          <w:szCs w:val="22"/>
        </w:rPr>
        <w:t>2</w:t>
      </w:r>
      <w:r w:rsidRPr="00165F88">
        <w:rPr>
          <w:rFonts w:asciiTheme="minorHAnsi" w:hAnsiTheme="minorHAnsi" w:cstheme="minorHAnsi"/>
          <w:sz w:val="22"/>
          <w:szCs w:val="22"/>
        </w:rPr>
        <w:t xml:space="preserve"> to 31st March 202</w:t>
      </w:r>
      <w:r w:rsidR="00570042">
        <w:rPr>
          <w:rFonts w:asciiTheme="minorHAnsi" w:hAnsiTheme="minorHAnsi" w:cstheme="minorHAnsi"/>
          <w:sz w:val="22"/>
          <w:szCs w:val="22"/>
        </w:rPr>
        <w:t>3</w:t>
      </w:r>
      <w:r w:rsidRPr="00165F88">
        <w:rPr>
          <w:rFonts w:asciiTheme="minorHAnsi" w:hAnsiTheme="minorHAnsi" w:cstheme="minorHAnsi"/>
          <w:sz w:val="22"/>
          <w:szCs w:val="22"/>
        </w:rPr>
        <w:t>.</w:t>
      </w:r>
    </w:p>
    <w:p w14:paraId="6B799FAA" w14:textId="77777777" w:rsidR="00165F88" w:rsidRDefault="00165F88" w:rsidP="00165F88">
      <w:pPr>
        <w:rPr>
          <w:rFonts w:asciiTheme="minorHAnsi" w:hAnsiTheme="minorHAnsi" w:cstheme="minorHAnsi"/>
          <w:sz w:val="22"/>
          <w:szCs w:val="22"/>
        </w:rPr>
      </w:pPr>
    </w:p>
    <w:p w14:paraId="3000756F" w14:textId="2C180C9F" w:rsidR="006259F1" w:rsidRDefault="006259F1" w:rsidP="00165F88"/>
    <w:p w14:paraId="278F8D74" w14:textId="77777777" w:rsidR="008524FF" w:rsidRDefault="008524FF" w:rsidP="00165F88"/>
    <w:p w14:paraId="2F0F3ABF" w14:textId="1BCCA0E1" w:rsidR="008524FF" w:rsidRDefault="002003E3" w:rsidP="00165F88">
      <w:r>
        <w:rPr>
          <w:noProof/>
        </w:rPr>
        <w:drawing>
          <wp:inline distT="0" distB="0" distL="0" distR="0" wp14:anchorId="19C94303" wp14:editId="7C8F92DB">
            <wp:extent cx="2450465" cy="702310"/>
            <wp:effectExtent l="0" t="0" r="6985" b="2540"/>
            <wp:docPr id="2" name="Picture 2" descr="Section 151 Offic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ction 151 Office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465" cy="702310"/>
                    </a:xfrm>
                    <a:prstGeom prst="rect">
                      <a:avLst/>
                    </a:prstGeom>
                    <a:noFill/>
                    <a:ln>
                      <a:noFill/>
                    </a:ln>
                  </pic:spPr>
                </pic:pic>
              </a:graphicData>
            </a:graphic>
          </wp:inline>
        </w:drawing>
      </w:r>
    </w:p>
    <w:p w14:paraId="153F8023" w14:textId="77777777" w:rsidR="008524FF" w:rsidRDefault="008524FF" w:rsidP="00165F88"/>
    <w:p w14:paraId="00D86470" w14:textId="77777777" w:rsidR="006259F1" w:rsidRDefault="006259F1" w:rsidP="006259F1">
      <w:pPr>
        <w:rPr>
          <w:rFonts w:asciiTheme="minorHAnsi" w:hAnsiTheme="minorHAnsi" w:cstheme="minorHAnsi"/>
          <w:sz w:val="22"/>
          <w:szCs w:val="22"/>
        </w:rPr>
      </w:pPr>
    </w:p>
    <w:p w14:paraId="3110ADF9" w14:textId="034E512D"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w:t>
      </w:r>
      <w:r w:rsidRPr="006259F1">
        <w:rPr>
          <w:rFonts w:asciiTheme="minorHAnsi" w:hAnsiTheme="minorHAnsi" w:cstheme="minorHAnsi"/>
          <w:sz w:val="22"/>
          <w:szCs w:val="22"/>
        </w:rPr>
        <w:tab/>
      </w:r>
      <w:r w:rsidRPr="006259F1">
        <w:rPr>
          <w:rFonts w:asciiTheme="minorHAnsi" w:hAnsiTheme="minorHAnsi" w:cstheme="minorHAnsi"/>
          <w:sz w:val="22"/>
          <w:szCs w:val="22"/>
        </w:rPr>
        <w:tab/>
      </w:r>
      <w:r w:rsidRPr="006259F1">
        <w:rPr>
          <w:rFonts w:asciiTheme="minorHAnsi" w:hAnsiTheme="minorHAnsi" w:cstheme="minorHAnsi"/>
          <w:sz w:val="22"/>
          <w:szCs w:val="22"/>
        </w:rPr>
        <w:tab/>
      </w:r>
      <w:r w:rsidRPr="006259F1">
        <w:rPr>
          <w:rFonts w:asciiTheme="minorHAnsi" w:hAnsiTheme="minorHAnsi" w:cstheme="minorHAnsi"/>
          <w:sz w:val="22"/>
          <w:szCs w:val="22"/>
        </w:rPr>
        <w:tab/>
        <w:t xml:space="preserve">Date: </w:t>
      </w:r>
      <w:r w:rsidR="00143878">
        <w:rPr>
          <w:rFonts w:asciiTheme="minorHAnsi" w:hAnsiTheme="minorHAnsi" w:cstheme="minorHAnsi"/>
          <w:sz w:val="22"/>
          <w:szCs w:val="22"/>
        </w:rPr>
        <w:t>31 May</w:t>
      </w:r>
      <w:r w:rsidR="00E93FEF">
        <w:rPr>
          <w:rFonts w:asciiTheme="minorHAnsi" w:hAnsiTheme="minorHAnsi" w:cstheme="minorHAnsi"/>
          <w:sz w:val="22"/>
          <w:szCs w:val="22"/>
        </w:rPr>
        <w:t xml:space="preserve"> 202</w:t>
      </w:r>
      <w:r w:rsidR="00143878">
        <w:rPr>
          <w:rFonts w:asciiTheme="minorHAnsi" w:hAnsiTheme="minorHAnsi" w:cstheme="minorHAnsi"/>
          <w:sz w:val="22"/>
          <w:szCs w:val="22"/>
        </w:rPr>
        <w:t>3</w:t>
      </w:r>
      <w:r w:rsidRPr="006259F1">
        <w:rPr>
          <w:rFonts w:asciiTheme="minorHAnsi" w:hAnsiTheme="minorHAnsi" w:cstheme="minorHAnsi"/>
          <w:sz w:val="22"/>
          <w:szCs w:val="22"/>
        </w:rPr>
        <w:t xml:space="preserve"> </w:t>
      </w:r>
    </w:p>
    <w:p w14:paraId="67EF07A4" w14:textId="77777777" w:rsidR="006259F1" w:rsidRPr="006259F1"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D K Garton CPFA</w:t>
      </w:r>
      <w:r w:rsidRPr="006259F1">
        <w:rPr>
          <w:rFonts w:asciiTheme="minorHAnsi" w:hAnsiTheme="minorHAnsi" w:cstheme="minorHAnsi"/>
          <w:sz w:val="22"/>
          <w:szCs w:val="22"/>
        </w:rPr>
        <w:tab/>
      </w:r>
      <w:r w:rsidRPr="006259F1">
        <w:rPr>
          <w:rFonts w:asciiTheme="minorHAnsi" w:hAnsiTheme="minorHAnsi" w:cstheme="minorHAnsi"/>
          <w:sz w:val="22"/>
          <w:szCs w:val="22"/>
        </w:rPr>
        <w:tab/>
      </w:r>
      <w:r w:rsidRPr="006259F1">
        <w:rPr>
          <w:rFonts w:asciiTheme="minorHAnsi" w:hAnsiTheme="minorHAnsi" w:cstheme="minorHAnsi"/>
          <w:sz w:val="22"/>
          <w:szCs w:val="22"/>
        </w:rPr>
        <w:tab/>
      </w:r>
      <w:r w:rsidRPr="006259F1">
        <w:rPr>
          <w:rFonts w:asciiTheme="minorHAnsi" w:hAnsiTheme="minorHAnsi" w:cstheme="minorHAnsi"/>
          <w:sz w:val="22"/>
          <w:szCs w:val="22"/>
        </w:rPr>
        <w:tab/>
      </w:r>
      <w:r w:rsidRPr="006259F1">
        <w:rPr>
          <w:rFonts w:asciiTheme="minorHAnsi" w:hAnsiTheme="minorHAnsi" w:cstheme="minorHAnsi"/>
          <w:sz w:val="22"/>
          <w:szCs w:val="22"/>
        </w:rPr>
        <w:tab/>
      </w:r>
    </w:p>
    <w:p w14:paraId="0D1B6081" w14:textId="77777777" w:rsidR="0042795C" w:rsidRDefault="006259F1" w:rsidP="006259F1">
      <w:pPr>
        <w:rPr>
          <w:rFonts w:asciiTheme="minorHAnsi" w:hAnsiTheme="minorHAnsi" w:cstheme="minorHAnsi"/>
          <w:sz w:val="22"/>
          <w:szCs w:val="22"/>
        </w:rPr>
      </w:pPr>
      <w:r w:rsidRPr="006259F1">
        <w:rPr>
          <w:rFonts w:asciiTheme="minorHAnsi" w:hAnsiTheme="minorHAnsi" w:cstheme="minorHAnsi"/>
          <w:sz w:val="22"/>
          <w:szCs w:val="22"/>
        </w:rPr>
        <w:t>Section 151 Officer</w:t>
      </w:r>
    </w:p>
    <w:p w14:paraId="5AB4FBF6" w14:textId="77777777" w:rsidR="0042795C" w:rsidRDefault="0042795C" w:rsidP="006259F1">
      <w:pPr>
        <w:rPr>
          <w:rFonts w:asciiTheme="minorHAnsi" w:hAnsiTheme="minorHAnsi" w:cstheme="minorHAnsi"/>
          <w:sz w:val="22"/>
          <w:szCs w:val="22"/>
        </w:rPr>
      </w:pPr>
    </w:p>
    <w:p w14:paraId="62D4424A" w14:textId="77834B16" w:rsidR="00E93FEF" w:rsidRDefault="00E93FEF" w:rsidP="00704A70">
      <w:pPr>
        <w:pStyle w:val="Heading1"/>
      </w:pPr>
    </w:p>
    <w:p w14:paraId="2FDC78D7" w14:textId="3814ADB1" w:rsidR="00143878" w:rsidRDefault="00143878" w:rsidP="00143878"/>
    <w:p w14:paraId="0C583420" w14:textId="77777777" w:rsidR="00143878" w:rsidRPr="00143878" w:rsidRDefault="00143878" w:rsidP="00143878"/>
    <w:p w14:paraId="07D0FCEA" w14:textId="5FD69172" w:rsidR="00E93FEF" w:rsidRDefault="00E93FEF" w:rsidP="00704A70">
      <w:pPr>
        <w:pStyle w:val="Heading1"/>
      </w:pPr>
    </w:p>
    <w:p w14:paraId="4596A552" w14:textId="3F510BA3" w:rsidR="00E93FEF" w:rsidRDefault="00E93FEF" w:rsidP="00E93FEF"/>
    <w:p w14:paraId="233845AE" w14:textId="40D5F968" w:rsidR="00E93FEF" w:rsidRDefault="00E93FEF" w:rsidP="00E93FEF"/>
    <w:p w14:paraId="6BCDD269" w14:textId="520DF8DC" w:rsidR="00E93FEF" w:rsidRDefault="00E93FEF" w:rsidP="00E93FEF"/>
    <w:p w14:paraId="6961E8E1" w14:textId="6C2FEDE1" w:rsidR="00E93FEF" w:rsidRDefault="00E93FEF" w:rsidP="00E93FEF"/>
    <w:p w14:paraId="2D097A44" w14:textId="22B74778" w:rsidR="00171169" w:rsidRPr="00DE518E" w:rsidRDefault="00171169" w:rsidP="00704A70">
      <w:pPr>
        <w:pStyle w:val="Heading1"/>
        <w:rPr>
          <w:rFonts w:ascii="Arial" w:hAnsi="Arial"/>
        </w:rPr>
      </w:pPr>
      <w:r>
        <w:lastRenderedPageBreak/>
        <w:t xml:space="preserve">Comprehensive Income </w:t>
      </w:r>
      <w:r w:rsidR="00704A70">
        <w:t>and</w:t>
      </w:r>
      <w:r>
        <w:t xml:space="preserve"> Expenditure Statement for the Year Ended 31 March 20</w:t>
      </w:r>
      <w:r w:rsidR="00E8625F">
        <w:t>2</w:t>
      </w:r>
      <w:r w:rsidR="00143878">
        <w:t>3</w:t>
      </w:r>
    </w:p>
    <w:p w14:paraId="5FA44144" w14:textId="77777777" w:rsidR="00171169" w:rsidRPr="004C6DC4" w:rsidRDefault="00171169" w:rsidP="00171169">
      <w:pPr>
        <w:widowControl w:val="0"/>
        <w:jc w:val="both"/>
        <w:rPr>
          <w:rFonts w:ascii="Arial" w:hAnsi="Arial" w:cs="Arial"/>
          <w:bCs/>
        </w:rPr>
      </w:pPr>
    </w:p>
    <w:p w14:paraId="3B68C13E" w14:textId="68EBCAA7" w:rsidR="00171169" w:rsidRPr="00171169" w:rsidRDefault="00226F9B" w:rsidP="00171169">
      <w:pPr>
        <w:widowControl w:val="0"/>
        <w:jc w:val="both"/>
        <w:rPr>
          <w:rFonts w:asciiTheme="minorHAnsi" w:hAnsiTheme="minorHAnsi" w:cs="Arial"/>
          <w:bCs/>
          <w:sz w:val="22"/>
          <w:szCs w:val="22"/>
        </w:rPr>
      </w:pPr>
      <w:r>
        <w:rPr>
          <w:rFonts w:asciiTheme="minorHAnsi" w:hAnsiTheme="minorHAnsi" w:cs="Arial"/>
          <w:bCs/>
          <w:sz w:val="22"/>
          <w:szCs w:val="22"/>
        </w:rPr>
        <w:t xml:space="preserve">The Comprehensive Income </w:t>
      </w:r>
      <w:r w:rsidR="00704A70">
        <w:rPr>
          <w:rFonts w:asciiTheme="minorHAnsi" w:hAnsiTheme="minorHAnsi" w:cs="Arial"/>
          <w:bCs/>
          <w:sz w:val="22"/>
          <w:szCs w:val="22"/>
        </w:rPr>
        <w:t>and</w:t>
      </w:r>
      <w:r>
        <w:rPr>
          <w:rFonts w:asciiTheme="minorHAnsi" w:hAnsiTheme="minorHAnsi" w:cs="Arial"/>
          <w:bCs/>
          <w:sz w:val="22"/>
          <w:szCs w:val="22"/>
        </w:rPr>
        <w:t xml:space="preserve"> Expenditure</w:t>
      </w:r>
      <w:r w:rsidR="00171169" w:rsidRPr="00171169">
        <w:rPr>
          <w:rFonts w:asciiTheme="minorHAnsi" w:hAnsiTheme="minorHAnsi" w:cs="Arial"/>
          <w:bCs/>
          <w:sz w:val="22"/>
          <w:szCs w:val="22"/>
        </w:rPr>
        <w:t xml:space="preserve"> statement shows the accounting cost in the year </w:t>
      </w:r>
      <w:r w:rsidR="00345F9B">
        <w:rPr>
          <w:rFonts w:asciiTheme="minorHAnsi" w:hAnsiTheme="minorHAnsi" w:cs="Arial"/>
          <w:bCs/>
          <w:sz w:val="22"/>
          <w:szCs w:val="22"/>
        </w:rPr>
        <w:t>of</w:t>
      </w:r>
      <w:r w:rsidR="00171169" w:rsidRPr="00171169">
        <w:rPr>
          <w:rFonts w:asciiTheme="minorHAnsi" w:hAnsiTheme="minorHAnsi" w:cs="Arial"/>
          <w:bCs/>
          <w:sz w:val="22"/>
          <w:szCs w:val="22"/>
        </w:rPr>
        <w:t xml:space="preserve"> providing services in accordance with generally accepted accounting practices, rather than the amount to be funded from taxation</w:t>
      </w:r>
      <w:r w:rsidR="00345F9B">
        <w:rPr>
          <w:rFonts w:asciiTheme="minorHAnsi" w:hAnsiTheme="minorHAnsi" w:cs="Arial"/>
          <w:bCs/>
          <w:sz w:val="22"/>
          <w:szCs w:val="22"/>
        </w:rPr>
        <w:t xml:space="preserve"> or rents</w:t>
      </w:r>
      <w:r w:rsidR="00171169" w:rsidRPr="00171169">
        <w:rPr>
          <w:rFonts w:asciiTheme="minorHAnsi" w:hAnsiTheme="minorHAnsi" w:cs="Arial"/>
          <w:bCs/>
          <w:sz w:val="22"/>
          <w:szCs w:val="22"/>
        </w:rPr>
        <w:t>.  Authorities raise taxation</w:t>
      </w:r>
      <w:r w:rsidR="00345F9B">
        <w:rPr>
          <w:rFonts w:asciiTheme="minorHAnsi" w:hAnsiTheme="minorHAnsi" w:cs="Arial"/>
          <w:bCs/>
          <w:sz w:val="22"/>
          <w:szCs w:val="22"/>
        </w:rPr>
        <w:t xml:space="preserve"> and rents</w:t>
      </w:r>
      <w:r w:rsidR="00171169" w:rsidRPr="00171169">
        <w:rPr>
          <w:rFonts w:asciiTheme="minorHAnsi" w:hAnsiTheme="minorHAnsi" w:cs="Arial"/>
          <w:bCs/>
          <w:sz w:val="22"/>
          <w:szCs w:val="22"/>
        </w:rPr>
        <w:t xml:space="preserve"> to cover </w:t>
      </w:r>
      <w:r w:rsidR="00345F9B">
        <w:rPr>
          <w:rFonts w:asciiTheme="minorHAnsi" w:hAnsiTheme="minorHAnsi" w:cs="Arial"/>
          <w:bCs/>
          <w:sz w:val="22"/>
          <w:szCs w:val="22"/>
        </w:rPr>
        <w:t>expenditure in accordance with statutory requirements</w:t>
      </w:r>
      <w:r w:rsidR="00171169" w:rsidRPr="00171169">
        <w:rPr>
          <w:rFonts w:asciiTheme="minorHAnsi" w:hAnsiTheme="minorHAnsi" w:cs="Arial"/>
          <w:bCs/>
          <w:sz w:val="22"/>
          <w:szCs w:val="22"/>
        </w:rPr>
        <w:t>; this may be different from the accounting cost.  The taxation position is shown in</w:t>
      </w:r>
      <w:r w:rsidR="00345F9B">
        <w:rPr>
          <w:rFonts w:asciiTheme="minorHAnsi" w:hAnsiTheme="minorHAnsi" w:cs="Arial"/>
          <w:bCs/>
          <w:sz w:val="22"/>
          <w:szCs w:val="22"/>
        </w:rPr>
        <w:t xml:space="preserve"> both the Expenditure </w:t>
      </w:r>
      <w:r w:rsidR="00704A70">
        <w:rPr>
          <w:rFonts w:asciiTheme="minorHAnsi" w:hAnsiTheme="minorHAnsi" w:cs="Arial"/>
          <w:bCs/>
          <w:sz w:val="22"/>
          <w:szCs w:val="22"/>
        </w:rPr>
        <w:t>and</w:t>
      </w:r>
      <w:r w:rsidR="00345F9B">
        <w:rPr>
          <w:rFonts w:asciiTheme="minorHAnsi" w:hAnsiTheme="minorHAnsi" w:cs="Arial"/>
          <w:bCs/>
          <w:sz w:val="22"/>
          <w:szCs w:val="22"/>
        </w:rPr>
        <w:t xml:space="preserve"> Funding Analysis and </w:t>
      </w:r>
      <w:r w:rsidR="00171169" w:rsidRPr="00171169">
        <w:rPr>
          <w:rFonts w:asciiTheme="minorHAnsi" w:hAnsiTheme="minorHAnsi" w:cs="Arial"/>
          <w:bCs/>
          <w:sz w:val="22"/>
          <w:szCs w:val="22"/>
        </w:rPr>
        <w:t>the Movement in Reserves Statement.</w:t>
      </w:r>
    </w:p>
    <w:p w14:paraId="3CCA44CF" w14:textId="77777777" w:rsidR="00171169" w:rsidRDefault="00171169">
      <w:pPr>
        <w:rPr>
          <w:rFonts w:asciiTheme="minorHAnsi" w:hAnsiTheme="minorHAnsi" w:cs="Arial"/>
          <w:b/>
          <w:sz w:val="28"/>
          <w:szCs w:val="28"/>
        </w:rPr>
      </w:pPr>
    </w:p>
    <w:tbl>
      <w:tblPr>
        <w:tblW w:w="10661" w:type="dxa"/>
        <w:tblInd w:w="-34" w:type="dxa"/>
        <w:tblLook w:val="04A0" w:firstRow="1" w:lastRow="0" w:firstColumn="1" w:lastColumn="0" w:noHBand="0" w:noVBand="1"/>
        <w:tblCaption w:val="Comprehensive Income and Expenditure Statement for year ending 31 March 2023"/>
        <w:tblDescription w:val="Comprehensive Income and Expenditure Statement for year ending 31 March 2023 also showing the previous years comparisons"/>
      </w:tblPr>
      <w:tblGrid>
        <w:gridCol w:w="902"/>
        <w:gridCol w:w="941"/>
        <w:gridCol w:w="851"/>
        <w:gridCol w:w="4734"/>
        <w:gridCol w:w="473"/>
        <w:gridCol w:w="888"/>
        <w:gridCol w:w="992"/>
        <w:gridCol w:w="880"/>
      </w:tblGrid>
      <w:tr w:rsidR="004A735C" w:rsidRPr="00171169" w14:paraId="3930C9CD" w14:textId="77777777" w:rsidTr="0093059F">
        <w:trPr>
          <w:cantSplit/>
          <w:trHeight w:val="255"/>
          <w:tblHeader/>
        </w:trPr>
        <w:tc>
          <w:tcPr>
            <w:tcW w:w="902" w:type="dxa"/>
            <w:tcBorders>
              <w:top w:val="single" w:sz="4" w:space="0" w:color="FFFFFF"/>
              <w:left w:val="single" w:sz="4" w:space="0" w:color="FFFFFF"/>
              <w:bottom w:val="single" w:sz="4" w:space="0" w:color="FFFFFF"/>
            </w:tcBorders>
            <w:shd w:val="clear" w:color="000000" w:fill="C4D79B"/>
            <w:noWrap/>
            <w:vAlign w:val="bottom"/>
            <w:hideMark/>
          </w:tcPr>
          <w:p w14:paraId="090E1DB4" w14:textId="08A271D9" w:rsidR="004A735C" w:rsidRPr="00171169" w:rsidRDefault="004A735C" w:rsidP="00E8625F">
            <w:pPr>
              <w:jc w:val="center"/>
              <w:rPr>
                <w:rFonts w:ascii="Calibri" w:hAnsi="Calibri"/>
                <w:color w:val="000000"/>
                <w:lang w:eastAsia="en-GB"/>
              </w:rPr>
            </w:pPr>
          </w:p>
        </w:tc>
        <w:tc>
          <w:tcPr>
            <w:tcW w:w="941" w:type="dxa"/>
            <w:tcBorders>
              <w:top w:val="single" w:sz="4" w:space="0" w:color="FFFFFF" w:themeColor="background1"/>
              <w:bottom w:val="single" w:sz="4" w:space="0" w:color="FFFFFF" w:themeColor="background1"/>
            </w:tcBorders>
            <w:shd w:val="clear" w:color="000000" w:fill="C4D79B"/>
            <w:vAlign w:val="bottom"/>
          </w:tcPr>
          <w:p w14:paraId="7D963F27" w14:textId="3823926A" w:rsidR="004A735C" w:rsidRPr="00171169" w:rsidRDefault="004A735C" w:rsidP="00E8625F">
            <w:pPr>
              <w:jc w:val="center"/>
              <w:rPr>
                <w:rFonts w:ascii="Calibri" w:hAnsi="Calibri"/>
                <w:color w:val="000000"/>
                <w:lang w:eastAsia="en-GB"/>
              </w:rPr>
            </w:pPr>
            <w:r>
              <w:rPr>
                <w:rFonts w:ascii="Calibri" w:hAnsi="Calibri"/>
                <w:color w:val="000000"/>
                <w:lang w:eastAsia="en-GB"/>
              </w:rPr>
              <w:t>20</w:t>
            </w:r>
            <w:r w:rsidR="00E93FEF">
              <w:rPr>
                <w:rFonts w:ascii="Calibri" w:hAnsi="Calibri"/>
                <w:color w:val="000000"/>
                <w:lang w:eastAsia="en-GB"/>
              </w:rPr>
              <w:t>2</w:t>
            </w:r>
            <w:r w:rsidR="00143878">
              <w:rPr>
                <w:rFonts w:ascii="Calibri" w:hAnsi="Calibri"/>
                <w:color w:val="000000"/>
                <w:lang w:eastAsia="en-GB"/>
              </w:rPr>
              <w:t>1</w:t>
            </w:r>
            <w:r>
              <w:rPr>
                <w:rFonts w:ascii="Calibri" w:hAnsi="Calibri"/>
                <w:color w:val="000000"/>
                <w:lang w:eastAsia="en-GB"/>
              </w:rPr>
              <w:t>-2</w:t>
            </w:r>
            <w:r w:rsidR="00143878">
              <w:rPr>
                <w:rFonts w:ascii="Calibri" w:hAnsi="Calibri"/>
                <w:color w:val="000000"/>
                <w:lang w:eastAsia="en-GB"/>
              </w:rPr>
              <w:t>2</w:t>
            </w:r>
          </w:p>
        </w:tc>
        <w:tc>
          <w:tcPr>
            <w:tcW w:w="851" w:type="dxa"/>
            <w:tcBorders>
              <w:top w:val="single" w:sz="4" w:space="0" w:color="FFFFFF"/>
              <w:left w:val="nil"/>
              <w:bottom w:val="single" w:sz="4" w:space="0" w:color="FFFFFF"/>
              <w:right w:val="single" w:sz="4" w:space="0" w:color="FFFFFF"/>
            </w:tcBorders>
            <w:shd w:val="clear" w:color="000000" w:fill="C4D79B"/>
            <w:vAlign w:val="bottom"/>
          </w:tcPr>
          <w:p w14:paraId="36BE9882" w14:textId="5853270E" w:rsidR="004A735C" w:rsidRPr="00171169" w:rsidRDefault="004A735C" w:rsidP="00E8625F">
            <w:pPr>
              <w:jc w:val="center"/>
              <w:rPr>
                <w:rFonts w:ascii="Calibri" w:hAnsi="Calibri"/>
                <w:color w:val="000000"/>
                <w:lang w:eastAsia="en-GB"/>
              </w:rPr>
            </w:pPr>
          </w:p>
        </w:tc>
        <w:tc>
          <w:tcPr>
            <w:tcW w:w="4734" w:type="dxa"/>
            <w:tcBorders>
              <w:top w:val="single" w:sz="4" w:space="0" w:color="FFFFFF" w:themeColor="background1"/>
              <w:left w:val="nil"/>
              <w:bottom w:val="nil"/>
              <w:right w:val="nil"/>
            </w:tcBorders>
            <w:shd w:val="clear" w:color="000000" w:fill="C4D79B"/>
            <w:noWrap/>
            <w:vAlign w:val="bottom"/>
            <w:hideMark/>
          </w:tcPr>
          <w:p w14:paraId="48ED8EDD" w14:textId="77777777" w:rsidR="004A735C" w:rsidRPr="00171169" w:rsidRDefault="004A735C" w:rsidP="00171169">
            <w:pPr>
              <w:rPr>
                <w:rFonts w:ascii="Calibri" w:hAnsi="Calibri"/>
                <w:color w:val="000000"/>
                <w:lang w:eastAsia="en-GB"/>
              </w:rPr>
            </w:pPr>
            <w:r w:rsidRPr="00171169">
              <w:rPr>
                <w:rFonts w:ascii="Calibri" w:hAnsi="Calibri"/>
                <w:color w:val="000000"/>
                <w:lang w:eastAsia="en-GB"/>
              </w:rPr>
              <w:t> </w:t>
            </w:r>
          </w:p>
        </w:tc>
        <w:tc>
          <w:tcPr>
            <w:tcW w:w="473" w:type="dxa"/>
            <w:tcBorders>
              <w:top w:val="single" w:sz="4" w:space="0" w:color="FFFFFF"/>
              <w:left w:val="single" w:sz="4" w:space="0" w:color="FFFFFF"/>
              <w:bottom w:val="nil"/>
              <w:right w:val="single" w:sz="4" w:space="0" w:color="FFFFFF"/>
            </w:tcBorders>
            <w:shd w:val="clear" w:color="000000" w:fill="C4D79B"/>
            <w:noWrap/>
            <w:vAlign w:val="bottom"/>
            <w:hideMark/>
          </w:tcPr>
          <w:p w14:paraId="5C8E93BE" w14:textId="77777777" w:rsidR="004A735C" w:rsidRPr="00171169" w:rsidRDefault="004A735C" w:rsidP="00171169">
            <w:pPr>
              <w:rPr>
                <w:rFonts w:ascii="Calibri" w:hAnsi="Calibri"/>
                <w:color w:val="000000"/>
                <w:lang w:eastAsia="en-GB"/>
              </w:rPr>
            </w:pPr>
            <w:r w:rsidRPr="00171169">
              <w:rPr>
                <w:rFonts w:ascii="Calibri" w:hAnsi="Calibri"/>
                <w:color w:val="000000"/>
                <w:lang w:eastAsia="en-GB"/>
              </w:rPr>
              <w:t> </w:t>
            </w:r>
          </w:p>
        </w:tc>
        <w:tc>
          <w:tcPr>
            <w:tcW w:w="888" w:type="dxa"/>
            <w:tcBorders>
              <w:top w:val="single" w:sz="4" w:space="0" w:color="FFFFFF"/>
              <w:left w:val="nil"/>
              <w:bottom w:val="single" w:sz="4" w:space="0" w:color="FFFFFF"/>
            </w:tcBorders>
            <w:shd w:val="clear" w:color="000000" w:fill="C4D79B"/>
            <w:noWrap/>
            <w:vAlign w:val="bottom"/>
            <w:hideMark/>
          </w:tcPr>
          <w:p w14:paraId="4A80FCA1" w14:textId="1A30E1E3" w:rsidR="004A735C" w:rsidRPr="00171169" w:rsidRDefault="004A735C" w:rsidP="00761556">
            <w:pPr>
              <w:jc w:val="center"/>
              <w:rPr>
                <w:rFonts w:ascii="Calibri" w:hAnsi="Calibri"/>
                <w:color w:val="000000"/>
                <w:lang w:eastAsia="en-GB"/>
              </w:rPr>
            </w:pPr>
          </w:p>
        </w:tc>
        <w:tc>
          <w:tcPr>
            <w:tcW w:w="992" w:type="dxa"/>
            <w:tcBorders>
              <w:top w:val="single" w:sz="4" w:space="0" w:color="FFFFFF" w:themeColor="background1"/>
              <w:bottom w:val="single" w:sz="4" w:space="0" w:color="FFFFFF" w:themeColor="background1"/>
            </w:tcBorders>
            <w:shd w:val="clear" w:color="000000" w:fill="C4D79B"/>
            <w:vAlign w:val="bottom"/>
          </w:tcPr>
          <w:p w14:paraId="51687A57" w14:textId="11FF9B45" w:rsidR="004A735C" w:rsidRPr="00171169" w:rsidRDefault="004A735C" w:rsidP="00761556">
            <w:pPr>
              <w:jc w:val="center"/>
              <w:rPr>
                <w:rFonts w:ascii="Calibri" w:hAnsi="Calibri"/>
                <w:color w:val="000000"/>
                <w:lang w:eastAsia="en-GB"/>
              </w:rPr>
            </w:pPr>
            <w:r w:rsidRPr="00171169">
              <w:rPr>
                <w:rFonts w:ascii="Calibri" w:hAnsi="Calibri"/>
                <w:color w:val="000000"/>
                <w:lang w:eastAsia="en-GB"/>
              </w:rPr>
              <w:t>20</w:t>
            </w:r>
            <w:r>
              <w:rPr>
                <w:rFonts w:ascii="Calibri" w:hAnsi="Calibri"/>
                <w:color w:val="000000"/>
                <w:lang w:eastAsia="en-GB"/>
              </w:rPr>
              <w:t>2</w:t>
            </w:r>
            <w:r w:rsidR="00143878">
              <w:rPr>
                <w:rFonts w:ascii="Calibri" w:hAnsi="Calibri"/>
                <w:color w:val="000000"/>
                <w:lang w:eastAsia="en-GB"/>
              </w:rPr>
              <w:t>2</w:t>
            </w:r>
            <w:r w:rsidRPr="00171169">
              <w:rPr>
                <w:rFonts w:ascii="Calibri" w:hAnsi="Calibri"/>
                <w:color w:val="000000"/>
                <w:lang w:eastAsia="en-GB"/>
              </w:rPr>
              <w:t>-</w:t>
            </w:r>
            <w:r>
              <w:rPr>
                <w:rFonts w:ascii="Calibri" w:hAnsi="Calibri"/>
                <w:color w:val="000000"/>
                <w:lang w:eastAsia="en-GB"/>
              </w:rPr>
              <w:t>2</w:t>
            </w:r>
            <w:r w:rsidR="00143878">
              <w:rPr>
                <w:rFonts w:ascii="Calibri" w:hAnsi="Calibri"/>
                <w:color w:val="000000"/>
                <w:lang w:eastAsia="en-GB"/>
              </w:rPr>
              <w:t>3</w:t>
            </w:r>
          </w:p>
        </w:tc>
        <w:tc>
          <w:tcPr>
            <w:tcW w:w="880" w:type="dxa"/>
            <w:tcBorders>
              <w:top w:val="single" w:sz="4" w:space="0" w:color="FFFFFF"/>
              <w:left w:val="nil"/>
              <w:bottom w:val="single" w:sz="4" w:space="0" w:color="FFFFFF"/>
              <w:right w:val="single" w:sz="4" w:space="0" w:color="FFFFFF"/>
            </w:tcBorders>
            <w:shd w:val="clear" w:color="000000" w:fill="C4D79B"/>
            <w:vAlign w:val="bottom"/>
          </w:tcPr>
          <w:p w14:paraId="64C6C998" w14:textId="7608CBD7" w:rsidR="004A735C" w:rsidRPr="00171169" w:rsidRDefault="004A735C" w:rsidP="00761556">
            <w:pPr>
              <w:jc w:val="center"/>
              <w:rPr>
                <w:rFonts w:ascii="Calibri" w:hAnsi="Calibri"/>
                <w:color w:val="000000"/>
                <w:lang w:eastAsia="en-GB"/>
              </w:rPr>
            </w:pPr>
          </w:p>
        </w:tc>
      </w:tr>
      <w:tr w:rsidR="00171169" w:rsidRPr="00171169" w14:paraId="5635A0F9" w14:textId="77777777" w:rsidTr="0093059F">
        <w:trPr>
          <w:cantSplit/>
          <w:trHeight w:val="1134"/>
        </w:trPr>
        <w:tc>
          <w:tcPr>
            <w:tcW w:w="902" w:type="dxa"/>
            <w:tcBorders>
              <w:top w:val="nil"/>
              <w:left w:val="single" w:sz="4" w:space="0" w:color="FFFFFF"/>
              <w:bottom w:val="single" w:sz="4" w:space="0" w:color="FFFFFF"/>
              <w:right w:val="single" w:sz="4" w:space="0" w:color="FFFFFF"/>
            </w:tcBorders>
            <w:shd w:val="clear" w:color="000000" w:fill="C4D79B"/>
            <w:textDirection w:val="btLr"/>
            <w:vAlign w:val="bottom"/>
            <w:hideMark/>
          </w:tcPr>
          <w:p w14:paraId="1FBA816F"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Gross</w:t>
            </w:r>
            <w:r w:rsidRPr="00171169">
              <w:rPr>
                <w:rFonts w:ascii="Calibri" w:hAnsi="Calibri"/>
                <w:color w:val="000000"/>
                <w:lang w:eastAsia="en-GB"/>
              </w:rPr>
              <w:br/>
              <w:t>Expenditure</w:t>
            </w:r>
          </w:p>
        </w:tc>
        <w:tc>
          <w:tcPr>
            <w:tcW w:w="941" w:type="dxa"/>
            <w:tcBorders>
              <w:top w:val="single" w:sz="4" w:space="0" w:color="FFFFFF" w:themeColor="background1"/>
              <w:left w:val="nil"/>
              <w:bottom w:val="single" w:sz="4" w:space="0" w:color="FFFFFF"/>
              <w:right w:val="single" w:sz="4" w:space="0" w:color="FFFFFF"/>
            </w:tcBorders>
            <w:shd w:val="clear" w:color="000000" w:fill="C4D79B"/>
            <w:textDirection w:val="btLr"/>
            <w:vAlign w:val="bottom"/>
            <w:hideMark/>
          </w:tcPr>
          <w:p w14:paraId="51044F7F"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Gross</w:t>
            </w:r>
            <w:r w:rsidRPr="00171169">
              <w:rPr>
                <w:rFonts w:ascii="Calibri" w:hAnsi="Calibri"/>
                <w:color w:val="000000"/>
                <w:lang w:eastAsia="en-GB"/>
              </w:rPr>
              <w:br/>
              <w:t>Income</w:t>
            </w:r>
          </w:p>
        </w:tc>
        <w:tc>
          <w:tcPr>
            <w:tcW w:w="851" w:type="dxa"/>
            <w:tcBorders>
              <w:top w:val="nil"/>
              <w:left w:val="nil"/>
              <w:bottom w:val="single" w:sz="4" w:space="0" w:color="FFFFFF"/>
              <w:right w:val="single" w:sz="4" w:space="0" w:color="FFFFFF"/>
            </w:tcBorders>
            <w:shd w:val="clear" w:color="000000" w:fill="C4D79B"/>
            <w:textDirection w:val="btLr"/>
            <w:vAlign w:val="bottom"/>
            <w:hideMark/>
          </w:tcPr>
          <w:p w14:paraId="2D6AA29D"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Net</w:t>
            </w:r>
            <w:r w:rsidRPr="00171169">
              <w:rPr>
                <w:rFonts w:ascii="Calibri" w:hAnsi="Calibri"/>
                <w:color w:val="000000"/>
                <w:lang w:eastAsia="en-GB"/>
              </w:rPr>
              <w:br/>
              <w:t>Expenditure</w:t>
            </w:r>
          </w:p>
        </w:tc>
        <w:tc>
          <w:tcPr>
            <w:tcW w:w="4734" w:type="dxa"/>
            <w:tcBorders>
              <w:top w:val="nil"/>
              <w:left w:val="nil"/>
              <w:bottom w:val="nil"/>
              <w:right w:val="nil"/>
            </w:tcBorders>
            <w:shd w:val="clear" w:color="000000" w:fill="C4D79B"/>
            <w:noWrap/>
            <w:textDirection w:val="btLr"/>
            <w:vAlign w:val="bottom"/>
          </w:tcPr>
          <w:p w14:paraId="6EED34F4" w14:textId="0A290825" w:rsidR="00171169" w:rsidRPr="00171169" w:rsidRDefault="00171169" w:rsidP="004E213E">
            <w:pPr>
              <w:ind w:right="113"/>
              <w:rPr>
                <w:rFonts w:ascii="Calibri" w:hAnsi="Calibri"/>
                <w:color w:val="000000"/>
                <w:lang w:eastAsia="en-GB"/>
              </w:rPr>
            </w:pPr>
          </w:p>
        </w:tc>
        <w:tc>
          <w:tcPr>
            <w:tcW w:w="473" w:type="dxa"/>
            <w:tcBorders>
              <w:top w:val="nil"/>
              <w:left w:val="single" w:sz="4" w:space="0" w:color="FFFFFF"/>
              <w:bottom w:val="nil"/>
              <w:right w:val="single" w:sz="4" w:space="0" w:color="FFFFFF"/>
            </w:tcBorders>
            <w:shd w:val="clear" w:color="000000" w:fill="C4D79B"/>
            <w:textDirection w:val="btLr"/>
            <w:vAlign w:val="bottom"/>
            <w:hideMark/>
          </w:tcPr>
          <w:p w14:paraId="1D155F44"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Note</w:t>
            </w:r>
          </w:p>
        </w:tc>
        <w:tc>
          <w:tcPr>
            <w:tcW w:w="888" w:type="dxa"/>
            <w:tcBorders>
              <w:top w:val="nil"/>
              <w:left w:val="nil"/>
              <w:bottom w:val="single" w:sz="4" w:space="0" w:color="FFFFFF"/>
              <w:right w:val="single" w:sz="4" w:space="0" w:color="FFFFFF"/>
            </w:tcBorders>
            <w:shd w:val="clear" w:color="000000" w:fill="C4D79B"/>
            <w:textDirection w:val="btLr"/>
            <w:vAlign w:val="bottom"/>
            <w:hideMark/>
          </w:tcPr>
          <w:p w14:paraId="57F47976"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Gross</w:t>
            </w:r>
            <w:r w:rsidRPr="00171169">
              <w:rPr>
                <w:rFonts w:ascii="Calibri" w:hAnsi="Calibri"/>
                <w:color w:val="000000"/>
                <w:lang w:eastAsia="en-GB"/>
              </w:rPr>
              <w:br/>
              <w:t>Expenditure</w:t>
            </w:r>
          </w:p>
        </w:tc>
        <w:tc>
          <w:tcPr>
            <w:tcW w:w="992" w:type="dxa"/>
            <w:tcBorders>
              <w:top w:val="single" w:sz="4" w:space="0" w:color="FFFFFF" w:themeColor="background1"/>
              <w:left w:val="nil"/>
              <w:bottom w:val="single" w:sz="4" w:space="0" w:color="FFFFFF"/>
              <w:right w:val="single" w:sz="4" w:space="0" w:color="FFFFFF"/>
            </w:tcBorders>
            <w:shd w:val="clear" w:color="000000" w:fill="C4D79B"/>
            <w:textDirection w:val="btLr"/>
            <w:vAlign w:val="bottom"/>
            <w:hideMark/>
          </w:tcPr>
          <w:p w14:paraId="58E481D3"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Gross</w:t>
            </w:r>
            <w:r w:rsidRPr="00171169">
              <w:rPr>
                <w:rFonts w:ascii="Calibri" w:hAnsi="Calibri"/>
                <w:color w:val="000000"/>
                <w:lang w:eastAsia="en-GB"/>
              </w:rPr>
              <w:br/>
              <w:t>Income</w:t>
            </w:r>
          </w:p>
        </w:tc>
        <w:tc>
          <w:tcPr>
            <w:tcW w:w="880" w:type="dxa"/>
            <w:tcBorders>
              <w:top w:val="nil"/>
              <w:left w:val="nil"/>
              <w:bottom w:val="single" w:sz="4" w:space="0" w:color="FFFFFF"/>
              <w:right w:val="single" w:sz="4" w:space="0" w:color="FFFFFF"/>
            </w:tcBorders>
            <w:shd w:val="clear" w:color="000000" w:fill="C4D79B"/>
            <w:textDirection w:val="btLr"/>
            <w:vAlign w:val="bottom"/>
            <w:hideMark/>
          </w:tcPr>
          <w:p w14:paraId="51557350"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Net</w:t>
            </w:r>
            <w:r w:rsidRPr="00171169">
              <w:rPr>
                <w:rFonts w:ascii="Calibri" w:hAnsi="Calibri"/>
                <w:color w:val="000000"/>
                <w:lang w:eastAsia="en-GB"/>
              </w:rPr>
              <w:br/>
              <w:t>Expenditure</w:t>
            </w:r>
          </w:p>
        </w:tc>
      </w:tr>
      <w:tr w:rsidR="00171169" w:rsidRPr="00171169" w14:paraId="02C065FC" w14:textId="77777777" w:rsidTr="0093059F">
        <w:trPr>
          <w:trHeight w:val="255"/>
        </w:trPr>
        <w:tc>
          <w:tcPr>
            <w:tcW w:w="902" w:type="dxa"/>
            <w:tcBorders>
              <w:top w:val="nil"/>
              <w:left w:val="single" w:sz="4" w:space="0" w:color="FFFFFF"/>
              <w:bottom w:val="nil"/>
              <w:right w:val="single" w:sz="4" w:space="0" w:color="FFFFFF"/>
            </w:tcBorders>
            <w:shd w:val="clear" w:color="000000" w:fill="C4D79B"/>
            <w:noWrap/>
            <w:vAlign w:val="bottom"/>
            <w:hideMark/>
          </w:tcPr>
          <w:p w14:paraId="626D5349" w14:textId="77777777" w:rsidR="00171169" w:rsidRPr="00171169" w:rsidRDefault="00171169" w:rsidP="006C2A5C">
            <w:pPr>
              <w:jc w:val="right"/>
              <w:rPr>
                <w:rFonts w:ascii="Calibri" w:hAnsi="Calibri"/>
                <w:color w:val="000000"/>
                <w:lang w:eastAsia="en-GB"/>
              </w:rPr>
            </w:pPr>
            <w:r w:rsidRPr="00171169">
              <w:rPr>
                <w:rFonts w:ascii="Calibri" w:hAnsi="Calibri"/>
                <w:color w:val="000000"/>
                <w:lang w:eastAsia="en-GB"/>
              </w:rPr>
              <w:t>£'000</w:t>
            </w:r>
          </w:p>
        </w:tc>
        <w:tc>
          <w:tcPr>
            <w:tcW w:w="941" w:type="dxa"/>
            <w:tcBorders>
              <w:top w:val="nil"/>
              <w:left w:val="nil"/>
              <w:bottom w:val="nil"/>
              <w:right w:val="single" w:sz="4" w:space="0" w:color="FFFFFF"/>
            </w:tcBorders>
            <w:shd w:val="clear" w:color="000000" w:fill="C4D79B"/>
            <w:noWrap/>
            <w:vAlign w:val="bottom"/>
            <w:hideMark/>
          </w:tcPr>
          <w:p w14:paraId="172107C4" w14:textId="77777777" w:rsidR="00171169" w:rsidRPr="00171169" w:rsidRDefault="00171169" w:rsidP="006C2A5C">
            <w:pPr>
              <w:jc w:val="right"/>
              <w:rPr>
                <w:rFonts w:ascii="Calibri" w:hAnsi="Calibri"/>
                <w:color w:val="000000"/>
                <w:lang w:eastAsia="en-GB"/>
              </w:rPr>
            </w:pPr>
            <w:r w:rsidRPr="00171169">
              <w:rPr>
                <w:rFonts w:ascii="Calibri" w:hAnsi="Calibri"/>
                <w:color w:val="000000"/>
                <w:lang w:eastAsia="en-GB"/>
              </w:rPr>
              <w:t>£'000</w:t>
            </w:r>
          </w:p>
        </w:tc>
        <w:tc>
          <w:tcPr>
            <w:tcW w:w="851" w:type="dxa"/>
            <w:tcBorders>
              <w:top w:val="nil"/>
              <w:left w:val="nil"/>
              <w:bottom w:val="nil"/>
              <w:right w:val="single" w:sz="4" w:space="0" w:color="FFFFFF"/>
            </w:tcBorders>
            <w:shd w:val="clear" w:color="000000" w:fill="C4D79B"/>
            <w:noWrap/>
            <w:vAlign w:val="bottom"/>
            <w:hideMark/>
          </w:tcPr>
          <w:p w14:paraId="6933A16C" w14:textId="77777777" w:rsidR="00171169" w:rsidRPr="00171169" w:rsidRDefault="00171169" w:rsidP="00B771FD">
            <w:pPr>
              <w:jc w:val="right"/>
              <w:rPr>
                <w:rFonts w:ascii="Calibri" w:hAnsi="Calibri"/>
                <w:color w:val="000000"/>
                <w:lang w:eastAsia="en-GB"/>
              </w:rPr>
            </w:pPr>
            <w:r w:rsidRPr="00171169">
              <w:rPr>
                <w:rFonts w:ascii="Calibri" w:hAnsi="Calibri"/>
                <w:color w:val="000000"/>
                <w:lang w:eastAsia="en-GB"/>
              </w:rPr>
              <w:t>£'000</w:t>
            </w:r>
          </w:p>
        </w:tc>
        <w:tc>
          <w:tcPr>
            <w:tcW w:w="4734" w:type="dxa"/>
            <w:tcBorders>
              <w:top w:val="nil"/>
              <w:left w:val="nil"/>
              <w:bottom w:val="nil"/>
              <w:right w:val="nil"/>
            </w:tcBorders>
            <w:shd w:val="clear" w:color="000000" w:fill="C4D79B"/>
            <w:noWrap/>
            <w:vAlign w:val="bottom"/>
            <w:hideMark/>
          </w:tcPr>
          <w:p w14:paraId="7CC4A76A"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 </w:t>
            </w:r>
          </w:p>
        </w:tc>
        <w:tc>
          <w:tcPr>
            <w:tcW w:w="473" w:type="dxa"/>
            <w:tcBorders>
              <w:top w:val="single" w:sz="4" w:space="0" w:color="FFFFFF"/>
              <w:left w:val="single" w:sz="4" w:space="0" w:color="FFFFFF"/>
              <w:bottom w:val="nil"/>
              <w:right w:val="single" w:sz="4" w:space="0" w:color="FFFFFF"/>
            </w:tcBorders>
            <w:shd w:val="clear" w:color="000000" w:fill="C4D79B"/>
            <w:noWrap/>
            <w:vAlign w:val="bottom"/>
            <w:hideMark/>
          </w:tcPr>
          <w:p w14:paraId="1F577F07"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nil"/>
              <w:right w:val="single" w:sz="4" w:space="0" w:color="FFFFFF"/>
            </w:tcBorders>
            <w:shd w:val="clear" w:color="000000" w:fill="C4D79B"/>
            <w:noWrap/>
            <w:vAlign w:val="bottom"/>
            <w:hideMark/>
          </w:tcPr>
          <w:p w14:paraId="7AB0EA35" w14:textId="77777777" w:rsidR="00171169" w:rsidRPr="00171169" w:rsidRDefault="00171169" w:rsidP="006C2A5C">
            <w:pPr>
              <w:jc w:val="right"/>
              <w:rPr>
                <w:rFonts w:ascii="Calibri" w:hAnsi="Calibri"/>
                <w:color w:val="000000"/>
                <w:lang w:eastAsia="en-GB"/>
              </w:rPr>
            </w:pPr>
            <w:r w:rsidRPr="00171169">
              <w:rPr>
                <w:rFonts w:ascii="Calibri" w:hAnsi="Calibri"/>
                <w:color w:val="000000"/>
                <w:lang w:eastAsia="en-GB"/>
              </w:rPr>
              <w:t>£'000</w:t>
            </w:r>
          </w:p>
        </w:tc>
        <w:tc>
          <w:tcPr>
            <w:tcW w:w="992" w:type="dxa"/>
            <w:tcBorders>
              <w:top w:val="nil"/>
              <w:left w:val="nil"/>
              <w:bottom w:val="nil"/>
              <w:right w:val="single" w:sz="4" w:space="0" w:color="FFFFFF"/>
            </w:tcBorders>
            <w:shd w:val="clear" w:color="000000" w:fill="C4D79B"/>
            <w:noWrap/>
            <w:vAlign w:val="bottom"/>
            <w:hideMark/>
          </w:tcPr>
          <w:p w14:paraId="7015FC12" w14:textId="77777777" w:rsidR="00171169" w:rsidRPr="00171169" w:rsidRDefault="00171169" w:rsidP="006C2A5C">
            <w:pPr>
              <w:jc w:val="right"/>
              <w:rPr>
                <w:rFonts w:ascii="Calibri" w:hAnsi="Calibri"/>
                <w:color w:val="000000"/>
                <w:lang w:eastAsia="en-GB"/>
              </w:rPr>
            </w:pPr>
            <w:r w:rsidRPr="00171169">
              <w:rPr>
                <w:rFonts w:ascii="Calibri" w:hAnsi="Calibri"/>
                <w:color w:val="000000"/>
                <w:lang w:eastAsia="en-GB"/>
              </w:rPr>
              <w:t>£'000</w:t>
            </w:r>
          </w:p>
        </w:tc>
        <w:tc>
          <w:tcPr>
            <w:tcW w:w="880" w:type="dxa"/>
            <w:tcBorders>
              <w:top w:val="nil"/>
              <w:left w:val="nil"/>
              <w:bottom w:val="nil"/>
              <w:right w:val="single" w:sz="4" w:space="0" w:color="FFFFFF"/>
            </w:tcBorders>
            <w:shd w:val="clear" w:color="000000" w:fill="C4D79B"/>
            <w:noWrap/>
            <w:vAlign w:val="bottom"/>
            <w:hideMark/>
          </w:tcPr>
          <w:p w14:paraId="16743275" w14:textId="77777777" w:rsidR="00171169" w:rsidRPr="00171169" w:rsidRDefault="00171169" w:rsidP="00B771FD">
            <w:pPr>
              <w:jc w:val="right"/>
              <w:rPr>
                <w:rFonts w:ascii="Calibri" w:hAnsi="Calibri"/>
                <w:color w:val="000000"/>
                <w:lang w:eastAsia="en-GB"/>
              </w:rPr>
            </w:pPr>
            <w:r w:rsidRPr="00171169">
              <w:rPr>
                <w:rFonts w:ascii="Calibri" w:hAnsi="Calibri"/>
                <w:color w:val="000000"/>
                <w:lang w:eastAsia="en-GB"/>
              </w:rPr>
              <w:t>£'000</w:t>
            </w:r>
          </w:p>
        </w:tc>
      </w:tr>
      <w:tr w:rsidR="00171169" w:rsidRPr="00171169" w14:paraId="1D8897A8" w14:textId="77777777" w:rsidTr="0093059F">
        <w:trPr>
          <w:trHeight w:val="390"/>
        </w:trPr>
        <w:tc>
          <w:tcPr>
            <w:tcW w:w="902" w:type="dxa"/>
            <w:tcBorders>
              <w:top w:val="single" w:sz="4" w:space="0" w:color="FFFFFF"/>
              <w:left w:val="single" w:sz="4" w:space="0" w:color="FFFFFF"/>
              <w:bottom w:val="single" w:sz="4" w:space="0" w:color="FFFFFF"/>
              <w:right w:val="single" w:sz="4" w:space="0" w:color="FFFFFF"/>
            </w:tcBorders>
            <w:shd w:val="clear" w:color="000000" w:fill="EBF1DE"/>
            <w:noWrap/>
            <w:vAlign w:val="center"/>
          </w:tcPr>
          <w:p w14:paraId="2A151FDB" w14:textId="68CD5731" w:rsidR="00171169" w:rsidRPr="00171169" w:rsidRDefault="00DA5ED4" w:rsidP="00761556">
            <w:pPr>
              <w:jc w:val="right"/>
              <w:rPr>
                <w:rFonts w:ascii="Calibri" w:hAnsi="Calibri"/>
                <w:color w:val="000000"/>
                <w:lang w:eastAsia="en-GB"/>
              </w:rPr>
            </w:pPr>
            <w:r>
              <w:rPr>
                <w:rFonts w:ascii="Calibri" w:hAnsi="Calibri"/>
                <w:color w:val="000000"/>
                <w:lang w:eastAsia="en-GB"/>
              </w:rPr>
              <w:t>8</w:t>
            </w:r>
            <w:r w:rsidR="009257BB">
              <w:rPr>
                <w:rFonts w:ascii="Calibri" w:hAnsi="Calibri"/>
                <w:color w:val="000000"/>
                <w:lang w:eastAsia="en-GB"/>
              </w:rPr>
              <w:t>,</w:t>
            </w:r>
            <w:r>
              <w:rPr>
                <w:rFonts w:ascii="Calibri" w:hAnsi="Calibri"/>
                <w:color w:val="000000"/>
                <w:lang w:eastAsia="en-GB"/>
              </w:rPr>
              <w:t>723</w:t>
            </w:r>
          </w:p>
        </w:tc>
        <w:tc>
          <w:tcPr>
            <w:tcW w:w="941" w:type="dxa"/>
            <w:tcBorders>
              <w:top w:val="single" w:sz="4" w:space="0" w:color="FFFFFF"/>
              <w:left w:val="nil"/>
              <w:bottom w:val="single" w:sz="4" w:space="0" w:color="FFFFFF"/>
              <w:right w:val="single" w:sz="4" w:space="0" w:color="FFFFFF"/>
            </w:tcBorders>
            <w:shd w:val="clear" w:color="000000" w:fill="EBF1DE"/>
            <w:noWrap/>
            <w:vAlign w:val="center"/>
          </w:tcPr>
          <w:p w14:paraId="0773EDF4" w14:textId="7A8CEEE7" w:rsidR="00171169" w:rsidRPr="00171169" w:rsidRDefault="00E93FEF" w:rsidP="00761556">
            <w:pPr>
              <w:jc w:val="right"/>
              <w:rPr>
                <w:rFonts w:ascii="Calibri" w:hAnsi="Calibri"/>
                <w:color w:val="000000"/>
                <w:lang w:eastAsia="en-GB"/>
              </w:rPr>
            </w:pPr>
            <w:r>
              <w:rPr>
                <w:rFonts w:ascii="Calibri" w:hAnsi="Calibri"/>
                <w:color w:val="000000"/>
                <w:lang w:eastAsia="en-GB"/>
              </w:rPr>
              <w:t>5,</w:t>
            </w:r>
            <w:r w:rsidR="00DA5ED4">
              <w:rPr>
                <w:rFonts w:ascii="Calibri" w:hAnsi="Calibri"/>
                <w:color w:val="000000"/>
                <w:lang w:eastAsia="en-GB"/>
              </w:rPr>
              <w:t>821</w:t>
            </w:r>
          </w:p>
        </w:tc>
        <w:tc>
          <w:tcPr>
            <w:tcW w:w="851" w:type="dxa"/>
            <w:tcBorders>
              <w:top w:val="single" w:sz="4" w:space="0" w:color="FFFFFF"/>
              <w:left w:val="nil"/>
              <w:bottom w:val="single" w:sz="4" w:space="0" w:color="FFFFFF"/>
              <w:right w:val="single" w:sz="4" w:space="0" w:color="FFFFFF"/>
            </w:tcBorders>
            <w:shd w:val="clear" w:color="000000" w:fill="D8E4BC"/>
            <w:noWrap/>
            <w:vAlign w:val="center"/>
          </w:tcPr>
          <w:p w14:paraId="057C6882" w14:textId="533979E6" w:rsidR="00171169" w:rsidRPr="00171169" w:rsidRDefault="00DA5ED4" w:rsidP="00761556">
            <w:pPr>
              <w:jc w:val="right"/>
              <w:rPr>
                <w:rFonts w:ascii="Calibri" w:hAnsi="Calibri"/>
                <w:color w:val="000000"/>
                <w:lang w:eastAsia="en-GB"/>
              </w:rPr>
            </w:pPr>
            <w:r>
              <w:rPr>
                <w:rFonts w:ascii="Calibri" w:hAnsi="Calibri"/>
                <w:color w:val="000000"/>
                <w:lang w:eastAsia="en-GB"/>
              </w:rPr>
              <w:t>2</w:t>
            </w:r>
            <w:r w:rsidR="00E8625F">
              <w:rPr>
                <w:rFonts w:ascii="Calibri" w:hAnsi="Calibri"/>
                <w:color w:val="000000"/>
                <w:lang w:eastAsia="en-GB"/>
              </w:rPr>
              <w:t>,</w:t>
            </w:r>
            <w:r>
              <w:rPr>
                <w:rFonts w:ascii="Calibri" w:hAnsi="Calibri"/>
                <w:color w:val="000000"/>
                <w:lang w:eastAsia="en-GB"/>
              </w:rPr>
              <w:t>902</w:t>
            </w:r>
          </w:p>
        </w:tc>
        <w:tc>
          <w:tcPr>
            <w:tcW w:w="4734" w:type="dxa"/>
            <w:tcBorders>
              <w:top w:val="single" w:sz="4" w:space="0" w:color="FFFFFF"/>
              <w:left w:val="nil"/>
              <w:bottom w:val="single" w:sz="4" w:space="0" w:color="FFFFFF"/>
              <w:right w:val="single" w:sz="4" w:space="0" w:color="FFFFFF"/>
            </w:tcBorders>
            <w:shd w:val="clear" w:color="000000" w:fill="EBF1DE"/>
            <w:vAlign w:val="center"/>
            <w:hideMark/>
          </w:tcPr>
          <w:p w14:paraId="10C205EA" w14:textId="77777777" w:rsidR="00171169" w:rsidRPr="00171169" w:rsidRDefault="00171169" w:rsidP="00E8625F">
            <w:pPr>
              <w:rPr>
                <w:rFonts w:ascii="Calibri" w:hAnsi="Calibri"/>
                <w:color w:val="000000"/>
                <w:lang w:eastAsia="en-GB"/>
              </w:rPr>
            </w:pPr>
            <w:r w:rsidRPr="00171169">
              <w:rPr>
                <w:rFonts w:ascii="Calibri" w:hAnsi="Calibri"/>
                <w:color w:val="000000"/>
                <w:lang w:eastAsia="en-GB"/>
              </w:rPr>
              <w:t>General Expen</w:t>
            </w:r>
            <w:r w:rsidR="009257BB">
              <w:rPr>
                <w:rFonts w:ascii="Calibri" w:hAnsi="Calibri"/>
                <w:color w:val="000000"/>
                <w:lang w:eastAsia="en-GB"/>
              </w:rPr>
              <w:t>ses - People</w:t>
            </w:r>
            <w:r w:rsidRPr="00171169">
              <w:rPr>
                <w:rFonts w:ascii="Calibri" w:hAnsi="Calibri"/>
                <w:color w:val="000000"/>
                <w:lang w:eastAsia="en-GB"/>
              </w:rPr>
              <w:t xml:space="preserve"> </w:t>
            </w:r>
            <w:r w:rsidR="00E8625F">
              <w:rPr>
                <w:rFonts w:ascii="Calibri" w:hAnsi="Calibri"/>
                <w:color w:val="000000"/>
                <w:lang w:eastAsia="en-GB"/>
              </w:rPr>
              <w:t>Priority</w:t>
            </w:r>
          </w:p>
        </w:tc>
        <w:tc>
          <w:tcPr>
            <w:tcW w:w="473" w:type="dxa"/>
            <w:tcBorders>
              <w:top w:val="single" w:sz="4" w:space="0" w:color="FFFFFF"/>
              <w:left w:val="nil"/>
              <w:bottom w:val="single" w:sz="4" w:space="0" w:color="FFFFFF"/>
              <w:right w:val="single" w:sz="4" w:space="0" w:color="FFFFFF"/>
            </w:tcBorders>
            <w:shd w:val="clear" w:color="000000" w:fill="EBF1DE"/>
            <w:noWrap/>
            <w:vAlign w:val="center"/>
            <w:hideMark/>
          </w:tcPr>
          <w:p w14:paraId="7E69AECE"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single" w:sz="4" w:space="0" w:color="FFFFFF"/>
              <w:left w:val="nil"/>
              <w:bottom w:val="single" w:sz="4" w:space="0" w:color="FFFFFF"/>
              <w:right w:val="single" w:sz="4" w:space="0" w:color="FFFFFF"/>
            </w:tcBorders>
            <w:shd w:val="clear" w:color="000000" w:fill="EBF1DE"/>
            <w:noWrap/>
            <w:vAlign w:val="center"/>
          </w:tcPr>
          <w:p w14:paraId="37641C02" w14:textId="378E5517" w:rsidR="00171169" w:rsidRPr="00171169" w:rsidRDefault="001F70E0" w:rsidP="00790D47">
            <w:pPr>
              <w:jc w:val="right"/>
              <w:rPr>
                <w:rFonts w:ascii="Calibri" w:hAnsi="Calibri"/>
                <w:color w:val="000000"/>
                <w:lang w:eastAsia="en-GB"/>
              </w:rPr>
            </w:pPr>
            <w:r>
              <w:rPr>
                <w:rFonts w:ascii="Calibri" w:hAnsi="Calibri"/>
                <w:color w:val="000000"/>
                <w:lang w:eastAsia="en-GB"/>
              </w:rPr>
              <w:t>8,057</w:t>
            </w:r>
          </w:p>
        </w:tc>
        <w:tc>
          <w:tcPr>
            <w:tcW w:w="992" w:type="dxa"/>
            <w:tcBorders>
              <w:top w:val="single" w:sz="4" w:space="0" w:color="FFFFFF"/>
              <w:left w:val="nil"/>
              <w:bottom w:val="single" w:sz="4" w:space="0" w:color="FFFFFF"/>
              <w:right w:val="single" w:sz="4" w:space="0" w:color="FFFFFF"/>
            </w:tcBorders>
            <w:shd w:val="clear" w:color="000000" w:fill="EBF1DE"/>
            <w:noWrap/>
            <w:vAlign w:val="center"/>
          </w:tcPr>
          <w:p w14:paraId="16934648" w14:textId="7B6913BF" w:rsidR="00171169" w:rsidRPr="00171169" w:rsidRDefault="001F70E0" w:rsidP="00A545B5">
            <w:pPr>
              <w:jc w:val="right"/>
              <w:rPr>
                <w:rFonts w:ascii="Calibri" w:hAnsi="Calibri"/>
                <w:color w:val="000000"/>
                <w:lang w:eastAsia="en-GB"/>
              </w:rPr>
            </w:pPr>
            <w:r>
              <w:rPr>
                <w:rFonts w:ascii="Calibri" w:hAnsi="Calibri"/>
                <w:color w:val="000000"/>
                <w:lang w:eastAsia="en-GB"/>
              </w:rPr>
              <w:t>5,671</w:t>
            </w:r>
          </w:p>
        </w:tc>
        <w:tc>
          <w:tcPr>
            <w:tcW w:w="880" w:type="dxa"/>
            <w:tcBorders>
              <w:top w:val="single" w:sz="4" w:space="0" w:color="FFFFFF"/>
              <w:left w:val="nil"/>
              <w:bottom w:val="single" w:sz="4" w:space="0" w:color="FFFFFF"/>
              <w:right w:val="single" w:sz="4" w:space="0" w:color="FFFFFF"/>
            </w:tcBorders>
            <w:shd w:val="clear" w:color="000000" w:fill="D8E4BC"/>
            <w:noWrap/>
            <w:vAlign w:val="center"/>
          </w:tcPr>
          <w:p w14:paraId="2AFBEB8F" w14:textId="781A0BDD" w:rsidR="00171169" w:rsidRPr="00171169" w:rsidRDefault="001F70E0" w:rsidP="00A545B5">
            <w:pPr>
              <w:jc w:val="right"/>
              <w:rPr>
                <w:rFonts w:ascii="Calibri" w:hAnsi="Calibri"/>
                <w:color w:val="000000"/>
                <w:lang w:eastAsia="en-GB"/>
              </w:rPr>
            </w:pPr>
            <w:r>
              <w:rPr>
                <w:rFonts w:ascii="Calibri" w:hAnsi="Calibri"/>
                <w:color w:val="000000"/>
                <w:lang w:eastAsia="en-GB"/>
              </w:rPr>
              <w:t>2,386</w:t>
            </w:r>
          </w:p>
        </w:tc>
      </w:tr>
      <w:tr w:rsidR="00171169" w:rsidRPr="00171169" w14:paraId="22228B87" w14:textId="77777777" w:rsidTr="0093059F">
        <w:trPr>
          <w:trHeight w:val="392"/>
        </w:trPr>
        <w:tc>
          <w:tcPr>
            <w:tcW w:w="902" w:type="dxa"/>
            <w:tcBorders>
              <w:top w:val="nil"/>
              <w:left w:val="single" w:sz="4" w:space="0" w:color="FFFFFF"/>
              <w:bottom w:val="single" w:sz="4" w:space="0" w:color="FFFFFF"/>
              <w:right w:val="single" w:sz="4" w:space="0" w:color="FFFFFF"/>
            </w:tcBorders>
            <w:shd w:val="clear" w:color="000000" w:fill="EBF1DE"/>
            <w:noWrap/>
            <w:vAlign w:val="center"/>
          </w:tcPr>
          <w:p w14:paraId="1C2EBF2E" w14:textId="2517D105" w:rsidR="00171169" w:rsidRPr="00171169" w:rsidRDefault="00DA5ED4" w:rsidP="00B65BF1">
            <w:pPr>
              <w:jc w:val="right"/>
              <w:rPr>
                <w:rFonts w:ascii="Calibri" w:hAnsi="Calibri"/>
                <w:color w:val="000000"/>
                <w:lang w:eastAsia="en-GB"/>
              </w:rPr>
            </w:pPr>
            <w:r>
              <w:rPr>
                <w:rFonts w:ascii="Calibri" w:hAnsi="Calibri"/>
                <w:color w:val="000000"/>
                <w:lang w:eastAsia="en-GB"/>
              </w:rPr>
              <w:t>7</w:t>
            </w:r>
            <w:r w:rsidR="00E93FEF">
              <w:rPr>
                <w:rFonts w:ascii="Calibri" w:hAnsi="Calibri"/>
                <w:color w:val="000000"/>
                <w:lang w:eastAsia="en-GB"/>
              </w:rPr>
              <w:t>,</w:t>
            </w:r>
            <w:r>
              <w:rPr>
                <w:rFonts w:ascii="Calibri" w:hAnsi="Calibri"/>
                <w:color w:val="000000"/>
                <w:lang w:eastAsia="en-GB"/>
              </w:rPr>
              <w:t>008</w:t>
            </w:r>
          </w:p>
        </w:tc>
        <w:tc>
          <w:tcPr>
            <w:tcW w:w="941" w:type="dxa"/>
            <w:tcBorders>
              <w:top w:val="nil"/>
              <w:left w:val="nil"/>
              <w:bottom w:val="single" w:sz="4" w:space="0" w:color="FFFFFF"/>
              <w:right w:val="single" w:sz="4" w:space="0" w:color="FFFFFF"/>
            </w:tcBorders>
            <w:shd w:val="clear" w:color="000000" w:fill="EBF1DE"/>
            <w:noWrap/>
            <w:vAlign w:val="center"/>
          </w:tcPr>
          <w:p w14:paraId="48691590" w14:textId="28F7083F" w:rsidR="00171169" w:rsidRPr="00171169" w:rsidRDefault="00DA5ED4" w:rsidP="001C78F9">
            <w:pPr>
              <w:jc w:val="right"/>
              <w:rPr>
                <w:rFonts w:ascii="Calibri" w:hAnsi="Calibri"/>
                <w:color w:val="000000"/>
                <w:lang w:eastAsia="en-GB"/>
              </w:rPr>
            </w:pPr>
            <w:r>
              <w:rPr>
                <w:rFonts w:ascii="Calibri" w:hAnsi="Calibri"/>
                <w:color w:val="000000"/>
                <w:lang w:eastAsia="en-GB"/>
              </w:rPr>
              <w:t>3,983</w:t>
            </w:r>
          </w:p>
        </w:tc>
        <w:tc>
          <w:tcPr>
            <w:tcW w:w="851" w:type="dxa"/>
            <w:tcBorders>
              <w:top w:val="nil"/>
              <w:left w:val="nil"/>
              <w:bottom w:val="single" w:sz="4" w:space="0" w:color="FFFFFF"/>
              <w:right w:val="single" w:sz="4" w:space="0" w:color="FFFFFF"/>
            </w:tcBorders>
            <w:shd w:val="clear" w:color="000000" w:fill="D8E4BC"/>
            <w:noWrap/>
            <w:vAlign w:val="center"/>
          </w:tcPr>
          <w:p w14:paraId="026D0497" w14:textId="5F72A948" w:rsidR="00171169" w:rsidRPr="00171169" w:rsidRDefault="00DA5ED4" w:rsidP="00E8625F">
            <w:pPr>
              <w:jc w:val="right"/>
              <w:rPr>
                <w:rFonts w:ascii="Calibri" w:hAnsi="Calibri"/>
                <w:color w:val="000000"/>
                <w:lang w:eastAsia="en-GB"/>
              </w:rPr>
            </w:pPr>
            <w:r>
              <w:rPr>
                <w:rFonts w:ascii="Calibri" w:hAnsi="Calibri"/>
                <w:color w:val="000000"/>
                <w:lang w:eastAsia="en-GB"/>
              </w:rPr>
              <w:t>3</w:t>
            </w:r>
            <w:r w:rsidR="00E93FEF">
              <w:rPr>
                <w:rFonts w:ascii="Calibri" w:hAnsi="Calibri"/>
                <w:color w:val="000000"/>
                <w:lang w:eastAsia="en-GB"/>
              </w:rPr>
              <w:t>,0</w:t>
            </w:r>
            <w:r>
              <w:rPr>
                <w:rFonts w:ascii="Calibri" w:hAnsi="Calibri"/>
                <w:color w:val="000000"/>
                <w:lang w:eastAsia="en-GB"/>
              </w:rPr>
              <w:t>25</w:t>
            </w:r>
          </w:p>
        </w:tc>
        <w:tc>
          <w:tcPr>
            <w:tcW w:w="4734" w:type="dxa"/>
            <w:tcBorders>
              <w:top w:val="nil"/>
              <w:left w:val="nil"/>
              <w:bottom w:val="single" w:sz="4" w:space="0" w:color="FFFFFF"/>
              <w:right w:val="single" w:sz="4" w:space="0" w:color="FFFFFF"/>
            </w:tcBorders>
            <w:shd w:val="clear" w:color="000000" w:fill="EBF1DE"/>
            <w:vAlign w:val="center"/>
            <w:hideMark/>
          </w:tcPr>
          <w:p w14:paraId="2B55CF14" w14:textId="20D90D78" w:rsidR="00171169" w:rsidRPr="00171169" w:rsidRDefault="009257BB" w:rsidP="00E8625F">
            <w:pPr>
              <w:rPr>
                <w:rFonts w:ascii="Calibri" w:hAnsi="Calibri"/>
                <w:color w:val="000000"/>
                <w:lang w:eastAsia="en-GB"/>
              </w:rPr>
            </w:pPr>
            <w:r>
              <w:rPr>
                <w:rFonts w:ascii="Calibri" w:hAnsi="Calibri"/>
                <w:color w:val="000000"/>
                <w:lang w:eastAsia="en-GB"/>
              </w:rPr>
              <w:t xml:space="preserve">General Expenses </w:t>
            </w:r>
            <w:r w:rsidR="00E2539B">
              <w:rPr>
                <w:rFonts w:ascii="Calibri" w:hAnsi="Calibri"/>
                <w:color w:val="000000"/>
                <w:lang w:eastAsia="en-GB"/>
              </w:rPr>
              <w:t>-</w:t>
            </w:r>
            <w:r>
              <w:rPr>
                <w:rFonts w:ascii="Calibri" w:hAnsi="Calibri"/>
                <w:color w:val="000000"/>
                <w:lang w:eastAsia="en-GB"/>
              </w:rPr>
              <w:t xml:space="preserve"> Place</w:t>
            </w:r>
            <w:r w:rsidR="00E8625F">
              <w:rPr>
                <w:rFonts w:ascii="Calibri" w:hAnsi="Calibri"/>
                <w:color w:val="000000"/>
                <w:lang w:eastAsia="en-GB"/>
              </w:rPr>
              <w:t xml:space="preserve"> Priority</w:t>
            </w:r>
          </w:p>
        </w:tc>
        <w:tc>
          <w:tcPr>
            <w:tcW w:w="473" w:type="dxa"/>
            <w:tcBorders>
              <w:top w:val="nil"/>
              <w:left w:val="nil"/>
              <w:bottom w:val="single" w:sz="4" w:space="0" w:color="FFFFFF"/>
              <w:right w:val="single" w:sz="4" w:space="0" w:color="FFFFFF"/>
            </w:tcBorders>
            <w:shd w:val="clear" w:color="000000" w:fill="EBF1DE"/>
            <w:noWrap/>
            <w:vAlign w:val="center"/>
            <w:hideMark/>
          </w:tcPr>
          <w:p w14:paraId="15F5EAEB"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single" w:sz="4" w:space="0" w:color="FFFFFF"/>
              <w:right w:val="single" w:sz="4" w:space="0" w:color="FFFFFF"/>
            </w:tcBorders>
            <w:shd w:val="clear" w:color="000000" w:fill="EBF1DE"/>
            <w:noWrap/>
            <w:vAlign w:val="center"/>
          </w:tcPr>
          <w:p w14:paraId="1641E9C7" w14:textId="1660B40E" w:rsidR="00171169" w:rsidRPr="00171169" w:rsidRDefault="001F70E0" w:rsidP="00AD59AD">
            <w:pPr>
              <w:jc w:val="right"/>
              <w:rPr>
                <w:rFonts w:ascii="Calibri" w:hAnsi="Calibri"/>
                <w:color w:val="000000"/>
                <w:lang w:eastAsia="en-GB"/>
              </w:rPr>
            </w:pPr>
            <w:r>
              <w:rPr>
                <w:rFonts w:ascii="Calibri" w:hAnsi="Calibri"/>
                <w:color w:val="000000"/>
                <w:lang w:eastAsia="en-GB"/>
              </w:rPr>
              <w:t>6,837</w:t>
            </w:r>
          </w:p>
        </w:tc>
        <w:tc>
          <w:tcPr>
            <w:tcW w:w="992" w:type="dxa"/>
            <w:tcBorders>
              <w:top w:val="nil"/>
              <w:left w:val="nil"/>
              <w:bottom w:val="single" w:sz="4" w:space="0" w:color="FFFFFF"/>
              <w:right w:val="single" w:sz="4" w:space="0" w:color="FFFFFF"/>
            </w:tcBorders>
            <w:shd w:val="clear" w:color="000000" w:fill="EBF1DE"/>
            <w:noWrap/>
            <w:vAlign w:val="center"/>
          </w:tcPr>
          <w:p w14:paraId="79B237CE" w14:textId="14293A17" w:rsidR="00171169" w:rsidRPr="00171169" w:rsidRDefault="001F70E0" w:rsidP="00171169">
            <w:pPr>
              <w:jc w:val="right"/>
              <w:rPr>
                <w:rFonts w:ascii="Calibri" w:hAnsi="Calibri"/>
                <w:color w:val="000000"/>
                <w:lang w:eastAsia="en-GB"/>
              </w:rPr>
            </w:pPr>
            <w:r>
              <w:rPr>
                <w:rFonts w:ascii="Calibri" w:hAnsi="Calibri"/>
                <w:color w:val="000000"/>
                <w:lang w:eastAsia="en-GB"/>
              </w:rPr>
              <w:t>2,543</w:t>
            </w:r>
          </w:p>
        </w:tc>
        <w:tc>
          <w:tcPr>
            <w:tcW w:w="880" w:type="dxa"/>
            <w:tcBorders>
              <w:top w:val="nil"/>
              <w:left w:val="nil"/>
              <w:bottom w:val="single" w:sz="4" w:space="0" w:color="FFFFFF"/>
              <w:right w:val="single" w:sz="4" w:space="0" w:color="FFFFFF"/>
            </w:tcBorders>
            <w:shd w:val="clear" w:color="000000" w:fill="D8E4BC"/>
            <w:noWrap/>
            <w:vAlign w:val="center"/>
          </w:tcPr>
          <w:p w14:paraId="4513C2BC" w14:textId="40A2E7C6" w:rsidR="00171169" w:rsidRPr="00171169" w:rsidRDefault="001F70E0" w:rsidP="00AD59AD">
            <w:pPr>
              <w:jc w:val="right"/>
              <w:rPr>
                <w:rFonts w:ascii="Calibri" w:hAnsi="Calibri"/>
                <w:color w:val="000000"/>
                <w:lang w:eastAsia="en-GB"/>
              </w:rPr>
            </w:pPr>
            <w:r>
              <w:rPr>
                <w:rFonts w:ascii="Calibri" w:hAnsi="Calibri"/>
                <w:color w:val="000000"/>
                <w:lang w:eastAsia="en-GB"/>
              </w:rPr>
              <w:t>4,294</w:t>
            </w:r>
          </w:p>
        </w:tc>
      </w:tr>
      <w:tr w:rsidR="00171169" w:rsidRPr="00171169" w14:paraId="064E1608" w14:textId="77777777" w:rsidTr="0093059F">
        <w:trPr>
          <w:trHeight w:val="386"/>
        </w:trPr>
        <w:tc>
          <w:tcPr>
            <w:tcW w:w="902" w:type="dxa"/>
            <w:tcBorders>
              <w:top w:val="nil"/>
              <w:left w:val="single" w:sz="4" w:space="0" w:color="FFFFFF"/>
              <w:bottom w:val="single" w:sz="4" w:space="0" w:color="FFFFFF"/>
              <w:right w:val="single" w:sz="4" w:space="0" w:color="FFFFFF"/>
            </w:tcBorders>
            <w:shd w:val="clear" w:color="000000" w:fill="EBF1DE"/>
            <w:noWrap/>
            <w:vAlign w:val="center"/>
          </w:tcPr>
          <w:p w14:paraId="224F7CBB" w14:textId="6D09ACFD" w:rsidR="00171169" w:rsidRPr="00171169" w:rsidRDefault="00E93FEF" w:rsidP="00194A32">
            <w:pPr>
              <w:jc w:val="right"/>
              <w:rPr>
                <w:rFonts w:ascii="Calibri" w:hAnsi="Calibri"/>
                <w:color w:val="000000"/>
                <w:lang w:eastAsia="en-GB"/>
              </w:rPr>
            </w:pPr>
            <w:r>
              <w:rPr>
                <w:rFonts w:ascii="Calibri" w:hAnsi="Calibri"/>
                <w:color w:val="000000"/>
                <w:lang w:eastAsia="en-GB"/>
              </w:rPr>
              <w:t>6,4</w:t>
            </w:r>
            <w:r w:rsidR="00DA5ED4">
              <w:rPr>
                <w:rFonts w:ascii="Calibri" w:hAnsi="Calibri"/>
                <w:color w:val="000000"/>
                <w:lang w:eastAsia="en-GB"/>
              </w:rPr>
              <w:t>08</w:t>
            </w:r>
          </w:p>
        </w:tc>
        <w:tc>
          <w:tcPr>
            <w:tcW w:w="941" w:type="dxa"/>
            <w:tcBorders>
              <w:top w:val="nil"/>
              <w:left w:val="nil"/>
              <w:bottom w:val="single" w:sz="4" w:space="0" w:color="FFFFFF"/>
              <w:right w:val="single" w:sz="4" w:space="0" w:color="FFFFFF"/>
            </w:tcBorders>
            <w:shd w:val="clear" w:color="000000" w:fill="EBF1DE"/>
            <w:noWrap/>
            <w:vAlign w:val="center"/>
          </w:tcPr>
          <w:p w14:paraId="5E70DEBC" w14:textId="4AB0116A" w:rsidR="00171169" w:rsidRPr="00171169" w:rsidRDefault="00DA5ED4" w:rsidP="00B65BF1">
            <w:pPr>
              <w:jc w:val="right"/>
              <w:rPr>
                <w:rFonts w:ascii="Calibri" w:hAnsi="Calibri"/>
                <w:color w:val="000000"/>
                <w:lang w:eastAsia="en-GB"/>
              </w:rPr>
            </w:pPr>
            <w:r>
              <w:rPr>
                <w:rFonts w:ascii="Calibri" w:hAnsi="Calibri"/>
                <w:color w:val="000000"/>
                <w:lang w:eastAsia="en-GB"/>
              </w:rPr>
              <w:t>4,884</w:t>
            </w:r>
          </w:p>
        </w:tc>
        <w:tc>
          <w:tcPr>
            <w:tcW w:w="851" w:type="dxa"/>
            <w:tcBorders>
              <w:top w:val="nil"/>
              <w:left w:val="nil"/>
              <w:bottom w:val="single" w:sz="4" w:space="0" w:color="FFFFFF"/>
              <w:right w:val="single" w:sz="4" w:space="0" w:color="FFFFFF"/>
            </w:tcBorders>
            <w:shd w:val="clear" w:color="000000" w:fill="D8E4BC"/>
            <w:noWrap/>
            <w:vAlign w:val="center"/>
          </w:tcPr>
          <w:p w14:paraId="2B1DB31B" w14:textId="5EC5F177" w:rsidR="00171169" w:rsidRPr="00171169" w:rsidRDefault="00DA5ED4" w:rsidP="00194A32">
            <w:pPr>
              <w:jc w:val="right"/>
              <w:rPr>
                <w:rFonts w:ascii="Calibri" w:hAnsi="Calibri"/>
                <w:color w:val="000000"/>
                <w:lang w:eastAsia="en-GB"/>
              </w:rPr>
            </w:pPr>
            <w:r>
              <w:rPr>
                <w:rFonts w:ascii="Calibri" w:hAnsi="Calibri"/>
                <w:color w:val="000000"/>
                <w:lang w:eastAsia="en-GB"/>
              </w:rPr>
              <w:t>1,524</w:t>
            </w:r>
          </w:p>
        </w:tc>
        <w:tc>
          <w:tcPr>
            <w:tcW w:w="4734" w:type="dxa"/>
            <w:tcBorders>
              <w:top w:val="nil"/>
              <w:left w:val="nil"/>
              <w:bottom w:val="single" w:sz="4" w:space="0" w:color="FFFFFF"/>
              <w:right w:val="single" w:sz="4" w:space="0" w:color="FFFFFF"/>
            </w:tcBorders>
            <w:shd w:val="clear" w:color="000000" w:fill="EBF1DE"/>
            <w:vAlign w:val="center"/>
            <w:hideMark/>
          </w:tcPr>
          <w:p w14:paraId="2D6CE05C" w14:textId="77777777" w:rsidR="00171169" w:rsidRPr="00171169" w:rsidRDefault="00171169" w:rsidP="00E8625F">
            <w:pPr>
              <w:rPr>
                <w:rFonts w:ascii="Calibri" w:hAnsi="Calibri"/>
                <w:color w:val="000000"/>
                <w:lang w:eastAsia="en-GB"/>
              </w:rPr>
            </w:pPr>
            <w:r w:rsidRPr="00171169">
              <w:rPr>
                <w:rFonts w:ascii="Calibri" w:hAnsi="Calibri"/>
                <w:color w:val="000000"/>
                <w:lang w:eastAsia="en-GB"/>
              </w:rPr>
              <w:t xml:space="preserve">General Expenses - </w:t>
            </w:r>
            <w:r w:rsidR="009257BB">
              <w:rPr>
                <w:rFonts w:ascii="Calibri" w:hAnsi="Calibri"/>
                <w:color w:val="000000"/>
                <w:lang w:eastAsia="en-GB"/>
              </w:rPr>
              <w:t>Corporate</w:t>
            </w:r>
            <w:r w:rsidR="00E8625F">
              <w:rPr>
                <w:rFonts w:ascii="Calibri" w:hAnsi="Calibri"/>
                <w:color w:val="000000"/>
                <w:lang w:eastAsia="en-GB"/>
              </w:rPr>
              <w:t xml:space="preserve"> Priority</w:t>
            </w:r>
          </w:p>
        </w:tc>
        <w:tc>
          <w:tcPr>
            <w:tcW w:w="473" w:type="dxa"/>
            <w:tcBorders>
              <w:top w:val="nil"/>
              <w:left w:val="nil"/>
              <w:bottom w:val="single" w:sz="4" w:space="0" w:color="FFFFFF"/>
              <w:right w:val="single" w:sz="4" w:space="0" w:color="FFFFFF"/>
            </w:tcBorders>
            <w:shd w:val="clear" w:color="000000" w:fill="EBF1DE"/>
            <w:noWrap/>
            <w:vAlign w:val="center"/>
            <w:hideMark/>
          </w:tcPr>
          <w:p w14:paraId="44E80330"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single" w:sz="4" w:space="0" w:color="FFFFFF"/>
              <w:right w:val="single" w:sz="4" w:space="0" w:color="FFFFFF"/>
            </w:tcBorders>
            <w:shd w:val="clear" w:color="000000" w:fill="EBF1DE"/>
            <w:noWrap/>
            <w:vAlign w:val="center"/>
          </w:tcPr>
          <w:p w14:paraId="13CF1325" w14:textId="44E22D0D" w:rsidR="00171169" w:rsidRPr="00171169" w:rsidRDefault="001F70E0" w:rsidP="00193DED">
            <w:pPr>
              <w:jc w:val="right"/>
              <w:rPr>
                <w:rFonts w:ascii="Calibri" w:hAnsi="Calibri"/>
                <w:color w:val="000000"/>
                <w:lang w:eastAsia="en-GB"/>
              </w:rPr>
            </w:pPr>
            <w:r>
              <w:rPr>
                <w:rFonts w:ascii="Calibri" w:hAnsi="Calibri"/>
                <w:color w:val="000000"/>
                <w:lang w:eastAsia="en-GB"/>
              </w:rPr>
              <w:t>5,314</w:t>
            </w:r>
          </w:p>
        </w:tc>
        <w:tc>
          <w:tcPr>
            <w:tcW w:w="992" w:type="dxa"/>
            <w:tcBorders>
              <w:top w:val="nil"/>
              <w:left w:val="nil"/>
              <w:bottom w:val="single" w:sz="4" w:space="0" w:color="FFFFFF"/>
              <w:right w:val="single" w:sz="4" w:space="0" w:color="FFFFFF"/>
            </w:tcBorders>
            <w:shd w:val="clear" w:color="000000" w:fill="EBF1DE"/>
            <w:noWrap/>
            <w:vAlign w:val="center"/>
          </w:tcPr>
          <w:p w14:paraId="0A1E2998" w14:textId="77496679" w:rsidR="00171169" w:rsidRPr="00171169" w:rsidRDefault="001F70E0" w:rsidP="00BE7BFC">
            <w:pPr>
              <w:jc w:val="right"/>
              <w:rPr>
                <w:rFonts w:ascii="Calibri" w:hAnsi="Calibri"/>
                <w:color w:val="000000"/>
                <w:lang w:eastAsia="en-GB"/>
              </w:rPr>
            </w:pPr>
            <w:r>
              <w:rPr>
                <w:rFonts w:ascii="Calibri" w:hAnsi="Calibri"/>
                <w:color w:val="000000"/>
                <w:lang w:eastAsia="en-GB"/>
              </w:rPr>
              <w:t>2,978</w:t>
            </w:r>
          </w:p>
        </w:tc>
        <w:tc>
          <w:tcPr>
            <w:tcW w:w="880" w:type="dxa"/>
            <w:tcBorders>
              <w:top w:val="nil"/>
              <w:left w:val="nil"/>
              <w:bottom w:val="single" w:sz="4" w:space="0" w:color="FFFFFF"/>
              <w:right w:val="single" w:sz="4" w:space="0" w:color="FFFFFF"/>
            </w:tcBorders>
            <w:shd w:val="clear" w:color="000000" w:fill="D8E4BC"/>
            <w:noWrap/>
            <w:vAlign w:val="center"/>
          </w:tcPr>
          <w:p w14:paraId="422E53B5" w14:textId="22751FEC" w:rsidR="00171169" w:rsidRPr="00171169" w:rsidRDefault="001F70E0" w:rsidP="00193DED">
            <w:pPr>
              <w:jc w:val="right"/>
              <w:rPr>
                <w:rFonts w:ascii="Calibri" w:hAnsi="Calibri"/>
                <w:color w:val="000000"/>
                <w:lang w:eastAsia="en-GB"/>
              </w:rPr>
            </w:pPr>
            <w:r>
              <w:rPr>
                <w:rFonts w:ascii="Calibri" w:hAnsi="Calibri"/>
                <w:color w:val="000000"/>
                <w:lang w:eastAsia="en-GB"/>
              </w:rPr>
              <w:t>2,336</w:t>
            </w:r>
          </w:p>
        </w:tc>
      </w:tr>
      <w:tr w:rsidR="00171169" w:rsidRPr="00171169" w14:paraId="1616DFDD" w14:textId="77777777" w:rsidTr="0093059F">
        <w:trPr>
          <w:trHeight w:val="255"/>
        </w:trPr>
        <w:tc>
          <w:tcPr>
            <w:tcW w:w="902" w:type="dxa"/>
            <w:tcBorders>
              <w:top w:val="nil"/>
              <w:left w:val="single" w:sz="4" w:space="0" w:color="FFFFFF"/>
              <w:bottom w:val="single" w:sz="4" w:space="0" w:color="FFFFFF"/>
              <w:right w:val="single" w:sz="4" w:space="0" w:color="FFFFFF"/>
            </w:tcBorders>
            <w:shd w:val="clear" w:color="000000" w:fill="EBF1DE"/>
            <w:noWrap/>
            <w:vAlign w:val="center"/>
          </w:tcPr>
          <w:p w14:paraId="7CAFEB1F" w14:textId="76742EB6" w:rsidR="00171169" w:rsidRPr="00171169" w:rsidRDefault="00DA5ED4" w:rsidP="00194A32">
            <w:pPr>
              <w:jc w:val="right"/>
              <w:rPr>
                <w:rFonts w:ascii="Calibri" w:hAnsi="Calibri"/>
                <w:color w:val="000000"/>
                <w:lang w:eastAsia="en-GB"/>
              </w:rPr>
            </w:pPr>
            <w:r>
              <w:rPr>
                <w:rFonts w:ascii="Calibri" w:hAnsi="Calibri"/>
                <w:color w:val="000000"/>
                <w:lang w:eastAsia="en-GB"/>
              </w:rPr>
              <w:t>4</w:t>
            </w:r>
            <w:r w:rsidR="00761556">
              <w:rPr>
                <w:rFonts w:ascii="Calibri" w:hAnsi="Calibri"/>
                <w:color w:val="000000"/>
                <w:lang w:eastAsia="en-GB"/>
              </w:rPr>
              <w:t>,</w:t>
            </w:r>
            <w:r>
              <w:rPr>
                <w:rFonts w:ascii="Calibri" w:hAnsi="Calibri"/>
                <w:color w:val="000000"/>
                <w:lang w:eastAsia="en-GB"/>
              </w:rPr>
              <w:t>815</w:t>
            </w:r>
          </w:p>
        </w:tc>
        <w:tc>
          <w:tcPr>
            <w:tcW w:w="941" w:type="dxa"/>
            <w:tcBorders>
              <w:top w:val="nil"/>
              <w:left w:val="nil"/>
              <w:bottom w:val="single" w:sz="4" w:space="0" w:color="FFFFFF"/>
              <w:right w:val="single" w:sz="4" w:space="0" w:color="FFFFFF"/>
            </w:tcBorders>
            <w:shd w:val="clear" w:color="000000" w:fill="EBF1DE"/>
            <w:noWrap/>
            <w:vAlign w:val="center"/>
          </w:tcPr>
          <w:p w14:paraId="03DC09A3" w14:textId="08C8BB57" w:rsidR="00171169" w:rsidRPr="00171169" w:rsidRDefault="009257BB" w:rsidP="00194A32">
            <w:pPr>
              <w:jc w:val="right"/>
              <w:rPr>
                <w:rFonts w:ascii="Calibri" w:hAnsi="Calibri"/>
                <w:color w:val="000000"/>
                <w:lang w:eastAsia="en-GB"/>
              </w:rPr>
            </w:pPr>
            <w:r>
              <w:rPr>
                <w:rFonts w:ascii="Calibri" w:hAnsi="Calibri"/>
                <w:color w:val="000000"/>
                <w:lang w:eastAsia="en-GB"/>
              </w:rPr>
              <w:t>7,</w:t>
            </w:r>
            <w:r w:rsidR="00DA5ED4">
              <w:rPr>
                <w:rFonts w:ascii="Calibri" w:hAnsi="Calibri"/>
                <w:color w:val="000000"/>
                <w:lang w:eastAsia="en-GB"/>
              </w:rPr>
              <w:t>736</w:t>
            </w:r>
          </w:p>
        </w:tc>
        <w:tc>
          <w:tcPr>
            <w:tcW w:w="851" w:type="dxa"/>
            <w:tcBorders>
              <w:top w:val="nil"/>
              <w:left w:val="nil"/>
              <w:bottom w:val="single" w:sz="4" w:space="0" w:color="FFFFFF"/>
              <w:right w:val="single" w:sz="4" w:space="0" w:color="FFFFFF"/>
            </w:tcBorders>
            <w:shd w:val="clear" w:color="000000" w:fill="D8E4BC"/>
            <w:noWrap/>
            <w:vAlign w:val="center"/>
          </w:tcPr>
          <w:p w14:paraId="2B6A71FB" w14:textId="5DE32175" w:rsidR="00171169" w:rsidRPr="00171169" w:rsidRDefault="009257BB" w:rsidP="00F144EC">
            <w:pPr>
              <w:jc w:val="right"/>
              <w:rPr>
                <w:rFonts w:ascii="Calibri" w:hAnsi="Calibri"/>
                <w:color w:val="000000"/>
                <w:lang w:eastAsia="en-GB"/>
              </w:rPr>
            </w:pPr>
            <w:r>
              <w:rPr>
                <w:rFonts w:ascii="Calibri" w:hAnsi="Calibri"/>
                <w:color w:val="000000"/>
                <w:lang w:eastAsia="en-GB"/>
              </w:rPr>
              <w:t>-</w:t>
            </w:r>
            <w:r w:rsidR="00DA5ED4">
              <w:rPr>
                <w:rFonts w:ascii="Calibri" w:hAnsi="Calibri"/>
                <w:color w:val="000000"/>
                <w:lang w:eastAsia="en-GB"/>
              </w:rPr>
              <w:t>2,921</w:t>
            </w:r>
          </w:p>
        </w:tc>
        <w:tc>
          <w:tcPr>
            <w:tcW w:w="4734" w:type="dxa"/>
            <w:tcBorders>
              <w:top w:val="nil"/>
              <w:left w:val="nil"/>
              <w:bottom w:val="single" w:sz="4" w:space="0" w:color="FFFFFF"/>
              <w:right w:val="single" w:sz="4" w:space="0" w:color="FFFFFF"/>
            </w:tcBorders>
            <w:shd w:val="clear" w:color="000000" w:fill="EBF1DE"/>
            <w:vAlign w:val="center"/>
            <w:hideMark/>
          </w:tcPr>
          <w:p w14:paraId="2DA373C4"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Housing Revenue Account</w:t>
            </w:r>
          </w:p>
        </w:tc>
        <w:tc>
          <w:tcPr>
            <w:tcW w:w="473" w:type="dxa"/>
            <w:tcBorders>
              <w:top w:val="nil"/>
              <w:left w:val="nil"/>
              <w:bottom w:val="single" w:sz="4" w:space="0" w:color="FFFFFF"/>
              <w:right w:val="single" w:sz="4" w:space="0" w:color="FFFFFF"/>
            </w:tcBorders>
            <w:shd w:val="clear" w:color="000000" w:fill="EBF1DE"/>
            <w:noWrap/>
            <w:vAlign w:val="center"/>
            <w:hideMark/>
          </w:tcPr>
          <w:p w14:paraId="729CE7EA"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single" w:sz="4" w:space="0" w:color="FFFFFF"/>
              <w:right w:val="single" w:sz="4" w:space="0" w:color="FFFFFF"/>
            </w:tcBorders>
            <w:shd w:val="clear" w:color="000000" w:fill="EBF1DE"/>
            <w:noWrap/>
            <w:vAlign w:val="center"/>
          </w:tcPr>
          <w:p w14:paraId="0879E151" w14:textId="313DA834" w:rsidR="00171169" w:rsidRPr="00171169" w:rsidRDefault="001F70E0" w:rsidP="00D57977">
            <w:pPr>
              <w:jc w:val="right"/>
              <w:rPr>
                <w:rFonts w:ascii="Calibri" w:hAnsi="Calibri"/>
                <w:color w:val="000000"/>
                <w:lang w:eastAsia="en-GB"/>
              </w:rPr>
            </w:pPr>
            <w:r>
              <w:rPr>
                <w:rFonts w:ascii="Calibri" w:hAnsi="Calibri"/>
                <w:color w:val="000000"/>
                <w:lang w:eastAsia="en-GB"/>
              </w:rPr>
              <w:t>6,654</w:t>
            </w:r>
          </w:p>
        </w:tc>
        <w:tc>
          <w:tcPr>
            <w:tcW w:w="992" w:type="dxa"/>
            <w:tcBorders>
              <w:top w:val="nil"/>
              <w:left w:val="nil"/>
              <w:bottom w:val="single" w:sz="4" w:space="0" w:color="FFFFFF"/>
              <w:right w:val="single" w:sz="4" w:space="0" w:color="FFFFFF"/>
            </w:tcBorders>
            <w:shd w:val="clear" w:color="000000" w:fill="EBF1DE"/>
            <w:noWrap/>
            <w:vAlign w:val="center"/>
          </w:tcPr>
          <w:p w14:paraId="46C583B8" w14:textId="5F4C2A53" w:rsidR="00171169" w:rsidRPr="00171169" w:rsidRDefault="001F70E0" w:rsidP="00D57977">
            <w:pPr>
              <w:jc w:val="right"/>
              <w:rPr>
                <w:rFonts w:ascii="Calibri" w:hAnsi="Calibri"/>
                <w:color w:val="000000"/>
                <w:lang w:eastAsia="en-GB"/>
              </w:rPr>
            </w:pPr>
            <w:r>
              <w:rPr>
                <w:rFonts w:ascii="Calibri" w:hAnsi="Calibri"/>
                <w:color w:val="000000"/>
                <w:lang w:eastAsia="en-GB"/>
              </w:rPr>
              <w:t>8,074</w:t>
            </w:r>
          </w:p>
        </w:tc>
        <w:tc>
          <w:tcPr>
            <w:tcW w:w="880" w:type="dxa"/>
            <w:tcBorders>
              <w:top w:val="nil"/>
              <w:left w:val="nil"/>
              <w:bottom w:val="single" w:sz="4" w:space="0" w:color="FFFFFF"/>
              <w:right w:val="single" w:sz="4" w:space="0" w:color="FFFFFF"/>
            </w:tcBorders>
            <w:shd w:val="clear" w:color="000000" w:fill="D8E4BC"/>
            <w:noWrap/>
            <w:vAlign w:val="center"/>
          </w:tcPr>
          <w:p w14:paraId="225AF287" w14:textId="1108122A" w:rsidR="00171169" w:rsidRPr="00171169" w:rsidRDefault="001F70E0" w:rsidP="00F144EC">
            <w:pPr>
              <w:jc w:val="right"/>
              <w:rPr>
                <w:rFonts w:ascii="Calibri" w:hAnsi="Calibri"/>
                <w:color w:val="000000"/>
                <w:lang w:eastAsia="en-GB"/>
              </w:rPr>
            </w:pPr>
            <w:r>
              <w:rPr>
                <w:rFonts w:ascii="Calibri" w:hAnsi="Calibri"/>
                <w:color w:val="000000"/>
                <w:lang w:eastAsia="en-GB"/>
              </w:rPr>
              <w:t>-1,420</w:t>
            </w:r>
          </w:p>
        </w:tc>
      </w:tr>
      <w:tr w:rsidR="00171169" w:rsidRPr="00171169" w14:paraId="10760BF4" w14:textId="77777777" w:rsidTr="0093059F">
        <w:trPr>
          <w:trHeight w:val="285"/>
        </w:trPr>
        <w:tc>
          <w:tcPr>
            <w:tcW w:w="902" w:type="dxa"/>
            <w:tcBorders>
              <w:top w:val="nil"/>
              <w:left w:val="single" w:sz="4" w:space="0" w:color="FFFFFF"/>
              <w:bottom w:val="single" w:sz="4" w:space="0" w:color="FFFFFF"/>
              <w:right w:val="single" w:sz="4" w:space="0" w:color="FFFFFF"/>
            </w:tcBorders>
            <w:shd w:val="clear" w:color="000000" w:fill="EBF1DE"/>
            <w:noWrap/>
            <w:vAlign w:val="center"/>
          </w:tcPr>
          <w:p w14:paraId="0696EB51" w14:textId="7FDEB119" w:rsidR="00171169" w:rsidRPr="00171169" w:rsidRDefault="00DA5ED4" w:rsidP="00220C72">
            <w:pPr>
              <w:jc w:val="right"/>
              <w:rPr>
                <w:rFonts w:ascii="Calibri" w:hAnsi="Calibri"/>
                <w:color w:val="000000"/>
                <w:lang w:eastAsia="en-GB"/>
              </w:rPr>
            </w:pPr>
            <w:r>
              <w:rPr>
                <w:rFonts w:ascii="Calibri" w:hAnsi="Calibri"/>
                <w:color w:val="000000"/>
                <w:lang w:eastAsia="en-GB"/>
              </w:rPr>
              <w:t>258</w:t>
            </w:r>
          </w:p>
        </w:tc>
        <w:tc>
          <w:tcPr>
            <w:tcW w:w="941" w:type="dxa"/>
            <w:tcBorders>
              <w:top w:val="nil"/>
              <w:left w:val="nil"/>
              <w:bottom w:val="single" w:sz="4" w:space="0" w:color="FFFFFF"/>
              <w:right w:val="single" w:sz="4" w:space="0" w:color="FFFFFF"/>
            </w:tcBorders>
            <w:shd w:val="clear" w:color="000000" w:fill="EBF1DE"/>
            <w:noWrap/>
            <w:vAlign w:val="center"/>
          </w:tcPr>
          <w:p w14:paraId="66CE4795" w14:textId="58CB1993" w:rsidR="00171169" w:rsidRPr="00171169" w:rsidRDefault="00761556" w:rsidP="00E8625F">
            <w:pPr>
              <w:jc w:val="right"/>
              <w:rPr>
                <w:rFonts w:ascii="Calibri" w:hAnsi="Calibri"/>
                <w:color w:val="000000"/>
                <w:lang w:eastAsia="en-GB"/>
              </w:rPr>
            </w:pPr>
            <w:r>
              <w:rPr>
                <w:rFonts w:ascii="Calibri" w:hAnsi="Calibri"/>
                <w:color w:val="000000"/>
                <w:lang w:eastAsia="en-GB"/>
              </w:rPr>
              <w:t>1</w:t>
            </w:r>
            <w:r w:rsidR="00E93FEF">
              <w:rPr>
                <w:rFonts w:ascii="Calibri" w:hAnsi="Calibri"/>
                <w:color w:val="000000"/>
                <w:lang w:eastAsia="en-GB"/>
              </w:rPr>
              <w:t>05</w:t>
            </w:r>
          </w:p>
        </w:tc>
        <w:tc>
          <w:tcPr>
            <w:tcW w:w="851" w:type="dxa"/>
            <w:tcBorders>
              <w:top w:val="nil"/>
              <w:left w:val="nil"/>
              <w:bottom w:val="single" w:sz="4" w:space="0" w:color="FFFFFF"/>
              <w:right w:val="single" w:sz="4" w:space="0" w:color="FFFFFF"/>
            </w:tcBorders>
            <w:shd w:val="clear" w:color="000000" w:fill="D8E4BC"/>
            <w:noWrap/>
            <w:vAlign w:val="center"/>
          </w:tcPr>
          <w:p w14:paraId="129D1212" w14:textId="17E52DC9" w:rsidR="00171169" w:rsidRPr="00171169" w:rsidRDefault="00DA5ED4" w:rsidP="00171169">
            <w:pPr>
              <w:jc w:val="right"/>
              <w:rPr>
                <w:rFonts w:ascii="Calibri" w:hAnsi="Calibri"/>
                <w:color w:val="000000"/>
                <w:lang w:eastAsia="en-GB"/>
              </w:rPr>
            </w:pPr>
            <w:r>
              <w:rPr>
                <w:rFonts w:ascii="Calibri" w:hAnsi="Calibri"/>
                <w:color w:val="000000"/>
                <w:lang w:eastAsia="en-GB"/>
              </w:rPr>
              <w:t>153</w:t>
            </w:r>
          </w:p>
        </w:tc>
        <w:tc>
          <w:tcPr>
            <w:tcW w:w="4734" w:type="dxa"/>
            <w:tcBorders>
              <w:top w:val="nil"/>
              <w:left w:val="nil"/>
              <w:bottom w:val="single" w:sz="4" w:space="0" w:color="FFFFFF"/>
              <w:right w:val="single" w:sz="4" w:space="0" w:color="FFFFFF"/>
            </w:tcBorders>
            <w:shd w:val="clear" w:color="000000" w:fill="EBF1DE"/>
            <w:vAlign w:val="center"/>
            <w:hideMark/>
          </w:tcPr>
          <w:p w14:paraId="2ECB0871" w14:textId="3F44581E" w:rsidR="00171169" w:rsidRPr="00171169" w:rsidRDefault="009257BB" w:rsidP="00E2539B">
            <w:pPr>
              <w:rPr>
                <w:rFonts w:ascii="Calibri" w:hAnsi="Calibri"/>
                <w:color w:val="000000"/>
                <w:lang w:eastAsia="en-GB"/>
              </w:rPr>
            </w:pPr>
            <w:r>
              <w:rPr>
                <w:rFonts w:ascii="Calibri" w:hAnsi="Calibri"/>
                <w:color w:val="000000"/>
                <w:lang w:eastAsia="en-GB"/>
              </w:rPr>
              <w:t xml:space="preserve">Special Expenses </w:t>
            </w:r>
            <w:r w:rsidR="00E2539B">
              <w:rPr>
                <w:rFonts w:ascii="Calibri" w:hAnsi="Calibri"/>
                <w:color w:val="000000"/>
                <w:lang w:eastAsia="en-GB"/>
              </w:rPr>
              <w:t>-</w:t>
            </w:r>
            <w:r>
              <w:rPr>
                <w:rFonts w:ascii="Calibri" w:hAnsi="Calibri"/>
                <w:color w:val="000000"/>
                <w:lang w:eastAsia="en-GB"/>
              </w:rPr>
              <w:t xml:space="preserve"> Plac</w:t>
            </w:r>
            <w:r w:rsidR="00E8625F">
              <w:rPr>
                <w:rFonts w:ascii="Calibri" w:hAnsi="Calibri"/>
                <w:color w:val="000000"/>
                <w:lang w:eastAsia="en-GB"/>
              </w:rPr>
              <w:t>e Priority</w:t>
            </w:r>
          </w:p>
        </w:tc>
        <w:tc>
          <w:tcPr>
            <w:tcW w:w="473" w:type="dxa"/>
            <w:tcBorders>
              <w:top w:val="nil"/>
              <w:left w:val="nil"/>
              <w:bottom w:val="single" w:sz="4" w:space="0" w:color="FFFFFF"/>
              <w:right w:val="single" w:sz="4" w:space="0" w:color="FFFFFF"/>
            </w:tcBorders>
            <w:shd w:val="clear" w:color="000000" w:fill="EBF1DE"/>
            <w:noWrap/>
            <w:vAlign w:val="center"/>
            <w:hideMark/>
          </w:tcPr>
          <w:p w14:paraId="3E0FB0F7"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single" w:sz="4" w:space="0" w:color="FFFFFF"/>
              <w:right w:val="single" w:sz="4" w:space="0" w:color="FFFFFF"/>
            </w:tcBorders>
            <w:shd w:val="clear" w:color="000000" w:fill="EBF1DE"/>
            <w:noWrap/>
            <w:vAlign w:val="center"/>
          </w:tcPr>
          <w:p w14:paraId="7B04CC5E" w14:textId="4D4979E2" w:rsidR="00171169" w:rsidRPr="00171169" w:rsidRDefault="001F70E0" w:rsidP="00D57977">
            <w:pPr>
              <w:jc w:val="right"/>
              <w:rPr>
                <w:rFonts w:ascii="Calibri" w:hAnsi="Calibri"/>
                <w:color w:val="000000"/>
                <w:lang w:eastAsia="en-GB"/>
              </w:rPr>
            </w:pPr>
            <w:r>
              <w:rPr>
                <w:rFonts w:ascii="Calibri" w:hAnsi="Calibri"/>
                <w:color w:val="000000"/>
                <w:lang w:eastAsia="en-GB"/>
              </w:rPr>
              <w:t>279</w:t>
            </w:r>
          </w:p>
        </w:tc>
        <w:tc>
          <w:tcPr>
            <w:tcW w:w="992" w:type="dxa"/>
            <w:tcBorders>
              <w:top w:val="nil"/>
              <w:left w:val="nil"/>
              <w:bottom w:val="single" w:sz="4" w:space="0" w:color="FFFFFF"/>
              <w:right w:val="single" w:sz="4" w:space="0" w:color="FFFFFF"/>
            </w:tcBorders>
            <w:shd w:val="clear" w:color="000000" w:fill="EBF1DE"/>
            <w:noWrap/>
            <w:vAlign w:val="center"/>
          </w:tcPr>
          <w:p w14:paraId="02212DC9" w14:textId="1153EF50" w:rsidR="00171169" w:rsidRPr="00171169" w:rsidRDefault="001F70E0" w:rsidP="00D57977">
            <w:pPr>
              <w:jc w:val="right"/>
              <w:rPr>
                <w:rFonts w:ascii="Calibri" w:hAnsi="Calibri"/>
                <w:color w:val="000000"/>
                <w:lang w:eastAsia="en-GB"/>
              </w:rPr>
            </w:pPr>
            <w:r>
              <w:rPr>
                <w:rFonts w:ascii="Calibri" w:hAnsi="Calibri"/>
                <w:color w:val="000000"/>
                <w:lang w:eastAsia="en-GB"/>
              </w:rPr>
              <w:t>113</w:t>
            </w:r>
          </w:p>
        </w:tc>
        <w:tc>
          <w:tcPr>
            <w:tcW w:w="880" w:type="dxa"/>
            <w:tcBorders>
              <w:top w:val="nil"/>
              <w:left w:val="nil"/>
              <w:bottom w:val="single" w:sz="4" w:space="0" w:color="FFFFFF"/>
              <w:right w:val="single" w:sz="4" w:space="0" w:color="FFFFFF"/>
            </w:tcBorders>
            <w:shd w:val="clear" w:color="000000" w:fill="D8E4BC"/>
            <w:noWrap/>
            <w:vAlign w:val="center"/>
          </w:tcPr>
          <w:p w14:paraId="4DE62068" w14:textId="411BAB44" w:rsidR="00171169" w:rsidRPr="00171169" w:rsidRDefault="001F70E0" w:rsidP="00790D47">
            <w:pPr>
              <w:jc w:val="right"/>
              <w:rPr>
                <w:rFonts w:ascii="Calibri" w:hAnsi="Calibri"/>
                <w:color w:val="000000"/>
                <w:lang w:eastAsia="en-GB"/>
              </w:rPr>
            </w:pPr>
            <w:r>
              <w:rPr>
                <w:rFonts w:ascii="Calibri" w:hAnsi="Calibri"/>
                <w:color w:val="000000"/>
                <w:lang w:eastAsia="en-GB"/>
              </w:rPr>
              <w:t>166</w:t>
            </w:r>
          </w:p>
        </w:tc>
      </w:tr>
      <w:tr w:rsidR="00171169" w:rsidRPr="00171169" w14:paraId="7574CDF3" w14:textId="77777777" w:rsidTr="0093059F">
        <w:trPr>
          <w:trHeight w:val="255"/>
        </w:trPr>
        <w:tc>
          <w:tcPr>
            <w:tcW w:w="902" w:type="dxa"/>
            <w:tcBorders>
              <w:top w:val="nil"/>
              <w:left w:val="single" w:sz="4" w:space="0" w:color="FFFFFF"/>
              <w:bottom w:val="single" w:sz="4" w:space="0" w:color="FFFFFF"/>
              <w:right w:val="single" w:sz="4" w:space="0" w:color="FFFFFF"/>
            </w:tcBorders>
            <w:shd w:val="clear" w:color="000000" w:fill="D8E4BC"/>
            <w:noWrap/>
            <w:vAlign w:val="center"/>
            <w:hideMark/>
          </w:tcPr>
          <w:p w14:paraId="1BB555C7" w14:textId="573004F0" w:rsidR="00171169" w:rsidRPr="00171169" w:rsidRDefault="009257BB" w:rsidP="009257BB">
            <w:pPr>
              <w:jc w:val="right"/>
              <w:rPr>
                <w:rFonts w:ascii="Calibri" w:hAnsi="Calibri"/>
                <w:b/>
                <w:bCs/>
                <w:color w:val="000000"/>
                <w:lang w:eastAsia="en-GB"/>
              </w:rPr>
            </w:pPr>
            <w:r>
              <w:rPr>
                <w:rFonts w:ascii="Calibri" w:hAnsi="Calibri"/>
                <w:b/>
                <w:bCs/>
                <w:color w:val="000000"/>
                <w:lang w:eastAsia="en-GB"/>
              </w:rPr>
              <w:t>2</w:t>
            </w:r>
            <w:r w:rsidR="00DA5ED4">
              <w:rPr>
                <w:rFonts w:ascii="Calibri" w:hAnsi="Calibri"/>
                <w:b/>
                <w:bCs/>
                <w:color w:val="000000"/>
                <w:lang w:eastAsia="en-GB"/>
              </w:rPr>
              <w:t>7,212</w:t>
            </w:r>
          </w:p>
        </w:tc>
        <w:tc>
          <w:tcPr>
            <w:tcW w:w="941" w:type="dxa"/>
            <w:tcBorders>
              <w:top w:val="nil"/>
              <w:left w:val="nil"/>
              <w:bottom w:val="single" w:sz="4" w:space="0" w:color="FFFFFF"/>
              <w:right w:val="single" w:sz="4" w:space="0" w:color="FFFFFF"/>
            </w:tcBorders>
            <w:shd w:val="clear" w:color="000000" w:fill="D8E4BC"/>
            <w:noWrap/>
            <w:vAlign w:val="center"/>
            <w:hideMark/>
          </w:tcPr>
          <w:p w14:paraId="16A8675F" w14:textId="33F063E5" w:rsidR="00171169" w:rsidRPr="00171169" w:rsidRDefault="00E93FEF" w:rsidP="00E8625F">
            <w:pPr>
              <w:jc w:val="right"/>
              <w:rPr>
                <w:rFonts w:ascii="Calibri" w:hAnsi="Calibri"/>
                <w:b/>
                <w:bCs/>
                <w:color w:val="000000"/>
                <w:lang w:eastAsia="en-GB"/>
              </w:rPr>
            </w:pPr>
            <w:r>
              <w:rPr>
                <w:rFonts w:ascii="Calibri" w:hAnsi="Calibri"/>
                <w:b/>
                <w:bCs/>
                <w:color w:val="000000"/>
                <w:lang w:eastAsia="en-GB"/>
              </w:rPr>
              <w:t>2</w:t>
            </w:r>
            <w:r w:rsidR="00DA5ED4">
              <w:rPr>
                <w:rFonts w:ascii="Calibri" w:hAnsi="Calibri"/>
                <w:b/>
                <w:bCs/>
                <w:color w:val="000000"/>
                <w:lang w:eastAsia="en-GB"/>
              </w:rPr>
              <w:t>2,529</w:t>
            </w:r>
          </w:p>
        </w:tc>
        <w:tc>
          <w:tcPr>
            <w:tcW w:w="851" w:type="dxa"/>
            <w:tcBorders>
              <w:top w:val="nil"/>
              <w:left w:val="nil"/>
              <w:bottom w:val="single" w:sz="4" w:space="0" w:color="FFFFFF"/>
              <w:right w:val="single" w:sz="4" w:space="0" w:color="FFFFFF"/>
            </w:tcBorders>
            <w:shd w:val="clear" w:color="000000" w:fill="D8E4BC"/>
            <w:noWrap/>
            <w:vAlign w:val="center"/>
            <w:hideMark/>
          </w:tcPr>
          <w:p w14:paraId="55926434" w14:textId="3D7DABC9" w:rsidR="00171169" w:rsidRPr="00171169" w:rsidRDefault="00DA5ED4" w:rsidP="00194A32">
            <w:pPr>
              <w:jc w:val="right"/>
              <w:rPr>
                <w:rFonts w:ascii="Calibri" w:hAnsi="Calibri"/>
                <w:b/>
                <w:bCs/>
                <w:color w:val="000000"/>
                <w:lang w:eastAsia="en-GB"/>
              </w:rPr>
            </w:pPr>
            <w:r>
              <w:rPr>
                <w:rFonts w:ascii="Calibri" w:hAnsi="Calibri"/>
                <w:b/>
                <w:bCs/>
                <w:color w:val="000000"/>
                <w:lang w:eastAsia="en-GB"/>
              </w:rPr>
              <w:t>4,683</w:t>
            </w:r>
          </w:p>
        </w:tc>
        <w:tc>
          <w:tcPr>
            <w:tcW w:w="4734" w:type="dxa"/>
            <w:tcBorders>
              <w:top w:val="nil"/>
              <w:left w:val="nil"/>
              <w:bottom w:val="single" w:sz="4" w:space="0" w:color="FFFFFF"/>
              <w:right w:val="single" w:sz="4" w:space="0" w:color="FFFFFF"/>
            </w:tcBorders>
            <w:shd w:val="clear" w:color="000000" w:fill="D8E4BC"/>
            <w:noWrap/>
            <w:vAlign w:val="center"/>
            <w:hideMark/>
          </w:tcPr>
          <w:p w14:paraId="6C1AFDAC" w14:textId="77777777" w:rsidR="00171169" w:rsidRPr="00171169" w:rsidRDefault="00226F9B" w:rsidP="00171169">
            <w:pPr>
              <w:rPr>
                <w:rFonts w:ascii="Calibri" w:hAnsi="Calibri"/>
                <w:b/>
                <w:bCs/>
                <w:color w:val="000000"/>
                <w:lang w:eastAsia="en-GB"/>
              </w:rPr>
            </w:pPr>
            <w:r>
              <w:rPr>
                <w:rFonts w:ascii="Calibri" w:hAnsi="Calibri"/>
                <w:b/>
                <w:bCs/>
                <w:color w:val="000000"/>
                <w:lang w:eastAsia="en-GB"/>
              </w:rPr>
              <w:t xml:space="preserve">Net </w:t>
            </w:r>
            <w:r w:rsidR="00171169" w:rsidRPr="00171169">
              <w:rPr>
                <w:rFonts w:ascii="Calibri" w:hAnsi="Calibri"/>
                <w:b/>
                <w:bCs/>
                <w:color w:val="000000"/>
                <w:lang w:eastAsia="en-GB"/>
              </w:rPr>
              <w:t>Cost of Services</w:t>
            </w:r>
          </w:p>
        </w:tc>
        <w:tc>
          <w:tcPr>
            <w:tcW w:w="473" w:type="dxa"/>
            <w:tcBorders>
              <w:top w:val="nil"/>
              <w:left w:val="nil"/>
              <w:bottom w:val="single" w:sz="4" w:space="0" w:color="FFFFFF"/>
              <w:right w:val="single" w:sz="4" w:space="0" w:color="FFFFFF"/>
            </w:tcBorders>
            <w:shd w:val="clear" w:color="auto" w:fill="EAF1DD" w:themeFill="accent3" w:themeFillTint="33"/>
            <w:noWrap/>
            <w:vAlign w:val="center"/>
            <w:hideMark/>
          </w:tcPr>
          <w:p w14:paraId="6282A711" w14:textId="77777777" w:rsidR="00171169" w:rsidRPr="00171169" w:rsidRDefault="00171169" w:rsidP="00171169">
            <w:pPr>
              <w:jc w:val="right"/>
              <w:rPr>
                <w:rFonts w:ascii="Calibri" w:hAnsi="Calibri"/>
                <w:b/>
                <w:bCs/>
                <w:color w:val="000000"/>
                <w:lang w:eastAsia="en-GB"/>
              </w:rPr>
            </w:pPr>
            <w:r w:rsidRPr="00171169">
              <w:rPr>
                <w:rFonts w:ascii="Calibri" w:hAnsi="Calibri"/>
                <w:b/>
                <w:bCs/>
                <w:color w:val="000000"/>
                <w:lang w:eastAsia="en-GB"/>
              </w:rPr>
              <w:t> </w:t>
            </w:r>
          </w:p>
        </w:tc>
        <w:tc>
          <w:tcPr>
            <w:tcW w:w="888" w:type="dxa"/>
            <w:tcBorders>
              <w:top w:val="nil"/>
              <w:left w:val="nil"/>
              <w:bottom w:val="single" w:sz="4" w:space="0" w:color="FFFFFF"/>
              <w:right w:val="single" w:sz="4" w:space="0" w:color="FFFFFF"/>
            </w:tcBorders>
            <w:shd w:val="clear" w:color="000000" w:fill="D8E4BC"/>
            <w:noWrap/>
            <w:vAlign w:val="center"/>
          </w:tcPr>
          <w:p w14:paraId="4950337B" w14:textId="69D96A24" w:rsidR="00171169" w:rsidRPr="00171169" w:rsidRDefault="001F70E0" w:rsidP="00193DED">
            <w:pPr>
              <w:jc w:val="right"/>
              <w:rPr>
                <w:rFonts w:ascii="Calibri" w:hAnsi="Calibri"/>
                <w:b/>
                <w:bCs/>
                <w:color w:val="000000"/>
                <w:lang w:eastAsia="en-GB"/>
              </w:rPr>
            </w:pPr>
            <w:r>
              <w:rPr>
                <w:rFonts w:ascii="Calibri" w:hAnsi="Calibri"/>
                <w:b/>
                <w:bCs/>
                <w:color w:val="000000"/>
                <w:lang w:eastAsia="en-GB"/>
              </w:rPr>
              <w:t>27,141</w:t>
            </w:r>
          </w:p>
        </w:tc>
        <w:tc>
          <w:tcPr>
            <w:tcW w:w="992" w:type="dxa"/>
            <w:tcBorders>
              <w:top w:val="nil"/>
              <w:left w:val="nil"/>
              <w:bottom w:val="single" w:sz="4" w:space="0" w:color="FFFFFF"/>
              <w:right w:val="single" w:sz="4" w:space="0" w:color="FFFFFF"/>
            </w:tcBorders>
            <w:shd w:val="clear" w:color="000000" w:fill="D8E4BC"/>
            <w:noWrap/>
            <w:vAlign w:val="center"/>
          </w:tcPr>
          <w:p w14:paraId="24D3DCA3" w14:textId="0A69627B" w:rsidR="00171169" w:rsidRPr="00171169" w:rsidRDefault="001F70E0" w:rsidP="00A545B5">
            <w:pPr>
              <w:jc w:val="right"/>
              <w:rPr>
                <w:rFonts w:ascii="Calibri" w:hAnsi="Calibri"/>
                <w:b/>
                <w:bCs/>
                <w:color w:val="000000"/>
                <w:lang w:eastAsia="en-GB"/>
              </w:rPr>
            </w:pPr>
            <w:r>
              <w:rPr>
                <w:rFonts w:ascii="Calibri" w:hAnsi="Calibri"/>
                <w:b/>
                <w:bCs/>
                <w:color w:val="000000"/>
                <w:lang w:eastAsia="en-GB"/>
              </w:rPr>
              <w:t>19,379</w:t>
            </w:r>
          </w:p>
        </w:tc>
        <w:tc>
          <w:tcPr>
            <w:tcW w:w="880" w:type="dxa"/>
            <w:tcBorders>
              <w:top w:val="nil"/>
              <w:left w:val="nil"/>
              <w:bottom w:val="single" w:sz="4" w:space="0" w:color="FFFFFF"/>
              <w:right w:val="single" w:sz="4" w:space="0" w:color="FFFFFF"/>
            </w:tcBorders>
            <w:shd w:val="clear" w:color="000000" w:fill="D8E4BC"/>
            <w:noWrap/>
            <w:vAlign w:val="center"/>
          </w:tcPr>
          <w:p w14:paraId="6EC422B8" w14:textId="475FB06A" w:rsidR="00171169" w:rsidRPr="00171169" w:rsidRDefault="001F70E0" w:rsidP="00193DED">
            <w:pPr>
              <w:jc w:val="right"/>
              <w:rPr>
                <w:rFonts w:ascii="Calibri" w:hAnsi="Calibri"/>
                <w:b/>
                <w:bCs/>
                <w:color w:val="000000"/>
                <w:lang w:eastAsia="en-GB"/>
              </w:rPr>
            </w:pPr>
            <w:r>
              <w:rPr>
                <w:rFonts w:ascii="Calibri" w:hAnsi="Calibri"/>
                <w:b/>
                <w:bCs/>
                <w:color w:val="000000"/>
                <w:lang w:eastAsia="en-GB"/>
              </w:rPr>
              <w:t>7,762</w:t>
            </w:r>
          </w:p>
        </w:tc>
      </w:tr>
      <w:tr w:rsidR="00171169" w:rsidRPr="00171169" w14:paraId="4338672A" w14:textId="77777777" w:rsidTr="0093059F">
        <w:trPr>
          <w:trHeight w:val="255"/>
        </w:trPr>
        <w:tc>
          <w:tcPr>
            <w:tcW w:w="902" w:type="dxa"/>
            <w:tcBorders>
              <w:top w:val="nil"/>
              <w:left w:val="nil"/>
              <w:bottom w:val="nil"/>
              <w:right w:val="nil"/>
            </w:tcBorders>
            <w:shd w:val="clear" w:color="000000" w:fill="EBF1DE"/>
            <w:noWrap/>
            <w:vAlign w:val="center"/>
            <w:hideMark/>
          </w:tcPr>
          <w:p w14:paraId="1D0DCCB4"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941" w:type="dxa"/>
            <w:tcBorders>
              <w:top w:val="nil"/>
              <w:left w:val="nil"/>
              <w:bottom w:val="nil"/>
              <w:right w:val="nil"/>
            </w:tcBorders>
            <w:shd w:val="clear" w:color="000000" w:fill="EBF1DE"/>
            <w:noWrap/>
            <w:vAlign w:val="center"/>
            <w:hideMark/>
          </w:tcPr>
          <w:p w14:paraId="3572DEBF"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12D8188F" w14:textId="444056B7" w:rsidR="00171169" w:rsidRPr="00171169" w:rsidRDefault="00DA5ED4" w:rsidP="00B65BF1">
            <w:pPr>
              <w:jc w:val="right"/>
              <w:rPr>
                <w:rFonts w:ascii="Calibri" w:hAnsi="Calibri"/>
                <w:color w:val="000000"/>
                <w:lang w:eastAsia="en-GB"/>
              </w:rPr>
            </w:pPr>
            <w:r>
              <w:rPr>
                <w:rFonts w:ascii="Calibri" w:hAnsi="Calibri"/>
                <w:color w:val="000000"/>
                <w:lang w:eastAsia="en-GB"/>
              </w:rPr>
              <w:t>725</w:t>
            </w:r>
          </w:p>
        </w:tc>
        <w:tc>
          <w:tcPr>
            <w:tcW w:w="4734" w:type="dxa"/>
            <w:tcBorders>
              <w:top w:val="nil"/>
              <w:left w:val="nil"/>
              <w:bottom w:val="single" w:sz="4" w:space="0" w:color="FFFFFF"/>
              <w:right w:val="single" w:sz="4" w:space="0" w:color="FFFFFF"/>
            </w:tcBorders>
            <w:shd w:val="clear" w:color="000000" w:fill="EBF1DE"/>
            <w:noWrap/>
            <w:vAlign w:val="center"/>
            <w:hideMark/>
          </w:tcPr>
          <w:p w14:paraId="0732F142"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Other Operating Expenditure</w:t>
            </w:r>
          </w:p>
        </w:tc>
        <w:tc>
          <w:tcPr>
            <w:tcW w:w="473" w:type="dxa"/>
            <w:tcBorders>
              <w:top w:val="nil"/>
              <w:left w:val="nil"/>
              <w:bottom w:val="single" w:sz="4" w:space="0" w:color="FFFFFF"/>
              <w:right w:val="single" w:sz="4" w:space="0" w:color="FFFFFF"/>
            </w:tcBorders>
            <w:shd w:val="clear" w:color="000000" w:fill="EBF1DE"/>
            <w:noWrap/>
            <w:vAlign w:val="center"/>
            <w:hideMark/>
          </w:tcPr>
          <w:p w14:paraId="485E1325" w14:textId="15435584" w:rsidR="00171169" w:rsidRPr="00171169" w:rsidRDefault="00397E37" w:rsidP="00171169">
            <w:pPr>
              <w:jc w:val="right"/>
              <w:rPr>
                <w:rFonts w:ascii="Calibri" w:hAnsi="Calibri"/>
                <w:color w:val="000000"/>
                <w:lang w:eastAsia="en-GB"/>
              </w:rPr>
            </w:pPr>
            <w:r>
              <w:rPr>
                <w:rFonts w:ascii="Calibri" w:hAnsi="Calibri"/>
                <w:color w:val="000000"/>
                <w:lang w:eastAsia="en-GB"/>
              </w:rPr>
              <w:t>5</w:t>
            </w:r>
          </w:p>
        </w:tc>
        <w:tc>
          <w:tcPr>
            <w:tcW w:w="888" w:type="dxa"/>
            <w:tcBorders>
              <w:top w:val="nil"/>
              <w:left w:val="nil"/>
              <w:bottom w:val="nil"/>
              <w:right w:val="nil"/>
            </w:tcBorders>
            <w:shd w:val="clear" w:color="000000" w:fill="EBF1DE"/>
            <w:noWrap/>
            <w:vAlign w:val="center"/>
          </w:tcPr>
          <w:p w14:paraId="5C1145AF" w14:textId="77777777" w:rsidR="00171169" w:rsidRPr="00171169" w:rsidRDefault="00171169" w:rsidP="00171169">
            <w:pPr>
              <w:jc w:val="right"/>
              <w:rPr>
                <w:rFonts w:ascii="Calibri" w:hAnsi="Calibri"/>
                <w:color w:val="000000"/>
                <w:lang w:eastAsia="en-GB"/>
              </w:rPr>
            </w:pPr>
          </w:p>
        </w:tc>
        <w:tc>
          <w:tcPr>
            <w:tcW w:w="992" w:type="dxa"/>
            <w:tcBorders>
              <w:top w:val="nil"/>
              <w:left w:val="nil"/>
              <w:bottom w:val="nil"/>
              <w:right w:val="nil"/>
            </w:tcBorders>
            <w:shd w:val="clear" w:color="000000" w:fill="EBF1DE"/>
            <w:noWrap/>
            <w:vAlign w:val="center"/>
          </w:tcPr>
          <w:p w14:paraId="1DAB4336" w14:textId="77777777" w:rsidR="00171169" w:rsidRPr="00171169" w:rsidRDefault="00171169" w:rsidP="00171169">
            <w:pPr>
              <w:jc w:val="right"/>
              <w:rPr>
                <w:rFonts w:ascii="Calibri" w:hAnsi="Calibri"/>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4E3E3307" w14:textId="6BB1D865" w:rsidR="00171169" w:rsidRPr="00171169" w:rsidRDefault="001F70E0" w:rsidP="00436CCB">
            <w:pPr>
              <w:jc w:val="right"/>
              <w:rPr>
                <w:rFonts w:ascii="Calibri" w:hAnsi="Calibri"/>
                <w:color w:val="000000"/>
                <w:lang w:eastAsia="en-GB"/>
              </w:rPr>
            </w:pPr>
            <w:r>
              <w:rPr>
                <w:rFonts w:ascii="Calibri" w:hAnsi="Calibri"/>
                <w:color w:val="000000"/>
                <w:lang w:eastAsia="en-GB"/>
              </w:rPr>
              <w:t>656</w:t>
            </w:r>
          </w:p>
        </w:tc>
      </w:tr>
      <w:tr w:rsidR="00171169" w:rsidRPr="00171169" w14:paraId="7010A211" w14:textId="77777777" w:rsidTr="0093059F">
        <w:trPr>
          <w:trHeight w:val="255"/>
        </w:trPr>
        <w:tc>
          <w:tcPr>
            <w:tcW w:w="902" w:type="dxa"/>
            <w:tcBorders>
              <w:top w:val="nil"/>
              <w:left w:val="nil"/>
              <w:bottom w:val="nil"/>
              <w:right w:val="nil"/>
            </w:tcBorders>
            <w:shd w:val="clear" w:color="000000" w:fill="EBF1DE"/>
            <w:noWrap/>
            <w:vAlign w:val="center"/>
            <w:hideMark/>
          </w:tcPr>
          <w:p w14:paraId="65DA8501"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941" w:type="dxa"/>
            <w:tcBorders>
              <w:top w:val="nil"/>
              <w:left w:val="nil"/>
              <w:bottom w:val="nil"/>
              <w:right w:val="nil"/>
            </w:tcBorders>
            <w:shd w:val="clear" w:color="000000" w:fill="EBF1DE"/>
            <w:noWrap/>
            <w:vAlign w:val="center"/>
            <w:hideMark/>
          </w:tcPr>
          <w:p w14:paraId="0B2D73E6"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69C3EDAF" w14:textId="2F50E8F4" w:rsidR="00171169" w:rsidRPr="00171169" w:rsidRDefault="00761556" w:rsidP="009257BB">
            <w:pPr>
              <w:jc w:val="right"/>
              <w:rPr>
                <w:rFonts w:ascii="Calibri" w:hAnsi="Calibri"/>
                <w:color w:val="000000"/>
                <w:lang w:eastAsia="en-GB"/>
              </w:rPr>
            </w:pPr>
            <w:r>
              <w:rPr>
                <w:rFonts w:ascii="Calibri" w:hAnsi="Calibri"/>
                <w:color w:val="000000"/>
                <w:lang w:eastAsia="en-GB"/>
              </w:rPr>
              <w:t>1,</w:t>
            </w:r>
            <w:r w:rsidR="00DA5ED4">
              <w:rPr>
                <w:rFonts w:ascii="Calibri" w:hAnsi="Calibri"/>
                <w:color w:val="000000"/>
                <w:lang w:eastAsia="en-GB"/>
              </w:rPr>
              <w:t>262</w:t>
            </w:r>
          </w:p>
        </w:tc>
        <w:tc>
          <w:tcPr>
            <w:tcW w:w="4734" w:type="dxa"/>
            <w:tcBorders>
              <w:top w:val="nil"/>
              <w:left w:val="nil"/>
              <w:bottom w:val="single" w:sz="4" w:space="0" w:color="FFFFFF"/>
              <w:right w:val="single" w:sz="4" w:space="0" w:color="FFFFFF"/>
            </w:tcBorders>
            <w:shd w:val="clear" w:color="000000" w:fill="EBF1DE"/>
            <w:noWrap/>
            <w:vAlign w:val="center"/>
            <w:hideMark/>
          </w:tcPr>
          <w:p w14:paraId="1C823615" w14:textId="7B7F417B" w:rsidR="00171169" w:rsidRPr="00171169" w:rsidRDefault="00171169" w:rsidP="00171169">
            <w:pPr>
              <w:rPr>
                <w:rFonts w:ascii="Calibri" w:hAnsi="Calibri"/>
                <w:color w:val="000000"/>
                <w:lang w:eastAsia="en-GB"/>
              </w:rPr>
            </w:pPr>
            <w:r w:rsidRPr="00171169">
              <w:rPr>
                <w:rFonts w:ascii="Calibri" w:hAnsi="Calibri"/>
                <w:color w:val="000000"/>
                <w:lang w:eastAsia="en-GB"/>
              </w:rPr>
              <w:t xml:space="preserve">Financing </w:t>
            </w:r>
            <w:r w:rsidR="00704A70">
              <w:rPr>
                <w:rFonts w:ascii="Calibri" w:hAnsi="Calibri"/>
                <w:color w:val="000000"/>
                <w:lang w:eastAsia="en-GB"/>
              </w:rPr>
              <w:t>and</w:t>
            </w:r>
            <w:r w:rsidRPr="00171169">
              <w:rPr>
                <w:rFonts w:ascii="Calibri" w:hAnsi="Calibri"/>
                <w:color w:val="000000"/>
                <w:lang w:eastAsia="en-GB"/>
              </w:rPr>
              <w:t xml:space="preserve"> Investment Income </w:t>
            </w:r>
            <w:r w:rsidR="00704A70">
              <w:rPr>
                <w:rFonts w:ascii="Calibri" w:hAnsi="Calibri"/>
                <w:color w:val="000000"/>
                <w:lang w:eastAsia="en-GB"/>
              </w:rPr>
              <w:t>and</w:t>
            </w:r>
            <w:r w:rsidRPr="00171169">
              <w:rPr>
                <w:rFonts w:ascii="Calibri" w:hAnsi="Calibri"/>
                <w:color w:val="000000"/>
                <w:lang w:eastAsia="en-GB"/>
              </w:rPr>
              <w:t xml:space="preserve"> Expenditure</w:t>
            </w:r>
          </w:p>
        </w:tc>
        <w:tc>
          <w:tcPr>
            <w:tcW w:w="473" w:type="dxa"/>
            <w:tcBorders>
              <w:top w:val="nil"/>
              <w:left w:val="nil"/>
              <w:bottom w:val="single" w:sz="4" w:space="0" w:color="FFFFFF"/>
              <w:right w:val="single" w:sz="4" w:space="0" w:color="FFFFFF"/>
            </w:tcBorders>
            <w:shd w:val="clear" w:color="000000" w:fill="EBF1DE"/>
            <w:noWrap/>
            <w:vAlign w:val="center"/>
            <w:hideMark/>
          </w:tcPr>
          <w:p w14:paraId="4A617F7F" w14:textId="04FF7718" w:rsidR="00171169" w:rsidRPr="00171169" w:rsidRDefault="00397E37" w:rsidP="00171169">
            <w:pPr>
              <w:jc w:val="right"/>
              <w:rPr>
                <w:rFonts w:ascii="Calibri" w:hAnsi="Calibri"/>
                <w:color w:val="000000"/>
                <w:lang w:eastAsia="en-GB"/>
              </w:rPr>
            </w:pPr>
            <w:r>
              <w:rPr>
                <w:rFonts w:ascii="Calibri" w:hAnsi="Calibri"/>
                <w:color w:val="000000"/>
                <w:lang w:eastAsia="en-GB"/>
              </w:rPr>
              <w:t>6</w:t>
            </w:r>
          </w:p>
        </w:tc>
        <w:tc>
          <w:tcPr>
            <w:tcW w:w="888" w:type="dxa"/>
            <w:tcBorders>
              <w:top w:val="nil"/>
              <w:left w:val="nil"/>
              <w:bottom w:val="nil"/>
              <w:right w:val="nil"/>
            </w:tcBorders>
            <w:shd w:val="clear" w:color="000000" w:fill="EBF1DE"/>
            <w:noWrap/>
            <w:vAlign w:val="center"/>
          </w:tcPr>
          <w:p w14:paraId="19650A00" w14:textId="77777777" w:rsidR="00171169" w:rsidRPr="00171169" w:rsidRDefault="00171169" w:rsidP="00171169">
            <w:pPr>
              <w:jc w:val="right"/>
              <w:rPr>
                <w:rFonts w:ascii="Calibri" w:hAnsi="Calibri"/>
                <w:color w:val="000000"/>
                <w:lang w:eastAsia="en-GB"/>
              </w:rPr>
            </w:pPr>
          </w:p>
        </w:tc>
        <w:tc>
          <w:tcPr>
            <w:tcW w:w="992" w:type="dxa"/>
            <w:tcBorders>
              <w:top w:val="nil"/>
              <w:left w:val="nil"/>
              <w:bottom w:val="nil"/>
              <w:right w:val="nil"/>
            </w:tcBorders>
            <w:shd w:val="clear" w:color="000000" w:fill="EBF1DE"/>
            <w:noWrap/>
            <w:vAlign w:val="center"/>
          </w:tcPr>
          <w:p w14:paraId="543D53D4" w14:textId="77777777" w:rsidR="00171169" w:rsidRPr="00171169" w:rsidRDefault="00171169" w:rsidP="00171169">
            <w:pPr>
              <w:jc w:val="right"/>
              <w:rPr>
                <w:rFonts w:ascii="Calibri" w:hAnsi="Calibri"/>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4FC5BDD6" w14:textId="0FE53125" w:rsidR="00171169" w:rsidRPr="00171169" w:rsidRDefault="001F70E0" w:rsidP="00193DED">
            <w:pPr>
              <w:jc w:val="right"/>
              <w:rPr>
                <w:rFonts w:ascii="Calibri" w:hAnsi="Calibri"/>
                <w:color w:val="000000"/>
                <w:lang w:eastAsia="en-GB"/>
              </w:rPr>
            </w:pPr>
            <w:r>
              <w:rPr>
                <w:rFonts w:ascii="Calibri" w:hAnsi="Calibri"/>
                <w:color w:val="000000"/>
                <w:lang w:eastAsia="en-GB"/>
              </w:rPr>
              <w:t>1,476</w:t>
            </w:r>
          </w:p>
        </w:tc>
      </w:tr>
      <w:tr w:rsidR="00171169" w:rsidRPr="00171169" w14:paraId="0A4178DA" w14:textId="77777777" w:rsidTr="0093059F">
        <w:trPr>
          <w:trHeight w:val="255"/>
        </w:trPr>
        <w:tc>
          <w:tcPr>
            <w:tcW w:w="902" w:type="dxa"/>
            <w:tcBorders>
              <w:top w:val="nil"/>
              <w:left w:val="nil"/>
              <w:bottom w:val="nil"/>
              <w:right w:val="nil"/>
            </w:tcBorders>
            <w:shd w:val="clear" w:color="000000" w:fill="EBF1DE"/>
            <w:noWrap/>
            <w:vAlign w:val="center"/>
            <w:hideMark/>
          </w:tcPr>
          <w:p w14:paraId="49265286"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941" w:type="dxa"/>
            <w:tcBorders>
              <w:top w:val="nil"/>
              <w:left w:val="nil"/>
              <w:bottom w:val="nil"/>
              <w:right w:val="nil"/>
            </w:tcBorders>
            <w:shd w:val="clear" w:color="000000" w:fill="EBF1DE"/>
            <w:noWrap/>
            <w:vAlign w:val="center"/>
            <w:hideMark/>
          </w:tcPr>
          <w:p w14:paraId="5E38AB54"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3F11AEC0" w14:textId="2DA137C3" w:rsidR="00171169" w:rsidRPr="00171169" w:rsidRDefault="00220C72" w:rsidP="00171169">
            <w:pPr>
              <w:jc w:val="right"/>
              <w:rPr>
                <w:rFonts w:ascii="Calibri" w:hAnsi="Calibri"/>
                <w:color w:val="000000"/>
                <w:lang w:eastAsia="en-GB"/>
              </w:rPr>
            </w:pPr>
            <w:r>
              <w:rPr>
                <w:rFonts w:ascii="Calibri" w:hAnsi="Calibri"/>
                <w:color w:val="000000"/>
                <w:lang w:eastAsia="en-GB"/>
              </w:rPr>
              <w:t>-</w:t>
            </w:r>
            <w:r w:rsidR="00DA5ED4">
              <w:rPr>
                <w:rFonts w:ascii="Calibri" w:hAnsi="Calibri"/>
                <w:color w:val="000000"/>
                <w:lang w:eastAsia="en-GB"/>
              </w:rPr>
              <w:t>6,137</w:t>
            </w:r>
          </w:p>
        </w:tc>
        <w:tc>
          <w:tcPr>
            <w:tcW w:w="4734" w:type="dxa"/>
            <w:tcBorders>
              <w:top w:val="nil"/>
              <w:left w:val="nil"/>
              <w:bottom w:val="single" w:sz="4" w:space="0" w:color="FFFFFF"/>
              <w:right w:val="single" w:sz="4" w:space="0" w:color="FFFFFF"/>
            </w:tcBorders>
            <w:shd w:val="clear" w:color="000000" w:fill="EBF1DE"/>
            <w:noWrap/>
            <w:vAlign w:val="center"/>
            <w:hideMark/>
          </w:tcPr>
          <w:p w14:paraId="2469D18B" w14:textId="09BDAAAA" w:rsidR="00171169" w:rsidRPr="00171169" w:rsidRDefault="00171169" w:rsidP="00171169">
            <w:pPr>
              <w:rPr>
                <w:rFonts w:ascii="Calibri" w:hAnsi="Calibri"/>
                <w:color w:val="000000"/>
                <w:lang w:eastAsia="en-GB"/>
              </w:rPr>
            </w:pPr>
            <w:r w:rsidRPr="00171169">
              <w:rPr>
                <w:rFonts w:ascii="Calibri" w:hAnsi="Calibri"/>
                <w:color w:val="000000"/>
                <w:lang w:eastAsia="en-GB"/>
              </w:rPr>
              <w:t xml:space="preserve">Taxation </w:t>
            </w:r>
            <w:r w:rsidR="00704A70">
              <w:rPr>
                <w:rFonts w:ascii="Calibri" w:hAnsi="Calibri"/>
                <w:color w:val="000000"/>
                <w:lang w:eastAsia="en-GB"/>
              </w:rPr>
              <w:t>and</w:t>
            </w:r>
            <w:r w:rsidRPr="00171169">
              <w:rPr>
                <w:rFonts w:ascii="Calibri" w:hAnsi="Calibri"/>
                <w:color w:val="000000"/>
                <w:lang w:eastAsia="en-GB"/>
              </w:rPr>
              <w:t xml:space="preserve"> Non-specific grant Income</w:t>
            </w:r>
          </w:p>
        </w:tc>
        <w:tc>
          <w:tcPr>
            <w:tcW w:w="473" w:type="dxa"/>
            <w:tcBorders>
              <w:top w:val="nil"/>
              <w:left w:val="nil"/>
              <w:bottom w:val="single" w:sz="4" w:space="0" w:color="FFFFFF"/>
              <w:right w:val="single" w:sz="4" w:space="0" w:color="FFFFFF"/>
            </w:tcBorders>
            <w:shd w:val="clear" w:color="000000" w:fill="EBF1DE"/>
            <w:noWrap/>
            <w:vAlign w:val="center"/>
            <w:hideMark/>
          </w:tcPr>
          <w:p w14:paraId="0A989A84" w14:textId="632504A4" w:rsidR="00171169" w:rsidRPr="00171169" w:rsidRDefault="00397E37" w:rsidP="00171169">
            <w:pPr>
              <w:jc w:val="right"/>
              <w:rPr>
                <w:rFonts w:ascii="Calibri" w:hAnsi="Calibri"/>
                <w:color w:val="000000"/>
                <w:lang w:eastAsia="en-GB"/>
              </w:rPr>
            </w:pPr>
            <w:r>
              <w:rPr>
                <w:rFonts w:ascii="Calibri" w:hAnsi="Calibri"/>
                <w:color w:val="000000"/>
                <w:lang w:eastAsia="en-GB"/>
              </w:rPr>
              <w:t>7</w:t>
            </w:r>
          </w:p>
        </w:tc>
        <w:tc>
          <w:tcPr>
            <w:tcW w:w="888" w:type="dxa"/>
            <w:tcBorders>
              <w:top w:val="nil"/>
              <w:left w:val="nil"/>
              <w:bottom w:val="nil"/>
              <w:right w:val="nil"/>
            </w:tcBorders>
            <w:shd w:val="clear" w:color="000000" w:fill="EBF1DE"/>
            <w:noWrap/>
            <w:vAlign w:val="center"/>
          </w:tcPr>
          <w:p w14:paraId="1B6C6557" w14:textId="77777777" w:rsidR="00171169" w:rsidRPr="00171169" w:rsidRDefault="00171169" w:rsidP="00171169">
            <w:pPr>
              <w:jc w:val="right"/>
              <w:rPr>
                <w:rFonts w:ascii="Calibri" w:hAnsi="Calibri"/>
                <w:color w:val="000000"/>
                <w:lang w:eastAsia="en-GB"/>
              </w:rPr>
            </w:pPr>
          </w:p>
        </w:tc>
        <w:tc>
          <w:tcPr>
            <w:tcW w:w="992" w:type="dxa"/>
            <w:tcBorders>
              <w:top w:val="nil"/>
              <w:left w:val="nil"/>
              <w:bottom w:val="nil"/>
              <w:right w:val="nil"/>
            </w:tcBorders>
            <w:shd w:val="clear" w:color="000000" w:fill="EBF1DE"/>
            <w:noWrap/>
            <w:vAlign w:val="center"/>
          </w:tcPr>
          <w:p w14:paraId="2878749A" w14:textId="77777777" w:rsidR="00171169" w:rsidRPr="00171169" w:rsidRDefault="00171169" w:rsidP="00171169">
            <w:pPr>
              <w:jc w:val="right"/>
              <w:rPr>
                <w:rFonts w:ascii="Calibri" w:hAnsi="Calibri"/>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301E020D" w14:textId="76B85CA5" w:rsidR="00171169" w:rsidRPr="00171169" w:rsidRDefault="001F70E0" w:rsidP="00DC1AF4">
            <w:pPr>
              <w:jc w:val="right"/>
              <w:rPr>
                <w:rFonts w:ascii="Calibri" w:hAnsi="Calibri"/>
                <w:color w:val="000000"/>
                <w:lang w:eastAsia="en-GB"/>
              </w:rPr>
            </w:pPr>
            <w:r>
              <w:rPr>
                <w:rFonts w:ascii="Calibri" w:hAnsi="Calibri"/>
                <w:color w:val="000000"/>
                <w:lang w:eastAsia="en-GB"/>
              </w:rPr>
              <w:t>-6,891</w:t>
            </w:r>
          </w:p>
        </w:tc>
      </w:tr>
      <w:tr w:rsidR="00171169" w:rsidRPr="00171169" w14:paraId="3A135DFD" w14:textId="77777777" w:rsidTr="0093059F">
        <w:trPr>
          <w:trHeight w:val="255"/>
        </w:trPr>
        <w:tc>
          <w:tcPr>
            <w:tcW w:w="902" w:type="dxa"/>
            <w:tcBorders>
              <w:top w:val="nil"/>
              <w:left w:val="nil"/>
              <w:bottom w:val="nil"/>
              <w:right w:val="nil"/>
            </w:tcBorders>
            <w:shd w:val="clear" w:color="auto" w:fill="EAF1DD" w:themeFill="accent3" w:themeFillTint="33"/>
            <w:noWrap/>
            <w:vAlign w:val="center"/>
            <w:hideMark/>
          </w:tcPr>
          <w:p w14:paraId="0CC60BA8" w14:textId="77777777" w:rsidR="00171169" w:rsidRPr="00171169" w:rsidRDefault="00171169" w:rsidP="00171169">
            <w:pPr>
              <w:jc w:val="right"/>
              <w:rPr>
                <w:rFonts w:ascii="Calibri" w:hAnsi="Calibri"/>
                <w:b/>
                <w:bCs/>
                <w:color w:val="000000"/>
                <w:lang w:eastAsia="en-GB"/>
              </w:rPr>
            </w:pPr>
            <w:r w:rsidRPr="00171169">
              <w:rPr>
                <w:rFonts w:ascii="Calibri" w:hAnsi="Calibri"/>
                <w:b/>
                <w:bCs/>
                <w:color w:val="000000"/>
                <w:lang w:eastAsia="en-GB"/>
              </w:rPr>
              <w:t> </w:t>
            </w:r>
          </w:p>
        </w:tc>
        <w:tc>
          <w:tcPr>
            <w:tcW w:w="941" w:type="dxa"/>
            <w:tcBorders>
              <w:top w:val="nil"/>
              <w:left w:val="nil"/>
              <w:bottom w:val="nil"/>
              <w:right w:val="nil"/>
            </w:tcBorders>
            <w:shd w:val="clear" w:color="auto" w:fill="EAF1DD" w:themeFill="accent3" w:themeFillTint="33"/>
            <w:noWrap/>
            <w:vAlign w:val="center"/>
            <w:hideMark/>
          </w:tcPr>
          <w:p w14:paraId="24B9D1F2" w14:textId="77777777" w:rsidR="00171169" w:rsidRPr="00171169" w:rsidRDefault="00171169" w:rsidP="00171169">
            <w:pPr>
              <w:jc w:val="right"/>
              <w:rPr>
                <w:rFonts w:ascii="Calibri" w:hAnsi="Calibri"/>
                <w:b/>
                <w:bCs/>
                <w:color w:val="000000"/>
                <w:lang w:eastAsia="en-GB"/>
              </w:rPr>
            </w:pPr>
            <w:r w:rsidRPr="00171169">
              <w:rPr>
                <w:rFonts w:ascii="Calibri" w:hAnsi="Calibri"/>
                <w:b/>
                <w:bCs/>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07B8074F" w14:textId="2552A967" w:rsidR="00171169" w:rsidRPr="00171169" w:rsidRDefault="00DA5ED4" w:rsidP="00F144EC">
            <w:pPr>
              <w:jc w:val="right"/>
              <w:rPr>
                <w:rFonts w:ascii="Calibri" w:hAnsi="Calibri"/>
                <w:b/>
                <w:bCs/>
                <w:color w:val="000000"/>
                <w:lang w:eastAsia="en-GB"/>
              </w:rPr>
            </w:pPr>
            <w:r>
              <w:rPr>
                <w:rFonts w:ascii="Calibri" w:hAnsi="Calibri"/>
                <w:b/>
                <w:bCs/>
                <w:color w:val="000000"/>
                <w:lang w:eastAsia="en-GB"/>
              </w:rPr>
              <w:t>533</w:t>
            </w:r>
          </w:p>
        </w:tc>
        <w:tc>
          <w:tcPr>
            <w:tcW w:w="4734" w:type="dxa"/>
            <w:tcBorders>
              <w:top w:val="nil"/>
              <w:left w:val="nil"/>
              <w:bottom w:val="single" w:sz="4" w:space="0" w:color="FFFFFF"/>
              <w:right w:val="single" w:sz="4" w:space="0" w:color="FFFFFF"/>
            </w:tcBorders>
            <w:shd w:val="clear" w:color="000000" w:fill="D8E4BC"/>
            <w:noWrap/>
            <w:vAlign w:val="center"/>
            <w:hideMark/>
          </w:tcPr>
          <w:p w14:paraId="39FD25BC" w14:textId="77777777" w:rsidR="00171169" w:rsidRPr="00171169" w:rsidRDefault="00171169" w:rsidP="00171169">
            <w:pPr>
              <w:rPr>
                <w:rFonts w:ascii="Calibri" w:hAnsi="Calibri"/>
                <w:b/>
                <w:bCs/>
                <w:color w:val="000000"/>
                <w:lang w:eastAsia="en-GB"/>
              </w:rPr>
            </w:pPr>
            <w:r w:rsidRPr="00171169">
              <w:rPr>
                <w:rFonts w:ascii="Calibri" w:hAnsi="Calibri"/>
                <w:b/>
                <w:bCs/>
                <w:color w:val="000000"/>
                <w:lang w:eastAsia="en-GB"/>
              </w:rPr>
              <w:t>Deficit/</w:t>
            </w:r>
            <w:proofErr w:type="gramStart"/>
            <w:r w:rsidRPr="00171169">
              <w:rPr>
                <w:rFonts w:ascii="Calibri" w:hAnsi="Calibri"/>
                <w:b/>
                <w:bCs/>
                <w:color w:val="000000"/>
                <w:lang w:eastAsia="en-GB"/>
              </w:rPr>
              <w:t>Surplus(</w:t>
            </w:r>
            <w:proofErr w:type="gramEnd"/>
            <w:r w:rsidRPr="00171169">
              <w:rPr>
                <w:rFonts w:ascii="Calibri" w:hAnsi="Calibri"/>
                <w:b/>
                <w:bCs/>
                <w:color w:val="000000"/>
                <w:lang w:eastAsia="en-GB"/>
              </w:rPr>
              <w:t>-) on Provision of Services</w:t>
            </w:r>
          </w:p>
        </w:tc>
        <w:tc>
          <w:tcPr>
            <w:tcW w:w="473" w:type="dxa"/>
            <w:tcBorders>
              <w:top w:val="nil"/>
              <w:left w:val="nil"/>
              <w:bottom w:val="single" w:sz="4" w:space="0" w:color="FFFFFF"/>
              <w:right w:val="single" w:sz="4" w:space="0" w:color="FFFFFF"/>
            </w:tcBorders>
            <w:shd w:val="clear" w:color="auto" w:fill="EAF1DD" w:themeFill="accent3" w:themeFillTint="33"/>
            <w:noWrap/>
            <w:vAlign w:val="center"/>
            <w:hideMark/>
          </w:tcPr>
          <w:p w14:paraId="3F9D7470" w14:textId="77777777" w:rsidR="00171169" w:rsidRPr="00171169" w:rsidRDefault="00171169" w:rsidP="00171169">
            <w:pPr>
              <w:jc w:val="right"/>
              <w:rPr>
                <w:rFonts w:ascii="Calibri" w:hAnsi="Calibri"/>
                <w:b/>
                <w:bCs/>
                <w:color w:val="000000"/>
                <w:lang w:eastAsia="en-GB"/>
              </w:rPr>
            </w:pPr>
            <w:r w:rsidRPr="00171169">
              <w:rPr>
                <w:rFonts w:ascii="Calibri" w:hAnsi="Calibri"/>
                <w:b/>
                <w:bCs/>
                <w:color w:val="000000"/>
                <w:lang w:eastAsia="en-GB"/>
              </w:rPr>
              <w:t> </w:t>
            </w:r>
          </w:p>
        </w:tc>
        <w:tc>
          <w:tcPr>
            <w:tcW w:w="888" w:type="dxa"/>
            <w:tcBorders>
              <w:top w:val="nil"/>
              <w:left w:val="nil"/>
              <w:bottom w:val="nil"/>
              <w:right w:val="nil"/>
            </w:tcBorders>
            <w:shd w:val="clear" w:color="auto" w:fill="EAF1DD" w:themeFill="accent3" w:themeFillTint="33"/>
            <w:noWrap/>
            <w:vAlign w:val="center"/>
          </w:tcPr>
          <w:p w14:paraId="1688D00C" w14:textId="77777777" w:rsidR="00171169" w:rsidRPr="00171169" w:rsidRDefault="00171169" w:rsidP="00171169">
            <w:pPr>
              <w:jc w:val="right"/>
              <w:rPr>
                <w:rFonts w:ascii="Calibri" w:hAnsi="Calibri"/>
                <w:b/>
                <w:bCs/>
                <w:color w:val="000000"/>
                <w:lang w:eastAsia="en-GB"/>
              </w:rPr>
            </w:pPr>
          </w:p>
        </w:tc>
        <w:tc>
          <w:tcPr>
            <w:tcW w:w="992" w:type="dxa"/>
            <w:tcBorders>
              <w:top w:val="nil"/>
              <w:left w:val="nil"/>
              <w:bottom w:val="nil"/>
              <w:right w:val="nil"/>
            </w:tcBorders>
            <w:shd w:val="clear" w:color="auto" w:fill="EAF1DD" w:themeFill="accent3" w:themeFillTint="33"/>
            <w:noWrap/>
            <w:vAlign w:val="center"/>
          </w:tcPr>
          <w:p w14:paraId="19A20A4B" w14:textId="77777777" w:rsidR="00171169" w:rsidRPr="00171169" w:rsidRDefault="00171169" w:rsidP="00171169">
            <w:pPr>
              <w:jc w:val="right"/>
              <w:rPr>
                <w:rFonts w:ascii="Calibri" w:hAnsi="Calibri"/>
                <w:b/>
                <w:bCs/>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78719FFB" w14:textId="36347D29" w:rsidR="00171169" w:rsidRPr="00171169" w:rsidRDefault="001F70E0" w:rsidP="00193DED">
            <w:pPr>
              <w:jc w:val="right"/>
              <w:rPr>
                <w:rFonts w:ascii="Calibri" w:hAnsi="Calibri"/>
                <w:b/>
                <w:bCs/>
                <w:color w:val="000000"/>
                <w:lang w:eastAsia="en-GB"/>
              </w:rPr>
            </w:pPr>
            <w:r>
              <w:rPr>
                <w:rFonts w:ascii="Calibri" w:hAnsi="Calibri"/>
                <w:b/>
                <w:bCs/>
                <w:color w:val="000000"/>
                <w:lang w:eastAsia="en-GB"/>
              </w:rPr>
              <w:t>3,003</w:t>
            </w:r>
          </w:p>
        </w:tc>
      </w:tr>
      <w:tr w:rsidR="00171169" w:rsidRPr="00171169" w14:paraId="7DC33740" w14:textId="77777777" w:rsidTr="0093059F">
        <w:trPr>
          <w:trHeight w:val="510"/>
        </w:trPr>
        <w:tc>
          <w:tcPr>
            <w:tcW w:w="902" w:type="dxa"/>
            <w:tcBorders>
              <w:top w:val="nil"/>
              <w:left w:val="nil"/>
              <w:bottom w:val="nil"/>
              <w:right w:val="nil"/>
            </w:tcBorders>
            <w:shd w:val="clear" w:color="000000" w:fill="EBF1DE"/>
            <w:noWrap/>
            <w:vAlign w:val="center"/>
            <w:hideMark/>
          </w:tcPr>
          <w:p w14:paraId="14098BDA"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941" w:type="dxa"/>
            <w:tcBorders>
              <w:top w:val="nil"/>
              <w:left w:val="nil"/>
              <w:bottom w:val="nil"/>
              <w:right w:val="nil"/>
            </w:tcBorders>
            <w:shd w:val="clear" w:color="000000" w:fill="EBF1DE"/>
            <w:noWrap/>
            <w:vAlign w:val="center"/>
            <w:hideMark/>
          </w:tcPr>
          <w:p w14:paraId="4D46F4F9"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3630D8F0" w14:textId="0568DD47" w:rsidR="00171169" w:rsidRPr="00171169" w:rsidRDefault="00F144EC" w:rsidP="00F55B0A">
            <w:pPr>
              <w:jc w:val="right"/>
              <w:rPr>
                <w:rFonts w:ascii="Calibri" w:hAnsi="Calibri"/>
                <w:color w:val="000000"/>
                <w:lang w:eastAsia="en-GB"/>
              </w:rPr>
            </w:pPr>
            <w:r>
              <w:rPr>
                <w:rFonts w:ascii="Calibri" w:hAnsi="Calibri"/>
                <w:color w:val="000000"/>
                <w:lang w:eastAsia="en-GB"/>
              </w:rPr>
              <w:t>-</w:t>
            </w:r>
            <w:r w:rsidR="00DA5ED4">
              <w:rPr>
                <w:rFonts w:ascii="Calibri" w:hAnsi="Calibri"/>
                <w:color w:val="000000"/>
                <w:lang w:eastAsia="en-GB"/>
              </w:rPr>
              <w:t>7,978</w:t>
            </w:r>
          </w:p>
        </w:tc>
        <w:tc>
          <w:tcPr>
            <w:tcW w:w="4734" w:type="dxa"/>
            <w:tcBorders>
              <w:top w:val="nil"/>
              <w:left w:val="nil"/>
              <w:bottom w:val="single" w:sz="4" w:space="0" w:color="FFFFFF"/>
              <w:right w:val="single" w:sz="4" w:space="0" w:color="FFFFFF"/>
            </w:tcBorders>
            <w:shd w:val="clear" w:color="000000" w:fill="EBF1DE"/>
            <w:vAlign w:val="center"/>
            <w:hideMark/>
          </w:tcPr>
          <w:p w14:paraId="0AFF38EC" w14:textId="26B52F76" w:rsidR="00171169" w:rsidRPr="00171169" w:rsidRDefault="00171169" w:rsidP="00171169">
            <w:pPr>
              <w:rPr>
                <w:rFonts w:ascii="Calibri" w:hAnsi="Calibri"/>
                <w:color w:val="000000"/>
                <w:lang w:eastAsia="en-GB"/>
              </w:rPr>
            </w:pPr>
            <w:r w:rsidRPr="00171169">
              <w:rPr>
                <w:rFonts w:ascii="Calibri" w:hAnsi="Calibri"/>
                <w:color w:val="000000"/>
                <w:lang w:eastAsia="en-GB"/>
              </w:rPr>
              <w:t>Deficit/</w:t>
            </w:r>
            <w:proofErr w:type="gramStart"/>
            <w:r w:rsidRPr="00171169">
              <w:rPr>
                <w:rFonts w:ascii="Calibri" w:hAnsi="Calibri"/>
                <w:color w:val="000000"/>
                <w:lang w:eastAsia="en-GB"/>
              </w:rPr>
              <w:t>Surplus(</w:t>
            </w:r>
            <w:proofErr w:type="gramEnd"/>
            <w:r w:rsidRPr="00171169">
              <w:rPr>
                <w:rFonts w:ascii="Calibri" w:hAnsi="Calibri"/>
                <w:color w:val="000000"/>
                <w:lang w:eastAsia="en-GB"/>
              </w:rPr>
              <w:t xml:space="preserve">-) on revaluation of property, plant </w:t>
            </w:r>
            <w:r w:rsidR="00704A70">
              <w:rPr>
                <w:rFonts w:ascii="Calibri" w:hAnsi="Calibri"/>
                <w:color w:val="000000"/>
                <w:lang w:eastAsia="en-GB"/>
              </w:rPr>
              <w:t>and</w:t>
            </w:r>
            <w:r w:rsidRPr="00171169">
              <w:rPr>
                <w:rFonts w:ascii="Calibri" w:hAnsi="Calibri"/>
                <w:color w:val="000000"/>
                <w:lang w:eastAsia="en-GB"/>
              </w:rPr>
              <w:t xml:space="preserve"> equipment assets</w:t>
            </w:r>
          </w:p>
        </w:tc>
        <w:tc>
          <w:tcPr>
            <w:tcW w:w="473" w:type="dxa"/>
            <w:tcBorders>
              <w:top w:val="nil"/>
              <w:left w:val="nil"/>
              <w:bottom w:val="single" w:sz="4" w:space="0" w:color="FFFFFF"/>
              <w:right w:val="single" w:sz="4" w:space="0" w:color="FFFFFF"/>
            </w:tcBorders>
            <w:shd w:val="clear" w:color="000000" w:fill="EBF1DE"/>
            <w:noWrap/>
            <w:vAlign w:val="center"/>
            <w:hideMark/>
          </w:tcPr>
          <w:p w14:paraId="7C375F04"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nil"/>
              <w:right w:val="nil"/>
            </w:tcBorders>
            <w:shd w:val="clear" w:color="000000" w:fill="EBF1DE"/>
            <w:noWrap/>
            <w:vAlign w:val="center"/>
          </w:tcPr>
          <w:p w14:paraId="73451FE0" w14:textId="77777777" w:rsidR="00171169" w:rsidRPr="00171169" w:rsidRDefault="00171169" w:rsidP="00171169">
            <w:pPr>
              <w:jc w:val="right"/>
              <w:rPr>
                <w:rFonts w:ascii="Calibri" w:hAnsi="Calibri"/>
                <w:color w:val="000000"/>
                <w:lang w:eastAsia="en-GB"/>
              </w:rPr>
            </w:pPr>
          </w:p>
        </w:tc>
        <w:tc>
          <w:tcPr>
            <w:tcW w:w="992" w:type="dxa"/>
            <w:tcBorders>
              <w:top w:val="nil"/>
              <w:left w:val="nil"/>
              <w:bottom w:val="nil"/>
              <w:right w:val="nil"/>
            </w:tcBorders>
            <w:shd w:val="clear" w:color="000000" w:fill="EBF1DE"/>
            <w:noWrap/>
            <w:vAlign w:val="center"/>
          </w:tcPr>
          <w:p w14:paraId="3DE4C54B" w14:textId="77777777" w:rsidR="00171169" w:rsidRPr="00171169" w:rsidRDefault="00171169" w:rsidP="00171169">
            <w:pPr>
              <w:jc w:val="right"/>
              <w:rPr>
                <w:rFonts w:ascii="Calibri" w:hAnsi="Calibri"/>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0C719DE6" w14:textId="5E88F6C9" w:rsidR="00171169" w:rsidRPr="00171169" w:rsidRDefault="001F70E0" w:rsidP="008D7ED6">
            <w:pPr>
              <w:jc w:val="right"/>
              <w:rPr>
                <w:rFonts w:ascii="Calibri" w:hAnsi="Calibri"/>
                <w:color w:val="000000"/>
                <w:lang w:eastAsia="en-GB"/>
              </w:rPr>
            </w:pPr>
            <w:r>
              <w:rPr>
                <w:rFonts w:ascii="Calibri" w:hAnsi="Calibri"/>
                <w:color w:val="000000"/>
                <w:lang w:eastAsia="en-GB"/>
              </w:rPr>
              <w:t>-12,940</w:t>
            </w:r>
          </w:p>
        </w:tc>
      </w:tr>
      <w:tr w:rsidR="00171169" w:rsidRPr="00171169" w14:paraId="58A681F2" w14:textId="77777777" w:rsidTr="0093059F">
        <w:trPr>
          <w:trHeight w:val="255"/>
        </w:trPr>
        <w:tc>
          <w:tcPr>
            <w:tcW w:w="902" w:type="dxa"/>
            <w:tcBorders>
              <w:top w:val="nil"/>
              <w:left w:val="nil"/>
              <w:bottom w:val="nil"/>
              <w:right w:val="nil"/>
            </w:tcBorders>
            <w:shd w:val="clear" w:color="000000" w:fill="EBF1DE"/>
            <w:noWrap/>
            <w:vAlign w:val="center"/>
            <w:hideMark/>
          </w:tcPr>
          <w:p w14:paraId="452B8304"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941" w:type="dxa"/>
            <w:tcBorders>
              <w:top w:val="nil"/>
              <w:left w:val="nil"/>
              <w:bottom w:val="nil"/>
              <w:right w:val="nil"/>
            </w:tcBorders>
            <w:shd w:val="clear" w:color="000000" w:fill="EBF1DE"/>
            <w:noWrap/>
            <w:vAlign w:val="center"/>
            <w:hideMark/>
          </w:tcPr>
          <w:p w14:paraId="314E1888"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1C0FD859" w14:textId="295651EA" w:rsidR="00171169" w:rsidRPr="00171169" w:rsidRDefault="00DA5ED4" w:rsidP="00171169">
            <w:pPr>
              <w:jc w:val="right"/>
              <w:rPr>
                <w:rFonts w:ascii="Calibri" w:hAnsi="Calibri"/>
                <w:color w:val="000000"/>
                <w:lang w:eastAsia="en-GB"/>
              </w:rPr>
            </w:pPr>
            <w:r>
              <w:rPr>
                <w:rFonts w:ascii="Calibri" w:hAnsi="Calibri"/>
                <w:color w:val="000000"/>
                <w:lang w:eastAsia="en-GB"/>
              </w:rPr>
              <w:t>-8,966</w:t>
            </w:r>
          </w:p>
        </w:tc>
        <w:tc>
          <w:tcPr>
            <w:tcW w:w="4734" w:type="dxa"/>
            <w:tcBorders>
              <w:top w:val="nil"/>
              <w:left w:val="nil"/>
              <w:bottom w:val="single" w:sz="4" w:space="0" w:color="FFFFFF"/>
              <w:right w:val="single" w:sz="4" w:space="0" w:color="FFFFFF"/>
            </w:tcBorders>
            <w:shd w:val="clear" w:color="000000" w:fill="EBF1DE"/>
            <w:noWrap/>
            <w:vAlign w:val="center"/>
            <w:hideMark/>
          </w:tcPr>
          <w:p w14:paraId="26EB97FD" w14:textId="77777777" w:rsidR="00171169" w:rsidRPr="00171169" w:rsidRDefault="00171169" w:rsidP="00171169">
            <w:pPr>
              <w:rPr>
                <w:rFonts w:ascii="Calibri" w:hAnsi="Calibri"/>
                <w:color w:val="000000"/>
                <w:lang w:eastAsia="en-GB"/>
              </w:rPr>
            </w:pPr>
            <w:r w:rsidRPr="00171169">
              <w:rPr>
                <w:rFonts w:ascii="Calibri" w:hAnsi="Calibri"/>
                <w:color w:val="000000"/>
                <w:lang w:eastAsia="en-GB"/>
              </w:rPr>
              <w:t>Re</w:t>
            </w:r>
            <w:r w:rsidR="007F516A">
              <w:rPr>
                <w:rFonts w:ascii="Calibri" w:hAnsi="Calibri"/>
                <w:color w:val="000000"/>
                <w:lang w:eastAsia="en-GB"/>
              </w:rPr>
              <w:t>-</w:t>
            </w:r>
            <w:r w:rsidRPr="00171169">
              <w:rPr>
                <w:rFonts w:ascii="Calibri" w:hAnsi="Calibri"/>
                <w:color w:val="000000"/>
                <w:lang w:eastAsia="en-GB"/>
              </w:rPr>
              <w:t>measurement of the net defined benefit liability</w:t>
            </w:r>
            <w:r w:rsidR="00226F9B">
              <w:rPr>
                <w:rFonts w:ascii="Calibri" w:hAnsi="Calibri"/>
                <w:color w:val="000000"/>
                <w:lang w:eastAsia="en-GB"/>
              </w:rPr>
              <w:t>/</w:t>
            </w:r>
            <w:proofErr w:type="gramStart"/>
            <w:r w:rsidR="00226F9B">
              <w:rPr>
                <w:rFonts w:ascii="Calibri" w:hAnsi="Calibri"/>
                <w:color w:val="000000"/>
                <w:lang w:eastAsia="en-GB"/>
              </w:rPr>
              <w:t>asset(</w:t>
            </w:r>
            <w:proofErr w:type="gramEnd"/>
            <w:r w:rsidR="00226F9B">
              <w:rPr>
                <w:rFonts w:ascii="Calibri" w:hAnsi="Calibri"/>
                <w:color w:val="000000"/>
                <w:lang w:eastAsia="en-GB"/>
              </w:rPr>
              <w:t>-)</w:t>
            </w:r>
          </w:p>
        </w:tc>
        <w:tc>
          <w:tcPr>
            <w:tcW w:w="473" w:type="dxa"/>
            <w:tcBorders>
              <w:top w:val="nil"/>
              <w:left w:val="nil"/>
              <w:bottom w:val="single" w:sz="4" w:space="0" w:color="FFFFFF"/>
              <w:right w:val="single" w:sz="4" w:space="0" w:color="FFFFFF"/>
            </w:tcBorders>
            <w:shd w:val="clear" w:color="000000" w:fill="EBF1DE"/>
            <w:noWrap/>
            <w:vAlign w:val="center"/>
            <w:hideMark/>
          </w:tcPr>
          <w:p w14:paraId="37328D97" w14:textId="77777777" w:rsidR="00171169" w:rsidRPr="00171169" w:rsidRDefault="00171169" w:rsidP="00171169">
            <w:pPr>
              <w:jc w:val="right"/>
              <w:rPr>
                <w:rFonts w:ascii="Calibri" w:hAnsi="Calibri"/>
                <w:color w:val="000000"/>
                <w:lang w:eastAsia="en-GB"/>
              </w:rPr>
            </w:pPr>
            <w:r w:rsidRPr="00171169">
              <w:rPr>
                <w:rFonts w:ascii="Calibri" w:hAnsi="Calibri"/>
                <w:color w:val="000000"/>
                <w:lang w:eastAsia="en-GB"/>
              </w:rPr>
              <w:t> </w:t>
            </w:r>
          </w:p>
        </w:tc>
        <w:tc>
          <w:tcPr>
            <w:tcW w:w="888" w:type="dxa"/>
            <w:tcBorders>
              <w:top w:val="nil"/>
              <w:left w:val="nil"/>
              <w:bottom w:val="nil"/>
              <w:right w:val="nil"/>
            </w:tcBorders>
            <w:shd w:val="clear" w:color="000000" w:fill="EBF1DE"/>
            <w:noWrap/>
            <w:vAlign w:val="center"/>
          </w:tcPr>
          <w:p w14:paraId="296EBB0A" w14:textId="77777777" w:rsidR="00171169" w:rsidRPr="00171169" w:rsidRDefault="00171169" w:rsidP="00171169">
            <w:pPr>
              <w:jc w:val="right"/>
              <w:rPr>
                <w:rFonts w:ascii="Calibri" w:hAnsi="Calibri"/>
                <w:color w:val="000000"/>
                <w:lang w:eastAsia="en-GB"/>
              </w:rPr>
            </w:pPr>
          </w:p>
        </w:tc>
        <w:tc>
          <w:tcPr>
            <w:tcW w:w="992" w:type="dxa"/>
            <w:tcBorders>
              <w:top w:val="nil"/>
              <w:left w:val="nil"/>
              <w:bottom w:val="nil"/>
              <w:right w:val="nil"/>
            </w:tcBorders>
            <w:shd w:val="clear" w:color="000000" w:fill="EBF1DE"/>
            <w:noWrap/>
            <w:vAlign w:val="center"/>
          </w:tcPr>
          <w:p w14:paraId="180A38AA" w14:textId="77777777" w:rsidR="00171169" w:rsidRPr="00171169" w:rsidRDefault="00171169" w:rsidP="00171169">
            <w:pPr>
              <w:jc w:val="right"/>
              <w:rPr>
                <w:rFonts w:ascii="Calibri" w:hAnsi="Calibri"/>
                <w:color w:val="000000"/>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5B2C96EA" w14:textId="5DEA19A6" w:rsidR="00171169" w:rsidRPr="00171169" w:rsidRDefault="001F70E0" w:rsidP="00097A5B">
            <w:pPr>
              <w:jc w:val="right"/>
              <w:rPr>
                <w:rFonts w:ascii="Calibri" w:hAnsi="Calibri"/>
                <w:color w:val="000000"/>
                <w:lang w:eastAsia="en-GB"/>
              </w:rPr>
            </w:pPr>
            <w:r>
              <w:rPr>
                <w:rFonts w:ascii="Calibri" w:hAnsi="Calibri"/>
                <w:color w:val="000000"/>
                <w:lang w:eastAsia="en-GB"/>
              </w:rPr>
              <w:t>-19,889</w:t>
            </w:r>
          </w:p>
        </w:tc>
      </w:tr>
      <w:tr w:rsidR="00171169" w:rsidRPr="00171169" w14:paraId="1CB0A9A6" w14:textId="77777777" w:rsidTr="0093059F">
        <w:trPr>
          <w:trHeight w:val="300"/>
        </w:trPr>
        <w:tc>
          <w:tcPr>
            <w:tcW w:w="902" w:type="dxa"/>
            <w:tcBorders>
              <w:top w:val="nil"/>
              <w:left w:val="nil"/>
              <w:bottom w:val="nil"/>
              <w:right w:val="nil"/>
            </w:tcBorders>
            <w:shd w:val="clear" w:color="auto" w:fill="EAF1DD" w:themeFill="accent3" w:themeFillTint="33"/>
            <w:noWrap/>
            <w:vAlign w:val="center"/>
            <w:hideMark/>
          </w:tcPr>
          <w:p w14:paraId="06D4132F"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941" w:type="dxa"/>
            <w:tcBorders>
              <w:top w:val="nil"/>
              <w:left w:val="nil"/>
              <w:bottom w:val="nil"/>
              <w:right w:val="nil"/>
            </w:tcBorders>
            <w:shd w:val="clear" w:color="auto" w:fill="EAF1DD" w:themeFill="accent3" w:themeFillTint="33"/>
            <w:noWrap/>
            <w:vAlign w:val="center"/>
            <w:hideMark/>
          </w:tcPr>
          <w:p w14:paraId="10F0A5A1"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7B0EC3C3" w14:textId="6B7A4E8B" w:rsidR="00171169" w:rsidRPr="007E2CDB" w:rsidRDefault="00761556" w:rsidP="00F144EC">
            <w:pPr>
              <w:jc w:val="right"/>
              <w:rPr>
                <w:rFonts w:ascii="Calibri" w:hAnsi="Calibri"/>
                <w:b/>
                <w:bCs/>
                <w:color w:val="000000"/>
                <w:lang w:eastAsia="en-GB"/>
              </w:rPr>
            </w:pPr>
            <w:r>
              <w:rPr>
                <w:rFonts w:ascii="Calibri" w:hAnsi="Calibri"/>
                <w:b/>
                <w:bCs/>
                <w:color w:val="000000"/>
                <w:lang w:eastAsia="en-GB"/>
              </w:rPr>
              <w:t>-</w:t>
            </w:r>
            <w:r w:rsidR="00DA5ED4">
              <w:rPr>
                <w:rFonts w:ascii="Calibri" w:hAnsi="Calibri"/>
                <w:b/>
                <w:bCs/>
                <w:color w:val="000000"/>
                <w:lang w:eastAsia="en-GB"/>
              </w:rPr>
              <w:t>16</w:t>
            </w:r>
            <w:r>
              <w:rPr>
                <w:rFonts w:ascii="Calibri" w:hAnsi="Calibri"/>
                <w:b/>
                <w:bCs/>
                <w:color w:val="000000"/>
                <w:lang w:eastAsia="en-GB"/>
              </w:rPr>
              <w:t>,</w:t>
            </w:r>
            <w:r w:rsidR="00DA5ED4">
              <w:rPr>
                <w:rFonts w:ascii="Calibri" w:hAnsi="Calibri"/>
                <w:b/>
                <w:bCs/>
                <w:color w:val="000000"/>
                <w:lang w:eastAsia="en-GB"/>
              </w:rPr>
              <w:t>944</w:t>
            </w:r>
          </w:p>
        </w:tc>
        <w:tc>
          <w:tcPr>
            <w:tcW w:w="4734" w:type="dxa"/>
            <w:tcBorders>
              <w:top w:val="nil"/>
              <w:left w:val="nil"/>
              <w:bottom w:val="single" w:sz="4" w:space="0" w:color="FFFFFF"/>
              <w:right w:val="single" w:sz="4" w:space="0" w:color="FFFFFF"/>
            </w:tcBorders>
            <w:shd w:val="clear" w:color="000000" w:fill="D8E4BC"/>
            <w:vAlign w:val="center"/>
            <w:hideMark/>
          </w:tcPr>
          <w:p w14:paraId="00790B7A" w14:textId="31C6D594" w:rsidR="00171169" w:rsidRPr="00171169" w:rsidRDefault="00171169" w:rsidP="00171169">
            <w:pPr>
              <w:rPr>
                <w:rFonts w:ascii="Calibri" w:hAnsi="Calibri"/>
                <w:b/>
                <w:bCs/>
                <w:color w:val="000000"/>
                <w:lang w:eastAsia="en-GB"/>
              </w:rPr>
            </w:pPr>
            <w:r w:rsidRPr="00171169">
              <w:rPr>
                <w:rFonts w:ascii="Calibri" w:hAnsi="Calibri"/>
                <w:b/>
                <w:bCs/>
                <w:color w:val="000000"/>
                <w:lang w:eastAsia="en-GB"/>
              </w:rPr>
              <w:t xml:space="preserve">Other Comprehensive </w:t>
            </w:r>
            <w:proofErr w:type="gramStart"/>
            <w:r w:rsidRPr="00171169">
              <w:rPr>
                <w:rFonts w:ascii="Calibri" w:hAnsi="Calibri"/>
                <w:b/>
                <w:bCs/>
                <w:color w:val="000000"/>
                <w:lang w:eastAsia="en-GB"/>
              </w:rPr>
              <w:t>Income</w:t>
            </w:r>
            <w:r w:rsidR="00761556">
              <w:rPr>
                <w:rFonts w:ascii="Calibri" w:hAnsi="Calibri"/>
                <w:b/>
                <w:bCs/>
                <w:color w:val="000000"/>
                <w:lang w:eastAsia="en-GB"/>
              </w:rPr>
              <w:t>(</w:t>
            </w:r>
            <w:proofErr w:type="gramEnd"/>
            <w:r w:rsidR="00761556">
              <w:rPr>
                <w:rFonts w:ascii="Calibri" w:hAnsi="Calibri"/>
                <w:b/>
                <w:bCs/>
                <w:color w:val="000000"/>
                <w:lang w:eastAsia="en-GB"/>
              </w:rPr>
              <w:t>-)</w:t>
            </w:r>
            <w:r w:rsidRPr="00171169">
              <w:rPr>
                <w:rFonts w:ascii="Calibri" w:hAnsi="Calibri"/>
                <w:b/>
                <w:bCs/>
                <w:color w:val="000000"/>
                <w:lang w:eastAsia="en-GB"/>
              </w:rPr>
              <w:t xml:space="preserve"> </w:t>
            </w:r>
            <w:r w:rsidR="00704A70">
              <w:rPr>
                <w:rFonts w:ascii="Calibri" w:hAnsi="Calibri"/>
                <w:b/>
                <w:bCs/>
                <w:color w:val="000000"/>
                <w:lang w:eastAsia="en-GB"/>
              </w:rPr>
              <w:t>and</w:t>
            </w:r>
            <w:r w:rsidRPr="00171169">
              <w:rPr>
                <w:rFonts w:ascii="Calibri" w:hAnsi="Calibri"/>
                <w:b/>
                <w:bCs/>
                <w:color w:val="000000"/>
                <w:lang w:eastAsia="en-GB"/>
              </w:rPr>
              <w:t xml:space="preserve"> Expenditure</w:t>
            </w:r>
          </w:p>
        </w:tc>
        <w:tc>
          <w:tcPr>
            <w:tcW w:w="473" w:type="dxa"/>
            <w:tcBorders>
              <w:top w:val="nil"/>
              <w:left w:val="nil"/>
              <w:bottom w:val="single" w:sz="4" w:space="0" w:color="FFFFFF"/>
              <w:right w:val="single" w:sz="4" w:space="0" w:color="FFFFFF"/>
            </w:tcBorders>
            <w:shd w:val="clear" w:color="auto" w:fill="EAF1DD" w:themeFill="accent3" w:themeFillTint="33"/>
            <w:noWrap/>
            <w:vAlign w:val="center"/>
            <w:hideMark/>
          </w:tcPr>
          <w:p w14:paraId="3EB9EFB5"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888" w:type="dxa"/>
            <w:tcBorders>
              <w:top w:val="nil"/>
              <w:left w:val="nil"/>
              <w:bottom w:val="nil"/>
              <w:right w:val="nil"/>
            </w:tcBorders>
            <w:shd w:val="clear" w:color="auto" w:fill="EAF1DD" w:themeFill="accent3" w:themeFillTint="33"/>
            <w:noWrap/>
            <w:vAlign w:val="center"/>
          </w:tcPr>
          <w:p w14:paraId="7E2DC8EB" w14:textId="77777777" w:rsidR="00171169" w:rsidRPr="00171169" w:rsidRDefault="00171169" w:rsidP="00171169">
            <w:pPr>
              <w:jc w:val="right"/>
              <w:rPr>
                <w:rFonts w:ascii="Calibri" w:hAnsi="Calibri"/>
                <w:b/>
                <w:bCs/>
                <w:color w:val="000000"/>
                <w:sz w:val="22"/>
                <w:szCs w:val="22"/>
                <w:lang w:eastAsia="en-GB"/>
              </w:rPr>
            </w:pPr>
          </w:p>
        </w:tc>
        <w:tc>
          <w:tcPr>
            <w:tcW w:w="992" w:type="dxa"/>
            <w:tcBorders>
              <w:top w:val="nil"/>
              <w:left w:val="nil"/>
              <w:bottom w:val="nil"/>
              <w:right w:val="nil"/>
            </w:tcBorders>
            <w:shd w:val="clear" w:color="auto" w:fill="EAF1DD" w:themeFill="accent3" w:themeFillTint="33"/>
            <w:noWrap/>
            <w:vAlign w:val="center"/>
          </w:tcPr>
          <w:p w14:paraId="3D81E6B1" w14:textId="77777777" w:rsidR="00171169" w:rsidRPr="00171169" w:rsidRDefault="00171169" w:rsidP="00171169">
            <w:pPr>
              <w:jc w:val="right"/>
              <w:rPr>
                <w:rFonts w:ascii="Calibri" w:hAnsi="Calibri"/>
                <w:b/>
                <w:bCs/>
                <w:color w:val="000000"/>
                <w:sz w:val="22"/>
                <w:szCs w:val="22"/>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3B7BEFF0" w14:textId="66B2F335" w:rsidR="00171169" w:rsidRPr="007E2CDB" w:rsidRDefault="001F70E0" w:rsidP="00E2539B">
            <w:pPr>
              <w:jc w:val="right"/>
              <w:rPr>
                <w:rFonts w:ascii="Calibri" w:hAnsi="Calibri"/>
                <w:b/>
                <w:bCs/>
                <w:color w:val="000000"/>
                <w:lang w:eastAsia="en-GB"/>
              </w:rPr>
            </w:pPr>
            <w:r>
              <w:rPr>
                <w:rFonts w:ascii="Calibri" w:hAnsi="Calibri"/>
                <w:b/>
                <w:bCs/>
                <w:color w:val="000000"/>
                <w:lang w:eastAsia="en-GB"/>
              </w:rPr>
              <w:t>-32,829</w:t>
            </w:r>
          </w:p>
        </w:tc>
      </w:tr>
      <w:tr w:rsidR="00171169" w:rsidRPr="00171169" w14:paraId="33B47BC0" w14:textId="77777777" w:rsidTr="0093059F">
        <w:trPr>
          <w:trHeight w:val="300"/>
        </w:trPr>
        <w:tc>
          <w:tcPr>
            <w:tcW w:w="902" w:type="dxa"/>
            <w:tcBorders>
              <w:top w:val="nil"/>
              <w:left w:val="nil"/>
              <w:bottom w:val="nil"/>
              <w:right w:val="nil"/>
            </w:tcBorders>
            <w:shd w:val="clear" w:color="auto" w:fill="EAF1DD" w:themeFill="accent3" w:themeFillTint="33"/>
            <w:noWrap/>
            <w:vAlign w:val="center"/>
            <w:hideMark/>
          </w:tcPr>
          <w:p w14:paraId="40690884"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941" w:type="dxa"/>
            <w:tcBorders>
              <w:top w:val="nil"/>
              <w:left w:val="nil"/>
              <w:bottom w:val="nil"/>
              <w:right w:val="nil"/>
            </w:tcBorders>
            <w:shd w:val="clear" w:color="auto" w:fill="EAF1DD" w:themeFill="accent3" w:themeFillTint="33"/>
            <w:noWrap/>
            <w:vAlign w:val="center"/>
            <w:hideMark/>
          </w:tcPr>
          <w:p w14:paraId="1878872C"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851" w:type="dxa"/>
            <w:tcBorders>
              <w:top w:val="nil"/>
              <w:left w:val="single" w:sz="4" w:space="0" w:color="FFFFFF"/>
              <w:bottom w:val="single" w:sz="4" w:space="0" w:color="FFFFFF"/>
              <w:right w:val="single" w:sz="4" w:space="0" w:color="FFFFFF"/>
            </w:tcBorders>
            <w:shd w:val="clear" w:color="000000" w:fill="D8E4BC"/>
            <w:noWrap/>
            <w:vAlign w:val="center"/>
            <w:hideMark/>
          </w:tcPr>
          <w:p w14:paraId="62E666F1" w14:textId="4928F1EA" w:rsidR="00171169" w:rsidRPr="007E2CDB" w:rsidRDefault="00761556" w:rsidP="00171169">
            <w:pPr>
              <w:jc w:val="right"/>
              <w:rPr>
                <w:rFonts w:ascii="Calibri" w:hAnsi="Calibri"/>
                <w:b/>
                <w:bCs/>
                <w:color w:val="000000"/>
                <w:lang w:eastAsia="en-GB"/>
              </w:rPr>
            </w:pPr>
            <w:r>
              <w:rPr>
                <w:rFonts w:ascii="Calibri" w:hAnsi="Calibri"/>
                <w:b/>
                <w:bCs/>
                <w:color w:val="000000"/>
                <w:lang w:eastAsia="en-GB"/>
              </w:rPr>
              <w:t>-</w:t>
            </w:r>
            <w:r w:rsidR="00DA5ED4">
              <w:rPr>
                <w:rFonts w:ascii="Calibri" w:hAnsi="Calibri"/>
                <w:b/>
                <w:bCs/>
                <w:color w:val="000000"/>
                <w:lang w:eastAsia="en-GB"/>
              </w:rPr>
              <w:t>16,411</w:t>
            </w:r>
          </w:p>
        </w:tc>
        <w:tc>
          <w:tcPr>
            <w:tcW w:w="4734" w:type="dxa"/>
            <w:tcBorders>
              <w:top w:val="nil"/>
              <w:left w:val="nil"/>
              <w:bottom w:val="single" w:sz="4" w:space="0" w:color="FFFFFF"/>
              <w:right w:val="single" w:sz="4" w:space="0" w:color="FFFFFF"/>
            </w:tcBorders>
            <w:shd w:val="clear" w:color="000000" w:fill="D8E4BC"/>
            <w:vAlign w:val="center"/>
            <w:hideMark/>
          </w:tcPr>
          <w:p w14:paraId="3C082217" w14:textId="7611EACC" w:rsidR="00171169" w:rsidRPr="00171169" w:rsidRDefault="00171169" w:rsidP="00171169">
            <w:pPr>
              <w:rPr>
                <w:rFonts w:ascii="Calibri" w:hAnsi="Calibri"/>
                <w:b/>
                <w:bCs/>
                <w:color w:val="000000"/>
                <w:lang w:eastAsia="en-GB"/>
              </w:rPr>
            </w:pPr>
            <w:r w:rsidRPr="00171169">
              <w:rPr>
                <w:rFonts w:ascii="Calibri" w:hAnsi="Calibri"/>
                <w:b/>
                <w:bCs/>
                <w:color w:val="000000"/>
                <w:lang w:eastAsia="en-GB"/>
              </w:rPr>
              <w:t xml:space="preserve">Total Comprehensive </w:t>
            </w:r>
            <w:proofErr w:type="gramStart"/>
            <w:r w:rsidRPr="00171169">
              <w:rPr>
                <w:rFonts w:ascii="Calibri" w:hAnsi="Calibri"/>
                <w:b/>
                <w:bCs/>
                <w:color w:val="000000"/>
                <w:lang w:eastAsia="en-GB"/>
              </w:rPr>
              <w:t>Income</w:t>
            </w:r>
            <w:r w:rsidR="00761556">
              <w:rPr>
                <w:rFonts w:ascii="Calibri" w:hAnsi="Calibri"/>
                <w:b/>
                <w:bCs/>
                <w:color w:val="000000"/>
                <w:lang w:eastAsia="en-GB"/>
              </w:rPr>
              <w:t>(</w:t>
            </w:r>
            <w:proofErr w:type="gramEnd"/>
            <w:r w:rsidR="00761556">
              <w:rPr>
                <w:rFonts w:ascii="Calibri" w:hAnsi="Calibri"/>
                <w:b/>
                <w:bCs/>
                <w:color w:val="000000"/>
                <w:lang w:eastAsia="en-GB"/>
              </w:rPr>
              <w:t>-)</w:t>
            </w:r>
            <w:r w:rsidRPr="00171169">
              <w:rPr>
                <w:rFonts w:ascii="Calibri" w:hAnsi="Calibri"/>
                <w:b/>
                <w:bCs/>
                <w:color w:val="000000"/>
                <w:lang w:eastAsia="en-GB"/>
              </w:rPr>
              <w:t xml:space="preserve"> </w:t>
            </w:r>
            <w:r w:rsidR="00704A70">
              <w:rPr>
                <w:rFonts w:ascii="Calibri" w:hAnsi="Calibri"/>
                <w:b/>
                <w:bCs/>
                <w:color w:val="000000"/>
                <w:lang w:eastAsia="en-GB"/>
              </w:rPr>
              <w:t>and</w:t>
            </w:r>
            <w:r w:rsidRPr="00171169">
              <w:rPr>
                <w:rFonts w:ascii="Calibri" w:hAnsi="Calibri"/>
                <w:b/>
                <w:bCs/>
                <w:color w:val="000000"/>
                <w:lang w:eastAsia="en-GB"/>
              </w:rPr>
              <w:t xml:space="preserve"> Expenditure</w:t>
            </w:r>
          </w:p>
        </w:tc>
        <w:tc>
          <w:tcPr>
            <w:tcW w:w="473" w:type="dxa"/>
            <w:tcBorders>
              <w:top w:val="nil"/>
              <w:left w:val="nil"/>
              <w:bottom w:val="single" w:sz="4" w:space="0" w:color="FFFFFF"/>
              <w:right w:val="single" w:sz="4" w:space="0" w:color="FFFFFF"/>
            </w:tcBorders>
            <w:shd w:val="clear" w:color="auto" w:fill="EAF1DD" w:themeFill="accent3" w:themeFillTint="33"/>
            <w:noWrap/>
            <w:vAlign w:val="center"/>
            <w:hideMark/>
          </w:tcPr>
          <w:p w14:paraId="1F108D78" w14:textId="77777777" w:rsidR="00171169" w:rsidRPr="00171169" w:rsidRDefault="00171169" w:rsidP="00171169">
            <w:pPr>
              <w:jc w:val="right"/>
              <w:rPr>
                <w:rFonts w:ascii="Calibri" w:hAnsi="Calibri"/>
                <w:b/>
                <w:bCs/>
                <w:color w:val="000000"/>
                <w:sz w:val="22"/>
                <w:szCs w:val="22"/>
                <w:lang w:eastAsia="en-GB"/>
              </w:rPr>
            </w:pPr>
            <w:r w:rsidRPr="00171169">
              <w:rPr>
                <w:rFonts w:ascii="Calibri" w:hAnsi="Calibri"/>
                <w:b/>
                <w:bCs/>
                <w:color w:val="000000"/>
                <w:sz w:val="22"/>
                <w:szCs w:val="22"/>
                <w:lang w:eastAsia="en-GB"/>
              </w:rPr>
              <w:t> </w:t>
            </w:r>
          </w:p>
        </w:tc>
        <w:tc>
          <w:tcPr>
            <w:tcW w:w="888" w:type="dxa"/>
            <w:tcBorders>
              <w:top w:val="nil"/>
              <w:left w:val="nil"/>
              <w:bottom w:val="nil"/>
              <w:right w:val="nil"/>
            </w:tcBorders>
            <w:shd w:val="clear" w:color="auto" w:fill="EAF1DD" w:themeFill="accent3" w:themeFillTint="33"/>
            <w:noWrap/>
            <w:vAlign w:val="center"/>
          </w:tcPr>
          <w:p w14:paraId="59100883" w14:textId="77777777" w:rsidR="00171169" w:rsidRPr="00171169" w:rsidRDefault="00171169" w:rsidP="00171169">
            <w:pPr>
              <w:jc w:val="right"/>
              <w:rPr>
                <w:rFonts w:ascii="Calibri" w:hAnsi="Calibri"/>
                <w:b/>
                <w:bCs/>
                <w:color w:val="000000"/>
                <w:sz w:val="22"/>
                <w:szCs w:val="22"/>
                <w:lang w:eastAsia="en-GB"/>
              </w:rPr>
            </w:pPr>
          </w:p>
        </w:tc>
        <w:tc>
          <w:tcPr>
            <w:tcW w:w="992" w:type="dxa"/>
            <w:tcBorders>
              <w:top w:val="nil"/>
              <w:left w:val="nil"/>
              <w:bottom w:val="nil"/>
              <w:right w:val="nil"/>
            </w:tcBorders>
            <w:shd w:val="clear" w:color="auto" w:fill="EAF1DD" w:themeFill="accent3" w:themeFillTint="33"/>
            <w:noWrap/>
            <w:vAlign w:val="center"/>
          </w:tcPr>
          <w:p w14:paraId="57237436" w14:textId="77777777" w:rsidR="00171169" w:rsidRPr="00171169" w:rsidRDefault="00171169" w:rsidP="00171169">
            <w:pPr>
              <w:jc w:val="right"/>
              <w:rPr>
                <w:rFonts w:ascii="Calibri" w:hAnsi="Calibri"/>
                <w:b/>
                <w:bCs/>
                <w:color w:val="000000"/>
                <w:sz w:val="22"/>
                <w:szCs w:val="22"/>
                <w:lang w:eastAsia="en-GB"/>
              </w:rPr>
            </w:pPr>
          </w:p>
        </w:tc>
        <w:tc>
          <w:tcPr>
            <w:tcW w:w="880" w:type="dxa"/>
            <w:tcBorders>
              <w:top w:val="nil"/>
              <w:left w:val="single" w:sz="4" w:space="0" w:color="FFFFFF"/>
              <w:bottom w:val="single" w:sz="4" w:space="0" w:color="FFFFFF"/>
              <w:right w:val="single" w:sz="4" w:space="0" w:color="FFFFFF"/>
            </w:tcBorders>
            <w:shd w:val="clear" w:color="000000" w:fill="D8E4BC"/>
            <w:noWrap/>
            <w:vAlign w:val="center"/>
          </w:tcPr>
          <w:p w14:paraId="062E27AB" w14:textId="29E1FE6B" w:rsidR="00171169" w:rsidRPr="007E2CDB" w:rsidRDefault="001F70E0" w:rsidP="00A545B5">
            <w:pPr>
              <w:jc w:val="right"/>
              <w:rPr>
                <w:rFonts w:ascii="Calibri" w:hAnsi="Calibri"/>
                <w:b/>
                <w:bCs/>
                <w:color w:val="000000"/>
                <w:lang w:eastAsia="en-GB"/>
              </w:rPr>
            </w:pPr>
            <w:r>
              <w:rPr>
                <w:rFonts w:ascii="Calibri" w:hAnsi="Calibri"/>
                <w:b/>
                <w:bCs/>
                <w:color w:val="000000"/>
                <w:lang w:eastAsia="en-GB"/>
              </w:rPr>
              <w:t>-29,826</w:t>
            </w:r>
          </w:p>
        </w:tc>
      </w:tr>
    </w:tbl>
    <w:p w14:paraId="2DFC4A2B" w14:textId="77777777" w:rsidR="00171169" w:rsidRDefault="00171169">
      <w:pPr>
        <w:rPr>
          <w:rFonts w:asciiTheme="minorHAnsi" w:hAnsiTheme="minorHAnsi" w:cs="Arial"/>
          <w:b/>
          <w:sz w:val="28"/>
          <w:szCs w:val="28"/>
        </w:rPr>
      </w:pPr>
    </w:p>
    <w:p w14:paraId="42B63028" w14:textId="77777777" w:rsidR="00171169" w:rsidRDefault="00171169">
      <w:pPr>
        <w:rPr>
          <w:rFonts w:asciiTheme="minorHAnsi" w:hAnsiTheme="minorHAnsi" w:cs="Arial"/>
          <w:b/>
          <w:sz w:val="28"/>
          <w:szCs w:val="28"/>
        </w:rPr>
      </w:pPr>
    </w:p>
    <w:p w14:paraId="626254E2" w14:textId="77777777" w:rsidR="00E8625F" w:rsidRDefault="00E8625F">
      <w:pPr>
        <w:rPr>
          <w:rFonts w:asciiTheme="minorHAnsi" w:hAnsiTheme="minorHAnsi" w:cs="Arial"/>
          <w:b/>
          <w:sz w:val="28"/>
          <w:szCs w:val="28"/>
        </w:rPr>
      </w:pPr>
    </w:p>
    <w:p w14:paraId="715F4095" w14:textId="77777777" w:rsidR="00E8625F" w:rsidRDefault="00E8625F">
      <w:pPr>
        <w:rPr>
          <w:rFonts w:asciiTheme="minorHAnsi" w:hAnsiTheme="minorHAnsi" w:cs="Arial"/>
          <w:b/>
          <w:sz w:val="28"/>
          <w:szCs w:val="28"/>
        </w:rPr>
      </w:pPr>
    </w:p>
    <w:p w14:paraId="6E3D9634" w14:textId="77777777" w:rsidR="00171169" w:rsidRDefault="00171169">
      <w:pPr>
        <w:rPr>
          <w:rFonts w:asciiTheme="minorHAnsi" w:hAnsiTheme="minorHAnsi" w:cs="Arial"/>
          <w:b/>
          <w:sz w:val="28"/>
          <w:szCs w:val="28"/>
        </w:rPr>
      </w:pPr>
    </w:p>
    <w:p w14:paraId="4BB82F51" w14:textId="77777777" w:rsidR="00171169" w:rsidRDefault="00171169">
      <w:pPr>
        <w:rPr>
          <w:rFonts w:asciiTheme="minorHAnsi" w:hAnsiTheme="minorHAnsi" w:cs="Arial"/>
          <w:b/>
          <w:sz w:val="28"/>
          <w:szCs w:val="28"/>
        </w:rPr>
      </w:pPr>
    </w:p>
    <w:p w14:paraId="73FC1BF3" w14:textId="77777777" w:rsidR="00171169" w:rsidRDefault="00171169">
      <w:pPr>
        <w:rPr>
          <w:rFonts w:asciiTheme="minorHAnsi" w:hAnsiTheme="minorHAnsi" w:cs="Arial"/>
          <w:b/>
          <w:sz w:val="28"/>
          <w:szCs w:val="28"/>
        </w:rPr>
      </w:pPr>
    </w:p>
    <w:p w14:paraId="29C93E34" w14:textId="77777777" w:rsidR="00171169" w:rsidRDefault="00171169">
      <w:pPr>
        <w:rPr>
          <w:rFonts w:asciiTheme="minorHAnsi" w:hAnsiTheme="minorHAnsi" w:cs="Arial"/>
          <w:b/>
          <w:sz w:val="28"/>
          <w:szCs w:val="28"/>
        </w:rPr>
      </w:pPr>
    </w:p>
    <w:p w14:paraId="28640D5C" w14:textId="77777777" w:rsidR="009E34B8" w:rsidRDefault="009E34B8">
      <w:pPr>
        <w:rPr>
          <w:rFonts w:asciiTheme="minorHAnsi" w:hAnsiTheme="minorHAnsi" w:cs="Arial"/>
          <w:b/>
          <w:sz w:val="28"/>
          <w:szCs w:val="28"/>
        </w:rPr>
      </w:pPr>
    </w:p>
    <w:p w14:paraId="21614C4E" w14:textId="77777777" w:rsidR="00194A32" w:rsidRDefault="00194A32">
      <w:pPr>
        <w:rPr>
          <w:rFonts w:asciiTheme="minorHAnsi" w:hAnsiTheme="minorHAnsi" w:cs="Arial"/>
          <w:b/>
          <w:sz w:val="28"/>
          <w:szCs w:val="28"/>
        </w:rPr>
      </w:pPr>
    </w:p>
    <w:p w14:paraId="2CB9038F" w14:textId="77777777" w:rsidR="00761556" w:rsidRDefault="00761556">
      <w:pPr>
        <w:rPr>
          <w:rFonts w:asciiTheme="minorHAnsi" w:hAnsiTheme="minorHAnsi" w:cs="Arial"/>
          <w:b/>
          <w:sz w:val="28"/>
          <w:szCs w:val="28"/>
        </w:rPr>
      </w:pPr>
    </w:p>
    <w:p w14:paraId="50CA59C4" w14:textId="77777777" w:rsidR="00737848" w:rsidRDefault="00737848">
      <w:pPr>
        <w:rPr>
          <w:rFonts w:asciiTheme="minorHAnsi" w:hAnsiTheme="minorHAnsi" w:cs="Arial"/>
          <w:b/>
          <w:sz w:val="28"/>
          <w:szCs w:val="28"/>
        </w:rPr>
      </w:pPr>
    </w:p>
    <w:p w14:paraId="7DE2A5B7" w14:textId="77777777" w:rsidR="0078775F" w:rsidRDefault="0078775F">
      <w:pPr>
        <w:rPr>
          <w:rFonts w:asciiTheme="minorHAnsi" w:hAnsiTheme="minorHAnsi" w:cs="Arial"/>
          <w:b/>
          <w:sz w:val="28"/>
          <w:szCs w:val="28"/>
        </w:rPr>
      </w:pPr>
    </w:p>
    <w:p w14:paraId="7AFC64CC" w14:textId="77777777" w:rsidR="0078775F" w:rsidRDefault="0078775F">
      <w:pPr>
        <w:rPr>
          <w:rFonts w:asciiTheme="minorHAnsi" w:hAnsiTheme="minorHAnsi" w:cs="Arial"/>
          <w:b/>
          <w:sz w:val="28"/>
          <w:szCs w:val="28"/>
        </w:rPr>
      </w:pPr>
    </w:p>
    <w:p w14:paraId="3FB3E81C" w14:textId="77777777" w:rsidR="00737848" w:rsidRDefault="00737848">
      <w:pPr>
        <w:rPr>
          <w:rFonts w:asciiTheme="minorHAnsi" w:hAnsiTheme="minorHAnsi" w:cs="Arial"/>
          <w:b/>
          <w:sz w:val="28"/>
          <w:szCs w:val="28"/>
        </w:rPr>
      </w:pPr>
    </w:p>
    <w:p w14:paraId="73DC59B4" w14:textId="77777777" w:rsidR="00171169" w:rsidRDefault="00171169">
      <w:pPr>
        <w:rPr>
          <w:rFonts w:asciiTheme="minorHAnsi" w:hAnsiTheme="minorHAnsi" w:cs="Arial"/>
          <w:b/>
          <w:sz w:val="28"/>
          <w:szCs w:val="28"/>
        </w:rPr>
      </w:pPr>
    </w:p>
    <w:p w14:paraId="71FD2A11" w14:textId="77777777" w:rsidR="00B41B6A" w:rsidRPr="0090338A" w:rsidRDefault="00027654" w:rsidP="00704A70">
      <w:pPr>
        <w:pStyle w:val="Heading1"/>
      </w:pPr>
      <w:r w:rsidRPr="0090338A">
        <w:lastRenderedPageBreak/>
        <w:t>Movement in Reserves Statement</w:t>
      </w:r>
    </w:p>
    <w:p w14:paraId="1843C6D0" w14:textId="77777777" w:rsidR="00B41B6A" w:rsidRPr="00027654" w:rsidRDefault="00B41B6A">
      <w:pPr>
        <w:rPr>
          <w:rFonts w:asciiTheme="minorHAnsi" w:hAnsiTheme="minorHAnsi" w:cs="Arial"/>
          <w:b/>
          <w:sz w:val="22"/>
          <w:szCs w:val="22"/>
        </w:rPr>
      </w:pPr>
    </w:p>
    <w:p w14:paraId="7B2EDE1E" w14:textId="451BB440" w:rsidR="00B41B6A" w:rsidRPr="00027654" w:rsidRDefault="00226F9B" w:rsidP="00183448">
      <w:pPr>
        <w:ind w:right="-276"/>
        <w:jc w:val="both"/>
        <w:rPr>
          <w:rFonts w:asciiTheme="minorHAnsi" w:hAnsiTheme="minorHAnsi" w:cs="Arial"/>
          <w:sz w:val="22"/>
          <w:szCs w:val="22"/>
        </w:rPr>
      </w:pPr>
      <w:r>
        <w:rPr>
          <w:rFonts w:asciiTheme="minorHAnsi" w:hAnsiTheme="minorHAnsi" w:cs="Arial"/>
          <w:sz w:val="22"/>
          <w:szCs w:val="22"/>
        </w:rPr>
        <w:t>The Movement in Reserves</w:t>
      </w:r>
      <w:r w:rsidR="00B41B6A" w:rsidRPr="00027654">
        <w:rPr>
          <w:rFonts w:asciiTheme="minorHAnsi" w:hAnsiTheme="minorHAnsi" w:cs="Arial"/>
          <w:sz w:val="22"/>
          <w:szCs w:val="22"/>
        </w:rPr>
        <w:t xml:space="preserve"> statement shows the movement in the year on the different reserves held by the authority, analysed into ‘usable reserves’ (</w:t>
      </w:r>
      <w:r w:rsidR="00120BFE">
        <w:rPr>
          <w:rFonts w:asciiTheme="minorHAnsi" w:hAnsiTheme="minorHAnsi" w:cs="Arial"/>
          <w:sz w:val="22"/>
          <w:szCs w:val="22"/>
        </w:rPr>
        <w:t>for example,</w:t>
      </w:r>
      <w:r w:rsidR="00B41B6A" w:rsidRPr="00027654">
        <w:rPr>
          <w:rFonts w:asciiTheme="minorHAnsi" w:hAnsiTheme="minorHAnsi" w:cs="Arial"/>
          <w:sz w:val="22"/>
          <w:szCs w:val="22"/>
        </w:rPr>
        <w:t xml:space="preserve"> those that can be applied to fund expenditure or reduce local taxation) and other </w:t>
      </w:r>
      <w:r w:rsidR="00371D7F">
        <w:rPr>
          <w:rFonts w:asciiTheme="minorHAnsi" w:hAnsiTheme="minorHAnsi" w:cs="Arial"/>
          <w:sz w:val="22"/>
          <w:szCs w:val="22"/>
        </w:rPr>
        <w:t xml:space="preserve">‘unusable’ </w:t>
      </w:r>
      <w:r w:rsidR="00B41B6A" w:rsidRPr="00027654">
        <w:rPr>
          <w:rFonts w:asciiTheme="minorHAnsi" w:hAnsiTheme="minorHAnsi" w:cs="Arial"/>
          <w:sz w:val="22"/>
          <w:szCs w:val="22"/>
        </w:rPr>
        <w:t xml:space="preserve">reserves.  The </w:t>
      </w:r>
      <w:r w:rsidR="00345F9B">
        <w:rPr>
          <w:rFonts w:asciiTheme="minorHAnsi" w:hAnsiTheme="minorHAnsi" w:cs="Arial"/>
          <w:sz w:val="22"/>
          <w:szCs w:val="22"/>
        </w:rPr>
        <w:t>Statement shows how the movements in year of the authority’s reserves are broken down between gains and losses incurred in accordance with generally accepted</w:t>
      </w:r>
      <w:r>
        <w:rPr>
          <w:rFonts w:asciiTheme="minorHAnsi" w:hAnsiTheme="minorHAnsi" w:cs="Arial"/>
          <w:sz w:val="22"/>
          <w:szCs w:val="22"/>
        </w:rPr>
        <w:t xml:space="preserve"> accounting</w:t>
      </w:r>
      <w:r w:rsidR="00345F9B">
        <w:rPr>
          <w:rFonts w:asciiTheme="minorHAnsi" w:hAnsiTheme="minorHAnsi" w:cs="Arial"/>
          <w:sz w:val="22"/>
          <w:szCs w:val="22"/>
        </w:rPr>
        <w:t xml:space="preserve"> practices and the statutory adjustments required to return to the amounts chargeable to council tax or rents for the year.  The net Increase/Decrease line shows the statutory General Fund balance and Housing Revenue Account balance movements in the year following </w:t>
      </w:r>
      <w:r w:rsidR="00345F9B" w:rsidRPr="008311CD">
        <w:rPr>
          <w:rFonts w:asciiTheme="minorHAnsi" w:hAnsiTheme="minorHAnsi" w:cs="Arial"/>
          <w:sz w:val="22"/>
          <w:szCs w:val="22"/>
        </w:rPr>
        <w:t>those adjustments</w:t>
      </w:r>
      <w:r w:rsidR="00B41B6A" w:rsidRPr="008311CD">
        <w:rPr>
          <w:rFonts w:asciiTheme="minorHAnsi" w:hAnsiTheme="minorHAnsi" w:cs="Arial"/>
          <w:sz w:val="22"/>
          <w:szCs w:val="22"/>
        </w:rPr>
        <w:t>.</w:t>
      </w:r>
      <w:r w:rsidR="00A20CDE" w:rsidRPr="008311CD">
        <w:rPr>
          <w:rFonts w:asciiTheme="minorHAnsi" w:hAnsiTheme="minorHAnsi" w:cs="Arial"/>
          <w:sz w:val="22"/>
          <w:szCs w:val="22"/>
        </w:rPr>
        <w:t xml:space="preserve"> The General Fund and Housing Revenue Account balances include an </w:t>
      </w:r>
      <w:proofErr w:type="gramStart"/>
      <w:r w:rsidR="00A20CDE" w:rsidRPr="008311CD">
        <w:rPr>
          <w:rFonts w:asciiTheme="minorHAnsi" w:hAnsiTheme="minorHAnsi" w:cs="Arial"/>
          <w:sz w:val="22"/>
          <w:szCs w:val="22"/>
        </w:rPr>
        <w:t>amount</w:t>
      </w:r>
      <w:proofErr w:type="gramEnd"/>
      <w:r w:rsidR="00A20CDE" w:rsidRPr="008311CD">
        <w:rPr>
          <w:rFonts w:asciiTheme="minorHAnsi" w:hAnsiTheme="minorHAnsi" w:cs="Arial"/>
          <w:sz w:val="22"/>
          <w:szCs w:val="22"/>
        </w:rPr>
        <w:t xml:space="preserve"> of earmarked reserves as per </w:t>
      </w:r>
      <w:r w:rsidR="00A20CDE" w:rsidRPr="003603D6">
        <w:rPr>
          <w:rFonts w:asciiTheme="minorHAnsi" w:hAnsiTheme="minorHAnsi" w:cs="Arial"/>
          <w:sz w:val="22"/>
          <w:szCs w:val="22"/>
        </w:rPr>
        <w:t xml:space="preserve">note </w:t>
      </w:r>
      <w:r w:rsidR="00D14C80" w:rsidRPr="003603D6">
        <w:rPr>
          <w:rFonts w:asciiTheme="minorHAnsi" w:hAnsiTheme="minorHAnsi" w:cs="Arial"/>
          <w:sz w:val="22"/>
          <w:szCs w:val="22"/>
        </w:rPr>
        <w:t>1</w:t>
      </w:r>
      <w:r w:rsidR="00397E37">
        <w:rPr>
          <w:rFonts w:asciiTheme="minorHAnsi" w:hAnsiTheme="minorHAnsi" w:cs="Arial"/>
          <w:sz w:val="22"/>
          <w:szCs w:val="22"/>
        </w:rPr>
        <w:t>6</w:t>
      </w:r>
      <w:r w:rsidR="00A20CDE" w:rsidRPr="003603D6">
        <w:rPr>
          <w:rFonts w:asciiTheme="minorHAnsi" w:hAnsiTheme="minorHAnsi" w:cs="Arial"/>
          <w:sz w:val="22"/>
          <w:szCs w:val="22"/>
        </w:rPr>
        <w:t>.</w:t>
      </w:r>
    </w:p>
    <w:p w14:paraId="500C2CD1" w14:textId="77777777" w:rsidR="00CA6845" w:rsidRDefault="00CA6845"/>
    <w:tbl>
      <w:tblPr>
        <w:tblW w:w="9235" w:type="dxa"/>
        <w:tblInd w:w="93" w:type="dxa"/>
        <w:tblLook w:val="04A0" w:firstRow="1" w:lastRow="0" w:firstColumn="1" w:lastColumn="0" w:noHBand="0" w:noVBand="1"/>
        <w:tblCaption w:val="Movement in Reserves Statement 2022-2023"/>
        <w:tblDescription w:val="Movement in Reserves Statement 2022-2023"/>
      </w:tblPr>
      <w:tblGrid>
        <w:gridCol w:w="2320"/>
        <w:gridCol w:w="820"/>
        <w:gridCol w:w="975"/>
        <w:gridCol w:w="880"/>
        <w:gridCol w:w="840"/>
        <w:gridCol w:w="780"/>
        <w:gridCol w:w="920"/>
        <w:gridCol w:w="876"/>
        <w:gridCol w:w="880"/>
      </w:tblGrid>
      <w:tr w:rsidR="00226F9B" w:rsidRPr="004E5437" w14:paraId="4078D3F5" w14:textId="77777777" w:rsidTr="004E213E">
        <w:trPr>
          <w:cantSplit/>
          <w:trHeight w:val="300"/>
          <w:tblHeader/>
        </w:trPr>
        <w:tc>
          <w:tcPr>
            <w:tcW w:w="2320" w:type="dxa"/>
            <w:tcBorders>
              <w:top w:val="single" w:sz="4" w:space="0" w:color="FFFFFF"/>
              <w:left w:val="single" w:sz="4" w:space="0" w:color="FFFFFF"/>
              <w:bottom w:val="single" w:sz="4" w:space="0" w:color="FFFFFF"/>
              <w:right w:val="single" w:sz="4" w:space="0" w:color="FFFFFF"/>
            </w:tcBorders>
            <w:shd w:val="clear" w:color="000000" w:fill="B1A0C7"/>
            <w:noWrap/>
            <w:vAlign w:val="bottom"/>
            <w:hideMark/>
          </w:tcPr>
          <w:p w14:paraId="7E203AF1" w14:textId="235A0F2E" w:rsidR="00226F9B" w:rsidRPr="004E5437" w:rsidRDefault="002D03F9" w:rsidP="00E8625F">
            <w:pPr>
              <w:rPr>
                <w:rFonts w:ascii="Calibri" w:hAnsi="Calibri"/>
                <w:color w:val="000000"/>
                <w:lang w:eastAsia="en-GB"/>
              </w:rPr>
            </w:pPr>
            <w:r>
              <w:rPr>
                <w:rFonts w:ascii="Calibri" w:hAnsi="Calibri"/>
                <w:color w:val="000000"/>
                <w:lang w:eastAsia="en-GB"/>
              </w:rPr>
              <w:t>202</w:t>
            </w:r>
            <w:r w:rsidR="00DA5ED4">
              <w:rPr>
                <w:rFonts w:ascii="Calibri" w:hAnsi="Calibri"/>
                <w:color w:val="000000"/>
                <w:lang w:eastAsia="en-GB"/>
              </w:rPr>
              <w:t>2</w:t>
            </w:r>
            <w:r>
              <w:rPr>
                <w:rFonts w:ascii="Calibri" w:hAnsi="Calibri"/>
                <w:color w:val="000000"/>
                <w:lang w:eastAsia="en-GB"/>
              </w:rPr>
              <w:t>-2</w:t>
            </w:r>
            <w:r w:rsidR="00DA5ED4">
              <w:rPr>
                <w:rFonts w:ascii="Calibri" w:hAnsi="Calibri"/>
                <w:color w:val="000000"/>
                <w:lang w:eastAsia="en-GB"/>
              </w:rPr>
              <w:t>3</w:t>
            </w:r>
          </w:p>
        </w:tc>
        <w:tc>
          <w:tcPr>
            <w:tcW w:w="5215" w:type="dxa"/>
            <w:gridSpan w:val="6"/>
            <w:tcBorders>
              <w:top w:val="single" w:sz="4" w:space="0" w:color="FFFFFF"/>
              <w:left w:val="nil"/>
              <w:bottom w:val="single" w:sz="4" w:space="0" w:color="FFFFFF"/>
              <w:right w:val="nil"/>
            </w:tcBorders>
            <w:shd w:val="clear" w:color="000000" w:fill="B1A0C7"/>
            <w:noWrap/>
            <w:vAlign w:val="bottom"/>
            <w:hideMark/>
          </w:tcPr>
          <w:p w14:paraId="35823AC5" w14:textId="77777777" w:rsidR="00226F9B" w:rsidRPr="004E5437" w:rsidRDefault="00226F9B" w:rsidP="004E5437">
            <w:pPr>
              <w:jc w:val="center"/>
              <w:rPr>
                <w:rFonts w:ascii="Calibri" w:hAnsi="Calibri"/>
                <w:color w:val="000000"/>
                <w:lang w:eastAsia="en-GB"/>
              </w:rPr>
            </w:pPr>
            <w:r w:rsidRPr="004E5437">
              <w:rPr>
                <w:rFonts w:ascii="Calibri" w:hAnsi="Calibri"/>
                <w:color w:val="000000"/>
                <w:lang w:eastAsia="en-GB"/>
              </w:rPr>
              <w:t>Usable Reserves</w:t>
            </w:r>
          </w:p>
        </w:tc>
        <w:tc>
          <w:tcPr>
            <w:tcW w:w="820" w:type="dxa"/>
            <w:tcBorders>
              <w:top w:val="nil"/>
              <w:left w:val="single" w:sz="4" w:space="0" w:color="FFFFFF"/>
              <w:bottom w:val="nil"/>
              <w:right w:val="single" w:sz="4" w:space="0" w:color="FFFFFF"/>
            </w:tcBorders>
            <w:shd w:val="clear" w:color="000000" w:fill="B1A0C7"/>
            <w:noWrap/>
            <w:vAlign w:val="bottom"/>
            <w:hideMark/>
          </w:tcPr>
          <w:p w14:paraId="60155DEC"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80" w:type="dxa"/>
            <w:tcBorders>
              <w:top w:val="nil"/>
              <w:left w:val="nil"/>
              <w:bottom w:val="nil"/>
            </w:tcBorders>
            <w:shd w:val="clear" w:color="000000" w:fill="B1A0C7"/>
            <w:noWrap/>
            <w:vAlign w:val="bottom"/>
            <w:hideMark/>
          </w:tcPr>
          <w:p w14:paraId="2EC11614"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r>
      <w:tr w:rsidR="00226F9B" w:rsidRPr="004E5437" w14:paraId="640D3893" w14:textId="77777777" w:rsidTr="004E213E">
        <w:trPr>
          <w:trHeight w:val="1499"/>
          <w:tblHeader/>
        </w:trPr>
        <w:tc>
          <w:tcPr>
            <w:tcW w:w="2320" w:type="dxa"/>
            <w:tcBorders>
              <w:top w:val="nil"/>
              <w:left w:val="single" w:sz="4" w:space="0" w:color="FFFFFF"/>
              <w:bottom w:val="single" w:sz="4" w:space="0" w:color="FFFFFF"/>
              <w:right w:val="single" w:sz="4" w:space="0" w:color="FFFFFF"/>
            </w:tcBorders>
            <w:shd w:val="clear" w:color="000000" w:fill="B1A0C7"/>
            <w:noWrap/>
            <w:vAlign w:val="bottom"/>
            <w:hideMark/>
          </w:tcPr>
          <w:p w14:paraId="76683DE9"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20" w:type="dxa"/>
            <w:tcBorders>
              <w:top w:val="nil"/>
              <w:left w:val="nil"/>
              <w:bottom w:val="single" w:sz="4" w:space="0" w:color="FFFFFF"/>
              <w:right w:val="single" w:sz="4" w:space="0" w:color="FFFFFF"/>
            </w:tcBorders>
            <w:shd w:val="clear" w:color="000000" w:fill="B1A0C7"/>
            <w:textDirection w:val="btLr"/>
            <w:vAlign w:val="bottom"/>
            <w:hideMark/>
          </w:tcPr>
          <w:p w14:paraId="181C00AB"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General Fund</w:t>
            </w:r>
            <w:r w:rsidRPr="004E5437">
              <w:rPr>
                <w:rFonts w:ascii="Calibri" w:hAnsi="Calibri"/>
                <w:color w:val="000000"/>
                <w:lang w:eastAsia="en-GB"/>
              </w:rPr>
              <w:br/>
              <w:t>Balance</w:t>
            </w:r>
          </w:p>
        </w:tc>
        <w:tc>
          <w:tcPr>
            <w:tcW w:w="975" w:type="dxa"/>
            <w:tcBorders>
              <w:top w:val="nil"/>
              <w:left w:val="nil"/>
              <w:bottom w:val="single" w:sz="4" w:space="0" w:color="FFFFFF"/>
              <w:right w:val="single" w:sz="4" w:space="0" w:color="FFFFFF"/>
            </w:tcBorders>
            <w:shd w:val="clear" w:color="000000" w:fill="B1A0C7"/>
            <w:textDirection w:val="btLr"/>
            <w:vAlign w:val="bottom"/>
            <w:hideMark/>
          </w:tcPr>
          <w:p w14:paraId="05525EB1"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Housing</w:t>
            </w:r>
            <w:r w:rsidRPr="004E5437">
              <w:rPr>
                <w:rFonts w:ascii="Calibri" w:hAnsi="Calibri"/>
                <w:color w:val="000000"/>
                <w:lang w:eastAsia="en-GB"/>
              </w:rPr>
              <w:br/>
              <w:t>Revenue</w:t>
            </w:r>
            <w:r w:rsidRPr="004E5437">
              <w:rPr>
                <w:rFonts w:ascii="Calibri" w:hAnsi="Calibri"/>
                <w:color w:val="000000"/>
                <w:lang w:eastAsia="en-GB"/>
              </w:rPr>
              <w:br/>
              <w:t>Account</w:t>
            </w:r>
          </w:p>
        </w:tc>
        <w:tc>
          <w:tcPr>
            <w:tcW w:w="880" w:type="dxa"/>
            <w:tcBorders>
              <w:top w:val="nil"/>
              <w:left w:val="nil"/>
              <w:bottom w:val="single" w:sz="4" w:space="0" w:color="FFFFFF"/>
              <w:right w:val="single" w:sz="4" w:space="0" w:color="FFFFFF"/>
            </w:tcBorders>
            <w:shd w:val="clear" w:color="000000" w:fill="B1A0C7"/>
            <w:textDirection w:val="btLr"/>
            <w:vAlign w:val="bottom"/>
            <w:hideMark/>
          </w:tcPr>
          <w:p w14:paraId="4407531D" w14:textId="77777777" w:rsidR="00226F9B" w:rsidRPr="004E5437" w:rsidRDefault="00226F9B" w:rsidP="00E8625F">
            <w:pPr>
              <w:rPr>
                <w:rFonts w:ascii="Calibri" w:hAnsi="Calibri"/>
                <w:color w:val="000000"/>
                <w:lang w:eastAsia="en-GB"/>
              </w:rPr>
            </w:pPr>
            <w:r w:rsidRPr="004E5437">
              <w:rPr>
                <w:rFonts w:ascii="Calibri" w:hAnsi="Calibri"/>
                <w:color w:val="000000"/>
                <w:lang w:eastAsia="en-GB"/>
              </w:rPr>
              <w:t>Capital</w:t>
            </w:r>
            <w:r w:rsidRPr="004E5437">
              <w:rPr>
                <w:rFonts w:ascii="Calibri" w:hAnsi="Calibri"/>
                <w:color w:val="000000"/>
                <w:lang w:eastAsia="en-GB"/>
              </w:rPr>
              <w:br/>
              <w:t>Receipts</w:t>
            </w:r>
            <w:r w:rsidR="00E8625F">
              <w:rPr>
                <w:rFonts w:ascii="Calibri" w:hAnsi="Calibri"/>
                <w:color w:val="000000"/>
                <w:lang w:eastAsia="en-GB"/>
              </w:rPr>
              <w:t xml:space="preserve"> Reserve</w:t>
            </w:r>
          </w:p>
        </w:tc>
        <w:tc>
          <w:tcPr>
            <w:tcW w:w="840" w:type="dxa"/>
            <w:tcBorders>
              <w:top w:val="nil"/>
              <w:left w:val="nil"/>
              <w:bottom w:val="single" w:sz="4" w:space="0" w:color="FFFFFF"/>
              <w:right w:val="single" w:sz="4" w:space="0" w:color="FFFFFF"/>
            </w:tcBorders>
            <w:shd w:val="clear" w:color="000000" w:fill="B1A0C7"/>
            <w:textDirection w:val="btLr"/>
            <w:vAlign w:val="bottom"/>
            <w:hideMark/>
          </w:tcPr>
          <w:p w14:paraId="680C5CD2"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Major Repairs</w:t>
            </w:r>
            <w:r w:rsidRPr="004E5437">
              <w:rPr>
                <w:rFonts w:ascii="Calibri" w:hAnsi="Calibri"/>
                <w:color w:val="000000"/>
                <w:lang w:eastAsia="en-GB"/>
              </w:rPr>
              <w:br/>
              <w:t>Reserve</w:t>
            </w:r>
          </w:p>
        </w:tc>
        <w:tc>
          <w:tcPr>
            <w:tcW w:w="780" w:type="dxa"/>
            <w:tcBorders>
              <w:top w:val="nil"/>
              <w:left w:val="nil"/>
              <w:bottom w:val="single" w:sz="4" w:space="0" w:color="FFFFFF"/>
              <w:right w:val="single" w:sz="4" w:space="0" w:color="FFFFFF"/>
            </w:tcBorders>
            <w:shd w:val="clear" w:color="000000" w:fill="B1A0C7"/>
            <w:textDirection w:val="btLr"/>
            <w:vAlign w:val="bottom"/>
            <w:hideMark/>
          </w:tcPr>
          <w:p w14:paraId="3D51C399"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Capital Grants</w:t>
            </w:r>
            <w:r w:rsidRPr="004E5437">
              <w:rPr>
                <w:rFonts w:ascii="Calibri" w:hAnsi="Calibri"/>
                <w:color w:val="000000"/>
                <w:lang w:eastAsia="en-GB"/>
              </w:rPr>
              <w:br/>
              <w:t>Unapplied</w:t>
            </w:r>
          </w:p>
        </w:tc>
        <w:tc>
          <w:tcPr>
            <w:tcW w:w="920" w:type="dxa"/>
            <w:tcBorders>
              <w:top w:val="nil"/>
              <w:left w:val="nil"/>
              <w:bottom w:val="single" w:sz="4" w:space="0" w:color="FFFFFF"/>
              <w:right w:val="nil"/>
            </w:tcBorders>
            <w:shd w:val="clear" w:color="000000" w:fill="B1A0C7"/>
            <w:textDirection w:val="btLr"/>
            <w:vAlign w:val="bottom"/>
            <w:hideMark/>
          </w:tcPr>
          <w:p w14:paraId="04C9A039"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Total Usable</w:t>
            </w:r>
            <w:r w:rsidRPr="004E5437">
              <w:rPr>
                <w:rFonts w:ascii="Calibri" w:hAnsi="Calibri"/>
                <w:color w:val="000000"/>
                <w:lang w:eastAsia="en-GB"/>
              </w:rPr>
              <w:br/>
              <w:t>Reserves</w:t>
            </w:r>
          </w:p>
        </w:tc>
        <w:tc>
          <w:tcPr>
            <w:tcW w:w="820" w:type="dxa"/>
            <w:tcBorders>
              <w:top w:val="nil"/>
              <w:left w:val="single" w:sz="4" w:space="0" w:color="FFFFFF"/>
              <w:bottom w:val="single" w:sz="4" w:space="0" w:color="FFFFFF"/>
              <w:right w:val="single" w:sz="4" w:space="0" w:color="FFFFFF"/>
            </w:tcBorders>
            <w:shd w:val="clear" w:color="000000" w:fill="B1A0C7"/>
            <w:textDirection w:val="btLr"/>
            <w:vAlign w:val="bottom"/>
            <w:hideMark/>
          </w:tcPr>
          <w:p w14:paraId="461463CD"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Unusable Reserves</w:t>
            </w:r>
          </w:p>
        </w:tc>
        <w:tc>
          <w:tcPr>
            <w:tcW w:w="880" w:type="dxa"/>
            <w:tcBorders>
              <w:top w:val="nil"/>
              <w:left w:val="nil"/>
              <w:bottom w:val="single" w:sz="4" w:space="0" w:color="FFFFFF"/>
            </w:tcBorders>
            <w:shd w:val="clear" w:color="000000" w:fill="B1A0C7"/>
            <w:textDirection w:val="btLr"/>
            <w:vAlign w:val="bottom"/>
            <w:hideMark/>
          </w:tcPr>
          <w:p w14:paraId="1745990D"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Total Reserves</w:t>
            </w:r>
          </w:p>
        </w:tc>
      </w:tr>
      <w:tr w:rsidR="00226F9B" w:rsidRPr="004E5437" w14:paraId="2C554F11" w14:textId="77777777" w:rsidTr="004E213E">
        <w:trPr>
          <w:trHeight w:val="300"/>
          <w:tblHeader/>
        </w:trPr>
        <w:tc>
          <w:tcPr>
            <w:tcW w:w="2320" w:type="dxa"/>
            <w:tcBorders>
              <w:top w:val="nil"/>
              <w:left w:val="single" w:sz="4" w:space="0" w:color="FFFFFF"/>
              <w:bottom w:val="single" w:sz="4" w:space="0" w:color="FFFFFF"/>
              <w:right w:val="single" w:sz="4" w:space="0" w:color="FFFFFF"/>
            </w:tcBorders>
            <w:shd w:val="clear" w:color="000000" w:fill="B1A0C7"/>
            <w:noWrap/>
            <w:vAlign w:val="bottom"/>
            <w:hideMark/>
          </w:tcPr>
          <w:p w14:paraId="6A4049B9"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20" w:type="dxa"/>
            <w:tcBorders>
              <w:top w:val="nil"/>
              <w:left w:val="nil"/>
              <w:bottom w:val="single" w:sz="4" w:space="0" w:color="FFFFFF"/>
              <w:right w:val="single" w:sz="4" w:space="0" w:color="FFFFFF"/>
            </w:tcBorders>
            <w:shd w:val="clear" w:color="000000" w:fill="B1A0C7"/>
            <w:noWrap/>
            <w:vAlign w:val="bottom"/>
            <w:hideMark/>
          </w:tcPr>
          <w:p w14:paraId="3F5934BE"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975" w:type="dxa"/>
            <w:tcBorders>
              <w:top w:val="nil"/>
              <w:left w:val="nil"/>
              <w:bottom w:val="single" w:sz="4" w:space="0" w:color="FFFFFF"/>
              <w:right w:val="single" w:sz="4" w:space="0" w:color="FFFFFF"/>
            </w:tcBorders>
            <w:shd w:val="clear" w:color="000000" w:fill="B1A0C7"/>
            <w:noWrap/>
            <w:vAlign w:val="bottom"/>
            <w:hideMark/>
          </w:tcPr>
          <w:p w14:paraId="5C49447F"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80" w:type="dxa"/>
            <w:tcBorders>
              <w:top w:val="nil"/>
              <w:left w:val="nil"/>
              <w:bottom w:val="single" w:sz="4" w:space="0" w:color="FFFFFF"/>
              <w:right w:val="single" w:sz="4" w:space="0" w:color="FFFFFF"/>
            </w:tcBorders>
            <w:shd w:val="clear" w:color="000000" w:fill="B1A0C7"/>
            <w:noWrap/>
            <w:vAlign w:val="bottom"/>
            <w:hideMark/>
          </w:tcPr>
          <w:p w14:paraId="01D5B66C"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40" w:type="dxa"/>
            <w:tcBorders>
              <w:top w:val="nil"/>
              <w:left w:val="nil"/>
              <w:bottom w:val="single" w:sz="4" w:space="0" w:color="FFFFFF"/>
              <w:right w:val="single" w:sz="4" w:space="0" w:color="FFFFFF"/>
            </w:tcBorders>
            <w:shd w:val="clear" w:color="000000" w:fill="B1A0C7"/>
            <w:noWrap/>
            <w:vAlign w:val="bottom"/>
            <w:hideMark/>
          </w:tcPr>
          <w:p w14:paraId="7EC4117E"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780" w:type="dxa"/>
            <w:tcBorders>
              <w:top w:val="nil"/>
              <w:left w:val="nil"/>
              <w:bottom w:val="single" w:sz="4" w:space="0" w:color="FFFFFF"/>
              <w:right w:val="single" w:sz="4" w:space="0" w:color="FFFFFF"/>
            </w:tcBorders>
            <w:shd w:val="clear" w:color="000000" w:fill="B1A0C7"/>
            <w:noWrap/>
            <w:vAlign w:val="bottom"/>
            <w:hideMark/>
          </w:tcPr>
          <w:p w14:paraId="42DFFAD3"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920" w:type="dxa"/>
            <w:tcBorders>
              <w:top w:val="nil"/>
              <w:left w:val="nil"/>
              <w:bottom w:val="single" w:sz="4" w:space="0" w:color="FFFFFF"/>
              <w:right w:val="single" w:sz="4" w:space="0" w:color="FFFFFF"/>
            </w:tcBorders>
            <w:shd w:val="clear" w:color="000000" w:fill="B1A0C7"/>
            <w:noWrap/>
            <w:vAlign w:val="bottom"/>
            <w:hideMark/>
          </w:tcPr>
          <w:p w14:paraId="25A6385C"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20" w:type="dxa"/>
            <w:tcBorders>
              <w:top w:val="nil"/>
              <w:left w:val="nil"/>
              <w:bottom w:val="single" w:sz="4" w:space="0" w:color="FFFFFF"/>
              <w:right w:val="single" w:sz="4" w:space="0" w:color="FFFFFF"/>
            </w:tcBorders>
            <w:shd w:val="clear" w:color="000000" w:fill="B1A0C7"/>
            <w:noWrap/>
            <w:vAlign w:val="bottom"/>
            <w:hideMark/>
          </w:tcPr>
          <w:p w14:paraId="74CCF4BD"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80" w:type="dxa"/>
            <w:tcBorders>
              <w:top w:val="nil"/>
              <w:left w:val="nil"/>
              <w:bottom w:val="single" w:sz="4" w:space="0" w:color="FFFFFF"/>
            </w:tcBorders>
            <w:shd w:val="clear" w:color="000000" w:fill="B1A0C7"/>
            <w:noWrap/>
            <w:vAlign w:val="bottom"/>
            <w:hideMark/>
          </w:tcPr>
          <w:p w14:paraId="75D5F643"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r>
      <w:tr w:rsidR="00226F9B" w:rsidRPr="004E5437" w14:paraId="1C2D7364" w14:textId="77777777" w:rsidTr="004E213E">
        <w:trPr>
          <w:trHeight w:val="510"/>
          <w:tblHeader/>
        </w:trPr>
        <w:tc>
          <w:tcPr>
            <w:tcW w:w="2320" w:type="dxa"/>
            <w:tcBorders>
              <w:top w:val="nil"/>
              <w:left w:val="single" w:sz="4" w:space="0" w:color="FFFFFF"/>
              <w:bottom w:val="single" w:sz="4" w:space="0" w:color="FFFFFF"/>
              <w:right w:val="single" w:sz="4" w:space="0" w:color="FFFFFF"/>
            </w:tcBorders>
            <w:shd w:val="clear" w:color="000000" w:fill="E4DFEC"/>
            <w:vAlign w:val="center"/>
            <w:hideMark/>
          </w:tcPr>
          <w:p w14:paraId="5FC71A36" w14:textId="4B934AB3" w:rsidR="00226F9B" w:rsidRPr="004E5437" w:rsidRDefault="00226F9B" w:rsidP="00226F9B">
            <w:pPr>
              <w:rPr>
                <w:rFonts w:ascii="Calibri" w:hAnsi="Calibri"/>
                <w:b/>
                <w:bCs/>
                <w:color w:val="000000"/>
                <w:lang w:eastAsia="en-GB"/>
              </w:rPr>
            </w:pPr>
            <w:r w:rsidRPr="004E5437">
              <w:rPr>
                <w:rFonts w:ascii="Calibri" w:hAnsi="Calibri"/>
                <w:b/>
                <w:bCs/>
                <w:color w:val="000000"/>
                <w:lang w:eastAsia="en-GB"/>
              </w:rPr>
              <w:t xml:space="preserve">Balance </w:t>
            </w:r>
            <w:proofErr w:type="gramStart"/>
            <w:r w:rsidRPr="004E5437">
              <w:rPr>
                <w:rFonts w:ascii="Calibri" w:hAnsi="Calibri"/>
                <w:b/>
                <w:bCs/>
                <w:color w:val="000000"/>
                <w:lang w:eastAsia="en-GB"/>
              </w:rPr>
              <w:t>at</w:t>
            </w:r>
            <w:proofErr w:type="gramEnd"/>
            <w:r w:rsidRPr="004E5437">
              <w:rPr>
                <w:rFonts w:ascii="Calibri" w:hAnsi="Calibri"/>
                <w:b/>
                <w:bCs/>
                <w:color w:val="000000"/>
                <w:lang w:eastAsia="en-GB"/>
              </w:rPr>
              <w:t xml:space="preserve"> </w:t>
            </w:r>
            <w:r>
              <w:rPr>
                <w:rFonts w:ascii="Calibri" w:hAnsi="Calibri"/>
                <w:b/>
                <w:bCs/>
                <w:color w:val="000000"/>
                <w:lang w:eastAsia="en-GB"/>
              </w:rPr>
              <w:t>3</w:t>
            </w:r>
            <w:r w:rsidRPr="004E5437">
              <w:rPr>
                <w:rFonts w:ascii="Calibri" w:hAnsi="Calibri"/>
                <w:b/>
                <w:bCs/>
                <w:color w:val="000000"/>
                <w:lang w:eastAsia="en-GB"/>
              </w:rPr>
              <w:t xml:space="preserve">1 </w:t>
            </w:r>
            <w:r w:rsidR="002D03F9">
              <w:rPr>
                <w:rFonts w:ascii="Calibri" w:hAnsi="Calibri"/>
                <w:b/>
                <w:bCs/>
                <w:color w:val="000000"/>
                <w:lang w:eastAsia="en-GB"/>
              </w:rPr>
              <w:t>March 202</w:t>
            </w:r>
            <w:r w:rsidR="00DA5ED4">
              <w:rPr>
                <w:rFonts w:ascii="Calibri" w:hAnsi="Calibri"/>
                <w:b/>
                <w:bCs/>
                <w:color w:val="000000"/>
                <w:lang w:eastAsia="en-GB"/>
              </w:rPr>
              <w:t>2</w:t>
            </w:r>
          </w:p>
        </w:tc>
        <w:tc>
          <w:tcPr>
            <w:tcW w:w="820" w:type="dxa"/>
            <w:tcBorders>
              <w:top w:val="nil"/>
              <w:left w:val="nil"/>
              <w:bottom w:val="single" w:sz="4" w:space="0" w:color="FFFFFF"/>
              <w:right w:val="single" w:sz="4" w:space="0" w:color="FFFFFF"/>
            </w:tcBorders>
            <w:shd w:val="clear" w:color="000000" w:fill="E4DFEC"/>
            <w:noWrap/>
            <w:vAlign w:val="center"/>
          </w:tcPr>
          <w:p w14:paraId="74457E0E" w14:textId="204356BE" w:rsidR="00226F9B" w:rsidRPr="004E5437" w:rsidRDefault="00DA5ED4" w:rsidP="00810577">
            <w:pPr>
              <w:jc w:val="right"/>
              <w:rPr>
                <w:rFonts w:ascii="Calibri" w:hAnsi="Calibri"/>
                <w:b/>
                <w:bCs/>
                <w:color w:val="000000"/>
                <w:lang w:eastAsia="en-GB"/>
              </w:rPr>
            </w:pPr>
            <w:r>
              <w:rPr>
                <w:rFonts w:ascii="Calibri" w:hAnsi="Calibri"/>
                <w:b/>
                <w:bCs/>
                <w:color w:val="000000"/>
                <w:lang w:eastAsia="en-GB"/>
              </w:rPr>
              <w:t>6</w:t>
            </w:r>
            <w:r w:rsidR="00226C04">
              <w:rPr>
                <w:rFonts w:ascii="Calibri" w:hAnsi="Calibri"/>
                <w:b/>
                <w:bCs/>
                <w:color w:val="000000"/>
                <w:lang w:eastAsia="en-GB"/>
              </w:rPr>
              <w:t>,</w:t>
            </w:r>
            <w:r>
              <w:rPr>
                <w:rFonts w:ascii="Calibri" w:hAnsi="Calibri"/>
                <w:b/>
                <w:bCs/>
                <w:color w:val="000000"/>
                <w:lang w:eastAsia="en-GB"/>
              </w:rPr>
              <w:t>328</w:t>
            </w:r>
          </w:p>
        </w:tc>
        <w:tc>
          <w:tcPr>
            <w:tcW w:w="975" w:type="dxa"/>
            <w:tcBorders>
              <w:top w:val="nil"/>
              <w:left w:val="nil"/>
              <w:bottom w:val="single" w:sz="4" w:space="0" w:color="FFFFFF"/>
              <w:right w:val="single" w:sz="4" w:space="0" w:color="FFFFFF"/>
            </w:tcBorders>
            <w:shd w:val="clear" w:color="000000" w:fill="E4DFEC"/>
            <w:noWrap/>
            <w:vAlign w:val="center"/>
          </w:tcPr>
          <w:p w14:paraId="2901C344" w14:textId="30347D0A" w:rsidR="00226F9B" w:rsidRPr="004E5437" w:rsidRDefault="004A0683" w:rsidP="00810577">
            <w:pPr>
              <w:jc w:val="right"/>
              <w:rPr>
                <w:rFonts w:ascii="Calibri" w:hAnsi="Calibri"/>
                <w:b/>
                <w:bCs/>
                <w:color w:val="000000"/>
                <w:lang w:eastAsia="en-GB"/>
              </w:rPr>
            </w:pPr>
            <w:r>
              <w:rPr>
                <w:rFonts w:ascii="Calibri" w:hAnsi="Calibri"/>
                <w:b/>
                <w:bCs/>
                <w:color w:val="000000"/>
                <w:lang w:eastAsia="en-GB"/>
              </w:rPr>
              <w:t>5</w:t>
            </w:r>
            <w:r w:rsidR="00226C04">
              <w:rPr>
                <w:rFonts w:ascii="Calibri" w:hAnsi="Calibri"/>
                <w:b/>
                <w:bCs/>
                <w:color w:val="000000"/>
                <w:lang w:eastAsia="en-GB"/>
              </w:rPr>
              <w:t>,</w:t>
            </w:r>
            <w:r>
              <w:rPr>
                <w:rFonts w:ascii="Calibri" w:hAnsi="Calibri"/>
                <w:b/>
                <w:bCs/>
                <w:color w:val="000000"/>
                <w:lang w:eastAsia="en-GB"/>
              </w:rPr>
              <w:t>878</w:t>
            </w:r>
          </w:p>
        </w:tc>
        <w:tc>
          <w:tcPr>
            <w:tcW w:w="880" w:type="dxa"/>
            <w:tcBorders>
              <w:top w:val="nil"/>
              <w:left w:val="nil"/>
              <w:bottom w:val="single" w:sz="4" w:space="0" w:color="FFFFFF"/>
              <w:right w:val="single" w:sz="4" w:space="0" w:color="FFFFFF"/>
            </w:tcBorders>
            <w:shd w:val="clear" w:color="000000" w:fill="E4DFEC"/>
            <w:noWrap/>
            <w:vAlign w:val="center"/>
          </w:tcPr>
          <w:p w14:paraId="43ACDBFF" w14:textId="1D078C05" w:rsidR="00226F9B" w:rsidRPr="004E5437" w:rsidRDefault="004A0683" w:rsidP="00810577">
            <w:pPr>
              <w:jc w:val="right"/>
              <w:rPr>
                <w:rFonts w:ascii="Calibri" w:hAnsi="Calibri"/>
                <w:b/>
                <w:bCs/>
                <w:color w:val="000000"/>
                <w:lang w:eastAsia="en-GB"/>
              </w:rPr>
            </w:pPr>
            <w:r>
              <w:rPr>
                <w:rFonts w:ascii="Calibri" w:hAnsi="Calibri"/>
                <w:b/>
                <w:bCs/>
                <w:color w:val="000000"/>
                <w:lang w:eastAsia="en-GB"/>
              </w:rPr>
              <w:t>4</w:t>
            </w:r>
            <w:r w:rsidR="00226C04">
              <w:rPr>
                <w:rFonts w:ascii="Calibri" w:hAnsi="Calibri"/>
                <w:b/>
                <w:bCs/>
                <w:color w:val="000000"/>
                <w:lang w:eastAsia="en-GB"/>
              </w:rPr>
              <w:t>,</w:t>
            </w:r>
            <w:r>
              <w:rPr>
                <w:rFonts w:ascii="Calibri" w:hAnsi="Calibri"/>
                <w:b/>
                <w:bCs/>
                <w:color w:val="000000"/>
                <w:lang w:eastAsia="en-GB"/>
              </w:rPr>
              <w:t>751</w:t>
            </w:r>
          </w:p>
        </w:tc>
        <w:tc>
          <w:tcPr>
            <w:tcW w:w="840" w:type="dxa"/>
            <w:tcBorders>
              <w:top w:val="nil"/>
              <w:left w:val="nil"/>
              <w:bottom w:val="single" w:sz="4" w:space="0" w:color="FFFFFF"/>
              <w:right w:val="single" w:sz="4" w:space="0" w:color="FFFFFF"/>
            </w:tcBorders>
            <w:shd w:val="clear" w:color="000000" w:fill="E4DFEC"/>
            <w:noWrap/>
            <w:vAlign w:val="center"/>
          </w:tcPr>
          <w:p w14:paraId="5980ACBD" w14:textId="5142ABFF" w:rsidR="00226F9B" w:rsidRPr="004E5437" w:rsidRDefault="004A0683" w:rsidP="00810577">
            <w:pPr>
              <w:jc w:val="right"/>
              <w:rPr>
                <w:rFonts w:ascii="Calibri" w:hAnsi="Calibri"/>
                <w:b/>
                <w:bCs/>
                <w:color w:val="000000"/>
                <w:lang w:eastAsia="en-GB"/>
              </w:rPr>
            </w:pPr>
            <w:r>
              <w:rPr>
                <w:rFonts w:ascii="Calibri" w:hAnsi="Calibri"/>
                <w:b/>
                <w:bCs/>
                <w:color w:val="000000"/>
                <w:lang w:eastAsia="en-GB"/>
              </w:rPr>
              <w:t>3</w:t>
            </w:r>
            <w:r w:rsidR="00226C04">
              <w:rPr>
                <w:rFonts w:ascii="Calibri" w:hAnsi="Calibri"/>
                <w:b/>
                <w:bCs/>
                <w:color w:val="000000"/>
                <w:lang w:eastAsia="en-GB"/>
              </w:rPr>
              <w:t>,</w:t>
            </w:r>
            <w:r>
              <w:rPr>
                <w:rFonts w:ascii="Calibri" w:hAnsi="Calibri"/>
                <w:b/>
                <w:bCs/>
                <w:color w:val="000000"/>
                <w:lang w:eastAsia="en-GB"/>
              </w:rPr>
              <w:t>484</w:t>
            </w:r>
          </w:p>
        </w:tc>
        <w:tc>
          <w:tcPr>
            <w:tcW w:w="780" w:type="dxa"/>
            <w:tcBorders>
              <w:top w:val="nil"/>
              <w:left w:val="nil"/>
              <w:bottom w:val="single" w:sz="4" w:space="0" w:color="FFFFFF"/>
              <w:right w:val="single" w:sz="4" w:space="0" w:color="FFFFFF"/>
            </w:tcBorders>
            <w:shd w:val="clear" w:color="000000" w:fill="E4DFEC"/>
            <w:noWrap/>
            <w:vAlign w:val="center"/>
          </w:tcPr>
          <w:p w14:paraId="386FA61A" w14:textId="77777777" w:rsidR="00226F9B" w:rsidRPr="004E5437" w:rsidRDefault="00226C04" w:rsidP="004E5437">
            <w:pPr>
              <w:jc w:val="right"/>
              <w:rPr>
                <w:rFonts w:ascii="Calibri" w:hAnsi="Calibri"/>
                <w:b/>
                <w:bCs/>
                <w:color w:val="000000"/>
                <w:lang w:eastAsia="en-GB"/>
              </w:rPr>
            </w:pPr>
            <w:r>
              <w:rPr>
                <w:rFonts w:ascii="Calibri" w:hAnsi="Calibri"/>
                <w:b/>
                <w:bCs/>
                <w:color w:val="000000"/>
                <w:lang w:eastAsia="en-GB"/>
              </w:rPr>
              <w:t>0</w:t>
            </w:r>
          </w:p>
        </w:tc>
        <w:tc>
          <w:tcPr>
            <w:tcW w:w="920" w:type="dxa"/>
            <w:tcBorders>
              <w:top w:val="nil"/>
              <w:left w:val="nil"/>
              <w:bottom w:val="single" w:sz="4" w:space="0" w:color="FFFFFF"/>
              <w:right w:val="single" w:sz="4" w:space="0" w:color="FFFFFF"/>
            </w:tcBorders>
            <w:shd w:val="clear" w:color="000000" w:fill="CCC0DA"/>
            <w:noWrap/>
            <w:vAlign w:val="center"/>
          </w:tcPr>
          <w:p w14:paraId="2E440C50" w14:textId="7612691D" w:rsidR="00226F9B" w:rsidRPr="004E5437" w:rsidRDefault="00810577" w:rsidP="00810577">
            <w:pPr>
              <w:jc w:val="right"/>
              <w:rPr>
                <w:rFonts w:ascii="Calibri" w:hAnsi="Calibri"/>
                <w:b/>
                <w:bCs/>
                <w:color w:val="000000"/>
                <w:lang w:eastAsia="en-GB"/>
              </w:rPr>
            </w:pPr>
            <w:r>
              <w:rPr>
                <w:rFonts w:ascii="Calibri" w:hAnsi="Calibri"/>
                <w:b/>
                <w:bCs/>
                <w:color w:val="000000"/>
                <w:lang w:eastAsia="en-GB"/>
              </w:rPr>
              <w:t>2</w:t>
            </w:r>
            <w:r w:rsidR="004A0683">
              <w:rPr>
                <w:rFonts w:ascii="Calibri" w:hAnsi="Calibri"/>
                <w:b/>
                <w:bCs/>
                <w:color w:val="000000"/>
                <w:lang w:eastAsia="en-GB"/>
              </w:rPr>
              <w:t>0</w:t>
            </w:r>
            <w:r w:rsidR="00226C04">
              <w:rPr>
                <w:rFonts w:ascii="Calibri" w:hAnsi="Calibri"/>
                <w:b/>
                <w:bCs/>
                <w:color w:val="000000"/>
                <w:lang w:eastAsia="en-GB"/>
              </w:rPr>
              <w:t>,</w:t>
            </w:r>
            <w:r w:rsidR="004A0683">
              <w:rPr>
                <w:rFonts w:ascii="Calibri" w:hAnsi="Calibri"/>
                <w:b/>
                <w:bCs/>
                <w:color w:val="000000"/>
                <w:lang w:eastAsia="en-GB"/>
              </w:rPr>
              <w:t>441</w:t>
            </w:r>
          </w:p>
        </w:tc>
        <w:tc>
          <w:tcPr>
            <w:tcW w:w="820" w:type="dxa"/>
            <w:tcBorders>
              <w:top w:val="nil"/>
              <w:left w:val="nil"/>
              <w:bottom w:val="single" w:sz="4" w:space="0" w:color="FFFFFF"/>
              <w:right w:val="single" w:sz="4" w:space="0" w:color="FFFFFF"/>
            </w:tcBorders>
            <w:shd w:val="clear" w:color="000000" w:fill="E4DFEC"/>
            <w:noWrap/>
            <w:vAlign w:val="center"/>
          </w:tcPr>
          <w:p w14:paraId="03991CE0" w14:textId="77C03E91" w:rsidR="00226F9B" w:rsidRPr="004E5437" w:rsidRDefault="004A0683" w:rsidP="00810577">
            <w:pPr>
              <w:jc w:val="right"/>
              <w:rPr>
                <w:rFonts w:ascii="Calibri" w:hAnsi="Calibri"/>
                <w:b/>
                <w:bCs/>
                <w:color w:val="000000"/>
                <w:lang w:eastAsia="en-GB"/>
              </w:rPr>
            </w:pPr>
            <w:r>
              <w:rPr>
                <w:rFonts w:ascii="Calibri" w:hAnsi="Calibri"/>
                <w:b/>
                <w:bCs/>
                <w:color w:val="000000"/>
                <w:lang w:eastAsia="en-GB"/>
              </w:rPr>
              <w:t>94</w:t>
            </w:r>
            <w:r w:rsidR="00226C04">
              <w:rPr>
                <w:rFonts w:ascii="Calibri" w:hAnsi="Calibri"/>
                <w:b/>
                <w:bCs/>
                <w:color w:val="000000"/>
                <w:lang w:eastAsia="en-GB"/>
              </w:rPr>
              <w:t>,</w:t>
            </w:r>
            <w:r>
              <w:rPr>
                <w:rFonts w:ascii="Calibri" w:hAnsi="Calibri"/>
                <w:b/>
                <w:bCs/>
                <w:color w:val="000000"/>
                <w:lang w:eastAsia="en-GB"/>
              </w:rPr>
              <w:t>600</w:t>
            </w:r>
          </w:p>
        </w:tc>
        <w:tc>
          <w:tcPr>
            <w:tcW w:w="880" w:type="dxa"/>
            <w:tcBorders>
              <w:top w:val="nil"/>
              <w:left w:val="nil"/>
              <w:bottom w:val="single" w:sz="4" w:space="0" w:color="FFFFFF"/>
            </w:tcBorders>
            <w:shd w:val="clear" w:color="000000" w:fill="CCC0DA"/>
            <w:noWrap/>
            <w:vAlign w:val="center"/>
          </w:tcPr>
          <w:p w14:paraId="23F57F9D" w14:textId="2DF209A4" w:rsidR="00226F9B" w:rsidRPr="004E5437" w:rsidRDefault="004A0683" w:rsidP="00810577">
            <w:pPr>
              <w:jc w:val="right"/>
              <w:rPr>
                <w:rFonts w:ascii="Calibri" w:hAnsi="Calibri"/>
                <w:b/>
                <w:bCs/>
                <w:color w:val="000000"/>
                <w:lang w:eastAsia="en-GB"/>
              </w:rPr>
            </w:pPr>
            <w:r>
              <w:rPr>
                <w:rFonts w:ascii="Calibri" w:hAnsi="Calibri"/>
                <w:b/>
                <w:bCs/>
                <w:color w:val="000000"/>
                <w:lang w:eastAsia="en-GB"/>
              </w:rPr>
              <w:t>115</w:t>
            </w:r>
            <w:r w:rsidR="00226C04">
              <w:rPr>
                <w:rFonts w:ascii="Calibri" w:hAnsi="Calibri"/>
                <w:b/>
                <w:bCs/>
                <w:color w:val="000000"/>
                <w:lang w:eastAsia="en-GB"/>
              </w:rPr>
              <w:t>,</w:t>
            </w:r>
            <w:r>
              <w:rPr>
                <w:rFonts w:ascii="Calibri" w:hAnsi="Calibri"/>
                <w:b/>
                <w:bCs/>
                <w:color w:val="000000"/>
                <w:lang w:eastAsia="en-GB"/>
              </w:rPr>
              <w:t>041</w:t>
            </w:r>
          </w:p>
        </w:tc>
      </w:tr>
      <w:tr w:rsidR="00226F9B" w:rsidRPr="004E5437" w14:paraId="5C5B845C" w14:textId="77777777" w:rsidTr="004E213E">
        <w:trPr>
          <w:trHeight w:val="510"/>
          <w:tblHeader/>
        </w:trPr>
        <w:tc>
          <w:tcPr>
            <w:tcW w:w="2320" w:type="dxa"/>
            <w:tcBorders>
              <w:top w:val="nil"/>
              <w:left w:val="single" w:sz="4" w:space="0" w:color="FFFFFF"/>
              <w:bottom w:val="single" w:sz="4" w:space="0" w:color="FFFFFF"/>
            </w:tcBorders>
            <w:shd w:val="clear" w:color="000000" w:fill="E4DFEC"/>
            <w:vAlign w:val="center"/>
            <w:hideMark/>
          </w:tcPr>
          <w:p w14:paraId="16B09680" w14:textId="0E2EBE62" w:rsidR="00226F9B" w:rsidRPr="004E5437" w:rsidRDefault="002D03F9" w:rsidP="00E8625F">
            <w:pPr>
              <w:rPr>
                <w:rFonts w:ascii="Calibri" w:hAnsi="Calibri"/>
                <w:b/>
                <w:bCs/>
                <w:color w:val="000000"/>
                <w:lang w:eastAsia="en-GB"/>
              </w:rPr>
            </w:pPr>
            <w:r>
              <w:rPr>
                <w:rFonts w:ascii="Calibri" w:hAnsi="Calibri"/>
                <w:b/>
                <w:bCs/>
                <w:color w:val="000000"/>
                <w:lang w:eastAsia="en-GB"/>
              </w:rPr>
              <w:t>Movement in Reserves during 202</w:t>
            </w:r>
            <w:r w:rsidR="00DA5ED4">
              <w:rPr>
                <w:rFonts w:ascii="Calibri" w:hAnsi="Calibri"/>
                <w:b/>
                <w:bCs/>
                <w:color w:val="000000"/>
                <w:lang w:eastAsia="en-GB"/>
              </w:rPr>
              <w:t>2</w:t>
            </w:r>
            <w:r>
              <w:rPr>
                <w:rFonts w:ascii="Calibri" w:hAnsi="Calibri"/>
                <w:b/>
                <w:bCs/>
                <w:color w:val="000000"/>
                <w:lang w:eastAsia="en-GB"/>
              </w:rPr>
              <w:t>-2</w:t>
            </w:r>
            <w:r w:rsidR="00DA5ED4">
              <w:rPr>
                <w:rFonts w:ascii="Calibri" w:hAnsi="Calibri"/>
                <w:b/>
                <w:bCs/>
                <w:color w:val="000000"/>
                <w:lang w:eastAsia="en-GB"/>
              </w:rPr>
              <w:t>3</w:t>
            </w:r>
          </w:p>
        </w:tc>
        <w:tc>
          <w:tcPr>
            <w:tcW w:w="820" w:type="dxa"/>
            <w:tcBorders>
              <w:top w:val="single" w:sz="4" w:space="0" w:color="FFFFFF"/>
              <w:bottom w:val="single" w:sz="4" w:space="0" w:color="FFFFFF"/>
            </w:tcBorders>
            <w:shd w:val="clear" w:color="000000" w:fill="E4DFEC"/>
            <w:noWrap/>
            <w:vAlign w:val="center"/>
          </w:tcPr>
          <w:p w14:paraId="0F8A77CE" w14:textId="77777777" w:rsidR="00226F9B" w:rsidRPr="004E5437" w:rsidRDefault="00226F9B" w:rsidP="004E5437">
            <w:pPr>
              <w:jc w:val="right"/>
              <w:rPr>
                <w:rFonts w:ascii="Calibri" w:hAnsi="Calibri"/>
                <w:b/>
                <w:bCs/>
                <w:color w:val="000000"/>
                <w:lang w:eastAsia="en-GB"/>
              </w:rPr>
            </w:pPr>
          </w:p>
        </w:tc>
        <w:tc>
          <w:tcPr>
            <w:tcW w:w="975" w:type="dxa"/>
            <w:tcBorders>
              <w:top w:val="single" w:sz="4" w:space="0" w:color="FFFFFF"/>
              <w:bottom w:val="single" w:sz="4" w:space="0" w:color="FFFFFF"/>
            </w:tcBorders>
            <w:shd w:val="clear" w:color="000000" w:fill="E4DFEC"/>
            <w:noWrap/>
            <w:vAlign w:val="center"/>
          </w:tcPr>
          <w:p w14:paraId="4E22E25E" w14:textId="77777777" w:rsidR="00226F9B" w:rsidRPr="004E5437" w:rsidRDefault="00226F9B" w:rsidP="004E5437">
            <w:pPr>
              <w:jc w:val="right"/>
              <w:rPr>
                <w:rFonts w:ascii="Calibri" w:hAnsi="Calibri"/>
                <w:b/>
                <w:bCs/>
                <w:color w:val="000000"/>
                <w:lang w:eastAsia="en-GB"/>
              </w:rPr>
            </w:pPr>
          </w:p>
        </w:tc>
        <w:tc>
          <w:tcPr>
            <w:tcW w:w="880" w:type="dxa"/>
            <w:tcBorders>
              <w:top w:val="single" w:sz="4" w:space="0" w:color="FFFFFF"/>
              <w:bottom w:val="single" w:sz="4" w:space="0" w:color="FFFFFF"/>
            </w:tcBorders>
            <w:shd w:val="clear" w:color="000000" w:fill="E4DFEC"/>
            <w:noWrap/>
            <w:vAlign w:val="center"/>
          </w:tcPr>
          <w:p w14:paraId="2B530365" w14:textId="77777777" w:rsidR="00226F9B" w:rsidRPr="004E5437" w:rsidRDefault="00226F9B" w:rsidP="004E5437">
            <w:pPr>
              <w:jc w:val="right"/>
              <w:rPr>
                <w:rFonts w:ascii="Calibri" w:hAnsi="Calibri"/>
                <w:b/>
                <w:bCs/>
                <w:color w:val="000000"/>
                <w:lang w:eastAsia="en-GB"/>
              </w:rPr>
            </w:pPr>
          </w:p>
        </w:tc>
        <w:tc>
          <w:tcPr>
            <w:tcW w:w="840" w:type="dxa"/>
            <w:tcBorders>
              <w:top w:val="single" w:sz="4" w:space="0" w:color="FFFFFF"/>
              <w:bottom w:val="single" w:sz="4" w:space="0" w:color="FFFFFF"/>
            </w:tcBorders>
            <w:shd w:val="clear" w:color="000000" w:fill="E4DFEC"/>
            <w:noWrap/>
            <w:vAlign w:val="center"/>
          </w:tcPr>
          <w:p w14:paraId="2AB60BF7" w14:textId="77777777" w:rsidR="00226F9B" w:rsidRPr="004E5437" w:rsidRDefault="00226F9B" w:rsidP="004E5437">
            <w:pPr>
              <w:jc w:val="right"/>
              <w:rPr>
                <w:rFonts w:ascii="Calibri" w:hAnsi="Calibri"/>
                <w:b/>
                <w:bCs/>
                <w:color w:val="000000"/>
                <w:lang w:eastAsia="en-GB"/>
              </w:rPr>
            </w:pPr>
          </w:p>
        </w:tc>
        <w:tc>
          <w:tcPr>
            <w:tcW w:w="780" w:type="dxa"/>
            <w:tcBorders>
              <w:top w:val="single" w:sz="4" w:space="0" w:color="FFFFFF"/>
              <w:bottom w:val="single" w:sz="4" w:space="0" w:color="FFFFFF"/>
              <w:right w:val="single" w:sz="4" w:space="0" w:color="FFFFFF"/>
            </w:tcBorders>
            <w:shd w:val="clear" w:color="000000" w:fill="E4DFEC"/>
            <w:noWrap/>
            <w:vAlign w:val="center"/>
          </w:tcPr>
          <w:p w14:paraId="24F5C724" w14:textId="77777777" w:rsidR="00226F9B" w:rsidRPr="004E5437" w:rsidRDefault="00226F9B" w:rsidP="004E5437">
            <w:pPr>
              <w:jc w:val="right"/>
              <w:rPr>
                <w:rFonts w:ascii="Calibri" w:hAnsi="Calibri"/>
                <w:b/>
                <w:bCs/>
                <w:color w:val="000000"/>
                <w:lang w:eastAsia="en-GB"/>
              </w:rPr>
            </w:pPr>
          </w:p>
        </w:tc>
        <w:tc>
          <w:tcPr>
            <w:tcW w:w="920" w:type="dxa"/>
            <w:tcBorders>
              <w:top w:val="single" w:sz="4" w:space="0" w:color="FFFFFF"/>
              <w:left w:val="single" w:sz="4" w:space="0" w:color="FFFFFF"/>
              <w:bottom w:val="single" w:sz="4" w:space="0" w:color="FFFFFF"/>
              <w:right w:val="single" w:sz="4" w:space="0" w:color="FFFFFF"/>
            </w:tcBorders>
            <w:shd w:val="clear" w:color="000000" w:fill="CCC0DA"/>
            <w:noWrap/>
            <w:vAlign w:val="center"/>
          </w:tcPr>
          <w:p w14:paraId="03E583B4" w14:textId="77777777" w:rsidR="00226F9B" w:rsidRPr="004E5437" w:rsidRDefault="00226F9B" w:rsidP="004E5437">
            <w:pPr>
              <w:jc w:val="right"/>
              <w:rPr>
                <w:rFonts w:ascii="Calibri" w:hAnsi="Calibri"/>
                <w:b/>
                <w:bCs/>
                <w:color w:val="000000"/>
                <w:lang w:eastAsia="en-GB"/>
              </w:rPr>
            </w:pPr>
          </w:p>
        </w:tc>
        <w:tc>
          <w:tcPr>
            <w:tcW w:w="820" w:type="dxa"/>
            <w:tcBorders>
              <w:top w:val="single" w:sz="4" w:space="0" w:color="FFFFFF"/>
              <w:left w:val="single" w:sz="4" w:space="0" w:color="FFFFFF"/>
              <w:bottom w:val="single" w:sz="4" w:space="0" w:color="FFFFFF"/>
              <w:right w:val="single" w:sz="4" w:space="0" w:color="FFFFFF"/>
            </w:tcBorders>
            <w:shd w:val="clear" w:color="000000" w:fill="E4DFEC"/>
            <w:noWrap/>
            <w:vAlign w:val="center"/>
          </w:tcPr>
          <w:p w14:paraId="16FA38C8" w14:textId="77777777" w:rsidR="00226F9B" w:rsidRPr="004E5437" w:rsidRDefault="00226F9B" w:rsidP="004E5437">
            <w:pPr>
              <w:jc w:val="right"/>
              <w:rPr>
                <w:rFonts w:ascii="Calibri" w:hAnsi="Calibri"/>
                <w:b/>
                <w:bCs/>
                <w:color w:val="000000"/>
                <w:lang w:eastAsia="en-GB"/>
              </w:rPr>
            </w:pPr>
          </w:p>
        </w:tc>
        <w:tc>
          <w:tcPr>
            <w:tcW w:w="880" w:type="dxa"/>
            <w:tcBorders>
              <w:top w:val="single" w:sz="4" w:space="0" w:color="FFFFFF"/>
              <w:left w:val="single" w:sz="4" w:space="0" w:color="FFFFFF"/>
              <w:bottom w:val="single" w:sz="4" w:space="0" w:color="FFFFFF"/>
            </w:tcBorders>
            <w:shd w:val="clear" w:color="000000" w:fill="CCC0DA"/>
            <w:noWrap/>
            <w:vAlign w:val="center"/>
          </w:tcPr>
          <w:p w14:paraId="18610077" w14:textId="77777777" w:rsidR="00226F9B" w:rsidRPr="004E5437" w:rsidRDefault="00226F9B" w:rsidP="004E5437">
            <w:pPr>
              <w:jc w:val="right"/>
              <w:rPr>
                <w:rFonts w:ascii="Calibri" w:hAnsi="Calibri"/>
                <w:b/>
                <w:bCs/>
                <w:color w:val="000000"/>
                <w:lang w:eastAsia="en-GB"/>
              </w:rPr>
            </w:pPr>
          </w:p>
        </w:tc>
      </w:tr>
      <w:tr w:rsidR="00226F9B" w:rsidRPr="00226F9B" w14:paraId="43F18207" w14:textId="77777777" w:rsidTr="004E213E">
        <w:trPr>
          <w:trHeight w:val="510"/>
          <w:tblHeader/>
        </w:trPr>
        <w:tc>
          <w:tcPr>
            <w:tcW w:w="2320" w:type="dxa"/>
            <w:tcBorders>
              <w:top w:val="nil"/>
              <w:left w:val="single" w:sz="4" w:space="0" w:color="FFFFFF"/>
              <w:bottom w:val="single" w:sz="4" w:space="0" w:color="FFFFFF"/>
              <w:right w:val="single" w:sz="4" w:space="0" w:color="FFFFFF"/>
            </w:tcBorders>
            <w:shd w:val="clear" w:color="auto" w:fill="E5DFEC" w:themeFill="accent4" w:themeFillTint="33"/>
            <w:vAlign w:val="center"/>
            <w:hideMark/>
          </w:tcPr>
          <w:p w14:paraId="3DF1A0ED" w14:textId="71BF9D05" w:rsidR="00226F9B" w:rsidRPr="00226F9B" w:rsidRDefault="00226F9B" w:rsidP="004E5437">
            <w:pPr>
              <w:rPr>
                <w:rFonts w:ascii="Calibri" w:hAnsi="Calibri"/>
                <w:bCs/>
                <w:color w:val="000000"/>
                <w:lang w:eastAsia="en-GB"/>
              </w:rPr>
            </w:pPr>
            <w:r w:rsidRPr="00226F9B">
              <w:rPr>
                <w:rFonts w:ascii="Calibri" w:hAnsi="Calibri"/>
                <w:bCs/>
                <w:color w:val="000000"/>
                <w:lang w:eastAsia="en-GB"/>
              </w:rPr>
              <w:t xml:space="preserve">Total Comprehensive Income </w:t>
            </w:r>
            <w:r w:rsidR="00704A70">
              <w:rPr>
                <w:rFonts w:ascii="Calibri" w:hAnsi="Calibri"/>
                <w:bCs/>
                <w:color w:val="000000"/>
                <w:lang w:eastAsia="en-GB"/>
              </w:rPr>
              <w:t>and</w:t>
            </w:r>
            <w:r w:rsidRPr="00226F9B">
              <w:rPr>
                <w:rFonts w:ascii="Calibri" w:hAnsi="Calibri"/>
                <w:bCs/>
                <w:color w:val="000000"/>
                <w:lang w:eastAsia="en-GB"/>
              </w:rPr>
              <w:t xml:space="preserve"> Expenditure</w:t>
            </w:r>
          </w:p>
        </w:tc>
        <w:tc>
          <w:tcPr>
            <w:tcW w:w="820" w:type="dxa"/>
            <w:tcBorders>
              <w:top w:val="nil"/>
              <w:left w:val="nil"/>
              <w:bottom w:val="single" w:sz="4" w:space="0" w:color="FFFFFF"/>
              <w:right w:val="single" w:sz="4" w:space="0" w:color="FFFFFF"/>
            </w:tcBorders>
            <w:shd w:val="clear" w:color="auto" w:fill="E5DFEC" w:themeFill="accent4" w:themeFillTint="33"/>
            <w:noWrap/>
            <w:vAlign w:val="center"/>
          </w:tcPr>
          <w:p w14:paraId="79B78653" w14:textId="2511DD41" w:rsidR="00226F9B" w:rsidRPr="00226F9B" w:rsidRDefault="00A55057" w:rsidP="00193DED">
            <w:pPr>
              <w:jc w:val="right"/>
              <w:rPr>
                <w:rFonts w:ascii="Calibri" w:hAnsi="Calibri"/>
                <w:bCs/>
                <w:color w:val="000000"/>
                <w:lang w:eastAsia="en-GB"/>
              </w:rPr>
            </w:pPr>
            <w:r>
              <w:rPr>
                <w:rFonts w:ascii="Calibri" w:hAnsi="Calibri"/>
                <w:bCs/>
                <w:color w:val="000000"/>
                <w:lang w:eastAsia="en-GB"/>
              </w:rPr>
              <w:t>-3,156</w:t>
            </w:r>
          </w:p>
        </w:tc>
        <w:tc>
          <w:tcPr>
            <w:tcW w:w="975" w:type="dxa"/>
            <w:tcBorders>
              <w:top w:val="nil"/>
              <w:left w:val="nil"/>
              <w:bottom w:val="single" w:sz="4" w:space="0" w:color="FFFFFF"/>
              <w:right w:val="single" w:sz="4" w:space="0" w:color="FFFFFF"/>
            </w:tcBorders>
            <w:shd w:val="clear" w:color="auto" w:fill="E5DFEC" w:themeFill="accent4" w:themeFillTint="33"/>
            <w:noWrap/>
            <w:vAlign w:val="center"/>
          </w:tcPr>
          <w:p w14:paraId="10A92361" w14:textId="166A47DF" w:rsidR="00226F9B" w:rsidRPr="00226F9B" w:rsidRDefault="00A55057" w:rsidP="00F144EC">
            <w:pPr>
              <w:jc w:val="right"/>
              <w:rPr>
                <w:rFonts w:ascii="Calibri" w:hAnsi="Calibri"/>
                <w:bCs/>
                <w:color w:val="000000"/>
                <w:lang w:eastAsia="en-GB"/>
              </w:rPr>
            </w:pPr>
            <w:r>
              <w:rPr>
                <w:rFonts w:ascii="Calibri" w:hAnsi="Calibri"/>
                <w:bCs/>
                <w:color w:val="000000"/>
                <w:lang w:eastAsia="en-GB"/>
              </w:rPr>
              <w:t>153</w:t>
            </w:r>
          </w:p>
        </w:tc>
        <w:tc>
          <w:tcPr>
            <w:tcW w:w="880" w:type="dxa"/>
            <w:tcBorders>
              <w:top w:val="nil"/>
              <w:left w:val="nil"/>
              <w:bottom w:val="single" w:sz="4" w:space="0" w:color="FFFFFF"/>
              <w:right w:val="single" w:sz="4" w:space="0" w:color="FFFFFF"/>
            </w:tcBorders>
            <w:shd w:val="clear" w:color="auto" w:fill="E5DFEC" w:themeFill="accent4" w:themeFillTint="33"/>
            <w:noWrap/>
            <w:vAlign w:val="center"/>
          </w:tcPr>
          <w:p w14:paraId="43BEF237" w14:textId="7F5BB913" w:rsidR="00226F9B" w:rsidRPr="00226F9B" w:rsidRDefault="00A55057" w:rsidP="004E5437">
            <w:pPr>
              <w:jc w:val="right"/>
              <w:rPr>
                <w:rFonts w:ascii="Calibri" w:hAnsi="Calibri"/>
                <w:bCs/>
                <w:color w:val="000000"/>
                <w:lang w:eastAsia="en-GB"/>
              </w:rPr>
            </w:pPr>
            <w:r>
              <w:rPr>
                <w:rFonts w:ascii="Calibri" w:hAnsi="Calibri"/>
                <w:bCs/>
                <w:color w:val="000000"/>
                <w:lang w:eastAsia="en-GB"/>
              </w:rPr>
              <w:t>0</w:t>
            </w:r>
          </w:p>
        </w:tc>
        <w:tc>
          <w:tcPr>
            <w:tcW w:w="840" w:type="dxa"/>
            <w:tcBorders>
              <w:top w:val="nil"/>
              <w:left w:val="nil"/>
              <w:bottom w:val="single" w:sz="4" w:space="0" w:color="FFFFFF"/>
              <w:right w:val="single" w:sz="4" w:space="0" w:color="FFFFFF"/>
            </w:tcBorders>
            <w:shd w:val="clear" w:color="auto" w:fill="E5DFEC" w:themeFill="accent4" w:themeFillTint="33"/>
            <w:noWrap/>
            <w:vAlign w:val="center"/>
          </w:tcPr>
          <w:p w14:paraId="0F5F07BE" w14:textId="16266FA1" w:rsidR="00226F9B" w:rsidRPr="00226F9B" w:rsidRDefault="00A55057" w:rsidP="004E5437">
            <w:pPr>
              <w:jc w:val="right"/>
              <w:rPr>
                <w:rFonts w:ascii="Calibri" w:hAnsi="Calibri"/>
                <w:bCs/>
                <w:color w:val="000000"/>
                <w:lang w:eastAsia="en-GB"/>
              </w:rPr>
            </w:pPr>
            <w:r>
              <w:rPr>
                <w:rFonts w:ascii="Calibri" w:hAnsi="Calibri"/>
                <w:bCs/>
                <w:color w:val="000000"/>
                <w:lang w:eastAsia="en-GB"/>
              </w:rPr>
              <w:t>0</w:t>
            </w:r>
          </w:p>
        </w:tc>
        <w:tc>
          <w:tcPr>
            <w:tcW w:w="780" w:type="dxa"/>
            <w:tcBorders>
              <w:top w:val="nil"/>
              <w:left w:val="nil"/>
              <w:bottom w:val="single" w:sz="4" w:space="0" w:color="FFFFFF"/>
              <w:right w:val="single" w:sz="4" w:space="0" w:color="FFFFFF"/>
            </w:tcBorders>
            <w:shd w:val="clear" w:color="auto" w:fill="E5DFEC" w:themeFill="accent4" w:themeFillTint="33"/>
            <w:noWrap/>
            <w:vAlign w:val="center"/>
          </w:tcPr>
          <w:p w14:paraId="4BB8BCBE" w14:textId="62E99BA3" w:rsidR="00226F9B" w:rsidRPr="00226F9B" w:rsidRDefault="00A55057" w:rsidP="004E5437">
            <w:pPr>
              <w:jc w:val="right"/>
              <w:rPr>
                <w:rFonts w:ascii="Calibri" w:hAnsi="Calibri"/>
                <w:bCs/>
                <w:color w:val="000000"/>
                <w:lang w:eastAsia="en-GB"/>
              </w:rPr>
            </w:pPr>
            <w:r>
              <w:rPr>
                <w:rFonts w:ascii="Calibri" w:hAnsi="Calibri"/>
                <w:bCs/>
                <w:color w:val="000000"/>
                <w:lang w:eastAsia="en-GB"/>
              </w:rPr>
              <w:t>0</w:t>
            </w:r>
          </w:p>
        </w:tc>
        <w:tc>
          <w:tcPr>
            <w:tcW w:w="920" w:type="dxa"/>
            <w:tcBorders>
              <w:top w:val="nil"/>
              <w:left w:val="nil"/>
              <w:bottom w:val="single" w:sz="4" w:space="0" w:color="FFFFFF"/>
              <w:right w:val="single" w:sz="4" w:space="0" w:color="FFFFFF"/>
            </w:tcBorders>
            <w:shd w:val="clear" w:color="000000" w:fill="CCC0DA"/>
            <w:noWrap/>
            <w:vAlign w:val="center"/>
          </w:tcPr>
          <w:p w14:paraId="092DB21F" w14:textId="2436C38F" w:rsidR="00226F9B" w:rsidRPr="00226F9B" w:rsidRDefault="00A55057" w:rsidP="00193DED">
            <w:pPr>
              <w:jc w:val="right"/>
              <w:rPr>
                <w:rFonts w:ascii="Calibri" w:hAnsi="Calibri"/>
                <w:bCs/>
                <w:color w:val="000000"/>
                <w:lang w:eastAsia="en-GB"/>
              </w:rPr>
            </w:pPr>
            <w:r>
              <w:rPr>
                <w:rFonts w:ascii="Calibri" w:hAnsi="Calibri"/>
                <w:bCs/>
                <w:color w:val="000000"/>
                <w:lang w:eastAsia="en-GB"/>
              </w:rPr>
              <w:t>-3,003</w:t>
            </w:r>
          </w:p>
        </w:tc>
        <w:tc>
          <w:tcPr>
            <w:tcW w:w="820" w:type="dxa"/>
            <w:tcBorders>
              <w:top w:val="nil"/>
              <w:left w:val="nil"/>
              <w:bottom w:val="single" w:sz="4" w:space="0" w:color="FFFFFF"/>
              <w:right w:val="single" w:sz="4" w:space="0" w:color="FFFFFF"/>
            </w:tcBorders>
            <w:shd w:val="clear" w:color="auto" w:fill="E5DFEC" w:themeFill="accent4" w:themeFillTint="33"/>
            <w:noWrap/>
            <w:vAlign w:val="center"/>
          </w:tcPr>
          <w:p w14:paraId="391714B9" w14:textId="5487DCDE" w:rsidR="00226F9B" w:rsidRPr="00226F9B" w:rsidRDefault="00A55057" w:rsidP="003F3A1C">
            <w:pPr>
              <w:jc w:val="right"/>
              <w:rPr>
                <w:rFonts w:ascii="Calibri" w:hAnsi="Calibri"/>
                <w:bCs/>
                <w:color w:val="000000"/>
                <w:lang w:eastAsia="en-GB"/>
              </w:rPr>
            </w:pPr>
            <w:r>
              <w:rPr>
                <w:rFonts w:ascii="Calibri" w:hAnsi="Calibri"/>
                <w:bCs/>
                <w:color w:val="000000"/>
                <w:lang w:eastAsia="en-GB"/>
              </w:rPr>
              <w:t>32,829</w:t>
            </w:r>
          </w:p>
        </w:tc>
        <w:tc>
          <w:tcPr>
            <w:tcW w:w="880" w:type="dxa"/>
            <w:tcBorders>
              <w:top w:val="nil"/>
              <w:left w:val="nil"/>
              <w:bottom w:val="single" w:sz="4" w:space="0" w:color="FFFFFF"/>
            </w:tcBorders>
            <w:shd w:val="clear" w:color="000000" w:fill="CCC0DA"/>
            <w:noWrap/>
            <w:vAlign w:val="center"/>
          </w:tcPr>
          <w:p w14:paraId="4582BF4B" w14:textId="1AF6D4B5" w:rsidR="00226F9B" w:rsidRPr="00226F9B" w:rsidRDefault="00A55057" w:rsidP="003F3A1C">
            <w:pPr>
              <w:jc w:val="right"/>
              <w:rPr>
                <w:rFonts w:ascii="Calibri" w:hAnsi="Calibri"/>
                <w:bCs/>
                <w:color w:val="000000"/>
                <w:lang w:eastAsia="en-GB"/>
              </w:rPr>
            </w:pPr>
            <w:r>
              <w:rPr>
                <w:rFonts w:ascii="Calibri" w:hAnsi="Calibri"/>
                <w:bCs/>
                <w:color w:val="000000"/>
                <w:lang w:eastAsia="en-GB"/>
              </w:rPr>
              <w:t>29,826</w:t>
            </w:r>
          </w:p>
        </w:tc>
      </w:tr>
      <w:tr w:rsidR="00226F9B" w:rsidRPr="004E5437" w14:paraId="4070EE4B" w14:textId="77777777" w:rsidTr="004E213E">
        <w:trPr>
          <w:trHeight w:val="765"/>
          <w:tblHeader/>
        </w:trPr>
        <w:tc>
          <w:tcPr>
            <w:tcW w:w="2320" w:type="dxa"/>
            <w:tcBorders>
              <w:top w:val="nil"/>
              <w:left w:val="single" w:sz="4" w:space="0" w:color="FFFFFF"/>
              <w:bottom w:val="single" w:sz="4" w:space="0" w:color="FFFFFF"/>
              <w:right w:val="single" w:sz="4" w:space="0" w:color="FFFFFF"/>
            </w:tcBorders>
            <w:shd w:val="clear" w:color="000000" w:fill="E4DFEC"/>
            <w:vAlign w:val="center"/>
            <w:hideMark/>
          </w:tcPr>
          <w:p w14:paraId="231621F5" w14:textId="63912F02" w:rsidR="00226F9B" w:rsidRPr="004E5437" w:rsidRDefault="00226F9B" w:rsidP="00397E37">
            <w:pPr>
              <w:rPr>
                <w:rFonts w:ascii="Calibri" w:hAnsi="Calibri"/>
                <w:color w:val="000000"/>
                <w:lang w:eastAsia="en-GB"/>
              </w:rPr>
            </w:pPr>
            <w:r w:rsidRPr="004E5437">
              <w:rPr>
                <w:rFonts w:ascii="Calibri" w:hAnsi="Calibri"/>
                <w:color w:val="000000"/>
                <w:lang w:eastAsia="en-GB"/>
              </w:rPr>
              <w:t xml:space="preserve">Adjustments between Accounting basis </w:t>
            </w:r>
            <w:r w:rsidR="00704A70">
              <w:rPr>
                <w:rFonts w:ascii="Calibri" w:hAnsi="Calibri"/>
                <w:color w:val="000000"/>
                <w:lang w:eastAsia="en-GB"/>
              </w:rPr>
              <w:t>and</w:t>
            </w:r>
            <w:r w:rsidRPr="004E5437">
              <w:rPr>
                <w:rFonts w:ascii="Calibri" w:hAnsi="Calibri"/>
                <w:color w:val="000000"/>
                <w:lang w:eastAsia="en-GB"/>
              </w:rPr>
              <w:t xml:space="preserve"> Funding under regulation</w:t>
            </w:r>
            <w:r w:rsidR="002D03F9">
              <w:rPr>
                <w:rFonts w:ascii="Calibri" w:hAnsi="Calibri"/>
                <w:color w:val="000000"/>
                <w:lang w:eastAsia="en-GB"/>
              </w:rPr>
              <w:t xml:space="preserve"> (note 1</w:t>
            </w:r>
            <w:r w:rsidR="00397E37">
              <w:rPr>
                <w:rFonts w:ascii="Calibri" w:hAnsi="Calibri"/>
                <w:color w:val="000000"/>
                <w:lang w:eastAsia="en-GB"/>
              </w:rPr>
              <w:t>5</w:t>
            </w:r>
            <w:r w:rsidR="002D03F9">
              <w:rPr>
                <w:rFonts w:ascii="Calibri" w:hAnsi="Calibri"/>
                <w:color w:val="000000"/>
                <w:lang w:eastAsia="en-GB"/>
              </w:rPr>
              <w:t>)</w:t>
            </w:r>
          </w:p>
        </w:tc>
        <w:tc>
          <w:tcPr>
            <w:tcW w:w="820" w:type="dxa"/>
            <w:tcBorders>
              <w:top w:val="nil"/>
              <w:left w:val="nil"/>
              <w:bottom w:val="single" w:sz="4" w:space="0" w:color="FFFFFF"/>
              <w:right w:val="single" w:sz="4" w:space="0" w:color="FFFFFF"/>
            </w:tcBorders>
            <w:shd w:val="clear" w:color="000000" w:fill="E4DFEC"/>
            <w:noWrap/>
            <w:vAlign w:val="center"/>
          </w:tcPr>
          <w:p w14:paraId="23217E8F" w14:textId="699533F6" w:rsidR="00226F9B" w:rsidRPr="004E5437" w:rsidRDefault="00A55057" w:rsidP="00193DED">
            <w:pPr>
              <w:jc w:val="right"/>
              <w:rPr>
                <w:rFonts w:ascii="Calibri" w:hAnsi="Calibri"/>
                <w:color w:val="000000"/>
                <w:lang w:eastAsia="en-GB"/>
              </w:rPr>
            </w:pPr>
            <w:r>
              <w:rPr>
                <w:rFonts w:ascii="Calibri" w:hAnsi="Calibri"/>
                <w:color w:val="000000"/>
                <w:lang w:eastAsia="en-GB"/>
              </w:rPr>
              <w:t>4,169</w:t>
            </w:r>
          </w:p>
        </w:tc>
        <w:tc>
          <w:tcPr>
            <w:tcW w:w="975" w:type="dxa"/>
            <w:tcBorders>
              <w:top w:val="nil"/>
              <w:left w:val="nil"/>
              <w:bottom w:val="single" w:sz="4" w:space="0" w:color="FFFFFF"/>
              <w:right w:val="single" w:sz="4" w:space="0" w:color="FFFFFF"/>
            </w:tcBorders>
            <w:shd w:val="clear" w:color="000000" w:fill="E4DFEC"/>
            <w:noWrap/>
            <w:vAlign w:val="center"/>
          </w:tcPr>
          <w:p w14:paraId="57010386" w14:textId="5A015233" w:rsidR="00226F9B" w:rsidRPr="004E5437" w:rsidRDefault="00A55057" w:rsidP="00ED45A2">
            <w:pPr>
              <w:jc w:val="right"/>
              <w:rPr>
                <w:rFonts w:ascii="Calibri" w:hAnsi="Calibri"/>
                <w:color w:val="000000"/>
                <w:lang w:eastAsia="en-GB"/>
              </w:rPr>
            </w:pPr>
            <w:r>
              <w:rPr>
                <w:rFonts w:ascii="Calibri" w:hAnsi="Calibri"/>
                <w:color w:val="000000"/>
                <w:lang w:eastAsia="en-GB"/>
              </w:rPr>
              <w:t>-1,114</w:t>
            </w:r>
          </w:p>
        </w:tc>
        <w:tc>
          <w:tcPr>
            <w:tcW w:w="880" w:type="dxa"/>
            <w:tcBorders>
              <w:top w:val="nil"/>
              <w:left w:val="nil"/>
              <w:bottom w:val="single" w:sz="4" w:space="0" w:color="FFFFFF"/>
              <w:right w:val="single" w:sz="4" w:space="0" w:color="FFFFFF"/>
            </w:tcBorders>
            <w:shd w:val="clear" w:color="000000" w:fill="E4DFEC"/>
            <w:noWrap/>
            <w:vAlign w:val="center"/>
          </w:tcPr>
          <w:p w14:paraId="5CF101C5" w14:textId="482B2482" w:rsidR="00226F9B" w:rsidRPr="004E5437" w:rsidRDefault="00A55057" w:rsidP="001F0741">
            <w:pPr>
              <w:jc w:val="right"/>
              <w:rPr>
                <w:rFonts w:ascii="Calibri" w:hAnsi="Calibri"/>
                <w:color w:val="000000"/>
                <w:lang w:eastAsia="en-GB"/>
              </w:rPr>
            </w:pPr>
            <w:r>
              <w:rPr>
                <w:rFonts w:ascii="Calibri" w:hAnsi="Calibri"/>
                <w:color w:val="000000"/>
                <w:lang w:eastAsia="en-GB"/>
              </w:rPr>
              <w:t>-470</w:t>
            </w:r>
          </w:p>
        </w:tc>
        <w:tc>
          <w:tcPr>
            <w:tcW w:w="840" w:type="dxa"/>
            <w:tcBorders>
              <w:top w:val="nil"/>
              <w:left w:val="nil"/>
              <w:bottom w:val="single" w:sz="4" w:space="0" w:color="FFFFFF"/>
              <w:right w:val="single" w:sz="4" w:space="0" w:color="FFFFFF"/>
            </w:tcBorders>
            <w:shd w:val="clear" w:color="000000" w:fill="E4DFEC"/>
            <w:noWrap/>
            <w:vAlign w:val="center"/>
          </w:tcPr>
          <w:p w14:paraId="24DDD775" w14:textId="5339C514" w:rsidR="00226F9B" w:rsidRPr="004E5437" w:rsidRDefault="00A55057" w:rsidP="004E5437">
            <w:pPr>
              <w:jc w:val="right"/>
              <w:rPr>
                <w:rFonts w:ascii="Calibri" w:hAnsi="Calibri"/>
                <w:color w:val="000000"/>
                <w:lang w:eastAsia="en-GB"/>
              </w:rPr>
            </w:pPr>
            <w:r>
              <w:rPr>
                <w:rFonts w:ascii="Calibri" w:hAnsi="Calibri"/>
                <w:color w:val="000000"/>
                <w:lang w:eastAsia="en-GB"/>
              </w:rPr>
              <w:t>-166</w:t>
            </w:r>
          </w:p>
        </w:tc>
        <w:tc>
          <w:tcPr>
            <w:tcW w:w="780" w:type="dxa"/>
            <w:tcBorders>
              <w:top w:val="nil"/>
              <w:left w:val="nil"/>
              <w:bottom w:val="single" w:sz="4" w:space="0" w:color="FFFFFF"/>
              <w:right w:val="single" w:sz="4" w:space="0" w:color="FFFFFF"/>
            </w:tcBorders>
            <w:shd w:val="clear" w:color="000000" w:fill="E4DFEC"/>
            <w:noWrap/>
            <w:vAlign w:val="center"/>
          </w:tcPr>
          <w:p w14:paraId="6D9F64C4" w14:textId="75EA7030" w:rsidR="00226F9B" w:rsidRPr="004E5437" w:rsidRDefault="00A55057" w:rsidP="004E5437">
            <w:pPr>
              <w:jc w:val="right"/>
              <w:rPr>
                <w:rFonts w:ascii="Calibri" w:hAnsi="Calibri"/>
                <w:color w:val="000000"/>
                <w:lang w:eastAsia="en-GB"/>
              </w:rPr>
            </w:pPr>
            <w:r>
              <w:rPr>
                <w:rFonts w:ascii="Calibri" w:hAnsi="Calibri"/>
                <w:color w:val="000000"/>
                <w:lang w:eastAsia="en-GB"/>
              </w:rPr>
              <w:t>15</w:t>
            </w:r>
          </w:p>
        </w:tc>
        <w:tc>
          <w:tcPr>
            <w:tcW w:w="920" w:type="dxa"/>
            <w:tcBorders>
              <w:top w:val="nil"/>
              <w:left w:val="nil"/>
              <w:bottom w:val="single" w:sz="4" w:space="0" w:color="FFFFFF"/>
              <w:right w:val="single" w:sz="4" w:space="0" w:color="FFFFFF"/>
            </w:tcBorders>
            <w:shd w:val="clear" w:color="000000" w:fill="CCC0DA"/>
            <w:noWrap/>
            <w:vAlign w:val="center"/>
          </w:tcPr>
          <w:p w14:paraId="16E99510" w14:textId="779DCAFA" w:rsidR="00226F9B" w:rsidRPr="004E5437" w:rsidRDefault="00A55057" w:rsidP="00193DED">
            <w:pPr>
              <w:jc w:val="right"/>
              <w:rPr>
                <w:rFonts w:ascii="Calibri" w:hAnsi="Calibri"/>
                <w:color w:val="000000"/>
                <w:lang w:eastAsia="en-GB"/>
              </w:rPr>
            </w:pPr>
            <w:r>
              <w:rPr>
                <w:rFonts w:ascii="Calibri" w:hAnsi="Calibri"/>
                <w:color w:val="000000"/>
                <w:lang w:eastAsia="en-GB"/>
              </w:rPr>
              <w:t>2,434</w:t>
            </w:r>
          </w:p>
        </w:tc>
        <w:tc>
          <w:tcPr>
            <w:tcW w:w="820" w:type="dxa"/>
            <w:tcBorders>
              <w:top w:val="nil"/>
              <w:left w:val="nil"/>
              <w:bottom w:val="single" w:sz="4" w:space="0" w:color="FFFFFF"/>
              <w:right w:val="single" w:sz="4" w:space="0" w:color="FFFFFF"/>
            </w:tcBorders>
            <w:shd w:val="clear" w:color="000000" w:fill="E4DFEC"/>
            <w:noWrap/>
            <w:vAlign w:val="center"/>
          </w:tcPr>
          <w:p w14:paraId="1A0842FC" w14:textId="25440F37" w:rsidR="00226F9B" w:rsidRPr="004E5437" w:rsidRDefault="00A55057" w:rsidP="0078775F">
            <w:pPr>
              <w:jc w:val="right"/>
              <w:rPr>
                <w:rFonts w:ascii="Calibri" w:hAnsi="Calibri"/>
                <w:color w:val="000000"/>
                <w:lang w:eastAsia="en-GB"/>
              </w:rPr>
            </w:pPr>
            <w:r>
              <w:rPr>
                <w:rFonts w:ascii="Calibri" w:hAnsi="Calibri"/>
                <w:color w:val="000000"/>
                <w:lang w:eastAsia="en-GB"/>
              </w:rPr>
              <w:t>-2,434</w:t>
            </w:r>
          </w:p>
        </w:tc>
        <w:tc>
          <w:tcPr>
            <w:tcW w:w="880" w:type="dxa"/>
            <w:tcBorders>
              <w:top w:val="nil"/>
              <w:left w:val="nil"/>
              <w:bottom w:val="single" w:sz="4" w:space="0" w:color="FFFFFF"/>
            </w:tcBorders>
            <w:shd w:val="clear" w:color="000000" w:fill="CCC0DA"/>
            <w:noWrap/>
            <w:vAlign w:val="center"/>
          </w:tcPr>
          <w:p w14:paraId="49FE6B8D" w14:textId="68FB138B" w:rsidR="00226F9B" w:rsidRPr="004E5437" w:rsidRDefault="00A55057" w:rsidP="004E5437">
            <w:pPr>
              <w:jc w:val="right"/>
              <w:rPr>
                <w:rFonts w:ascii="Calibri" w:hAnsi="Calibri"/>
                <w:color w:val="000000"/>
                <w:lang w:eastAsia="en-GB"/>
              </w:rPr>
            </w:pPr>
            <w:r>
              <w:rPr>
                <w:rFonts w:ascii="Calibri" w:hAnsi="Calibri"/>
                <w:color w:val="000000"/>
                <w:lang w:eastAsia="en-GB"/>
              </w:rPr>
              <w:t>0</w:t>
            </w:r>
          </w:p>
        </w:tc>
      </w:tr>
      <w:tr w:rsidR="00226F9B" w:rsidRPr="004E5437" w14:paraId="2F04435B" w14:textId="77777777" w:rsidTr="004E213E">
        <w:trPr>
          <w:trHeight w:val="510"/>
          <w:tblHeader/>
        </w:trPr>
        <w:tc>
          <w:tcPr>
            <w:tcW w:w="2320" w:type="dxa"/>
            <w:tcBorders>
              <w:top w:val="nil"/>
              <w:left w:val="single" w:sz="4" w:space="0" w:color="FFFFFF"/>
              <w:bottom w:val="single" w:sz="4" w:space="0" w:color="FFFFFF"/>
              <w:right w:val="single" w:sz="4" w:space="0" w:color="FFFFFF"/>
            </w:tcBorders>
            <w:shd w:val="clear" w:color="000000" w:fill="CCC0DA"/>
            <w:vAlign w:val="center"/>
            <w:hideMark/>
          </w:tcPr>
          <w:p w14:paraId="47728691" w14:textId="77777777" w:rsidR="00226F9B" w:rsidRPr="004E5437" w:rsidRDefault="00226F9B" w:rsidP="004E5437">
            <w:pPr>
              <w:rPr>
                <w:rFonts w:ascii="Calibri" w:hAnsi="Calibri"/>
                <w:b/>
                <w:bCs/>
                <w:color w:val="000000"/>
                <w:lang w:eastAsia="en-GB"/>
              </w:rPr>
            </w:pPr>
            <w:r w:rsidRPr="004E5437">
              <w:rPr>
                <w:rFonts w:ascii="Calibri" w:hAnsi="Calibri"/>
                <w:b/>
                <w:bCs/>
                <w:color w:val="000000"/>
                <w:lang w:eastAsia="en-GB"/>
              </w:rPr>
              <w:t>Increase/</w:t>
            </w:r>
            <w:proofErr w:type="gramStart"/>
            <w:r w:rsidRPr="004E5437">
              <w:rPr>
                <w:rFonts w:ascii="Calibri" w:hAnsi="Calibri"/>
                <w:b/>
                <w:bCs/>
                <w:color w:val="000000"/>
                <w:lang w:eastAsia="en-GB"/>
              </w:rPr>
              <w:t>Decrease(</w:t>
            </w:r>
            <w:proofErr w:type="gramEnd"/>
            <w:r w:rsidRPr="004E5437">
              <w:rPr>
                <w:rFonts w:ascii="Calibri" w:hAnsi="Calibri"/>
                <w:b/>
                <w:bCs/>
                <w:color w:val="000000"/>
                <w:lang w:eastAsia="en-GB"/>
              </w:rPr>
              <w:t>-) in year</w:t>
            </w:r>
          </w:p>
        </w:tc>
        <w:tc>
          <w:tcPr>
            <w:tcW w:w="820" w:type="dxa"/>
            <w:tcBorders>
              <w:top w:val="nil"/>
              <w:left w:val="nil"/>
              <w:bottom w:val="single" w:sz="4" w:space="0" w:color="FFFFFF"/>
              <w:right w:val="single" w:sz="4" w:space="0" w:color="FFFFFF"/>
            </w:tcBorders>
            <w:shd w:val="clear" w:color="000000" w:fill="CCC0DA"/>
            <w:noWrap/>
            <w:vAlign w:val="center"/>
          </w:tcPr>
          <w:p w14:paraId="0FA141EB" w14:textId="5A9B985B" w:rsidR="00226F9B" w:rsidRPr="004E5437" w:rsidRDefault="00A55057" w:rsidP="00ED45A2">
            <w:pPr>
              <w:jc w:val="right"/>
              <w:rPr>
                <w:rFonts w:ascii="Calibri" w:hAnsi="Calibri"/>
                <w:b/>
                <w:bCs/>
                <w:color w:val="000000"/>
                <w:lang w:eastAsia="en-GB"/>
              </w:rPr>
            </w:pPr>
            <w:r>
              <w:rPr>
                <w:rFonts w:ascii="Calibri" w:hAnsi="Calibri"/>
                <w:b/>
                <w:bCs/>
                <w:color w:val="000000"/>
                <w:lang w:eastAsia="en-GB"/>
              </w:rPr>
              <w:t>1,013</w:t>
            </w:r>
          </w:p>
        </w:tc>
        <w:tc>
          <w:tcPr>
            <w:tcW w:w="975" w:type="dxa"/>
            <w:tcBorders>
              <w:top w:val="nil"/>
              <w:left w:val="nil"/>
              <w:bottom w:val="single" w:sz="4" w:space="0" w:color="FFFFFF"/>
              <w:right w:val="single" w:sz="4" w:space="0" w:color="FFFFFF"/>
            </w:tcBorders>
            <w:shd w:val="clear" w:color="000000" w:fill="CCC0DA"/>
            <w:noWrap/>
            <w:vAlign w:val="center"/>
          </w:tcPr>
          <w:p w14:paraId="386A94A9" w14:textId="77F350E6" w:rsidR="00226F9B" w:rsidRPr="004E5437" w:rsidRDefault="00A55057" w:rsidP="00ED45A2">
            <w:pPr>
              <w:jc w:val="right"/>
              <w:rPr>
                <w:rFonts w:ascii="Calibri" w:hAnsi="Calibri"/>
                <w:b/>
                <w:bCs/>
                <w:color w:val="000000"/>
                <w:lang w:eastAsia="en-GB"/>
              </w:rPr>
            </w:pPr>
            <w:r>
              <w:rPr>
                <w:rFonts w:ascii="Calibri" w:hAnsi="Calibri"/>
                <w:b/>
                <w:bCs/>
                <w:color w:val="000000"/>
                <w:lang w:eastAsia="en-GB"/>
              </w:rPr>
              <w:t>-961</w:t>
            </w:r>
          </w:p>
        </w:tc>
        <w:tc>
          <w:tcPr>
            <w:tcW w:w="880" w:type="dxa"/>
            <w:tcBorders>
              <w:top w:val="nil"/>
              <w:left w:val="nil"/>
              <w:bottom w:val="single" w:sz="4" w:space="0" w:color="FFFFFF"/>
              <w:right w:val="single" w:sz="4" w:space="0" w:color="FFFFFF"/>
            </w:tcBorders>
            <w:shd w:val="clear" w:color="000000" w:fill="CCC0DA"/>
            <w:noWrap/>
            <w:vAlign w:val="center"/>
          </w:tcPr>
          <w:p w14:paraId="6BD5EB63" w14:textId="63C57226" w:rsidR="00226F9B" w:rsidRPr="004E5437" w:rsidRDefault="00A55057" w:rsidP="001F0741">
            <w:pPr>
              <w:jc w:val="right"/>
              <w:rPr>
                <w:rFonts w:ascii="Calibri" w:hAnsi="Calibri"/>
                <w:b/>
                <w:bCs/>
                <w:color w:val="000000"/>
                <w:lang w:eastAsia="en-GB"/>
              </w:rPr>
            </w:pPr>
            <w:r>
              <w:rPr>
                <w:rFonts w:ascii="Calibri" w:hAnsi="Calibri"/>
                <w:b/>
                <w:bCs/>
                <w:color w:val="000000"/>
                <w:lang w:eastAsia="en-GB"/>
              </w:rPr>
              <w:t>-470</w:t>
            </w:r>
          </w:p>
        </w:tc>
        <w:tc>
          <w:tcPr>
            <w:tcW w:w="840" w:type="dxa"/>
            <w:tcBorders>
              <w:top w:val="nil"/>
              <w:left w:val="nil"/>
              <w:bottom w:val="single" w:sz="4" w:space="0" w:color="FFFFFF"/>
              <w:right w:val="single" w:sz="4" w:space="0" w:color="FFFFFF"/>
            </w:tcBorders>
            <w:shd w:val="clear" w:color="000000" w:fill="CCC0DA"/>
            <w:noWrap/>
            <w:vAlign w:val="center"/>
          </w:tcPr>
          <w:p w14:paraId="08B4268F" w14:textId="089E51E9" w:rsidR="00226F9B" w:rsidRPr="004E5437" w:rsidRDefault="00A55057" w:rsidP="004E5437">
            <w:pPr>
              <w:jc w:val="right"/>
              <w:rPr>
                <w:rFonts w:ascii="Calibri" w:hAnsi="Calibri"/>
                <w:b/>
                <w:bCs/>
                <w:color w:val="000000"/>
                <w:lang w:eastAsia="en-GB"/>
              </w:rPr>
            </w:pPr>
            <w:r>
              <w:rPr>
                <w:rFonts w:ascii="Calibri" w:hAnsi="Calibri"/>
                <w:b/>
                <w:bCs/>
                <w:color w:val="000000"/>
                <w:lang w:eastAsia="en-GB"/>
              </w:rPr>
              <w:t>-166</w:t>
            </w:r>
          </w:p>
        </w:tc>
        <w:tc>
          <w:tcPr>
            <w:tcW w:w="780" w:type="dxa"/>
            <w:tcBorders>
              <w:top w:val="nil"/>
              <w:left w:val="nil"/>
              <w:bottom w:val="single" w:sz="4" w:space="0" w:color="FFFFFF"/>
              <w:right w:val="single" w:sz="4" w:space="0" w:color="FFFFFF"/>
            </w:tcBorders>
            <w:shd w:val="clear" w:color="000000" w:fill="CCC0DA"/>
            <w:noWrap/>
            <w:vAlign w:val="center"/>
          </w:tcPr>
          <w:p w14:paraId="0237FD84" w14:textId="2752C70E" w:rsidR="00226F9B" w:rsidRPr="004E5437" w:rsidRDefault="00A55057" w:rsidP="004E5437">
            <w:pPr>
              <w:jc w:val="right"/>
              <w:rPr>
                <w:rFonts w:ascii="Calibri" w:hAnsi="Calibri"/>
                <w:b/>
                <w:bCs/>
                <w:color w:val="000000"/>
                <w:lang w:eastAsia="en-GB"/>
              </w:rPr>
            </w:pPr>
            <w:r>
              <w:rPr>
                <w:rFonts w:ascii="Calibri" w:hAnsi="Calibri"/>
                <w:b/>
                <w:bCs/>
                <w:color w:val="000000"/>
                <w:lang w:eastAsia="en-GB"/>
              </w:rPr>
              <w:t>15</w:t>
            </w:r>
          </w:p>
        </w:tc>
        <w:tc>
          <w:tcPr>
            <w:tcW w:w="920" w:type="dxa"/>
            <w:tcBorders>
              <w:top w:val="nil"/>
              <w:left w:val="nil"/>
              <w:bottom w:val="single" w:sz="4" w:space="0" w:color="FFFFFF"/>
              <w:right w:val="single" w:sz="4" w:space="0" w:color="FFFFFF"/>
            </w:tcBorders>
            <w:shd w:val="clear" w:color="000000" w:fill="CCC0DA"/>
            <w:noWrap/>
            <w:vAlign w:val="center"/>
          </w:tcPr>
          <w:p w14:paraId="390561F5" w14:textId="6C46B46E" w:rsidR="00226F9B" w:rsidRPr="004E5437" w:rsidRDefault="00A55057" w:rsidP="00060811">
            <w:pPr>
              <w:jc w:val="right"/>
              <w:rPr>
                <w:rFonts w:ascii="Calibri" w:hAnsi="Calibri"/>
                <w:b/>
                <w:bCs/>
                <w:color w:val="000000"/>
                <w:lang w:eastAsia="en-GB"/>
              </w:rPr>
            </w:pPr>
            <w:r>
              <w:rPr>
                <w:rFonts w:ascii="Calibri" w:hAnsi="Calibri"/>
                <w:b/>
                <w:bCs/>
                <w:color w:val="000000"/>
                <w:lang w:eastAsia="en-GB"/>
              </w:rPr>
              <w:t>-569</w:t>
            </w:r>
          </w:p>
        </w:tc>
        <w:tc>
          <w:tcPr>
            <w:tcW w:w="820" w:type="dxa"/>
            <w:tcBorders>
              <w:top w:val="nil"/>
              <w:left w:val="nil"/>
              <w:bottom w:val="single" w:sz="4" w:space="0" w:color="FFFFFF"/>
              <w:right w:val="single" w:sz="4" w:space="0" w:color="FFFFFF"/>
            </w:tcBorders>
            <w:shd w:val="clear" w:color="000000" w:fill="CCC0DA"/>
            <w:noWrap/>
            <w:vAlign w:val="center"/>
          </w:tcPr>
          <w:p w14:paraId="1E8BC5E8" w14:textId="57DC54E1" w:rsidR="00226F9B" w:rsidRPr="004E5437" w:rsidRDefault="00A55057" w:rsidP="003F3A1C">
            <w:pPr>
              <w:jc w:val="right"/>
              <w:rPr>
                <w:rFonts w:ascii="Calibri" w:hAnsi="Calibri"/>
                <w:b/>
                <w:bCs/>
                <w:color w:val="000000"/>
                <w:lang w:eastAsia="en-GB"/>
              </w:rPr>
            </w:pPr>
            <w:r>
              <w:rPr>
                <w:rFonts w:ascii="Calibri" w:hAnsi="Calibri"/>
                <w:b/>
                <w:bCs/>
                <w:color w:val="000000"/>
                <w:lang w:eastAsia="en-GB"/>
              </w:rPr>
              <w:t>30,395</w:t>
            </w:r>
          </w:p>
        </w:tc>
        <w:tc>
          <w:tcPr>
            <w:tcW w:w="880" w:type="dxa"/>
            <w:tcBorders>
              <w:top w:val="nil"/>
              <w:left w:val="nil"/>
              <w:bottom w:val="single" w:sz="4" w:space="0" w:color="FFFFFF"/>
            </w:tcBorders>
            <w:shd w:val="clear" w:color="000000" w:fill="CCC0DA"/>
            <w:noWrap/>
            <w:vAlign w:val="center"/>
          </w:tcPr>
          <w:p w14:paraId="73340DD9" w14:textId="10C34637" w:rsidR="00226F9B" w:rsidRPr="004E5437" w:rsidRDefault="00A55057" w:rsidP="003F3A1C">
            <w:pPr>
              <w:jc w:val="right"/>
              <w:rPr>
                <w:rFonts w:ascii="Calibri" w:hAnsi="Calibri"/>
                <w:b/>
                <w:bCs/>
                <w:color w:val="000000"/>
                <w:lang w:eastAsia="en-GB"/>
              </w:rPr>
            </w:pPr>
            <w:r>
              <w:rPr>
                <w:rFonts w:ascii="Calibri" w:hAnsi="Calibri"/>
                <w:b/>
                <w:bCs/>
                <w:color w:val="000000"/>
                <w:lang w:eastAsia="en-GB"/>
              </w:rPr>
              <w:t>29,826</w:t>
            </w:r>
          </w:p>
        </w:tc>
      </w:tr>
      <w:tr w:rsidR="00226F9B" w:rsidRPr="004E5437" w14:paraId="12A55013" w14:textId="77777777" w:rsidTr="004E213E">
        <w:trPr>
          <w:trHeight w:val="510"/>
          <w:tblHeader/>
        </w:trPr>
        <w:tc>
          <w:tcPr>
            <w:tcW w:w="2320" w:type="dxa"/>
            <w:tcBorders>
              <w:top w:val="nil"/>
              <w:left w:val="single" w:sz="4" w:space="0" w:color="FFFFFF"/>
              <w:bottom w:val="single" w:sz="4" w:space="0" w:color="FFFFFF"/>
              <w:right w:val="single" w:sz="4" w:space="0" w:color="FFFFFF"/>
            </w:tcBorders>
            <w:shd w:val="clear" w:color="000000" w:fill="CCC0DA"/>
            <w:vAlign w:val="center"/>
            <w:hideMark/>
          </w:tcPr>
          <w:p w14:paraId="5198C7E9" w14:textId="6B2F7BA0" w:rsidR="00226F9B" w:rsidRPr="004E5437" w:rsidRDefault="002D03F9" w:rsidP="00E8625F">
            <w:pPr>
              <w:rPr>
                <w:rFonts w:ascii="Calibri" w:hAnsi="Calibri"/>
                <w:b/>
                <w:bCs/>
                <w:color w:val="000000"/>
                <w:lang w:eastAsia="en-GB"/>
              </w:rPr>
            </w:pPr>
            <w:r>
              <w:rPr>
                <w:rFonts w:ascii="Calibri" w:hAnsi="Calibri"/>
                <w:b/>
                <w:bCs/>
                <w:color w:val="000000"/>
                <w:lang w:eastAsia="en-GB"/>
              </w:rPr>
              <w:t xml:space="preserve">Balance </w:t>
            </w:r>
            <w:proofErr w:type="gramStart"/>
            <w:r>
              <w:rPr>
                <w:rFonts w:ascii="Calibri" w:hAnsi="Calibri"/>
                <w:b/>
                <w:bCs/>
                <w:color w:val="000000"/>
                <w:lang w:eastAsia="en-GB"/>
              </w:rPr>
              <w:t>at</w:t>
            </w:r>
            <w:proofErr w:type="gramEnd"/>
            <w:r>
              <w:rPr>
                <w:rFonts w:ascii="Calibri" w:hAnsi="Calibri"/>
                <w:b/>
                <w:bCs/>
                <w:color w:val="000000"/>
                <w:lang w:eastAsia="en-GB"/>
              </w:rPr>
              <w:t xml:space="preserve"> 31 March 202</w:t>
            </w:r>
            <w:r w:rsidR="00DA5ED4">
              <w:rPr>
                <w:rFonts w:ascii="Calibri" w:hAnsi="Calibri"/>
                <w:b/>
                <w:bCs/>
                <w:color w:val="000000"/>
                <w:lang w:eastAsia="en-GB"/>
              </w:rPr>
              <w:t>3</w:t>
            </w:r>
            <w:r w:rsidR="00226F9B" w:rsidRPr="004E5437">
              <w:rPr>
                <w:rFonts w:ascii="Calibri" w:hAnsi="Calibri"/>
                <w:b/>
                <w:bCs/>
                <w:color w:val="000000"/>
                <w:lang w:eastAsia="en-GB"/>
              </w:rPr>
              <w:t xml:space="preserve"> Carried Forward</w:t>
            </w:r>
          </w:p>
        </w:tc>
        <w:tc>
          <w:tcPr>
            <w:tcW w:w="820" w:type="dxa"/>
            <w:tcBorders>
              <w:top w:val="nil"/>
              <w:left w:val="nil"/>
              <w:bottom w:val="single" w:sz="4" w:space="0" w:color="FFFFFF"/>
              <w:right w:val="single" w:sz="4" w:space="0" w:color="FFFFFF"/>
            </w:tcBorders>
            <w:shd w:val="clear" w:color="000000" w:fill="CCC0DA"/>
            <w:noWrap/>
            <w:vAlign w:val="center"/>
          </w:tcPr>
          <w:p w14:paraId="6D3A04EB" w14:textId="7392D2BD" w:rsidR="00226F9B" w:rsidRPr="004E5437" w:rsidRDefault="00A55057" w:rsidP="00060811">
            <w:pPr>
              <w:jc w:val="right"/>
              <w:rPr>
                <w:rFonts w:ascii="Calibri" w:hAnsi="Calibri"/>
                <w:b/>
                <w:bCs/>
                <w:color w:val="000000"/>
                <w:lang w:eastAsia="en-GB"/>
              </w:rPr>
            </w:pPr>
            <w:r>
              <w:rPr>
                <w:rFonts w:ascii="Calibri" w:hAnsi="Calibri"/>
                <w:b/>
                <w:bCs/>
                <w:color w:val="000000"/>
                <w:lang w:eastAsia="en-GB"/>
              </w:rPr>
              <w:t>7,341</w:t>
            </w:r>
          </w:p>
        </w:tc>
        <w:tc>
          <w:tcPr>
            <w:tcW w:w="975" w:type="dxa"/>
            <w:tcBorders>
              <w:top w:val="nil"/>
              <w:left w:val="nil"/>
              <w:bottom w:val="single" w:sz="4" w:space="0" w:color="FFFFFF"/>
              <w:right w:val="single" w:sz="4" w:space="0" w:color="FFFFFF"/>
            </w:tcBorders>
            <w:shd w:val="clear" w:color="000000" w:fill="CCC0DA"/>
            <w:noWrap/>
            <w:vAlign w:val="center"/>
          </w:tcPr>
          <w:p w14:paraId="65DB8BF4" w14:textId="46F6A66F" w:rsidR="00226F9B" w:rsidRPr="004E5437" w:rsidRDefault="00A55057" w:rsidP="004E5437">
            <w:pPr>
              <w:jc w:val="right"/>
              <w:rPr>
                <w:rFonts w:ascii="Calibri" w:hAnsi="Calibri"/>
                <w:b/>
                <w:bCs/>
                <w:color w:val="000000"/>
                <w:lang w:eastAsia="en-GB"/>
              </w:rPr>
            </w:pPr>
            <w:r>
              <w:rPr>
                <w:rFonts w:ascii="Calibri" w:hAnsi="Calibri"/>
                <w:b/>
                <w:bCs/>
                <w:color w:val="000000"/>
                <w:lang w:eastAsia="en-GB"/>
              </w:rPr>
              <w:t>4,917</w:t>
            </w:r>
          </w:p>
        </w:tc>
        <w:tc>
          <w:tcPr>
            <w:tcW w:w="880" w:type="dxa"/>
            <w:tcBorders>
              <w:top w:val="nil"/>
              <w:left w:val="nil"/>
              <w:bottom w:val="single" w:sz="4" w:space="0" w:color="FFFFFF"/>
              <w:right w:val="single" w:sz="4" w:space="0" w:color="FFFFFF"/>
            </w:tcBorders>
            <w:shd w:val="clear" w:color="000000" w:fill="CCC0DA"/>
            <w:noWrap/>
            <w:vAlign w:val="center"/>
          </w:tcPr>
          <w:p w14:paraId="3294EEBA" w14:textId="764AE9A7" w:rsidR="00226F9B" w:rsidRPr="004E5437" w:rsidRDefault="00A55057" w:rsidP="00ED45A2">
            <w:pPr>
              <w:jc w:val="right"/>
              <w:rPr>
                <w:rFonts w:ascii="Calibri" w:hAnsi="Calibri"/>
                <w:b/>
                <w:bCs/>
                <w:color w:val="000000"/>
                <w:lang w:eastAsia="en-GB"/>
              </w:rPr>
            </w:pPr>
            <w:r>
              <w:rPr>
                <w:rFonts w:ascii="Calibri" w:hAnsi="Calibri"/>
                <w:b/>
                <w:bCs/>
                <w:color w:val="000000"/>
                <w:lang w:eastAsia="en-GB"/>
              </w:rPr>
              <w:t>4,281</w:t>
            </w:r>
          </w:p>
        </w:tc>
        <w:tc>
          <w:tcPr>
            <w:tcW w:w="840" w:type="dxa"/>
            <w:tcBorders>
              <w:top w:val="nil"/>
              <w:left w:val="nil"/>
              <w:bottom w:val="single" w:sz="4" w:space="0" w:color="FFFFFF"/>
              <w:right w:val="single" w:sz="4" w:space="0" w:color="FFFFFF"/>
            </w:tcBorders>
            <w:shd w:val="clear" w:color="000000" w:fill="CCC0DA"/>
            <w:noWrap/>
            <w:vAlign w:val="center"/>
          </w:tcPr>
          <w:p w14:paraId="16971C4E" w14:textId="4919193A" w:rsidR="00226F9B" w:rsidRPr="004E5437" w:rsidRDefault="00A55057" w:rsidP="001F0741">
            <w:pPr>
              <w:jc w:val="right"/>
              <w:rPr>
                <w:rFonts w:ascii="Calibri" w:hAnsi="Calibri"/>
                <w:b/>
                <w:bCs/>
                <w:color w:val="000000"/>
                <w:lang w:eastAsia="en-GB"/>
              </w:rPr>
            </w:pPr>
            <w:r>
              <w:rPr>
                <w:rFonts w:ascii="Calibri" w:hAnsi="Calibri"/>
                <w:b/>
                <w:bCs/>
                <w:color w:val="000000"/>
                <w:lang w:eastAsia="en-GB"/>
              </w:rPr>
              <w:t>3,318</w:t>
            </w:r>
          </w:p>
        </w:tc>
        <w:tc>
          <w:tcPr>
            <w:tcW w:w="780" w:type="dxa"/>
            <w:tcBorders>
              <w:top w:val="nil"/>
              <w:left w:val="nil"/>
              <w:bottom w:val="single" w:sz="4" w:space="0" w:color="FFFFFF"/>
              <w:right w:val="single" w:sz="4" w:space="0" w:color="FFFFFF"/>
            </w:tcBorders>
            <w:shd w:val="clear" w:color="000000" w:fill="CCC0DA"/>
            <w:noWrap/>
            <w:vAlign w:val="center"/>
          </w:tcPr>
          <w:p w14:paraId="3E25A1CB" w14:textId="1B99341C" w:rsidR="00226F9B" w:rsidRPr="004E5437" w:rsidRDefault="00A55057" w:rsidP="002568A3">
            <w:pPr>
              <w:jc w:val="right"/>
              <w:rPr>
                <w:rFonts w:ascii="Calibri" w:hAnsi="Calibri"/>
                <w:b/>
                <w:bCs/>
                <w:color w:val="000000"/>
                <w:lang w:eastAsia="en-GB"/>
              </w:rPr>
            </w:pPr>
            <w:r>
              <w:rPr>
                <w:rFonts w:ascii="Calibri" w:hAnsi="Calibri"/>
                <w:b/>
                <w:bCs/>
                <w:color w:val="000000"/>
                <w:lang w:eastAsia="en-GB"/>
              </w:rPr>
              <w:t>15</w:t>
            </w:r>
          </w:p>
        </w:tc>
        <w:tc>
          <w:tcPr>
            <w:tcW w:w="920" w:type="dxa"/>
            <w:tcBorders>
              <w:top w:val="nil"/>
              <w:left w:val="nil"/>
              <w:bottom w:val="single" w:sz="4" w:space="0" w:color="FFFFFF"/>
              <w:right w:val="single" w:sz="4" w:space="0" w:color="FFFFFF"/>
            </w:tcBorders>
            <w:shd w:val="clear" w:color="000000" w:fill="CCC0DA"/>
            <w:noWrap/>
            <w:vAlign w:val="center"/>
          </w:tcPr>
          <w:p w14:paraId="44BCD132" w14:textId="6A835636" w:rsidR="00226F9B" w:rsidRPr="004E5437" w:rsidRDefault="00A55057" w:rsidP="00060811">
            <w:pPr>
              <w:jc w:val="right"/>
              <w:rPr>
                <w:rFonts w:ascii="Calibri" w:hAnsi="Calibri"/>
                <w:b/>
                <w:bCs/>
                <w:color w:val="000000"/>
                <w:lang w:eastAsia="en-GB"/>
              </w:rPr>
            </w:pPr>
            <w:r>
              <w:rPr>
                <w:rFonts w:ascii="Calibri" w:hAnsi="Calibri"/>
                <w:b/>
                <w:bCs/>
                <w:color w:val="000000"/>
                <w:lang w:eastAsia="en-GB"/>
              </w:rPr>
              <w:t>19,872</w:t>
            </w:r>
          </w:p>
        </w:tc>
        <w:tc>
          <w:tcPr>
            <w:tcW w:w="820" w:type="dxa"/>
            <w:tcBorders>
              <w:top w:val="nil"/>
              <w:left w:val="nil"/>
              <w:bottom w:val="single" w:sz="4" w:space="0" w:color="FFFFFF"/>
              <w:right w:val="single" w:sz="4" w:space="0" w:color="FFFFFF"/>
            </w:tcBorders>
            <w:shd w:val="clear" w:color="000000" w:fill="CCC0DA"/>
            <w:noWrap/>
            <w:vAlign w:val="center"/>
          </w:tcPr>
          <w:p w14:paraId="1AB24CF3" w14:textId="29ACE5DD" w:rsidR="00226F9B" w:rsidRPr="004E5437" w:rsidRDefault="00A55057" w:rsidP="003F3A1C">
            <w:pPr>
              <w:jc w:val="right"/>
              <w:rPr>
                <w:rFonts w:ascii="Calibri" w:hAnsi="Calibri"/>
                <w:b/>
                <w:bCs/>
                <w:color w:val="000000"/>
                <w:lang w:eastAsia="en-GB"/>
              </w:rPr>
            </w:pPr>
            <w:r>
              <w:rPr>
                <w:rFonts w:ascii="Calibri" w:hAnsi="Calibri"/>
                <w:b/>
                <w:bCs/>
                <w:color w:val="000000"/>
                <w:lang w:eastAsia="en-GB"/>
              </w:rPr>
              <w:t>124,995</w:t>
            </w:r>
          </w:p>
        </w:tc>
        <w:tc>
          <w:tcPr>
            <w:tcW w:w="880" w:type="dxa"/>
            <w:tcBorders>
              <w:top w:val="nil"/>
              <w:left w:val="nil"/>
              <w:bottom w:val="single" w:sz="4" w:space="0" w:color="FFFFFF"/>
            </w:tcBorders>
            <w:shd w:val="clear" w:color="000000" w:fill="CCC0DA"/>
            <w:noWrap/>
            <w:vAlign w:val="center"/>
          </w:tcPr>
          <w:p w14:paraId="453EBB54" w14:textId="16CF2F27" w:rsidR="00226F9B" w:rsidRPr="004E5437" w:rsidRDefault="00A55057" w:rsidP="003F3A1C">
            <w:pPr>
              <w:jc w:val="right"/>
              <w:rPr>
                <w:rFonts w:ascii="Calibri" w:hAnsi="Calibri"/>
                <w:b/>
                <w:bCs/>
                <w:color w:val="000000"/>
                <w:lang w:eastAsia="en-GB"/>
              </w:rPr>
            </w:pPr>
            <w:r>
              <w:rPr>
                <w:rFonts w:ascii="Calibri" w:hAnsi="Calibri"/>
                <w:b/>
                <w:bCs/>
                <w:color w:val="000000"/>
                <w:lang w:eastAsia="en-GB"/>
              </w:rPr>
              <w:t>144,867</w:t>
            </w:r>
          </w:p>
        </w:tc>
      </w:tr>
    </w:tbl>
    <w:p w14:paraId="6AFD921C" w14:textId="77777777" w:rsidR="00CA6845" w:rsidRDefault="00CA6845">
      <w:permStart w:id="1165976080" w:edGrp="everyone"/>
      <w:permEnd w:id="1165976080"/>
    </w:p>
    <w:tbl>
      <w:tblPr>
        <w:tblW w:w="9235" w:type="dxa"/>
        <w:tblInd w:w="93" w:type="dxa"/>
        <w:tblLook w:val="04A0" w:firstRow="1" w:lastRow="0" w:firstColumn="1" w:lastColumn="0" w:noHBand="0" w:noVBand="1"/>
        <w:tblCaption w:val="Movement in reserves statement 2021-2022"/>
        <w:tblDescription w:val="Movement in reserves statement 2021-2022 for comparison"/>
      </w:tblPr>
      <w:tblGrid>
        <w:gridCol w:w="2320"/>
        <w:gridCol w:w="820"/>
        <w:gridCol w:w="975"/>
        <w:gridCol w:w="880"/>
        <w:gridCol w:w="840"/>
        <w:gridCol w:w="780"/>
        <w:gridCol w:w="920"/>
        <w:gridCol w:w="820"/>
        <w:gridCol w:w="921"/>
      </w:tblGrid>
      <w:tr w:rsidR="00226F9B" w:rsidRPr="004E5437" w14:paraId="587D78D3" w14:textId="77777777" w:rsidTr="00F352A5">
        <w:trPr>
          <w:cantSplit/>
          <w:trHeight w:val="300"/>
          <w:tblHeader/>
        </w:trPr>
        <w:tc>
          <w:tcPr>
            <w:tcW w:w="2320" w:type="dxa"/>
            <w:tcBorders>
              <w:top w:val="single" w:sz="4" w:space="0" w:color="FFFFFF"/>
              <w:left w:val="single" w:sz="4" w:space="0" w:color="FFFFFF"/>
              <w:bottom w:val="single" w:sz="4" w:space="0" w:color="FFFFFF"/>
              <w:right w:val="single" w:sz="4" w:space="0" w:color="FFFFFF"/>
            </w:tcBorders>
            <w:shd w:val="clear" w:color="000000" w:fill="B1A0C7"/>
            <w:noWrap/>
            <w:vAlign w:val="bottom"/>
            <w:hideMark/>
          </w:tcPr>
          <w:p w14:paraId="1CDB38A1" w14:textId="0DB4D688" w:rsidR="00226F9B" w:rsidRPr="004E5437" w:rsidRDefault="002D03F9" w:rsidP="00E8625F">
            <w:pPr>
              <w:rPr>
                <w:rFonts w:ascii="Calibri" w:hAnsi="Calibri"/>
                <w:color w:val="000000"/>
                <w:lang w:eastAsia="en-GB"/>
              </w:rPr>
            </w:pPr>
            <w:r>
              <w:rPr>
                <w:rFonts w:ascii="Calibri" w:hAnsi="Calibri"/>
                <w:color w:val="000000"/>
                <w:lang w:eastAsia="en-GB"/>
              </w:rPr>
              <w:t>20</w:t>
            </w:r>
            <w:r w:rsidR="00B74DE8">
              <w:rPr>
                <w:rFonts w:ascii="Calibri" w:hAnsi="Calibri"/>
                <w:color w:val="000000"/>
                <w:lang w:eastAsia="en-GB"/>
              </w:rPr>
              <w:t>2</w:t>
            </w:r>
            <w:r w:rsidR="00DA5ED4">
              <w:rPr>
                <w:rFonts w:ascii="Calibri" w:hAnsi="Calibri"/>
                <w:color w:val="000000"/>
                <w:lang w:eastAsia="en-GB"/>
              </w:rPr>
              <w:t>1</w:t>
            </w:r>
            <w:r>
              <w:rPr>
                <w:rFonts w:ascii="Calibri" w:hAnsi="Calibri"/>
                <w:color w:val="000000"/>
                <w:lang w:eastAsia="en-GB"/>
              </w:rPr>
              <w:t>-2</w:t>
            </w:r>
            <w:r w:rsidR="00DA5ED4">
              <w:rPr>
                <w:rFonts w:ascii="Calibri" w:hAnsi="Calibri"/>
                <w:color w:val="000000"/>
                <w:lang w:eastAsia="en-GB"/>
              </w:rPr>
              <w:t>2</w:t>
            </w:r>
          </w:p>
        </w:tc>
        <w:tc>
          <w:tcPr>
            <w:tcW w:w="5215" w:type="dxa"/>
            <w:gridSpan w:val="6"/>
            <w:tcBorders>
              <w:top w:val="single" w:sz="4" w:space="0" w:color="FFFFFF"/>
              <w:left w:val="nil"/>
              <w:bottom w:val="single" w:sz="4" w:space="0" w:color="FFFFFF"/>
              <w:right w:val="nil"/>
            </w:tcBorders>
            <w:shd w:val="clear" w:color="000000" w:fill="B1A0C7"/>
            <w:noWrap/>
            <w:vAlign w:val="bottom"/>
            <w:hideMark/>
          </w:tcPr>
          <w:p w14:paraId="21184717" w14:textId="77777777" w:rsidR="00226F9B" w:rsidRPr="004E5437" w:rsidRDefault="00226F9B" w:rsidP="004E5437">
            <w:pPr>
              <w:jc w:val="center"/>
              <w:rPr>
                <w:rFonts w:ascii="Calibri" w:hAnsi="Calibri"/>
                <w:color w:val="000000"/>
                <w:lang w:eastAsia="en-GB"/>
              </w:rPr>
            </w:pPr>
            <w:r w:rsidRPr="004E5437">
              <w:rPr>
                <w:rFonts w:ascii="Calibri" w:hAnsi="Calibri"/>
                <w:color w:val="000000"/>
                <w:lang w:eastAsia="en-GB"/>
              </w:rPr>
              <w:t>Usable Reserves</w:t>
            </w:r>
          </w:p>
        </w:tc>
        <w:tc>
          <w:tcPr>
            <w:tcW w:w="820" w:type="dxa"/>
            <w:tcBorders>
              <w:top w:val="nil"/>
              <w:left w:val="single" w:sz="4" w:space="0" w:color="FFFFFF"/>
              <w:bottom w:val="nil"/>
              <w:right w:val="single" w:sz="4" w:space="0" w:color="FFFFFF"/>
            </w:tcBorders>
            <w:shd w:val="clear" w:color="000000" w:fill="B1A0C7"/>
            <w:noWrap/>
            <w:vAlign w:val="bottom"/>
            <w:hideMark/>
          </w:tcPr>
          <w:p w14:paraId="3B6C0596"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80" w:type="dxa"/>
            <w:tcBorders>
              <w:top w:val="nil"/>
              <w:left w:val="nil"/>
              <w:bottom w:val="nil"/>
              <w:right w:val="nil"/>
            </w:tcBorders>
            <w:shd w:val="clear" w:color="000000" w:fill="B1A0C7"/>
            <w:noWrap/>
            <w:vAlign w:val="bottom"/>
            <w:hideMark/>
          </w:tcPr>
          <w:p w14:paraId="3A1F293A"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r>
      <w:tr w:rsidR="00226F9B" w:rsidRPr="004E5437" w14:paraId="738C7BDF" w14:textId="77777777" w:rsidTr="002D03F9">
        <w:trPr>
          <w:trHeight w:val="1501"/>
        </w:trPr>
        <w:tc>
          <w:tcPr>
            <w:tcW w:w="2320" w:type="dxa"/>
            <w:tcBorders>
              <w:top w:val="nil"/>
              <w:left w:val="single" w:sz="4" w:space="0" w:color="FFFFFF"/>
              <w:bottom w:val="single" w:sz="4" w:space="0" w:color="FFFFFF"/>
              <w:right w:val="single" w:sz="4" w:space="0" w:color="FFFFFF"/>
            </w:tcBorders>
            <w:shd w:val="clear" w:color="000000" w:fill="B1A0C7"/>
            <w:noWrap/>
            <w:vAlign w:val="bottom"/>
            <w:hideMark/>
          </w:tcPr>
          <w:p w14:paraId="60911FED"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20" w:type="dxa"/>
            <w:tcBorders>
              <w:top w:val="nil"/>
              <w:left w:val="nil"/>
              <w:bottom w:val="single" w:sz="4" w:space="0" w:color="FFFFFF"/>
              <w:right w:val="single" w:sz="4" w:space="0" w:color="FFFFFF"/>
            </w:tcBorders>
            <w:shd w:val="clear" w:color="000000" w:fill="B1A0C7"/>
            <w:textDirection w:val="btLr"/>
            <w:vAlign w:val="bottom"/>
            <w:hideMark/>
          </w:tcPr>
          <w:p w14:paraId="3A82A8CE"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General Fund</w:t>
            </w:r>
            <w:r w:rsidRPr="004E5437">
              <w:rPr>
                <w:rFonts w:ascii="Calibri" w:hAnsi="Calibri"/>
                <w:color w:val="000000"/>
                <w:lang w:eastAsia="en-GB"/>
              </w:rPr>
              <w:br/>
              <w:t>Balance</w:t>
            </w:r>
          </w:p>
        </w:tc>
        <w:tc>
          <w:tcPr>
            <w:tcW w:w="975" w:type="dxa"/>
            <w:tcBorders>
              <w:top w:val="nil"/>
              <w:left w:val="nil"/>
              <w:bottom w:val="single" w:sz="4" w:space="0" w:color="FFFFFF"/>
              <w:right w:val="single" w:sz="4" w:space="0" w:color="FFFFFF"/>
            </w:tcBorders>
            <w:shd w:val="clear" w:color="000000" w:fill="B1A0C7"/>
            <w:textDirection w:val="btLr"/>
            <w:vAlign w:val="bottom"/>
            <w:hideMark/>
          </w:tcPr>
          <w:p w14:paraId="4192BB48"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Housing</w:t>
            </w:r>
            <w:r w:rsidRPr="004E5437">
              <w:rPr>
                <w:rFonts w:ascii="Calibri" w:hAnsi="Calibri"/>
                <w:color w:val="000000"/>
                <w:lang w:eastAsia="en-GB"/>
              </w:rPr>
              <w:br/>
              <w:t>Revenue</w:t>
            </w:r>
            <w:r w:rsidRPr="004E5437">
              <w:rPr>
                <w:rFonts w:ascii="Calibri" w:hAnsi="Calibri"/>
                <w:color w:val="000000"/>
                <w:lang w:eastAsia="en-GB"/>
              </w:rPr>
              <w:br/>
              <w:t>Account</w:t>
            </w:r>
          </w:p>
        </w:tc>
        <w:tc>
          <w:tcPr>
            <w:tcW w:w="880" w:type="dxa"/>
            <w:tcBorders>
              <w:top w:val="nil"/>
              <w:left w:val="nil"/>
              <w:bottom w:val="single" w:sz="4" w:space="0" w:color="FFFFFF"/>
              <w:right w:val="single" w:sz="4" w:space="0" w:color="FFFFFF"/>
            </w:tcBorders>
            <w:shd w:val="clear" w:color="000000" w:fill="B1A0C7"/>
            <w:textDirection w:val="btLr"/>
            <w:vAlign w:val="bottom"/>
            <w:hideMark/>
          </w:tcPr>
          <w:p w14:paraId="352787D5" w14:textId="77777777" w:rsidR="00226F9B" w:rsidRPr="004E5437" w:rsidRDefault="00226F9B" w:rsidP="00E8625F">
            <w:pPr>
              <w:rPr>
                <w:rFonts w:ascii="Calibri" w:hAnsi="Calibri"/>
                <w:color w:val="000000"/>
                <w:lang w:eastAsia="en-GB"/>
              </w:rPr>
            </w:pPr>
            <w:r w:rsidRPr="004E5437">
              <w:rPr>
                <w:rFonts w:ascii="Calibri" w:hAnsi="Calibri"/>
                <w:color w:val="000000"/>
                <w:lang w:eastAsia="en-GB"/>
              </w:rPr>
              <w:t>Capital</w:t>
            </w:r>
            <w:r w:rsidRPr="004E5437">
              <w:rPr>
                <w:rFonts w:ascii="Calibri" w:hAnsi="Calibri"/>
                <w:color w:val="000000"/>
                <w:lang w:eastAsia="en-GB"/>
              </w:rPr>
              <w:br/>
              <w:t>Receipts</w:t>
            </w:r>
            <w:r w:rsidR="00E8625F">
              <w:rPr>
                <w:rFonts w:ascii="Calibri" w:hAnsi="Calibri"/>
                <w:color w:val="000000"/>
                <w:lang w:eastAsia="en-GB"/>
              </w:rPr>
              <w:t xml:space="preserve"> Reserve</w:t>
            </w:r>
          </w:p>
        </w:tc>
        <w:tc>
          <w:tcPr>
            <w:tcW w:w="840" w:type="dxa"/>
            <w:tcBorders>
              <w:top w:val="nil"/>
              <w:left w:val="nil"/>
              <w:bottom w:val="single" w:sz="4" w:space="0" w:color="FFFFFF"/>
              <w:right w:val="single" w:sz="4" w:space="0" w:color="FFFFFF"/>
            </w:tcBorders>
            <w:shd w:val="clear" w:color="000000" w:fill="B1A0C7"/>
            <w:textDirection w:val="btLr"/>
            <w:vAlign w:val="bottom"/>
            <w:hideMark/>
          </w:tcPr>
          <w:p w14:paraId="4892C594"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Major Repairs</w:t>
            </w:r>
            <w:r w:rsidRPr="004E5437">
              <w:rPr>
                <w:rFonts w:ascii="Calibri" w:hAnsi="Calibri"/>
                <w:color w:val="000000"/>
                <w:lang w:eastAsia="en-GB"/>
              </w:rPr>
              <w:br/>
              <w:t>Reserve</w:t>
            </w:r>
          </w:p>
        </w:tc>
        <w:tc>
          <w:tcPr>
            <w:tcW w:w="780" w:type="dxa"/>
            <w:tcBorders>
              <w:top w:val="nil"/>
              <w:left w:val="nil"/>
              <w:bottom w:val="single" w:sz="4" w:space="0" w:color="FFFFFF"/>
              <w:right w:val="single" w:sz="4" w:space="0" w:color="FFFFFF"/>
            </w:tcBorders>
            <w:shd w:val="clear" w:color="000000" w:fill="B1A0C7"/>
            <w:textDirection w:val="btLr"/>
            <w:vAlign w:val="bottom"/>
            <w:hideMark/>
          </w:tcPr>
          <w:p w14:paraId="41B29861"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Capital Grants</w:t>
            </w:r>
            <w:r w:rsidRPr="004E5437">
              <w:rPr>
                <w:rFonts w:ascii="Calibri" w:hAnsi="Calibri"/>
                <w:color w:val="000000"/>
                <w:lang w:eastAsia="en-GB"/>
              </w:rPr>
              <w:br/>
              <w:t>Unapplied</w:t>
            </w:r>
          </w:p>
        </w:tc>
        <w:tc>
          <w:tcPr>
            <w:tcW w:w="920" w:type="dxa"/>
            <w:tcBorders>
              <w:top w:val="nil"/>
              <w:left w:val="nil"/>
              <w:bottom w:val="single" w:sz="4" w:space="0" w:color="FFFFFF"/>
              <w:right w:val="nil"/>
            </w:tcBorders>
            <w:shd w:val="clear" w:color="000000" w:fill="B1A0C7"/>
            <w:textDirection w:val="btLr"/>
            <w:vAlign w:val="bottom"/>
            <w:hideMark/>
          </w:tcPr>
          <w:p w14:paraId="7B8CA45D"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Total Usable</w:t>
            </w:r>
            <w:r w:rsidRPr="004E5437">
              <w:rPr>
                <w:rFonts w:ascii="Calibri" w:hAnsi="Calibri"/>
                <w:color w:val="000000"/>
                <w:lang w:eastAsia="en-GB"/>
              </w:rPr>
              <w:br/>
              <w:t>Reserves</w:t>
            </w:r>
          </w:p>
        </w:tc>
        <w:tc>
          <w:tcPr>
            <w:tcW w:w="820" w:type="dxa"/>
            <w:tcBorders>
              <w:top w:val="nil"/>
              <w:left w:val="single" w:sz="4" w:space="0" w:color="FFFFFF"/>
              <w:bottom w:val="single" w:sz="4" w:space="0" w:color="FFFFFF"/>
              <w:right w:val="single" w:sz="4" w:space="0" w:color="FFFFFF"/>
            </w:tcBorders>
            <w:shd w:val="clear" w:color="000000" w:fill="B1A0C7"/>
            <w:textDirection w:val="btLr"/>
            <w:vAlign w:val="bottom"/>
            <w:hideMark/>
          </w:tcPr>
          <w:p w14:paraId="5D8A8FE6"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Unusable Reserves</w:t>
            </w:r>
          </w:p>
        </w:tc>
        <w:tc>
          <w:tcPr>
            <w:tcW w:w="880" w:type="dxa"/>
            <w:tcBorders>
              <w:top w:val="nil"/>
              <w:left w:val="nil"/>
              <w:bottom w:val="single" w:sz="4" w:space="0" w:color="FFFFFF"/>
              <w:right w:val="nil"/>
            </w:tcBorders>
            <w:shd w:val="clear" w:color="000000" w:fill="B1A0C7"/>
            <w:textDirection w:val="btLr"/>
            <w:vAlign w:val="bottom"/>
            <w:hideMark/>
          </w:tcPr>
          <w:p w14:paraId="27BF5E2C"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Total Reserves</w:t>
            </w:r>
          </w:p>
        </w:tc>
      </w:tr>
      <w:tr w:rsidR="00226F9B" w:rsidRPr="004E5437" w14:paraId="7BEF942D" w14:textId="77777777" w:rsidTr="00226F9B">
        <w:trPr>
          <w:trHeight w:val="300"/>
        </w:trPr>
        <w:tc>
          <w:tcPr>
            <w:tcW w:w="2320" w:type="dxa"/>
            <w:tcBorders>
              <w:top w:val="nil"/>
              <w:left w:val="single" w:sz="4" w:space="0" w:color="FFFFFF"/>
              <w:bottom w:val="single" w:sz="4" w:space="0" w:color="FFFFFF"/>
              <w:right w:val="single" w:sz="4" w:space="0" w:color="FFFFFF"/>
            </w:tcBorders>
            <w:shd w:val="clear" w:color="000000" w:fill="B1A0C7"/>
            <w:noWrap/>
            <w:vAlign w:val="bottom"/>
            <w:hideMark/>
          </w:tcPr>
          <w:p w14:paraId="6F791B8F" w14:textId="77777777" w:rsidR="00226F9B" w:rsidRPr="004E5437" w:rsidRDefault="00226F9B" w:rsidP="004E5437">
            <w:pPr>
              <w:rPr>
                <w:rFonts w:ascii="Calibri" w:hAnsi="Calibri"/>
                <w:color w:val="000000"/>
                <w:lang w:eastAsia="en-GB"/>
              </w:rPr>
            </w:pPr>
            <w:r w:rsidRPr="004E5437">
              <w:rPr>
                <w:rFonts w:ascii="Calibri" w:hAnsi="Calibri"/>
                <w:color w:val="000000"/>
                <w:lang w:eastAsia="en-GB"/>
              </w:rPr>
              <w:t> </w:t>
            </w:r>
          </w:p>
        </w:tc>
        <w:tc>
          <w:tcPr>
            <w:tcW w:w="820" w:type="dxa"/>
            <w:tcBorders>
              <w:top w:val="nil"/>
              <w:left w:val="nil"/>
              <w:bottom w:val="single" w:sz="4" w:space="0" w:color="FFFFFF"/>
              <w:right w:val="single" w:sz="4" w:space="0" w:color="FFFFFF"/>
            </w:tcBorders>
            <w:shd w:val="clear" w:color="000000" w:fill="B1A0C7"/>
            <w:noWrap/>
            <w:vAlign w:val="bottom"/>
            <w:hideMark/>
          </w:tcPr>
          <w:p w14:paraId="14233F67"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975" w:type="dxa"/>
            <w:tcBorders>
              <w:top w:val="nil"/>
              <w:left w:val="nil"/>
              <w:bottom w:val="single" w:sz="4" w:space="0" w:color="FFFFFF"/>
              <w:right w:val="single" w:sz="4" w:space="0" w:color="FFFFFF"/>
            </w:tcBorders>
            <w:shd w:val="clear" w:color="000000" w:fill="B1A0C7"/>
            <w:noWrap/>
            <w:vAlign w:val="bottom"/>
            <w:hideMark/>
          </w:tcPr>
          <w:p w14:paraId="27440F09"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80" w:type="dxa"/>
            <w:tcBorders>
              <w:top w:val="nil"/>
              <w:left w:val="nil"/>
              <w:bottom w:val="single" w:sz="4" w:space="0" w:color="FFFFFF"/>
              <w:right w:val="single" w:sz="4" w:space="0" w:color="FFFFFF"/>
            </w:tcBorders>
            <w:shd w:val="clear" w:color="000000" w:fill="B1A0C7"/>
            <w:noWrap/>
            <w:vAlign w:val="bottom"/>
            <w:hideMark/>
          </w:tcPr>
          <w:p w14:paraId="7901A415"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40" w:type="dxa"/>
            <w:tcBorders>
              <w:top w:val="nil"/>
              <w:left w:val="nil"/>
              <w:bottom w:val="single" w:sz="4" w:space="0" w:color="FFFFFF"/>
              <w:right w:val="single" w:sz="4" w:space="0" w:color="FFFFFF"/>
            </w:tcBorders>
            <w:shd w:val="clear" w:color="000000" w:fill="B1A0C7"/>
            <w:noWrap/>
            <w:vAlign w:val="bottom"/>
            <w:hideMark/>
          </w:tcPr>
          <w:p w14:paraId="4F00B556"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780" w:type="dxa"/>
            <w:tcBorders>
              <w:top w:val="nil"/>
              <w:left w:val="nil"/>
              <w:bottom w:val="single" w:sz="4" w:space="0" w:color="FFFFFF"/>
              <w:right w:val="single" w:sz="4" w:space="0" w:color="FFFFFF"/>
            </w:tcBorders>
            <w:shd w:val="clear" w:color="000000" w:fill="B1A0C7"/>
            <w:noWrap/>
            <w:vAlign w:val="bottom"/>
            <w:hideMark/>
          </w:tcPr>
          <w:p w14:paraId="693979E2"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920" w:type="dxa"/>
            <w:tcBorders>
              <w:top w:val="nil"/>
              <w:left w:val="nil"/>
              <w:bottom w:val="single" w:sz="4" w:space="0" w:color="FFFFFF"/>
              <w:right w:val="single" w:sz="4" w:space="0" w:color="FFFFFF"/>
            </w:tcBorders>
            <w:shd w:val="clear" w:color="000000" w:fill="B1A0C7"/>
            <w:noWrap/>
            <w:vAlign w:val="bottom"/>
            <w:hideMark/>
          </w:tcPr>
          <w:p w14:paraId="5D05C48B"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20" w:type="dxa"/>
            <w:tcBorders>
              <w:top w:val="nil"/>
              <w:left w:val="nil"/>
              <w:bottom w:val="single" w:sz="4" w:space="0" w:color="FFFFFF"/>
              <w:right w:val="single" w:sz="4" w:space="0" w:color="FFFFFF"/>
            </w:tcBorders>
            <w:shd w:val="clear" w:color="000000" w:fill="B1A0C7"/>
            <w:noWrap/>
            <w:vAlign w:val="bottom"/>
            <w:hideMark/>
          </w:tcPr>
          <w:p w14:paraId="4151E27C"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c>
          <w:tcPr>
            <w:tcW w:w="880" w:type="dxa"/>
            <w:tcBorders>
              <w:top w:val="nil"/>
              <w:left w:val="nil"/>
              <w:bottom w:val="single" w:sz="4" w:space="0" w:color="FFFFFF"/>
              <w:right w:val="single" w:sz="4" w:space="0" w:color="FFFFFF"/>
            </w:tcBorders>
            <w:shd w:val="clear" w:color="000000" w:fill="B1A0C7"/>
            <w:noWrap/>
            <w:vAlign w:val="bottom"/>
            <w:hideMark/>
          </w:tcPr>
          <w:p w14:paraId="7D6A8EA7" w14:textId="77777777" w:rsidR="00226F9B" w:rsidRPr="004E5437" w:rsidRDefault="00226F9B" w:rsidP="004E5437">
            <w:pPr>
              <w:jc w:val="right"/>
              <w:rPr>
                <w:rFonts w:ascii="Calibri" w:hAnsi="Calibri"/>
                <w:color w:val="000000"/>
                <w:lang w:eastAsia="en-GB"/>
              </w:rPr>
            </w:pPr>
            <w:r w:rsidRPr="004E5437">
              <w:rPr>
                <w:rFonts w:ascii="Calibri" w:hAnsi="Calibri"/>
                <w:color w:val="000000"/>
                <w:lang w:eastAsia="en-GB"/>
              </w:rPr>
              <w:t>£'000</w:t>
            </w:r>
          </w:p>
        </w:tc>
      </w:tr>
      <w:tr w:rsidR="00226F9B" w:rsidRPr="004E5437" w14:paraId="20582D2C" w14:textId="77777777" w:rsidTr="00226F9B">
        <w:trPr>
          <w:trHeight w:val="510"/>
        </w:trPr>
        <w:tc>
          <w:tcPr>
            <w:tcW w:w="2320" w:type="dxa"/>
            <w:tcBorders>
              <w:top w:val="nil"/>
              <w:left w:val="single" w:sz="4" w:space="0" w:color="FFFFFF"/>
              <w:bottom w:val="single" w:sz="4" w:space="0" w:color="FFFFFF"/>
              <w:right w:val="single" w:sz="4" w:space="0" w:color="FFFFFF"/>
            </w:tcBorders>
            <w:shd w:val="clear" w:color="000000" w:fill="E4DFEC"/>
            <w:vAlign w:val="center"/>
            <w:hideMark/>
          </w:tcPr>
          <w:p w14:paraId="311477C3" w14:textId="4E6716CC" w:rsidR="00226F9B" w:rsidRPr="004E5437" w:rsidRDefault="00226F9B" w:rsidP="00E8625F">
            <w:pPr>
              <w:rPr>
                <w:rFonts w:ascii="Calibri" w:hAnsi="Calibri"/>
                <w:b/>
                <w:bCs/>
                <w:color w:val="000000"/>
                <w:lang w:eastAsia="en-GB"/>
              </w:rPr>
            </w:pPr>
            <w:r w:rsidRPr="004E5437">
              <w:rPr>
                <w:rFonts w:ascii="Calibri" w:hAnsi="Calibri"/>
                <w:b/>
                <w:bCs/>
                <w:color w:val="000000"/>
                <w:lang w:eastAsia="en-GB"/>
              </w:rPr>
              <w:t xml:space="preserve">Balance </w:t>
            </w:r>
            <w:proofErr w:type="gramStart"/>
            <w:r w:rsidRPr="004E5437">
              <w:rPr>
                <w:rFonts w:ascii="Calibri" w:hAnsi="Calibri"/>
                <w:b/>
                <w:bCs/>
                <w:color w:val="000000"/>
                <w:lang w:eastAsia="en-GB"/>
              </w:rPr>
              <w:t>at</w:t>
            </w:r>
            <w:proofErr w:type="gramEnd"/>
            <w:r w:rsidRPr="004E5437">
              <w:rPr>
                <w:rFonts w:ascii="Calibri" w:hAnsi="Calibri"/>
                <w:b/>
                <w:bCs/>
                <w:color w:val="000000"/>
                <w:lang w:eastAsia="en-GB"/>
              </w:rPr>
              <w:t xml:space="preserve"> </w:t>
            </w:r>
            <w:r>
              <w:rPr>
                <w:rFonts w:ascii="Calibri" w:hAnsi="Calibri"/>
                <w:b/>
                <w:bCs/>
                <w:color w:val="000000"/>
                <w:lang w:eastAsia="en-GB"/>
              </w:rPr>
              <w:t>3</w:t>
            </w:r>
            <w:r w:rsidRPr="004E5437">
              <w:rPr>
                <w:rFonts w:ascii="Calibri" w:hAnsi="Calibri"/>
                <w:b/>
                <w:bCs/>
                <w:color w:val="000000"/>
                <w:lang w:eastAsia="en-GB"/>
              </w:rPr>
              <w:t xml:space="preserve">1 </w:t>
            </w:r>
            <w:r>
              <w:rPr>
                <w:rFonts w:ascii="Calibri" w:hAnsi="Calibri"/>
                <w:b/>
                <w:bCs/>
                <w:color w:val="000000"/>
                <w:lang w:eastAsia="en-GB"/>
              </w:rPr>
              <w:t>March</w:t>
            </w:r>
            <w:r w:rsidR="00220C72">
              <w:rPr>
                <w:rFonts w:ascii="Calibri" w:hAnsi="Calibri"/>
                <w:b/>
                <w:bCs/>
                <w:color w:val="000000"/>
                <w:lang w:eastAsia="en-GB"/>
              </w:rPr>
              <w:t xml:space="preserve"> 20</w:t>
            </w:r>
            <w:r w:rsidR="00B74DE8">
              <w:rPr>
                <w:rFonts w:ascii="Calibri" w:hAnsi="Calibri"/>
                <w:b/>
                <w:bCs/>
                <w:color w:val="000000"/>
                <w:lang w:eastAsia="en-GB"/>
              </w:rPr>
              <w:t>2</w:t>
            </w:r>
            <w:r w:rsidR="00DA5ED4">
              <w:rPr>
                <w:rFonts w:ascii="Calibri" w:hAnsi="Calibri"/>
                <w:b/>
                <w:bCs/>
                <w:color w:val="000000"/>
                <w:lang w:eastAsia="en-GB"/>
              </w:rPr>
              <w:t>1</w:t>
            </w:r>
          </w:p>
        </w:tc>
        <w:tc>
          <w:tcPr>
            <w:tcW w:w="820" w:type="dxa"/>
            <w:tcBorders>
              <w:top w:val="nil"/>
              <w:left w:val="nil"/>
              <w:bottom w:val="single" w:sz="4" w:space="0" w:color="FFFFFF"/>
              <w:right w:val="single" w:sz="4" w:space="0" w:color="FFFFFF"/>
            </w:tcBorders>
            <w:shd w:val="clear" w:color="000000" w:fill="E4DFEC"/>
            <w:noWrap/>
            <w:vAlign w:val="center"/>
            <w:hideMark/>
          </w:tcPr>
          <w:p w14:paraId="79433F97" w14:textId="06E45570" w:rsidR="00226F9B" w:rsidRPr="004E5437" w:rsidRDefault="00DA5ED4" w:rsidP="002D03F9">
            <w:pPr>
              <w:jc w:val="right"/>
              <w:rPr>
                <w:rFonts w:ascii="Calibri" w:hAnsi="Calibri"/>
                <w:b/>
                <w:bCs/>
                <w:color w:val="000000"/>
                <w:lang w:eastAsia="en-GB"/>
              </w:rPr>
            </w:pPr>
            <w:r>
              <w:rPr>
                <w:rFonts w:ascii="Calibri" w:hAnsi="Calibri"/>
                <w:b/>
                <w:bCs/>
                <w:color w:val="000000"/>
                <w:lang w:eastAsia="en-GB"/>
              </w:rPr>
              <w:t>8</w:t>
            </w:r>
            <w:r w:rsidR="00226F9B">
              <w:rPr>
                <w:rFonts w:ascii="Calibri" w:hAnsi="Calibri"/>
                <w:b/>
                <w:bCs/>
                <w:color w:val="000000"/>
                <w:lang w:eastAsia="en-GB"/>
              </w:rPr>
              <w:t>,</w:t>
            </w:r>
            <w:r>
              <w:rPr>
                <w:rFonts w:ascii="Calibri" w:hAnsi="Calibri"/>
                <w:b/>
                <w:bCs/>
                <w:color w:val="000000"/>
                <w:lang w:eastAsia="en-GB"/>
              </w:rPr>
              <w:t>525</w:t>
            </w:r>
            <w:r w:rsidR="00226F9B" w:rsidRPr="004E5437">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000000" w:fill="E4DFEC"/>
            <w:noWrap/>
            <w:vAlign w:val="center"/>
            <w:hideMark/>
          </w:tcPr>
          <w:p w14:paraId="23EB7633" w14:textId="003BC8CD" w:rsidR="00226F9B" w:rsidRPr="004E5437" w:rsidRDefault="00737848" w:rsidP="002D03F9">
            <w:pPr>
              <w:jc w:val="right"/>
              <w:rPr>
                <w:rFonts w:ascii="Calibri" w:hAnsi="Calibri"/>
                <w:b/>
                <w:bCs/>
                <w:color w:val="000000"/>
                <w:lang w:eastAsia="en-GB"/>
              </w:rPr>
            </w:pPr>
            <w:r>
              <w:rPr>
                <w:rFonts w:ascii="Calibri" w:hAnsi="Calibri"/>
                <w:b/>
                <w:bCs/>
                <w:color w:val="000000"/>
                <w:lang w:eastAsia="en-GB"/>
              </w:rPr>
              <w:t>6</w:t>
            </w:r>
            <w:r w:rsidR="00E8625F">
              <w:rPr>
                <w:rFonts w:ascii="Calibri" w:hAnsi="Calibri"/>
                <w:b/>
                <w:bCs/>
                <w:color w:val="000000"/>
                <w:lang w:eastAsia="en-GB"/>
              </w:rPr>
              <w:t>,</w:t>
            </w:r>
            <w:r w:rsidR="00B74DE8">
              <w:rPr>
                <w:rFonts w:ascii="Calibri" w:hAnsi="Calibri"/>
                <w:b/>
                <w:bCs/>
                <w:color w:val="000000"/>
                <w:lang w:eastAsia="en-GB"/>
              </w:rPr>
              <w:t>3</w:t>
            </w:r>
            <w:r w:rsidR="00DA5ED4">
              <w:rPr>
                <w:rFonts w:ascii="Calibri" w:hAnsi="Calibri"/>
                <w:b/>
                <w:bCs/>
                <w:color w:val="000000"/>
                <w:lang w:eastAsia="en-GB"/>
              </w:rPr>
              <w:t>72</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E4DFEC"/>
            <w:noWrap/>
            <w:vAlign w:val="center"/>
            <w:hideMark/>
          </w:tcPr>
          <w:p w14:paraId="1B223D33" w14:textId="2342949B" w:rsidR="00226F9B" w:rsidRPr="004E5437" w:rsidRDefault="00DA5ED4" w:rsidP="002D03F9">
            <w:pPr>
              <w:jc w:val="right"/>
              <w:rPr>
                <w:rFonts w:ascii="Calibri" w:hAnsi="Calibri"/>
                <w:b/>
                <w:bCs/>
                <w:color w:val="000000"/>
                <w:lang w:eastAsia="en-GB"/>
              </w:rPr>
            </w:pPr>
            <w:r>
              <w:rPr>
                <w:rFonts w:ascii="Calibri" w:hAnsi="Calibri"/>
                <w:b/>
                <w:bCs/>
                <w:color w:val="000000"/>
                <w:lang w:eastAsia="en-GB"/>
              </w:rPr>
              <w:t>5</w:t>
            </w:r>
            <w:r w:rsidR="00B74DE8">
              <w:rPr>
                <w:rFonts w:ascii="Calibri" w:hAnsi="Calibri"/>
                <w:b/>
                <w:bCs/>
                <w:color w:val="000000"/>
                <w:lang w:eastAsia="en-GB"/>
              </w:rPr>
              <w:t>,</w:t>
            </w:r>
            <w:r>
              <w:rPr>
                <w:rFonts w:ascii="Calibri" w:hAnsi="Calibri"/>
                <w:b/>
                <w:bCs/>
                <w:color w:val="000000"/>
                <w:lang w:eastAsia="en-GB"/>
              </w:rPr>
              <w:t>150</w:t>
            </w:r>
            <w:r w:rsidR="00226F9B" w:rsidRPr="004E5437">
              <w:rPr>
                <w:rFonts w:ascii="Calibri" w:hAnsi="Calibri"/>
                <w:b/>
                <w:bCs/>
                <w:color w:val="000000"/>
                <w:lang w:eastAsia="en-GB"/>
              </w:rPr>
              <w:t> </w:t>
            </w:r>
          </w:p>
        </w:tc>
        <w:tc>
          <w:tcPr>
            <w:tcW w:w="840" w:type="dxa"/>
            <w:tcBorders>
              <w:top w:val="nil"/>
              <w:left w:val="nil"/>
              <w:bottom w:val="single" w:sz="4" w:space="0" w:color="FFFFFF"/>
              <w:right w:val="single" w:sz="4" w:space="0" w:color="FFFFFF"/>
            </w:tcBorders>
            <w:shd w:val="clear" w:color="000000" w:fill="E4DFEC"/>
            <w:noWrap/>
            <w:vAlign w:val="center"/>
            <w:hideMark/>
          </w:tcPr>
          <w:p w14:paraId="0B9289A0" w14:textId="51104281" w:rsidR="00226F9B" w:rsidRPr="004E5437" w:rsidRDefault="00220C72" w:rsidP="002D03F9">
            <w:pPr>
              <w:jc w:val="right"/>
              <w:rPr>
                <w:rFonts w:ascii="Calibri" w:hAnsi="Calibri"/>
                <w:b/>
                <w:bCs/>
                <w:color w:val="000000"/>
                <w:lang w:eastAsia="en-GB"/>
              </w:rPr>
            </w:pPr>
            <w:r>
              <w:rPr>
                <w:rFonts w:ascii="Calibri" w:hAnsi="Calibri"/>
                <w:b/>
                <w:bCs/>
                <w:color w:val="000000"/>
                <w:lang w:eastAsia="en-GB"/>
              </w:rPr>
              <w:t>2,</w:t>
            </w:r>
            <w:r w:rsidR="00DA5ED4">
              <w:rPr>
                <w:rFonts w:ascii="Calibri" w:hAnsi="Calibri"/>
                <w:b/>
                <w:bCs/>
                <w:color w:val="000000"/>
                <w:lang w:eastAsia="en-GB"/>
              </w:rPr>
              <w:t>872</w:t>
            </w:r>
            <w:r w:rsidR="00226F9B" w:rsidRPr="004E5437">
              <w:rPr>
                <w:rFonts w:ascii="Calibri" w:hAnsi="Calibri"/>
                <w:b/>
                <w:bCs/>
                <w:color w:val="000000"/>
                <w:lang w:eastAsia="en-GB"/>
              </w:rPr>
              <w:t> </w:t>
            </w:r>
          </w:p>
        </w:tc>
        <w:tc>
          <w:tcPr>
            <w:tcW w:w="780" w:type="dxa"/>
            <w:tcBorders>
              <w:top w:val="nil"/>
              <w:left w:val="nil"/>
              <w:bottom w:val="single" w:sz="4" w:space="0" w:color="FFFFFF"/>
              <w:right w:val="single" w:sz="4" w:space="0" w:color="FFFFFF"/>
            </w:tcBorders>
            <w:shd w:val="clear" w:color="000000" w:fill="E4DFEC"/>
            <w:noWrap/>
            <w:vAlign w:val="center"/>
            <w:hideMark/>
          </w:tcPr>
          <w:p w14:paraId="0FB6662A" w14:textId="77777777" w:rsidR="00226F9B" w:rsidRPr="004E5437" w:rsidRDefault="00226F9B" w:rsidP="004E5437">
            <w:pPr>
              <w:jc w:val="right"/>
              <w:rPr>
                <w:rFonts w:ascii="Calibri" w:hAnsi="Calibri"/>
                <w:b/>
                <w:bCs/>
                <w:color w:val="000000"/>
                <w:lang w:eastAsia="en-GB"/>
              </w:rPr>
            </w:pPr>
            <w:r>
              <w:rPr>
                <w:rFonts w:ascii="Calibri" w:hAnsi="Calibri"/>
                <w:b/>
                <w:bCs/>
                <w:color w:val="000000"/>
                <w:lang w:eastAsia="en-GB"/>
              </w:rPr>
              <w:t>0</w:t>
            </w:r>
            <w:r w:rsidRPr="004E5437">
              <w:rPr>
                <w:rFonts w:ascii="Calibri" w:hAnsi="Calibri"/>
                <w:b/>
                <w:bCs/>
                <w:color w:val="000000"/>
                <w:lang w:eastAsia="en-GB"/>
              </w:rPr>
              <w:t> </w:t>
            </w:r>
          </w:p>
        </w:tc>
        <w:tc>
          <w:tcPr>
            <w:tcW w:w="920" w:type="dxa"/>
            <w:tcBorders>
              <w:top w:val="nil"/>
              <w:left w:val="nil"/>
              <w:bottom w:val="single" w:sz="4" w:space="0" w:color="FFFFFF"/>
              <w:right w:val="single" w:sz="4" w:space="0" w:color="FFFFFF"/>
            </w:tcBorders>
            <w:shd w:val="clear" w:color="000000" w:fill="CCC0DA"/>
            <w:noWrap/>
            <w:vAlign w:val="center"/>
            <w:hideMark/>
          </w:tcPr>
          <w:p w14:paraId="637A2515" w14:textId="2067F906" w:rsidR="00226F9B" w:rsidRPr="004E5437" w:rsidRDefault="003F72FD" w:rsidP="002D03F9">
            <w:pPr>
              <w:jc w:val="right"/>
              <w:rPr>
                <w:rFonts w:ascii="Calibri" w:hAnsi="Calibri"/>
                <w:b/>
                <w:bCs/>
                <w:color w:val="000000"/>
                <w:lang w:eastAsia="en-GB"/>
              </w:rPr>
            </w:pPr>
            <w:r>
              <w:rPr>
                <w:rFonts w:ascii="Calibri" w:hAnsi="Calibri"/>
                <w:b/>
                <w:bCs/>
                <w:color w:val="000000"/>
                <w:lang w:eastAsia="en-GB"/>
              </w:rPr>
              <w:t>2</w:t>
            </w:r>
            <w:r w:rsidR="00DA5ED4">
              <w:rPr>
                <w:rFonts w:ascii="Calibri" w:hAnsi="Calibri"/>
                <w:b/>
                <w:bCs/>
                <w:color w:val="000000"/>
                <w:lang w:eastAsia="en-GB"/>
              </w:rPr>
              <w:t>2</w:t>
            </w:r>
            <w:r w:rsidR="00226F9B">
              <w:rPr>
                <w:rFonts w:ascii="Calibri" w:hAnsi="Calibri"/>
                <w:b/>
                <w:bCs/>
                <w:color w:val="000000"/>
                <w:lang w:eastAsia="en-GB"/>
              </w:rPr>
              <w:t>,</w:t>
            </w:r>
            <w:r w:rsidR="00DA5ED4">
              <w:rPr>
                <w:rFonts w:ascii="Calibri" w:hAnsi="Calibri"/>
                <w:b/>
                <w:bCs/>
                <w:color w:val="000000"/>
                <w:lang w:eastAsia="en-GB"/>
              </w:rPr>
              <w:t>919</w:t>
            </w:r>
            <w:r w:rsidR="00226F9B" w:rsidRPr="004E5437">
              <w:rPr>
                <w:rFonts w:ascii="Calibri" w:hAnsi="Calibri"/>
                <w:b/>
                <w:bCs/>
                <w:color w:val="000000"/>
                <w:lang w:eastAsia="en-GB"/>
              </w:rPr>
              <w:t> </w:t>
            </w:r>
          </w:p>
        </w:tc>
        <w:tc>
          <w:tcPr>
            <w:tcW w:w="820" w:type="dxa"/>
            <w:tcBorders>
              <w:top w:val="nil"/>
              <w:left w:val="nil"/>
              <w:bottom w:val="single" w:sz="4" w:space="0" w:color="FFFFFF"/>
              <w:right w:val="single" w:sz="4" w:space="0" w:color="FFFFFF"/>
            </w:tcBorders>
            <w:shd w:val="clear" w:color="000000" w:fill="E4DFEC"/>
            <w:noWrap/>
            <w:vAlign w:val="center"/>
            <w:hideMark/>
          </w:tcPr>
          <w:p w14:paraId="5FED8FF0" w14:textId="5010CB41" w:rsidR="00226F9B" w:rsidRPr="004E5437" w:rsidRDefault="00737848" w:rsidP="002D03F9">
            <w:pPr>
              <w:jc w:val="right"/>
              <w:rPr>
                <w:rFonts w:ascii="Calibri" w:hAnsi="Calibri"/>
                <w:b/>
                <w:bCs/>
                <w:color w:val="000000"/>
                <w:lang w:eastAsia="en-GB"/>
              </w:rPr>
            </w:pPr>
            <w:r>
              <w:rPr>
                <w:rFonts w:ascii="Calibri" w:hAnsi="Calibri"/>
                <w:b/>
                <w:bCs/>
                <w:color w:val="000000"/>
                <w:lang w:eastAsia="en-GB"/>
              </w:rPr>
              <w:t>7</w:t>
            </w:r>
            <w:r w:rsidR="00DA5ED4">
              <w:rPr>
                <w:rFonts w:ascii="Calibri" w:hAnsi="Calibri"/>
                <w:b/>
                <w:bCs/>
                <w:color w:val="000000"/>
                <w:lang w:eastAsia="en-GB"/>
              </w:rPr>
              <w:t>5</w:t>
            </w:r>
            <w:r w:rsidR="002E1891">
              <w:rPr>
                <w:rFonts w:ascii="Calibri" w:hAnsi="Calibri"/>
                <w:b/>
                <w:bCs/>
                <w:color w:val="000000"/>
                <w:lang w:eastAsia="en-GB"/>
              </w:rPr>
              <w:t>,</w:t>
            </w:r>
            <w:r w:rsidR="00DA5ED4">
              <w:rPr>
                <w:rFonts w:ascii="Calibri" w:hAnsi="Calibri"/>
                <w:b/>
                <w:bCs/>
                <w:color w:val="000000"/>
                <w:lang w:eastAsia="en-GB"/>
              </w:rPr>
              <w:t>711</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37B7C6F3" w14:textId="41FA8DEB" w:rsidR="00226F9B" w:rsidRPr="004E5437" w:rsidRDefault="00E8625F" w:rsidP="002D03F9">
            <w:pPr>
              <w:jc w:val="right"/>
              <w:rPr>
                <w:rFonts w:ascii="Calibri" w:hAnsi="Calibri"/>
                <w:b/>
                <w:bCs/>
                <w:color w:val="000000"/>
                <w:lang w:eastAsia="en-GB"/>
              </w:rPr>
            </w:pPr>
            <w:r>
              <w:rPr>
                <w:rFonts w:ascii="Calibri" w:hAnsi="Calibri"/>
                <w:b/>
                <w:bCs/>
                <w:color w:val="000000"/>
                <w:lang w:eastAsia="en-GB"/>
              </w:rPr>
              <w:t>9</w:t>
            </w:r>
            <w:r w:rsidR="00DA5ED4">
              <w:rPr>
                <w:rFonts w:ascii="Calibri" w:hAnsi="Calibri"/>
                <w:b/>
                <w:bCs/>
                <w:color w:val="000000"/>
                <w:lang w:eastAsia="en-GB"/>
              </w:rPr>
              <w:t>8</w:t>
            </w:r>
            <w:r w:rsidR="003F72FD">
              <w:rPr>
                <w:rFonts w:ascii="Calibri" w:hAnsi="Calibri"/>
                <w:b/>
                <w:bCs/>
                <w:color w:val="000000"/>
                <w:lang w:eastAsia="en-GB"/>
              </w:rPr>
              <w:t>,</w:t>
            </w:r>
            <w:r w:rsidR="00DA5ED4">
              <w:rPr>
                <w:rFonts w:ascii="Calibri" w:hAnsi="Calibri"/>
                <w:b/>
                <w:bCs/>
                <w:color w:val="000000"/>
                <w:lang w:eastAsia="en-GB"/>
              </w:rPr>
              <w:t>630</w:t>
            </w:r>
            <w:r w:rsidR="00226F9B" w:rsidRPr="004E5437">
              <w:rPr>
                <w:rFonts w:ascii="Calibri" w:hAnsi="Calibri"/>
                <w:b/>
                <w:bCs/>
                <w:color w:val="000000"/>
                <w:lang w:eastAsia="en-GB"/>
              </w:rPr>
              <w:t> </w:t>
            </w:r>
          </w:p>
        </w:tc>
      </w:tr>
      <w:tr w:rsidR="00226F9B" w:rsidRPr="004E5437" w14:paraId="42A5E507" w14:textId="77777777" w:rsidTr="00226F9B">
        <w:trPr>
          <w:trHeight w:val="510"/>
        </w:trPr>
        <w:tc>
          <w:tcPr>
            <w:tcW w:w="2320" w:type="dxa"/>
            <w:tcBorders>
              <w:top w:val="single" w:sz="4" w:space="0" w:color="FFFFFF"/>
              <w:bottom w:val="single" w:sz="4" w:space="0" w:color="FFFFFF"/>
            </w:tcBorders>
            <w:shd w:val="clear" w:color="000000" w:fill="E4DFEC"/>
            <w:vAlign w:val="center"/>
            <w:hideMark/>
          </w:tcPr>
          <w:p w14:paraId="71C9C31A" w14:textId="50F37B49" w:rsidR="00226F9B" w:rsidRPr="004E5437" w:rsidRDefault="00226F9B" w:rsidP="002D03F9">
            <w:pPr>
              <w:rPr>
                <w:rFonts w:ascii="Calibri" w:hAnsi="Calibri"/>
                <w:b/>
                <w:bCs/>
                <w:color w:val="000000"/>
                <w:lang w:eastAsia="en-GB"/>
              </w:rPr>
            </w:pPr>
            <w:r w:rsidRPr="004E5437">
              <w:rPr>
                <w:rFonts w:ascii="Calibri" w:hAnsi="Calibri"/>
                <w:b/>
                <w:bCs/>
                <w:color w:val="000000"/>
                <w:lang w:eastAsia="en-GB"/>
              </w:rPr>
              <w:t>Movement in Reserves during 20</w:t>
            </w:r>
            <w:r w:rsidR="00B74DE8">
              <w:rPr>
                <w:rFonts w:ascii="Calibri" w:hAnsi="Calibri"/>
                <w:b/>
                <w:bCs/>
                <w:color w:val="000000"/>
                <w:lang w:eastAsia="en-GB"/>
              </w:rPr>
              <w:t>2</w:t>
            </w:r>
            <w:r w:rsidR="00DA5ED4">
              <w:rPr>
                <w:rFonts w:ascii="Calibri" w:hAnsi="Calibri"/>
                <w:b/>
                <w:bCs/>
                <w:color w:val="000000"/>
                <w:lang w:eastAsia="en-GB"/>
              </w:rPr>
              <w:t>1</w:t>
            </w:r>
            <w:r w:rsidRPr="004E5437">
              <w:rPr>
                <w:rFonts w:ascii="Calibri" w:hAnsi="Calibri"/>
                <w:b/>
                <w:bCs/>
                <w:color w:val="000000"/>
                <w:lang w:eastAsia="en-GB"/>
              </w:rPr>
              <w:t>-</w:t>
            </w:r>
            <w:r w:rsidR="002D03F9">
              <w:rPr>
                <w:rFonts w:ascii="Calibri" w:hAnsi="Calibri"/>
                <w:b/>
                <w:bCs/>
                <w:color w:val="000000"/>
                <w:lang w:eastAsia="en-GB"/>
              </w:rPr>
              <w:t>2</w:t>
            </w:r>
            <w:r w:rsidR="00DA5ED4">
              <w:rPr>
                <w:rFonts w:ascii="Calibri" w:hAnsi="Calibri"/>
                <w:b/>
                <w:bCs/>
                <w:color w:val="000000"/>
                <w:lang w:eastAsia="en-GB"/>
              </w:rPr>
              <w:t>2</w:t>
            </w:r>
          </w:p>
        </w:tc>
        <w:tc>
          <w:tcPr>
            <w:tcW w:w="820" w:type="dxa"/>
            <w:tcBorders>
              <w:top w:val="single" w:sz="4" w:space="0" w:color="FFFFFF"/>
              <w:bottom w:val="single" w:sz="4" w:space="0" w:color="FFFFFF"/>
            </w:tcBorders>
            <w:shd w:val="clear" w:color="000000" w:fill="E4DFEC"/>
            <w:noWrap/>
            <w:vAlign w:val="center"/>
            <w:hideMark/>
          </w:tcPr>
          <w:p w14:paraId="644EBFA5"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975" w:type="dxa"/>
            <w:tcBorders>
              <w:top w:val="single" w:sz="4" w:space="0" w:color="FFFFFF"/>
              <w:bottom w:val="single" w:sz="4" w:space="0" w:color="FFFFFF"/>
            </w:tcBorders>
            <w:shd w:val="clear" w:color="000000" w:fill="E4DFEC"/>
            <w:noWrap/>
            <w:vAlign w:val="center"/>
            <w:hideMark/>
          </w:tcPr>
          <w:p w14:paraId="3C1AF8E1"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880" w:type="dxa"/>
            <w:tcBorders>
              <w:top w:val="single" w:sz="4" w:space="0" w:color="FFFFFF"/>
              <w:bottom w:val="single" w:sz="4" w:space="0" w:color="FFFFFF"/>
            </w:tcBorders>
            <w:shd w:val="clear" w:color="000000" w:fill="E4DFEC"/>
            <w:noWrap/>
            <w:vAlign w:val="center"/>
            <w:hideMark/>
          </w:tcPr>
          <w:p w14:paraId="71CAA4B4"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840" w:type="dxa"/>
            <w:tcBorders>
              <w:top w:val="single" w:sz="4" w:space="0" w:color="FFFFFF"/>
              <w:bottom w:val="single" w:sz="4" w:space="0" w:color="FFFFFF"/>
            </w:tcBorders>
            <w:shd w:val="clear" w:color="000000" w:fill="E4DFEC"/>
            <w:noWrap/>
            <w:vAlign w:val="center"/>
            <w:hideMark/>
          </w:tcPr>
          <w:p w14:paraId="061D8CD9"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780" w:type="dxa"/>
            <w:tcBorders>
              <w:top w:val="nil"/>
              <w:left w:val="nil"/>
              <w:bottom w:val="single" w:sz="4" w:space="0" w:color="FFFFFF"/>
              <w:right w:val="single" w:sz="4" w:space="0" w:color="FFFFFF"/>
            </w:tcBorders>
            <w:shd w:val="clear" w:color="000000" w:fill="E4DFEC"/>
            <w:noWrap/>
            <w:vAlign w:val="center"/>
            <w:hideMark/>
          </w:tcPr>
          <w:p w14:paraId="36B11342"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920" w:type="dxa"/>
            <w:tcBorders>
              <w:top w:val="nil"/>
              <w:left w:val="nil"/>
              <w:bottom w:val="single" w:sz="4" w:space="0" w:color="FFFFFF"/>
              <w:right w:val="single" w:sz="4" w:space="0" w:color="FFFFFF"/>
            </w:tcBorders>
            <w:shd w:val="clear" w:color="000000" w:fill="CCC0DA"/>
            <w:noWrap/>
            <w:vAlign w:val="center"/>
            <w:hideMark/>
          </w:tcPr>
          <w:p w14:paraId="423CAE2F"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820" w:type="dxa"/>
            <w:tcBorders>
              <w:top w:val="nil"/>
              <w:left w:val="nil"/>
              <w:bottom w:val="single" w:sz="4" w:space="0" w:color="FFFFFF"/>
              <w:right w:val="single" w:sz="4" w:space="0" w:color="FFFFFF"/>
            </w:tcBorders>
            <w:shd w:val="clear" w:color="000000" w:fill="E4DFEC"/>
            <w:noWrap/>
            <w:vAlign w:val="center"/>
            <w:hideMark/>
          </w:tcPr>
          <w:p w14:paraId="2CF3076F"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0270F64F" w14:textId="77777777" w:rsidR="00226F9B" w:rsidRPr="004E5437" w:rsidRDefault="00226F9B" w:rsidP="004E5437">
            <w:pPr>
              <w:jc w:val="right"/>
              <w:rPr>
                <w:rFonts w:ascii="Calibri" w:hAnsi="Calibri"/>
                <w:b/>
                <w:bCs/>
                <w:color w:val="000000"/>
                <w:lang w:eastAsia="en-GB"/>
              </w:rPr>
            </w:pPr>
            <w:r w:rsidRPr="004E5437">
              <w:rPr>
                <w:rFonts w:ascii="Calibri" w:hAnsi="Calibri"/>
                <w:b/>
                <w:bCs/>
                <w:color w:val="000000"/>
                <w:lang w:eastAsia="en-GB"/>
              </w:rPr>
              <w:t> </w:t>
            </w:r>
          </w:p>
        </w:tc>
      </w:tr>
      <w:tr w:rsidR="00226F9B" w:rsidRPr="00226F9B" w14:paraId="12E48FD1" w14:textId="77777777" w:rsidTr="00226F9B">
        <w:trPr>
          <w:trHeight w:val="510"/>
        </w:trPr>
        <w:tc>
          <w:tcPr>
            <w:tcW w:w="2320" w:type="dxa"/>
            <w:tcBorders>
              <w:top w:val="nil"/>
              <w:left w:val="single" w:sz="4" w:space="0" w:color="FFFFFF"/>
              <w:bottom w:val="single" w:sz="4" w:space="0" w:color="FFFFFF"/>
              <w:right w:val="single" w:sz="4" w:space="0" w:color="FFFFFF"/>
            </w:tcBorders>
            <w:shd w:val="clear" w:color="auto" w:fill="E5DFEC" w:themeFill="accent4" w:themeFillTint="33"/>
            <w:vAlign w:val="center"/>
            <w:hideMark/>
          </w:tcPr>
          <w:p w14:paraId="71501D73" w14:textId="50526071" w:rsidR="00226F9B" w:rsidRPr="00226F9B" w:rsidRDefault="00226F9B" w:rsidP="004E5437">
            <w:pPr>
              <w:rPr>
                <w:rFonts w:ascii="Calibri" w:hAnsi="Calibri"/>
                <w:bCs/>
                <w:color w:val="000000"/>
                <w:lang w:eastAsia="en-GB"/>
              </w:rPr>
            </w:pPr>
            <w:r w:rsidRPr="00226F9B">
              <w:rPr>
                <w:rFonts w:ascii="Calibri" w:hAnsi="Calibri"/>
                <w:bCs/>
                <w:color w:val="000000"/>
                <w:lang w:eastAsia="en-GB"/>
              </w:rPr>
              <w:t xml:space="preserve">Total Comprehensive Income </w:t>
            </w:r>
            <w:r w:rsidR="00704A70">
              <w:rPr>
                <w:rFonts w:ascii="Calibri" w:hAnsi="Calibri"/>
                <w:bCs/>
                <w:color w:val="000000"/>
                <w:lang w:eastAsia="en-GB"/>
              </w:rPr>
              <w:t>and</w:t>
            </w:r>
            <w:r w:rsidRPr="00226F9B">
              <w:rPr>
                <w:rFonts w:ascii="Calibri" w:hAnsi="Calibri"/>
                <w:bCs/>
                <w:color w:val="000000"/>
                <w:lang w:eastAsia="en-GB"/>
              </w:rPr>
              <w:t xml:space="preserve"> Expenditure</w:t>
            </w:r>
          </w:p>
        </w:tc>
        <w:tc>
          <w:tcPr>
            <w:tcW w:w="820" w:type="dxa"/>
            <w:tcBorders>
              <w:top w:val="nil"/>
              <w:left w:val="nil"/>
              <w:bottom w:val="single" w:sz="4" w:space="0" w:color="FFFFFF"/>
              <w:right w:val="single" w:sz="4" w:space="0" w:color="FFFFFF"/>
            </w:tcBorders>
            <w:shd w:val="clear" w:color="auto" w:fill="E5DFEC" w:themeFill="accent4" w:themeFillTint="33"/>
            <w:noWrap/>
            <w:vAlign w:val="center"/>
            <w:hideMark/>
          </w:tcPr>
          <w:p w14:paraId="2986C8CD" w14:textId="655A3A6A" w:rsidR="00226F9B" w:rsidRPr="00226F9B" w:rsidRDefault="00737848" w:rsidP="002D03F9">
            <w:pPr>
              <w:jc w:val="right"/>
              <w:rPr>
                <w:rFonts w:ascii="Calibri" w:hAnsi="Calibri"/>
                <w:bCs/>
                <w:color w:val="000000"/>
                <w:lang w:eastAsia="en-GB"/>
              </w:rPr>
            </w:pPr>
            <w:r>
              <w:rPr>
                <w:rFonts w:ascii="Calibri" w:hAnsi="Calibri"/>
                <w:bCs/>
                <w:color w:val="000000"/>
                <w:lang w:eastAsia="en-GB"/>
              </w:rPr>
              <w:t>-</w:t>
            </w:r>
            <w:r w:rsidR="00DA5ED4">
              <w:rPr>
                <w:rFonts w:ascii="Calibri" w:hAnsi="Calibri"/>
                <w:bCs/>
                <w:color w:val="000000"/>
                <w:lang w:eastAsia="en-GB"/>
              </w:rPr>
              <w:t>2,260</w:t>
            </w:r>
            <w:r w:rsidR="00226F9B" w:rsidRPr="00226F9B">
              <w:rPr>
                <w:rFonts w:ascii="Calibri" w:hAnsi="Calibri"/>
                <w:bCs/>
                <w:color w:val="000000"/>
                <w:lang w:eastAsia="en-GB"/>
              </w:rPr>
              <w:t> </w:t>
            </w:r>
          </w:p>
        </w:tc>
        <w:tc>
          <w:tcPr>
            <w:tcW w:w="975" w:type="dxa"/>
            <w:tcBorders>
              <w:top w:val="nil"/>
              <w:left w:val="nil"/>
              <w:bottom w:val="single" w:sz="4" w:space="0" w:color="FFFFFF"/>
              <w:right w:val="single" w:sz="4" w:space="0" w:color="FFFFFF"/>
            </w:tcBorders>
            <w:shd w:val="clear" w:color="auto" w:fill="E5DFEC" w:themeFill="accent4" w:themeFillTint="33"/>
            <w:noWrap/>
            <w:vAlign w:val="center"/>
            <w:hideMark/>
          </w:tcPr>
          <w:p w14:paraId="32D23C69" w14:textId="518048D0" w:rsidR="00226F9B" w:rsidRPr="00226F9B" w:rsidRDefault="00DA5ED4" w:rsidP="00E8625F">
            <w:pPr>
              <w:jc w:val="right"/>
              <w:rPr>
                <w:rFonts w:ascii="Calibri" w:hAnsi="Calibri"/>
                <w:bCs/>
                <w:color w:val="000000"/>
                <w:lang w:eastAsia="en-GB"/>
              </w:rPr>
            </w:pPr>
            <w:r>
              <w:rPr>
                <w:rFonts w:ascii="Calibri" w:hAnsi="Calibri"/>
                <w:bCs/>
                <w:color w:val="000000"/>
                <w:lang w:eastAsia="en-GB"/>
              </w:rPr>
              <w:t>1,727</w:t>
            </w:r>
            <w:r w:rsidR="00226F9B" w:rsidRPr="00226F9B">
              <w:rPr>
                <w:rFonts w:ascii="Calibri" w:hAnsi="Calibri"/>
                <w:bCs/>
                <w:color w:val="000000"/>
                <w:lang w:eastAsia="en-GB"/>
              </w:rPr>
              <w:t> </w:t>
            </w:r>
          </w:p>
        </w:tc>
        <w:tc>
          <w:tcPr>
            <w:tcW w:w="880" w:type="dxa"/>
            <w:tcBorders>
              <w:top w:val="nil"/>
              <w:left w:val="nil"/>
              <w:bottom w:val="single" w:sz="4" w:space="0" w:color="FFFFFF"/>
              <w:right w:val="single" w:sz="4" w:space="0" w:color="FFFFFF"/>
            </w:tcBorders>
            <w:shd w:val="clear" w:color="auto" w:fill="E5DFEC" w:themeFill="accent4" w:themeFillTint="33"/>
            <w:noWrap/>
            <w:vAlign w:val="center"/>
            <w:hideMark/>
          </w:tcPr>
          <w:p w14:paraId="46645D1D" w14:textId="77777777" w:rsidR="00226F9B" w:rsidRPr="00226F9B" w:rsidRDefault="00226F9B" w:rsidP="004E5437">
            <w:pPr>
              <w:jc w:val="right"/>
              <w:rPr>
                <w:rFonts w:ascii="Calibri" w:hAnsi="Calibri"/>
                <w:bCs/>
                <w:color w:val="000000"/>
                <w:lang w:eastAsia="en-GB"/>
              </w:rPr>
            </w:pPr>
            <w:r w:rsidRPr="00226F9B">
              <w:rPr>
                <w:rFonts w:ascii="Calibri" w:hAnsi="Calibri"/>
                <w:bCs/>
                <w:color w:val="000000"/>
                <w:lang w:eastAsia="en-GB"/>
              </w:rPr>
              <w:t>0 </w:t>
            </w:r>
          </w:p>
        </w:tc>
        <w:tc>
          <w:tcPr>
            <w:tcW w:w="840" w:type="dxa"/>
            <w:tcBorders>
              <w:top w:val="nil"/>
              <w:left w:val="nil"/>
              <w:bottom w:val="single" w:sz="4" w:space="0" w:color="FFFFFF"/>
              <w:right w:val="single" w:sz="4" w:space="0" w:color="FFFFFF"/>
            </w:tcBorders>
            <w:shd w:val="clear" w:color="auto" w:fill="E5DFEC" w:themeFill="accent4" w:themeFillTint="33"/>
            <w:noWrap/>
            <w:vAlign w:val="center"/>
            <w:hideMark/>
          </w:tcPr>
          <w:p w14:paraId="1354FAA1" w14:textId="77777777" w:rsidR="00226F9B" w:rsidRPr="00226F9B" w:rsidRDefault="00226F9B" w:rsidP="004E5437">
            <w:pPr>
              <w:jc w:val="right"/>
              <w:rPr>
                <w:rFonts w:ascii="Calibri" w:hAnsi="Calibri"/>
                <w:bCs/>
                <w:color w:val="000000"/>
                <w:lang w:eastAsia="en-GB"/>
              </w:rPr>
            </w:pPr>
            <w:r w:rsidRPr="00226F9B">
              <w:rPr>
                <w:rFonts w:ascii="Calibri" w:hAnsi="Calibri"/>
                <w:bCs/>
                <w:color w:val="000000"/>
                <w:lang w:eastAsia="en-GB"/>
              </w:rPr>
              <w:t>0 </w:t>
            </w:r>
          </w:p>
        </w:tc>
        <w:tc>
          <w:tcPr>
            <w:tcW w:w="780" w:type="dxa"/>
            <w:tcBorders>
              <w:top w:val="nil"/>
              <w:left w:val="nil"/>
              <w:bottom w:val="single" w:sz="4" w:space="0" w:color="FFFFFF"/>
              <w:right w:val="single" w:sz="4" w:space="0" w:color="FFFFFF"/>
            </w:tcBorders>
            <w:shd w:val="clear" w:color="auto" w:fill="E5DFEC" w:themeFill="accent4" w:themeFillTint="33"/>
            <w:noWrap/>
            <w:vAlign w:val="center"/>
            <w:hideMark/>
          </w:tcPr>
          <w:p w14:paraId="3E1FA4D7" w14:textId="77777777" w:rsidR="00226F9B" w:rsidRPr="00226F9B" w:rsidRDefault="00226F9B" w:rsidP="004E5437">
            <w:pPr>
              <w:jc w:val="right"/>
              <w:rPr>
                <w:rFonts w:ascii="Calibri" w:hAnsi="Calibri"/>
                <w:bCs/>
                <w:color w:val="000000"/>
                <w:lang w:eastAsia="en-GB"/>
              </w:rPr>
            </w:pPr>
            <w:r w:rsidRPr="00226F9B">
              <w:rPr>
                <w:rFonts w:ascii="Calibri" w:hAnsi="Calibri"/>
                <w:bCs/>
                <w:color w:val="000000"/>
                <w:lang w:eastAsia="en-GB"/>
              </w:rPr>
              <w:t>0 </w:t>
            </w:r>
          </w:p>
        </w:tc>
        <w:tc>
          <w:tcPr>
            <w:tcW w:w="920" w:type="dxa"/>
            <w:tcBorders>
              <w:top w:val="nil"/>
              <w:left w:val="nil"/>
              <w:bottom w:val="single" w:sz="4" w:space="0" w:color="FFFFFF"/>
              <w:right w:val="single" w:sz="4" w:space="0" w:color="FFFFFF"/>
            </w:tcBorders>
            <w:shd w:val="clear" w:color="auto" w:fill="CCC0D9" w:themeFill="accent4" w:themeFillTint="66"/>
            <w:noWrap/>
            <w:vAlign w:val="center"/>
            <w:hideMark/>
          </w:tcPr>
          <w:p w14:paraId="5F03A857" w14:textId="15441998" w:rsidR="00226F9B" w:rsidRPr="00226F9B" w:rsidRDefault="00737848" w:rsidP="002D03F9">
            <w:pPr>
              <w:jc w:val="right"/>
              <w:rPr>
                <w:rFonts w:ascii="Calibri" w:hAnsi="Calibri"/>
                <w:bCs/>
                <w:color w:val="000000"/>
                <w:lang w:eastAsia="en-GB"/>
              </w:rPr>
            </w:pPr>
            <w:r>
              <w:rPr>
                <w:rFonts w:ascii="Calibri" w:hAnsi="Calibri"/>
                <w:bCs/>
                <w:color w:val="000000"/>
                <w:lang w:eastAsia="en-GB"/>
              </w:rPr>
              <w:t>-</w:t>
            </w:r>
            <w:r w:rsidR="00DA5ED4">
              <w:rPr>
                <w:rFonts w:ascii="Calibri" w:hAnsi="Calibri"/>
                <w:bCs/>
                <w:color w:val="000000"/>
                <w:lang w:eastAsia="en-GB"/>
              </w:rPr>
              <w:t>533</w:t>
            </w:r>
            <w:r w:rsidR="00226F9B" w:rsidRPr="00226F9B">
              <w:rPr>
                <w:rFonts w:ascii="Calibri" w:hAnsi="Calibri"/>
                <w:bCs/>
                <w:color w:val="000000"/>
                <w:lang w:eastAsia="en-GB"/>
              </w:rPr>
              <w:t> </w:t>
            </w:r>
          </w:p>
        </w:tc>
        <w:tc>
          <w:tcPr>
            <w:tcW w:w="820" w:type="dxa"/>
            <w:tcBorders>
              <w:top w:val="nil"/>
              <w:left w:val="nil"/>
              <w:bottom w:val="single" w:sz="4" w:space="0" w:color="FFFFFF"/>
              <w:right w:val="single" w:sz="4" w:space="0" w:color="FFFFFF"/>
            </w:tcBorders>
            <w:shd w:val="clear" w:color="auto" w:fill="E5DFEC" w:themeFill="accent4" w:themeFillTint="33"/>
            <w:noWrap/>
            <w:vAlign w:val="center"/>
            <w:hideMark/>
          </w:tcPr>
          <w:p w14:paraId="2A5E0273" w14:textId="3B519B83" w:rsidR="00226F9B" w:rsidRPr="00226F9B" w:rsidRDefault="00DA5ED4" w:rsidP="00737848">
            <w:pPr>
              <w:jc w:val="right"/>
              <w:rPr>
                <w:rFonts w:ascii="Calibri" w:hAnsi="Calibri"/>
                <w:bCs/>
                <w:color w:val="000000"/>
                <w:lang w:eastAsia="en-GB"/>
              </w:rPr>
            </w:pPr>
            <w:r>
              <w:rPr>
                <w:rFonts w:ascii="Calibri" w:hAnsi="Calibri"/>
                <w:bCs/>
                <w:color w:val="000000"/>
                <w:lang w:eastAsia="en-GB"/>
              </w:rPr>
              <w:t>16,944</w:t>
            </w:r>
            <w:r w:rsidR="00226F9B" w:rsidRPr="00226F9B">
              <w:rPr>
                <w:rFonts w:ascii="Calibri" w:hAnsi="Calibri"/>
                <w:bCs/>
                <w:color w:val="000000"/>
                <w:lang w:eastAsia="en-GB"/>
              </w:rPr>
              <w:t> </w:t>
            </w:r>
          </w:p>
        </w:tc>
        <w:tc>
          <w:tcPr>
            <w:tcW w:w="880" w:type="dxa"/>
            <w:tcBorders>
              <w:top w:val="nil"/>
              <w:left w:val="nil"/>
              <w:bottom w:val="single" w:sz="4" w:space="0" w:color="FFFFFF"/>
              <w:right w:val="single" w:sz="4" w:space="0" w:color="FFFFFF"/>
            </w:tcBorders>
            <w:shd w:val="clear" w:color="auto" w:fill="CCC0D9" w:themeFill="accent4" w:themeFillTint="66"/>
            <w:noWrap/>
            <w:vAlign w:val="center"/>
            <w:hideMark/>
          </w:tcPr>
          <w:p w14:paraId="7390BE61" w14:textId="15F66BD5" w:rsidR="00226F9B" w:rsidRPr="00226F9B" w:rsidRDefault="00DA5ED4" w:rsidP="00737848">
            <w:pPr>
              <w:jc w:val="right"/>
              <w:rPr>
                <w:rFonts w:ascii="Calibri" w:hAnsi="Calibri"/>
                <w:bCs/>
                <w:color w:val="000000"/>
                <w:lang w:eastAsia="en-GB"/>
              </w:rPr>
            </w:pPr>
            <w:r>
              <w:rPr>
                <w:rFonts w:ascii="Calibri" w:hAnsi="Calibri"/>
                <w:bCs/>
                <w:color w:val="000000"/>
                <w:lang w:eastAsia="en-GB"/>
              </w:rPr>
              <w:t>16,411</w:t>
            </w:r>
            <w:r w:rsidR="00226F9B" w:rsidRPr="00226F9B">
              <w:rPr>
                <w:rFonts w:ascii="Calibri" w:hAnsi="Calibri"/>
                <w:bCs/>
                <w:color w:val="000000"/>
                <w:lang w:eastAsia="en-GB"/>
              </w:rPr>
              <w:t> </w:t>
            </w:r>
          </w:p>
        </w:tc>
      </w:tr>
      <w:tr w:rsidR="00226F9B" w:rsidRPr="004E5437" w14:paraId="46A32037" w14:textId="77777777" w:rsidTr="00226F9B">
        <w:trPr>
          <w:trHeight w:val="765"/>
        </w:trPr>
        <w:tc>
          <w:tcPr>
            <w:tcW w:w="2320" w:type="dxa"/>
            <w:tcBorders>
              <w:top w:val="nil"/>
              <w:left w:val="single" w:sz="4" w:space="0" w:color="FFFFFF"/>
              <w:bottom w:val="single" w:sz="4" w:space="0" w:color="FFFFFF"/>
              <w:right w:val="single" w:sz="4" w:space="0" w:color="FFFFFF"/>
            </w:tcBorders>
            <w:shd w:val="clear" w:color="000000" w:fill="E4DFEC"/>
            <w:vAlign w:val="center"/>
            <w:hideMark/>
          </w:tcPr>
          <w:p w14:paraId="656E1313" w14:textId="6399D4DA" w:rsidR="00226F9B" w:rsidRPr="004E5437" w:rsidRDefault="00226F9B" w:rsidP="00397E37">
            <w:pPr>
              <w:rPr>
                <w:rFonts w:ascii="Calibri" w:hAnsi="Calibri"/>
                <w:color w:val="000000"/>
                <w:lang w:eastAsia="en-GB"/>
              </w:rPr>
            </w:pPr>
            <w:r w:rsidRPr="004E5437">
              <w:rPr>
                <w:rFonts w:ascii="Calibri" w:hAnsi="Calibri"/>
                <w:color w:val="000000"/>
                <w:lang w:eastAsia="en-GB"/>
              </w:rPr>
              <w:t xml:space="preserve">Adjustments between Accounting basis </w:t>
            </w:r>
            <w:r w:rsidR="00704A70">
              <w:rPr>
                <w:rFonts w:ascii="Calibri" w:hAnsi="Calibri"/>
                <w:color w:val="000000"/>
                <w:lang w:eastAsia="en-GB"/>
              </w:rPr>
              <w:t>and</w:t>
            </w:r>
            <w:r w:rsidRPr="004E5437">
              <w:rPr>
                <w:rFonts w:ascii="Calibri" w:hAnsi="Calibri"/>
                <w:color w:val="000000"/>
                <w:lang w:eastAsia="en-GB"/>
              </w:rPr>
              <w:t xml:space="preserve"> Funding under regulation</w:t>
            </w:r>
            <w:r w:rsidR="002D03F9">
              <w:rPr>
                <w:rFonts w:ascii="Calibri" w:hAnsi="Calibri"/>
                <w:color w:val="000000"/>
                <w:lang w:eastAsia="en-GB"/>
              </w:rPr>
              <w:t xml:space="preserve"> (note 1</w:t>
            </w:r>
            <w:r w:rsidR="00397E37">
              <w:rPr>
                <w:rFonts w:ascii="Calibri" w:hAnsi="Calibri"/>
                <w:color w:val="000000"/>
                <w:lang w:eastAsia="en-GB"/>
              </w:rPr>
              <w:t>5</w:t>
            </w:r>
            <w:r w:rsidR="002D03F9">
              <w:rPr>
                <w:rFonts w:ascii="Calibri" w:hAnsi="Calibri"/>
                <w:color w:val="000000"/>
                <w:lang w:eastAsia="en-GB"/>
              </w:rPr>
              <w:t>)</w:t>
            </w:r>
          </w:p>
        </w:tc>
        <w:tc>
          <w:tcPr>
            <w:tcW w:w="820" w:type="dxa"/>
            <w:tcBorders>
              <w:top w:val="nil"/>
              <w:left w:val="nil"/>
              <w:bottom w:val="single" w:sz="4" w:space="0" w:color="FFFFFF"/>
              <w:right w:val="single" w:sz="4" w:space="0" w:color="FFFFFF"/>
            </w:tcBorders>
            <w:shd w:val="clear" w:color="000000" w:fill="E4DFEC"/>
            <w:noWrap/>
            <w:vAlign w:val="center"/>
            <w:hideMark/>
          </w:tcPr>
          <w:p w14:paraId="4ADEAB0D" w14:textId="0C653FAE" w:rsidR="00226F9B" w:rsidRPr="004E5437" w:rsidRDefault="00DA5ED4" w:rsidP="00737848">
            <w:pPr>
              <w:jc w:val="right"/>
              <w:rPr>
                <w:rFonts w:ascii="Calibri" w:hAnsi="Calibri"/>
                <w:color w:val="000000"/>
                <w:lang w:eastAsia="en-GB"/>
              </w:rPr>
            </w:pPr>
            <w:r>
              <w:rPr>
                <w:rFonts w:ascii="Calibri" w:hAnsi="Calibri"/>
                <w:color w:val="000000"/>
                <w:lang w:eastAsia="en-GB"/>
              </w:rPr>
              <w:t>63</w:t>
            </w:r>
            <w:r w:rsidR="00226F9B" w:rsidRPr="004E5437">
              <w:rPr>
                <w:rFonts w:ascii="Calibri" w:hAnsi="Calibri"/>
                <w:color w:val="000000"/>
                <w:lang w:eastAsia="en-GB"/>
              </w:rPr>
              <w:t> </w:t>
            </w:r>
          </w:p>
        </w:tc>
        <w:tc>
          <w:tcPr>
            <w:tcW w:w="975" w:type="dxa"/>
            <w:tcBorders>
              <w:top w:val="nil"/>
              <w:left w:val="nil"/>
              <w:bottom w:val="single" w:sz="4" w:space="0" w:color="FFFFFF"/>
              <w:right w:val="single" w:sz="4" w:space="0" w:color="FFFFFF"/>
            </w:tcBorders>
            <w:shd w:val="clear" w:color="000000" w:fill="E4DFEC"/>
            <w:noWrap/>
            <w:vAlign w:val="center"/>
            <w:hideMark/>
          </w:tcPr>
          <w:p w14:paraId="5B54E1D2" w14:textId="35E41CFF" w:rsidR="00226F9B" w:rsidRPr="004E5437" w:rsidRDefault="00737848" w:rsidP="00E8625F">
            <w:pPr>
              <w:jc w:val="right"/>
              <w:rPr>
                <w:rFonts w:ascii="Calibri" w:hAnsi="Calibri"/>
                <w:color w:val="000000"/>
                <w:lang w:eastAsia="en-GB"/>
              </w:rPr>
            </w:pPr>
            <w:r>
              <w:rPr>
                <w:rFonts w:ascii="Calibri" w:hAnsi="Calibri"/>
                <w:color w:val="000000"/>
                <w:lang w:eastAsia="en-GB"/>
              </w:rPr>
              <w:t>-</w:t>
            </w:r>
            <w:r w:rsidR="00DA5ED4">
              <w:rPr>
                <w:rFonts w:ascii="Calibri" w:hAnsi="Calibri"/>
                <w:color w:val="000000"/>
                <w:lang w:eastAsia="en-GB"/>
              </w:rPr>
              <w:t>2,221</w:t>
            </w:r>
            <w:r w:rsidR="00226F9B" w:rsidRPr="004E5437">
              <w:rPr>
                <w:rFonts w:ascii="Calibri" w:hAnsi="Calibri"/>
                <w:color w:val="000000"/>
                <w:lang w:eastAsia="en-GB"/>
              </w:rPr>
              <w:t> </w:t>
            </w:r>
          </w:p>
        </w:tc>
        <w:tc>
          <w:tcPr>
            <w:tcW w:w="880" w:type="dxa"/>
            <w:tcBorders>
              <w:top w:val="nil"/>
              <w:left w:val="nil"/>
              <w:bottom w:val="single" w:sz="4" w:space="0" w:color="FFFFFF"/>
              <w:right w:val="single" w:sz="4" w:space="0" w:color="FFFFFF"/>
            </w:tcBorders>
            <w:shd w:val="clear" w:color="000000" w:fill="E4DFEC"/>
            <w:noWrap/>
            <w:vAlign w:val="center"/>
            <w:hideMark/>
          </w:tcPr>
          <w:p w14:paraId="626815CC" w14:textId="5D1012FB" w:rsidR="00226F9B" w:rsidRPr="004E5437" w:rsidRDefault="00B74DE8" w:rsidP="00E8625F">
            <w:pPr>
              <w:jc w:val="right"/>
              <w:rPr>
                <w:rFonts w:ascii="Calibri" w:hAnsi="Calibri"/>
                <w:color w:val="000000"/>
                <w:lang w:eastAsia="en-GB"/>
              </w:rPr>
            </w:pPr>
            <w:r>
              <w:rPr>
                <w:rFonts w:ascii="Calibri" w:hAnsi="Calibri"/>
                <w:color w:val="000000"/>
                <w:lang w:eastAsia="en-GB"/>
              </w:rPr>
              <w:t>-</w:t>
            </w:r>
            <w:r w:rsidR="00DA5ED4">
              <w:rPr>
                <w:rFonts w:ascii="Calibri" w:hAnsi="Calibri"/>
                <w:color w:val="000000"/>
                <w:lang w:eastAsia="en-GB"/>
              </w:rPr>
              <w:t>399</w:t>
            </w:r>
            <w:r w:rsidR="00226F9B" w:rsidRPr="004E5437">
              <w:rPr>
                <w:rFonts w:ascii="Calibri" w:hAnsi="Calibri"/>
                <w:color w:val="000000"/>
                <w:lang w:eastAsia="en-GB"/>
              </w:rPr>
              <w:t> </w:t>
            </w:r>
          </w:p>
        </w:tc>
        <w:tc>
          <w:tcPr>
            <w:tcW w:w="840" w:type="dxa"/>
            <w:tcBorders>
              <w:top w:val="nil"/>
              <w:left w:val="nil"/>
              <w:bottom w:val="single" w:sz="4" w:space="0" w:color="FFFFFF"/>
              <w:right w:val="single" w:sz="4" w:space="0" w:color="FFFFFF"/>
            </w:tcBorders>
            <w:shd w:val="clear" w:color="000000" w:fill="E4DFEC"/>
            <w:noWrap/>
            <w:vAlign w:val="center"/>
            <w:hideMark/>
          </w:tcPr>
          <w:p w14:paraId="4E190B26" w14:textId="137ACE2F" w:rsidR="00226F9B" w:rsidRPr="004E5437" w:rsidRDefault="00DA5ED4" w:rsidP="002D03F9">
            <w:pPr>
              <w:jc w:val="right"/>
              <w:rPr>
                <w:rFonts w:ascii="Calibri" w:hAnsi="Calibri"/>
                <w:color w:val="000000"/>
                <w:lang w:eastAsia="en-GB"/>
              </w:rPr>
            </w:pPr>
            <w:r>
              <w:rPr>
                <w:rFonts w:ascii="Calibri" w:hAnsi="Calibri"/>
                <w:color w:val="000000"/>
                <w:lang w:eastAsia="en-GB"/>
              </w:rPr>
              <w:t>612</w:t>
            </w:r>
            <w:r w:rsidR="00226F9B" w:rsidRPr="004E5437">
              <w:rPr>
                <w:rFonts w:ascii="Calibri" w:hAnsi="Calibri"/>
                <w:color w:val="000000"/>
                <w:lang w:eastAsia="en-GB"/>
              </w:rPr>
              <w:t> </w:t>
            </w:r>
          </w:p>
        </w:tc>
        <w:tc>
          <w:tcPr>
            <w:tcW w:w="780" w:type="dxa"/>
            <w:tcBorders>
              <w:top w:val="nil"/>
              <w:left w:val="nil"/>
              <w:bottom w:val="single" w:sz="4" w:space="0" w:color="FFFFFF"/>
              <w:right w:val="single" w:sz="4" w:space="0" w:color="FFFFFF"/>
            </w:tcBorders>
            <w:shd w:val="clear" w:color="000000" w:fill="E4DFEC"/>
            <w:noWrap/>
            <w:vAlign w:val="center"/>
            <w:hideMark/>
          </w:tcPr>
          <w:p w14:paraId="31CD9B0E" w14:textId="77777777" w:rsidR="00226F9B" w:rsidRPr="004E5437" w:rsidRDefault="00226F9B" w:rsidP="004E5437">
            <w:pPr>
              <w:jc w:val="right"/>
              <w:rPr>
                <w:rFonts w:ascii="Calibri" w:hAnsi="Calibri"/>
                <w:color w:val="000000"/>
                <w:lang w:eastAsia="en-GB"/>
              </w:rPr>
            </w:pPr>
            <w:r>
              <w:rPr>
                <w:rFonts w:ascii="Calibri" w:hAnsi="Calibri"/>
                <w:color w:val="000000"/>
                <w:lang w:eastAsia="en-GB"/>
              </w:rPr>
              <w:t>0</w:t>
            </w:r>
            <w:r w:rsidRPr="004E5437">
              <w:rPr>
                <w:rFonts w:ascii="Calibri" w:hAnsi="Calibri"/>
                <w:color w:val="000000"/>
                <w:lang w:eastAsia="en-GB"/>
              </w:rPr>
              <w:t> </w:t>
            </w:r>
          </w:p>
        </w:tc>
        <w:tc>
          <w:tcPr>
            <w:tcW w:w="920" w:type="dxa"/>
            <w:tcBorders>
              <w:top w:val="nil"/>
              <w:left w:val="nil"/>
              <w:bottom w:val="single" w:sz="4" w:space="0" w:color="FFFFFF"/>
              <w:right w:val="single" w:sz="4" w:space="0" w:color="FFFFFF"/>
            </w:tcBorders>
            <w:shd w:val="clear" w:color="000000" w:fill="CCC0DA"/>
            <w:noWrap/>
            <w:vAlign w:val="center"/>
            <w:hideMark/>
          </w:tcPr>
          <w:p w14:paraId="37C2314B" w14:textId="1B131077" w:rsidR="00226F9B" w:rsidRPr="004E5437" w:rsidRDefault="00DA5ED4" w:rsidP="00E8625F">
            <w:pPr>
              <w:jc w:val="right"/>
              <w:rPr>
                <w:rFonts w:ascii="Calibri" w:hAnsi="Calibri"/>
                <w:color w:val="000000"/>
                <w:lang w:eastAsia="en-GB"/>
              </w:rPr>
            </w:pPr>
            <w:r>
              <w:rPr>
                <w:rFonts w:ascii="Calibri" w:hAnsi="Calibri"/>
                <w:color w:val="000000"/>
                <w:lang w:eastAsia="en-GB"/>
              </w:rPr>
              <w:t>-1,945</w:t>
            </w:r>
            <w:r w:rsidR="00226F9B" w:rsidRPr="004E5437">
              <w:rPr>
                <w:rFonts w:ascii="Calibri" w:hAnsi="Calibri"/>
                <w:color w:val="000000"/>
                <w:lang w:eastAsia="en-GB"/>
              </w:rPr>
              <w:t> </w:t>
            </w:r>
          </w:p>
        </w:tc>
        <w:tc>
          <w:tcPr>
            <w:tcW w:w="820" w:type="dxa"/>
            <w:tcBorders>
              <w:top w:val="nil"/>
              <w:left w:val="nil"/>
              <w:bottom w:val="single" w:sz="4" w:space="0" w:color="FFFFFF"/>
              <w:right w:val="single" w:sz="4" w:space="0" w:color="FFFFFF"/>
            </w:tcBorders>
            <w:shd w:val="clear" w:color="000000" w:fill="E4DFEC"/>
            <w:noWrap/>
            <w:vAlign w:val="center"/>
            <w:hideMark/>
          </w:tcPr>
          <w:p w14:paraId="2FE9CF7B" w14:textId="1A406685" w:rsidR="00226F9B" w:rsidRPr="004E5437" w:rsidRDefault="00DA5ED4" w:rsidP="00E8625F">
            <w:pPr>
              <w:jc w:val="right"/>
              <w:rPr>
                <w:rFonts w:ascii="Calibri" w:hAnsi="Calibri"/>
                <w:color w:val="000000"/>
                <w:lang w:eastAsia="en-GB"/>
              </w:rPr>
            </w:pPr>
            <w:r>
              <w:rPr>
                <w:rFonts w:ascii="Calibri" w:hAnsi="Calibri"/>
                <w:color w:val="000000"/>
                <w:lang w:eastAsia="en-GB"/>
              </w:rPr>
              <w:t>1,945</w:t>
            </w:r>
            <w:r w:rsidR="00226F9B" w:rsidRPr="004E5437">
              <w:rPr>
                <w:rFonts w:ascii="Calibri" w:hAnsi="Calibri"/>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37C9753B" w14:textId="77777777" w:rsidR="00226F9B" w:rsidRPr="004E5437" w:rsidRDefault="00226F9B" w:rsidP="004E5437">
            <w:pPr>
              <w:jc w:val="right"/>
              <w:rPr>
                <w:rFonts w:ascii="Calibri" w:hAnsi="Calibri"/>
                <w:color w:val="000000"/>
                <w:lang w:eastAsia="en-GB"/>
              </w:rPr>
            </w:pPr>
            <w:r>
              <w:rPr>
                <w:rFonts w:ascii="Calibri" w:hAnsi="Calibri"/>
                <w:color w:val="000000"/>
                <w:lang w:eastAsia="en-GB"/>
              </w:rPr>
              <w:t>0</w:t>
            </w:r>
            <w:r w:rsidRPr="004E5437">
              <w:rPr>
                <w:rFonts w:ascii="Calibri" w:hAnsi="Calibri"/>
                <w:color w:val="000000"/>
                <w:lang w:eastAsia="en-GB"/>
              </w:rPr>
              <w:t> </w:t>
            </w:r>
          </w:p>
        </w:tc>
      </w:tr>
      <w:tr w:rsidR="00226F9B" w:rsidRPr="004E5437" w14:paraId="3A849111" w14:textId="77777777" w:rsidTr="00226F9B">
        <w:trPr>
          <w:trHeight w:val="510"/>
        </w:trPr>
        <w:tc>
          <w:tcPr>
            <w:tcW w:w="2320" w:type="dxa"/>
            <w:tcBorders>
              <w:top w:val="nil"/>
              <w:left w:val="single" w:sz="4" w:space="0" w:color="FFFFFF"/>
              <w:bottom w:val="single" w:sz="4" w:space="0" w:color="FFFFFF"/>
              <w:right w:val="single" w:sz="4" w:space="0" w:color="FFFFFF"/>
            </w:tcBorders>
            <w:shd w:val="clear" w:color="000000" w:fill="CCC0DA"/>
            <w:vAlign w:val="center"/>
            <w:hideMark/>
          </w:tcPr>
          <w:p w14:paraId="7B17B844" w14:textId="77777777" w:rsidR="00226F9B" w:rsidRPr="004E5437" w:rsidRDefault="00226F9B" w:rsidP="004E5437">
            <w:pPr>
              <w:rPr>
                <w:rFonts w:ascii="Calibri" w:hAnsi="Calibri"/>
                <w:b/>
                <w:bCs/>
                <w:color w:val="000000"/>
                <w:lang w:eastAsia="en-GB"/>
              </w:rPr>
            </w:pPr>
            <w:r w:rsidRPr="004E5437">
              <w:rPr>
                <w:rFonts w:ascii="Calibri" w:hAnsi="Calibri"/>
                <w:b/>
                <w:bCs/>
                <w:color w:val="000000"/>
                <w:lang w:eastAsia="en-GB"/>
              </w:rPr>
              <w:t>Increase/</w:t>
            </w:r>
            <w:proofErr w:type="gramStart"/>
            <w:r w:rsidRPr="004E5437">
              <w:rPr>
                <w:rFonts w:ascii="Calibri" w:hAnsi="Calibri"/>
                <w:b/>
                <w:bCs/>
                <w:color w:val="000000"/>
                <w:lang w:eastAsia="en-GB"/>
              </w:rPr>
              <w:t>Decrease(</w:t>
            </w:r>
            <w:proofErr w:type="gramEnd"/>
            <w:r w:rsidRPr="004E5437">
              <w:rPr>
                <w:rFonts w:ascii="Calibri" w:hAnsi="Calibri"/>
                <w:b/>
                <w:bCs/>
                <w:color w:val="000000"/>
                <w:lang w:eastAsia="en-GB"/>
              </w:rPr>
              <w:t>-) in year</w:t>
            </w:r>
          </w:p>
        </w:tc>
        <w:tc>
          <w:tcPr>
            <w:tcW w:w="820" w:type="dxa"/>
            <w:tcBorders>
              <w:top w:val="nil"/>
              <w:left w:val="nil"/>
              <w:bottom w:val="single" w:sz="4" w:space="0" w:color="FFFFFF"/>
              <w:right w:val="single" w:sz="4" w:space="0" w:color="FFFFFF"/>
            </w:tcBorders>
            <w:shd w:val="clear" w:color="000000" w:fill="CCC0DA"/>
            <w:noWrap/>
            <w:vAlign w:val="center"/>
            <w:hideMark/>
          </w:tcPr>
          <w:p w14:paraId="5805042F" w14:textId="4931A342" w:rsidR="00226F9B" w:rsidRPr="004E5437" w:rsidRDefault="00DA5ED4" w:rsidP="00737848">
            <w:pPr>
              <w:jc w:val="right"/>
              <w:rPr>
                <w:rFonts w:ascii="Calibri" w:hAnsi="Calibri"/>
                <w:b/>
                <w:bCs/>
                <w:color w:val="000000"/>
                <w:lang w:eastAsia="en-GB"/>
              </w:rPr>
            </w:pPr>
            <w:r>
              <w:rPr>
                <w:rFonts w:ascii="Calibri" w:hAnsi="Calibri"/>
                <w:b/>
                <w:bCs/>
                <w:color w:val="000000"/>
                <w:lang w:eastAsia="en-GB"/>
              </w:rPr>
              <w:t>-2,197</w:t>
            </w:r>
            <w:r w:rsidR="00226F9B" w:rsidRPr="004E5437">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000000" w:fill="CCC0DA"/>
            <w:noWrap/>
            <w:vAlign w:val="center"/>
            <w:hideMark/>
          </w:tcPr>
          <w:p w14:paraId="537E661A" w14:textId="3964E379" w:rsidR="00226F9B" w:rsidRPr="004E5437" w:rsidRDefault="00DA5ED4" w:rsidP="004E5437">
            <w:pPr>
              <w:jc w:val="right"/>
              <w:rPr>
                <w:rFonts w:ascii="Calibri" w:hAnsi="Calibri"/>
                <w:b/>
                <w:bCs/>
                <w:color w:val="000000"/>
                <w:lang w:eastAsia="en-GB"/>
              </w:rPr>
            </w:pPr>
            <w:r>
              <w:rPr>
                <w:rFonts w:ascii="Calibri" w:hAnsi="Calibri"/>
                <w:b/>
                <w:bCs/>
                <w:color w:val="000000"/>
                <w:lang w:eastAsia="en-GB"/>
              </w:rPr>
              <w:t>-494</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331FC3EB" w14:textId="52BF1FCA" w:rsidR="00226F9B" w:rsidRPr="004E5437" w:rsidRDefault="00B74DE8" w:rsidP="00737848">
            <w:pPr>
              <w:jc w:val="right"/>
              <w:rPr>
                <w:rFonts w:ascii="Calibri" w:hAnsi="Calibri"/>
                <w:b/>
                <w:bCs/>
                <w:color w:val="000000"/>
                <w:lang w:eastAsia="en-GB"/>
              </w:rPr>
            </w:pPr>
            <w:r>
              <w:rPr>
                <w:rFonts w:ascii="Calibri" w:hAnsi="Calibri"/>
                <w:b/>
                <w:bCs/>
                <w:color w:val="000000"/>
                <w:lang w:eastAsia="en-GB"/>
              </w:rPr>
              <w:t>-</w:t>
            </w:r>
            <w:r w:rsidR="00DA5ED4">
              <w:rPr>
                <w:rFonts w:ascii="Calibri" w:hAnsi="Calibri"/>
                <w:b/>
                <w:bCs/>
                <w:color w:val="000000"/>
                <w:lang w:eastAsia="en-GB"/>
              </w:rPr>
              <w:t>399</w:t>
            </w:r>
            <w:r w:rsidR="00226F9B" w:rsidRPr="004E5437">
              <w:rPr>
                <w:rFonts w:ascii="Calibri" w:hAnsi="Calibri"/>
                <w:b/>
                <w:bCs/>
                <w:color w:val="000000"/>
                <w:lang w:eastAsia="en-GB"/>
              </w:rPr>
              <w:t> </w:t>
            </w:r>
          </w:p>
        </w:tc>
        <w:tc>
          <w:tcPr>
            <w:tcW w:w="840" w:type="dxa"/>
            <w:tcBorders>
              <w:top w:val="nil"/>
              <w:left w:val="nil"/>
              <w:bottom w:val="single" w:sz="4" w:space="0" w:color="FFFFFF"/>
              <w:right w:val="single" w:sz="4" w:space="0" w:color="FFFFFF"/>
            </w:tcBorders>
            <w:shd w:val="clear" w:color="000000" w:fill="CCC0DA"/>
            <w:noWrap/>
            <w:vAlign w:val="center"/>
            <w:hideMark/>
          </w:tcPr>
          <w:p w14:paraId="64ABEB5B" w14:textId="36CCC0DA" w:rsidR="00226F9B" w:rsidRPr="004E5437" w:rsidRDefault="00DA5ED4" w:rsidP="00737848">
            <w:pPr>
              <w:jc w:val="right"/>
              <w:rPr>
                <w:rFonts w:ascii="Calibri" w:hAnsi="Calibri"/>
                <w:b/>
                <w:bCs/>
                <w:color w:val="000000"/>
                <w:lang w:eastAsia="en-GB"/>
              </w:rPr>
            </w:pPr>
            <w:r>
              <w:rPr>
                <w:rFonts w:ascii="Calibri" w:hAnsi="Calibri"/>
                <w:b/>
                <w:bCs/>
                <w:color w:val="000000"/>
                <w:lang w:eastAsia="en-GB"/>
              </w:rPr>
              <w:t>612</w:t>
            </w:r>
            <w:r w:rsidR="00226F9B" w:rsidRPr="004E5437">
              <w:rPr>
                <w:rFonts w:ascii="Calibri" w:hAnsi="Calibri"/>
                <w:b/>
                <w:bCs/>
                <w:color w:val="000000"/>
                <w:lang w:eastAsia="en-GB"/>
              </w:rPr>
              <w:t> </w:t>
            </w:r>
          </w:p>
        </w:tc>
        <w:tc>
          <w:tcPr>
            <w:tcW w:w="780" w:type="dxa"/>
            <w:tcBorders>
              <w:top w:val="nil"/>
              <w:left w:val="nil"/>
              <w:bottom w:val="single" w:sz="4" w:space="0" w:color="FFFFFF"/>
              <w:right w:val="single" w:sz="4" w:space="0" w:color="FFFFFF"/>
            </w:tcBorders>
            <w:shd w:val="clear" w:color="000000" w:fill="CCC0DA"/>
            <w:noWrap/>
            <w:vAlign w:val="center"/>
            <w:hideMark/>
          </w:tcPr>
          <w:p w14:paraId="3270EBDC" w14:textId="77777777" w:rsidR="00226F9B" w:rsidRPr="004E5437" w:rsidRDefault="00226F9B" w:rsidP="004E5437">
            <w:pPr>
              <w:jc w:val="right"/>
              <w:rPr>
                <w:rFonts w:ascii="Calibri" w:hAnsi="Calibri"/>
                <w:b/>
                <w:bCs/>
                <w:color w:val="000000"/>
                <w:lang w:eastAsia="en-GB"/>
              </w:rPr>
            </w:pPr>
            <w:r>
              <w:rPr>
                <w:rFonts w:ascii="Calibri" w:hAnsi="Calibri"/>
                <w:b/>
                <w:bCs/>
                <w:color w:val="000000"/>
                <w:lang w:eastAsia="en-GB"/>
              </w:rPr>
              <w:t>0</w:t>
            </w:r>
            <w:r w:rsidRPr="004E5437">
              <w:rPr>
                <w:rFonts w:ascii="Calibri" w:hAnsi="Calibri"/>
                <w:b/>
                <w:bCs/>
                <w:color w:val="000000"/>
                <w:lang w:eastAsia="en-GB"/>
              </w:rPr>
              <w:t> </w:t>
            </w:r>
          </w:p>
        </w:tc>
        <w:tc>
          <w:tcPr>
            <w:tcW w:w="920" w:type="dxa"/>
            <w:tcBorders>
              <w:top w:val="nil"/>
              <w:left w:val="nil"/>
              <w:bottom w:val="single" w:sz="4" w:space="0" w:color="FFFFFF"/>
              <w:right w:val="single" w:sz="4" w:space="0" w:color="FFFFFF"/>
            </w:tcBorders>
            <w:shd w:val="clear" w:color="000000" w:fill="CCC0DA"/>
            <w:noWrap/>
            <w:vAlign w:val="center"/>
            <w:hideMark/>
          </w:tcPr>
          <w:p w14:paraId="31151CAE" w14:textId="4BD297FA" w:rsidR="00226F9B" w:rsidRPr="004E5437" w:rsidRDefault="00DA5ED4" w:rsidP="00737848">
            <w:pPr>
              <w:jc w:val="right"/>
              <w:rPr>
                <w:rFonts w:ascii="Calibri" w:hAnsi="Calibri"/>
                <w:b/>
                <w:bCs/>
                <w:color w:val="000000"/>
                <w:lang w:eastAsia="en-GB"/>
              </w:rPr>
            </w:pPr>
            <w:r>
              <w:rPr>
                <w:rFonts w:ascii="Calibri" w:hAnsi="Calibri"/>
                <w:b/>
                <w:bCs/>
                <w:color w:val="000000"/>
                <w:lang w:eastAsia="en-GB"/>
              </w:rPr>
              <w:t>-2,478</w:t>
            </w:r>
            <w:r w:rsidR="00226F9B" w:rsidRPr="004E5437">
              <w:rPr>
                <w:rFonts w:ascii="Calibri" w:hAnsi="Calibri"/>
                <w:b/>
                <w:bCs/>
                <w:color w:val="000000"/>
                <w:lang w:eastAsia="en-GB"/>
              </w:rPr>
              <w:t> </w:t>
            </w:r>
          </w:p>
        </w:tc>
        <w:tc>
          <w:tcPr>
            <w:tcW w:w="820" w:type="dxa"/>
            <w:tcBorders>
              <w:top w:val="nil"/>
              <w:left w:val="nil"/>
              <w:bottom w:val="single" w:sz="4" w:space="0" w:color="FFFFFF"/>
              <w:right w:val="single" w:sz="4" w:space="0" w:color="FFFFFF"/>
            </w:tcBorders>
            <w:shd w:val="clear" w:color="000000" w:fill="CCC0DA"/>
            <w:noWrap/>
            <w:vAlign w:val="center"/>
            <w:hideMark/>
          </w:tcPr>
          <w:p w14:paraId="11FA1D2D" w14:textId="59CCCBEA" w:rsidR="00226F9B" w:rsidRPr="004E5437" w:rsidRDefault="00DA5ED4" w:rsidP="00737848">
            <w:pPr>
              <w:jc w:val="right"/>
              <w:rPr>
                <w:rFonts w:ascii="Calibri" w:hAnsi="Calibri"/>
                <w:b/>
                <w:bCs/>
                <w:color w:val="000000"/>
                <w:lang w:eastAsia="en-GB"/>
              </w:rPr>
            </w:pPr>
            <w:r>
              <w:rPr>
                <w:rFonts w:ascii="Calibri" w:hAnsi="Calibri"/>
                <w:b/>
                <w:bCs/>
                <w:color w:val="000000"/>
                <w:lang w:eastAsia="en-GB"/>
              </w:rPr>
              <w:t>18,889</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433DF248" w14:textId="3B468266"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16,411</w:t>
            </w:r>
            <w:r w:rsidR="00226F9B" w:rsidRPr="004E5437">
              <w:rPr>
                <w:rFonts w:ascii="Calibri" w:hAnsi="Calibri"/>
                <w:b/>
                <w:bCs/>
                <w:color w:val="000000"/>
                <w:lang w:eastAsia="en-GB"/>
              </w:rPr>
              <w:t> </w:t>
            </w:r>
          </w:p>
        </w:tc>
      </w:tr>
      <w:tr w:rsidR="00226F9B" w:rsidRPr="004E5437" w14:paraId="160CAE0D" w14:textId="77777777" w:rsidTr="00226F9B">
        <w:trPr>
          <w:trHeight w:val="510"/>
        </w:trPr>
        <w:tc>
          <w:tcPr>
            <w:tcW w:w="2320" w:type="dxa"/>
            <w:tcBorders>
              <w:top w:val="nil"/>
              <w:left w:val="single" w:sz="4" w:space="0" w:color="FFFFFF"/>
              <w:bottom w:val="single" w:sz="4" w:space="0" w:color="FFFFFF"/>
              <w:right w:val="single" w:sz="4" w:space="0" w:color="FFFFFF"/>
            </w:tcBorders>
            <w:shd w:val="clear" w:color="000000" w:fill="CCC0DA"/>
            <w:vAlign w:val="center"/>
            <w:hideMark/>
          </w:tcPr>
          <w:p w14:paraId="0ABE1C03" w14:textId="0FA47C62" w:rsidR="00226F9B" w:rsidRPr="004E5437" w:rsidRDefault="002D03F9" w:rsidP="00226C04">
            <w:pPr>
              <w:rPr>
                <w:rFonts w:ascii="Calibri" w:hAnsi="Calibri"/>
                <w:b/>
                <w:bCs/>
                <w:color w:val="000000"/>
                <w:lang w:eastAsia="en-GB"/>
              </w:rPr>
            </w:pPr>
            <w:r>
              <w:rPr>
                <w:rFonts w:ascii="Calibri" w:hAnsi="Calibri"/>
                <w:b/>
                <w:bCs/>
                <w:color w:val="000000"/>
                <w:lang w:eastAsia="en-GB"/>
              </w:rPr>
              <w:t xml:space="preserve">Balance </w:t>
            </w:r>
            <w:proofErr w:type="gramStart"/>
            <w:r>
              <w:rPr>
                <w:rFonts w:ascii="Calibri" w:hAnsi="Calibri"/>
                <w:b/>
                <w:bCs/>
                <w:color w:val="000000"/>
                <w:lang w:eastAsia="en-GB"/>
              </w:rPr>
              <w:t>at</w:t>
            </w:r>
            <w:proofErr w:type="gramEnd"/>
            <w:r>
              <w:rPr>
                <w:rFonts w:ascii="Calibri" w:hAnsi="Calibri"/>
                <w:b/>
                <w:bCs/>
                <w:color w:val="000000"/>
                <w:lang w:eastAsia="en-GB"/>
              </w:rPr>
              <w:t xml:space="preserve"> 31 March 202</w:t>
            </w:r>
            <w:r w:rsidR="00DA5ED4">
              <w:rPr>
                <w:rFonts w:ascii="Calibri" w:hAnsi="Calibri"/>
                <w:b/>
                <w:bCs/>
                <w:color w:val="000000"/>
                <w:lang w:eastAsia="en-GB"/>
              </w:rPr>
              <w:t>2</w:t>
            </w:r>
            <w:r w:rsidR="00226F9B" w:rsidRPr="004E5437">
              <w:rPr>
                <w:rFonts w:ascii="Calibri" w:hAnsi="Calibri"/>
                <w:b/>
                <w:bCs/>
                <w:color w:val="000000"/>
                <w:lang w:eastAsia="en-GB"/>
              </w:rPr>
              <w:t xml:space="preserve"> Carried Forward</w:t>
            </w:r>
          </w:p>
        </w:tc>
        <w:tc>
          <w:tcPr>
            <w:tcW w:w="820" w:type="dxa"/>
            <w:tcBorders>
              <w:top w:val="nil"/>
              <w:left w:val="nil"/>
              <w:bottom w:val="single" w:sz="4" w:space="0" w:color="FFFFFF"/>
              <w:right w:val="single" w:sz="4" w:space="0" w:color="FFFFFF"/>
            </w:tcBorders>
            <w:shd w:val="clear" w:color="000000" w:fill="CCC0DA"/>
            <w:noWrap/>
            <w:vAlign w:val="center"/>
            <w:hideMark/>
          </w:tcPr>
          <w:p w14:paraId="3A45429B" w14:textId="441BF02D"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6,328</w:t>
            </w:r>
            <w:r w:rsidR="00226F9B" w:rsidRPr="004E5437">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000000" w:fill="CCC0DA"/>
            <w:noWrap/>
            <w:vAlign w:val="center"/>
            <w:hideMark/>
          </w:tcPr>
          <w:p w14:paraId="0E1911E6" w14:textId="7E478AFD"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5,878</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72D05302" w14:textId="5BF50BAA"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4,751</w:t>
            </w:r>
            <w:r w:rsidR="00226F9B" w:rsidRPr="004E5437">
              <w:rPr>
                <w:rFonts w:ascii="Calibri" w:hAnsi="Calibri"/>
                <w:b/>
                <w:bCs/>
                <w:color w:val="000000"/>
                <w:lang w:eastAsia="en-GB"/>
              </w:rPr>
              <w:t> </w:t>
            </w:r>
          </w:p>
        </w:tc>
        <w:tc>
          <w:tcPr>
            <w:tcW w:w="840" w:type="dxa"/>
            <w:tcBorders>
              <w:top w:val="nil"/>
              <w:left w:val="nil"/>
              <w:bottom w:val="single" w:sz="4" w:space="0" w:color="FFFFFF"/>
              <w:right w:val="single" w:sz="4" w:space="0" w:color="FFFFFF"/>
            </w:tcBorders>
            <w:shd w:val="clear" w:color="000000" w:fill="CCC0DA"/>
            <w:noWrap/>
            <w:vAlign w:val="center"/>
            <w:hideMark/>
          </w:tcPr>
          <w:p w14:paraId="3D0D653E" w14:textId="0B410BAE"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3,484</w:t>
            </w:r>
            <w:r w:rsidR="00226F9B" w:rsidRPr="004E5437">
              <w:rPr>
                <w:rFonts w:ascii="Calibri" w:hAnsi="Calibri"/>
                <w:b/>
                <w:bCs/>
                <w:color w:val="000000"/>
                <w:lang w:eastAsia="en-GB"/>
              </w:rPr>
              <w:t> </w:t>
            </w:r>
          </w:p>
        </w:tc>
        <w:tc>
          <w:tcPr>
            <w:tcW w:w="780" w:type="dxa"/>
            <w:tcBorders>
              <w:top w:val="nil"/>
              <w:left w:val="nil"/>
              <w:bottom w:val="single" w:sz="4" w:space="0" w:color="FFFFFF"/>
              <w:right w:val="single" w:sz="4" w:space="0" w:color="FFFFFF"/>
            </w:tcBorders>
            <w:shd w:val="clear" w:color="000000" w:fill="CCC0DA"/>
            <w:noWrap/>
            <w:vAlign w:val="center"/>
            <w:hideMark/>
          </w:tcPr>
          <w:p w14:paraId="45F1DC8E" w14:textId="77777777" w:rsidR="00226F9B" w:rsidRPr="004E5437" w:rsidRDefault="00226F9B" w:rsidP="004E5437">
            <w:pPr>
              <w:jc w:val="right"/>
              <w:rPr>
                <w:rFonts w:ascii="Calibri" w:hAnsi="Calibri"/>
                <w:b/>
                <w:bCs/>
                <w:color w:val="000000"/>
                <w:lang w:eastAsia="en-GB"/>
              </w:rPr>
            </w:pPr>
            <w:r>
              <w:rPr>
                <w:rFonts w:ascii="Calibri" w:hAnsi="Calibri"/>
                <w:b/>
                <w:bCs/>
                <w:color w:val="000000"/>
                <w:lang w:eastAsia="en-GB"/>
              </w:rPr>
              <w:t>0</w:t>
            </w:r>
            <w:r w:rsidRPr="004E5437">
              <w:rPr>
                <w:rFonts w:ascii="Calibri" w:hAnsi="Calibri"/>
                <w:b/>
                <w:bCs/>
                <w:color w:val="000000"/>
                <w:lang w:eastAsia="en-GB"/>
              </w:rPr>
              <w:t> </w:t>
            </w:r>
          </w:p>
        </w:tc>
        <w:tc>
          <w:tcPr>
            <w:tcW w:w="920" w:type="dxa"/>
            <w:tcBorders>
              <w:top w:val="nil"/>
              <w:left w:val="nil"/>
              <w:bottom w:val="single" w:sz="4" w:space="0" w:color="FFFFFF"/>
              <w:right w:val="single" w:sz="4" w:space="0" w:color="FFFFFF"/>
            </w:tcBorders>
            <w:shd w:val="clear" w:color="000000" w:fill="CCC0DA"/>
            <w:noWrap/>
            <w:vAlign w:val="center"/>
            <w:hideMark/>
          </w:tcPr>
          <w:p w14:paraId="6AA7160A" w14:textId="3618713C" w:rsidR="00226F9B" w:rsidRPr="004E5437" w:rsidRDefault="002D03F9" w:rsidP="00226C04">
            <w:pPr>
              <w:jc w:val="right"/>
              <w:rPr>
                <w:rFonts w:ascii="Calibri" w:hAnsi="Calibri"/>
                <w:b/>
                <w:bCs/>
                <w:color w:val="000000"/>
                <w:lang w:eastAsia="en-GB"/>
              </w:rPr>
            </w:pPr>
            <w:r>
              <w:rPr>
                <w:rFonts w:ascii="Calibri" w:hAnsi="Calibri"/>
                <w:b/>
                <w:bCs/>
                <w:color w:val="000000"/>
                <w:lang w:eastAsia="en-GB"/>
              </w:rPr>
              <w:t>2</w:t>
            </w:r>
            <w:r w:rsidR="00DA5ED4">
              <w:rPr>
                <w:rFonts w:ascii="Calibri" w:hAnsi="Calibri"/>
                <w:b/>
                <w:bCs/>
                <w:color w:val="000000"/>
                <w:lang w:eastAsia="en-GB"/>
              </w:rPr>
              <w:t>0,441</w:t>
            </w:r>
            <w:r w:rsidR="00226F9B" w:rsidRPr="004E5437">
              <w:rPr>
                <w:rFonts w:ascii="Calibri" w:hAnsi="Calibri"/>
                <w:b/>
                <w:bCs/>
                <w:color w:val="000000"/>
                <w:lang w:eastAsia="en-GB"/>
              </w:rPr>
              <w:t> </w:t>
            </w:r>
          </w:p>
        </w:tc>
        <w:tc>
          <w:tcPr>
            <w:tcW w:w="820" w:type="dxa"/>
            <w:tcBorders>
              <w:top w:val="nil"/>
              <w:left w:val="nil"/>
              <w:bottom w:val="single" w:sz="4" w:space="0" w:color="FFFFFF"/>
              <w:right w:val="single" w:sz="4" w:space="0" w:color="FFFFFF"/>
            </w:tcBorders>
            <w:shd w:val="clear" w:color="000000" w:fill="CCC0DA"/>
            <w:noWrap/>
            <w:vAlign w:val="center"/>
            <w:hideMark/>
          </w:tcPr>
          <w:p w14:paraId="27057166" w14:textId="072E15C5"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94,600</w:t>
            </w:r>
            <w:r w:rsidR="00226F9B" w:rsidRPr="004E5437">
              <w:rPr>
                <w:rFonts w:ascii="Calibri" w:hAnsi="Calibri"/>
                <w:b/>
                <w:bCs/>
                <w:color w:val="000000"/>
                <w:lang w:eastAsia="en-GB"/>
              </w:rPr>
              <w:t> </w:t>
            </w:r>
          </w:p>
        </w:tc>
        <w:tc>
          <w:tcPr>
            <w:tcW w:w="880" w:type="dxa"/>
            <w:tcBorders>
              <w:top w:val="nil"/>
              <w:left w:val="nil"/>
              <w:bottom w:val="single" w:sz="4" w:space="0" w:color="FFFFFF"/>
              <w:right w:val="single" w:sz="4" w:space="0" w:color="FFFFFF"/>
            </w:tcBorders>
            <w:shd w:val="clear" w:color="000000" w:fill="CCC0DA"/>
            <w:noWrap/>
            <w:vAlign w:val="center"/>
            <w:hideMark/>
          </w:tcPr>
          <w:p w14:paraId="16DC21E3" w14:textId="786DD1E0" w:rsidR="00226F9B" w:rsidRPr="004E5437" w:rsidRDefault="00DA5ED4" w:rsidP="00226C04">
            <w:pPr>
              <w:jc w:val="right"/>
              <w:rPr>
                <w:rFonts w:ascii="Calibri" w:hAnsi="Calibri"/>
                <w:b/>
                <w:bCs/>
                <w:color w:val="000000"/>
                <w:lang w:eastAsia="en-GB"/>
              </w:rPr>
            </w:pPr>
            <w:r>
              <w:rPr>
                <w:rFonts w:ascii="Calibri" w:hAnsi="Calibri"/>
                <w:b/>
                <w:bCs/>
                <w:color w:val="000000"/>
                <w:lang w:eastAsia="en-GB"/>
              </w:rPr>
              <w:t>115,041</w:t>
            </w:r>
            <w:r w:rsidR="00226F9B" w:rsidRPr="004E5437">
              <w:rPr>
                <w:rFonts w:ascii="Calibri" w:hAnsi="Calibri"/>
                <w:b/>
                <w:bCs/>
                <w:color w:val="000000"/>
                <w:lang w:eastAsia="en-GB"/>
              </w:rPr>
              <w:t> </w:t>
            </w:r>
          </w:p>
        </w:tc>
      </w:tr>
    </w:tbl>
    <w:p w14:paraId="7F7DDF1E" w14:textId="77777777" w:rsidR="00092B7B" w:rsidRPr="00794AA0" w:rsidRDefault="00FE54AC" w:rsidP="00704A70">
      <w:pPr>
        <w:pStyle w:val="Heading1"/>
      </w:pPr>
      <w:r w:rsidRPr="00794AA0">
        <w:lastRenderedPageBreak/>
        <w:t>B</w:t>
      </w:r>
      <w:r w:rsidR="00794AA0">
        <w:t>alance Sheet</w:t>
      </w:r>
    </w:p>
    <w:p w14:paraId="1AE57D28" w14:textId="77777777" w:rsidR="00FE54AC" w:rsidRDefault="00FE54AC" w:rsidP="00FE54AC">
      <w:pPr>
        <w:widowControl w:val="0"/>
        <w:spacing w:line="18" w:lineRule="atLeast"/>
        <w:jc w:val="both"/>
        <w:rPr>
          <w:rFonts w:ascii="Arial" w:hAnsi="Arial" w:cs="Arial"/>
          <w:b/>
        </w:rPr>
      </w:pPr>
    </w:p>
    <w:p w14:paraId="70FF39BA" w14:textId="48D2AE57" w:rsidR="00EE3782" w:rsidRPr="00794AA0" w:rsidRDefault="00FE54AC" w:rsidP="00EE3782">
      <w:pPr>
        <w:widowControl w:val="0"/>
        <w:spacing w:line="18" w:lineRule="atLeast"/>
        <w:jc w:val="both"/>
        <w:rPr>
          <w:rFonts w:asciiTheme="minorHAnsi" w:hAnsiTheme="minorHAnsi" w:cs="Arial"/>
          <w:sz w:val="22"/>
          <w:szCs w:val="22"/>
        </w:rPr>
      </w:pPr>
      <w:r w:rsidRPr="00794AA0">
        <w:rPr>
          <w:rFonts w:asciiTheme="minorHAnsi" w:hAnsiTheme="minorHAnsi" w:cs="Arial"/>
          <w:sz w:val="22"/>
          <w:szCs w:val="22"/>
        </w:rPr>
        <w:t xml:space="preserve">The Balance Sheet shows the value, as at the Balance Sheet date, of the assets and liabilities recognised by the authority.  The net assets of the authority (assets less liabilities) are matched by the reserves held by the authority.  Reserves are reported in two categories.  The first category of reserves are usable reserves, </w:t>
      </w:r>
      <w:r w:rsidR="00120BFE">
        <w:rPr>
          <w:rFonts w:asciiTheme="minorHAnsi" w:hAnsiTheme="minorHAnsi" w:cs="Arial"/>
          <w:sz w:val="22"/>
          <w:szCs w:val="22"/>
        </w:rPr>
        <w:t>for example,</w:t>
      </w:r>
      <w:r w:rsidRPr="00794AA0">
        <w:rPr>
          <w:rFonts w:asciiTheme="minorHAnsi" w:hAnsiTheme="minorHAnsi" w:cs="Arial"/>
          <w:sz w:val="22"/>
          <w:szCs w:val="22"/>
        </w:rPr>
        <w:t xml:space="preserve"> those reserves the authority may use to provide services, subject to the need to maintain a prudent level of reserves and any statutory limitations on their use</w:t>
      </w:r>
      <w:r w:rsidR="000A65B9">
        <w:rPr>
          <w:rFonts w:asciiTheme="minorHAnsi" w:hAnsiTheme="minorHAnsi" w:cs="Arial"/>
          <w:sz w:val="22"/>
          <w:szCs w:val="22"/>
        </w:rPr>
        <w:t xml:space="preserve"> (for example the Capital Receipts Reserve that may only be used to fund capital expenditure or repay debt)</w:t>
      </w:r>
      <w:r w:rsidRPr="00794AA0">
        <w:rPr>
          <w:rFonts w:asciiTheme="minorHAnsi" w:hAnsiTheme="minorHAnsi" w:cs="Arial"/>
          <w:sz w:val="22"/>
          <w:szCs w:val="22"/>
        </w:rPr>
        <w:t xml:space="preserve">.  The second category of reserves </w:t>
      </w:r>
      <w:r w:rsidR="00DB2D1E" w:rsidRPr="00794AA0">
        <w:rPr>
          <w:rFonts w:asciiTheme="minorHAnsi" w:hAnsiTheme="minorHAnsi" w:cs="Arial"/>
          <w:sz w:val="22"/>
          <w:szCs w:val="22"/>
        </w:rPr>
        <w:t xml:space="preserve">is those that the authority is not able to use to provide services.  This category of reserves </w:t>
      </w:r>
      <w:r w:rsidRPr="00794AA0">
        <w:rPr>
          <w:rFonts w:asciiTheme="minorHAnsi" w:hAnsiTheme="minorHAnsi" w:cs="Arial"/>
          <w:sz w:val="22"/>
          <w:szCs w:val="22"/>
        </w:rPr>
        <w:t>includes reserves that hold unrealised gains and losses (for example the revaluation reserve), where amounts would</w:t>
      </w:r>
      <w:r w:rsidR="00371D7F" w:rsidRPr="00794AA0">
        <w:rPr>
          <w:rFonts w:asciiTheme="minorHAnsi" w:hAnsiTheme="minorHAnsi" w:cs="Arial"/>
          <w:sz w:val="22"/>
          <w:szCs w:val="22"/>
        </w:rPr>
        <w:t xml:space="preserve"> only</w:t>
      </w:r>
      <w:r w:rsidRPr="00794AA0">
        <w:rPr>
          <w:rFonts w:asciiTheme="minorHAnsi" w:hAnsiTheme="minorHAnsi" w:cs="Arial"/>
          <w:sz w:val="22"/>
          <w:szCs w:val="22"/>
        </w:rPr>
        <w:t xml:space="preserve"> become</w:t>
      </w:r>
      <w:r w:rsidR="00DB2D1E" w:rsidRPr="00794AA0">
        <w:rPr>
          <w:rFonts w:asciiTheme="minorHAnsi" w:hAnsiTheme="minorHAnsi" w:cs="Arial"/>
          <w:sz w:val="22"/>
          <w:szCs w:val="22"/>
        </w:rPr>
        <w:t xml:space="preserve"> available to provide services i</w:t>
      </w:r>
      <w:r w:rsidRPr="00794AA0">
        <w:rPr>
          <w:rFonts w:asciiTheme="minorHAnsi" w:hAnsiTheme="minorHAnsi" w:cs="Arial"/>
          <w:sz w:val="22"/>
          <w:szCs w:val="22"/>
        </w:rPr>
        <w:t>f the assets are sold; and reserves that hold t</w:t>
      </w:r>
      <w:r w:rsidR="00345F9B">
        <w:rPr>
          <w:rFonts w:asciiTheme="minorHAnsi" w:hAnsiTheme="minorHAnsi" w:cs="Arial"/>
          <w:sz w:val="22"/>
          <w:szCs w:val="22"/>
        </w:rPr>
        <w:t>iming differences shown in the Movement in R</w:t>
      </w:r>
      <w:r w:rsidRPr="00794AA0">
        <w:rPr>
          <w:rFonts w:asciiTheme="minorHAnsi" w:hAnsiTheme="minorHAnsi" w:cs="Arial"/>
          <w:sz w:val="22"/>
          <w:szCs w:val="22"/>
        </w:rPr>
        <w:t xml:space="preserve">eserves </w:t>
      </w:r>
      <w:r w:rsidR="00345F9B">
        <w:rPr>
          <w:rFonts w:asciiTheme="minorHAnsi" w:hAnsiTheme="minorHAnsi" w:cs="Arial"/>
          <w:sz w:val="22"/>
          <w:szCs w:val="22"/>
        </w:rPr>
        <w:t>S</w:t>
      </w:r>
      <w:r w:rsidRPr="00794AA0">
        <w:rPr>
          <w:rFonts w:asciiTheme="minorHAnsi" w:hAnsiTheme="minorHAnsi" w:cs="Arial"/>
          <w:sz w:val="22"/>
          <w:szCs w:val="22"/>
        </w:rPr>
        <w:t>tatement line “</w:t>
      </w:r>
      <w:r w:rsidR="00804881" w:rsidRPr="00794AA0">
        <w:rPr>
          <w:rFonts w:asciiTheme="minorHAnsi" w:hAnsiTheme="minorHAnsi" w:cs="Arial"/>
          <w:sz w:val="22"/>
          <w:szCs w:val="22"/>
        </w:rPr>
        <w:t>a</w:t>
      </w:r>
      <w:r w:rsidRPr="00794AA0">
        <w:rPr>
          <w:rFonts w:asciiTheme="minorHAnsi" w:hAnsiTheme="minorHAnsi" w:cs="Arial"/>
          <w:sz w:val="22"/>
          <w:szCs w:val="22"/>
        </w:rPr>
        <w:t>djustments between accounting basis and funding basis under regulation</w:t>
      </w:r>
      <w:r w:rsidR="00ED0579">
        <w:rPr>
          <w:rFonts w:asciiTheme="minorHAnsi" w:hAnsiTheme="minorHAnsi" w:cs="Arial"/>
          <w:sz w:val="22"/>
          <w:szCs w:val="22"/>
        </w:rPr>
        <w:t>s</w:t>
      </w:r>
      <w:r w:rsidRPr="00794AA0">
        <w:rPr>
          <w:rFonts w:asciiTheme="minorHAnsi" w:hAnsiTheme="minorHAnsi" w:cs="Arial"/>
          <w:sz w:val="22"/>
          <w:szCs w:val="22"/>
        </w:rPr>
        <w:t>”.</w:t>
      </w:r>
    </w:p>
    <w:p w14:paraId="0A567861" w14:textId="77777777" w:rsidR="00EE3782" w:rsidRDefault="00EE3782" w:rsidP="00EE3782">
      <w:pPr>
        <w:widowControl w:val="0"/>
        <w:spacing w:line="18" w:lineRule="atLeast"/>
        <w:jc w:val="both"/>
      </w:pPr>
    </w:p>
    <w:p w14:paraId="3254D29E" w14:textId="77777777" w:rsidR="00EE3782" w:rsidRDefault="00EE3782" w:rsidP="00EE3782">
      <w:pPr>
        <w:widowControl w:val="0"/>
        <w:spacing w:line="18" w:lineRule="atLeast"/>
        <w:jc w:val="both"/>
      </w:pPr>
      <w:bookmarkStart w:id="0" w:name="_Hlk106953353"/>
    </w:p>
    <w:p w14:paraId="7B20C5C5" w14:textId="77777777" w:rsidR="00C134B1" w:rsidRDefault="00C134B1" w:rsidP="00EE3782">
      <w:pPr>
        <w:widowControl w:val="0"/>
        <w:spacing w:line="18" w:lineRule="atLeast"/>
        <w:jc w:val="both"/>
      </w:pPr>
    </w:p>
    <w:tbl>
      <w:tblPr>
        <w:tblW w:w="9854" w:type="dxa"/>
        <w:tblInd w:w="93" w:type="dxa"/>
        <w:tblLook w:val="04A0" w:firstRow="1" w:lastRow="0" w:firstColumn="1" w:lastColumn="0" w:noHBand="0" w:noVBand="1"/>
        <w:tblCaption w:val="Balance Sheet"/>
        <w:tblDescription w:val="Balance sheet as a 31 March 2023 with 31 March 2022 comparatives"/>
      </w:tblPr>
      <w:tblGrid>
        <w:gridCol w:w="1456"/>
        <w:gridCol w:w="6159"/>
        <w:gridCol w:w="764"/>
        <w:gridCol w:w="1475"/>
      </w:tblGrid>
      <w:tr w:rsidR="00794AA0" w:rsidRPr="00794AA0" w14:paraId="670AC9FE" w14:textId="77777777" w:rsidTr="00F367A2">
        <w:trPr>
          <w:trHeight w:val="525"/>
          <w:tblHeader/>
        </w:trPr>
        <w:tc>
          <w:tcPr>
            <w:tcW w:w="1456"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3350169F" w14:textId="7DBA3971" w:rsidR="00794AA0" w:rsidRPr="00794AA0" w:rsidRDefault="00794AA0" w:rsidP="000D57FE">
            <w:pPr>
              <w:jc w:val="right"/>
              <w:rPr>
                <w:rFonts w:ascii="Calibri" w:hAnsi="Calibri"/>
                <w:bCs/>
                <w:color w:val="000000"/>
                <w:lang w:eastAsia="en-GB"/>
              </w:rPr>
            </w:pPr>
            <w:r w:rsidRPr="00794AA0">
              <w:rPr>
                <w:rFonts w:ascii="Calibri" w:hAnsi="Calibri"/>
                <w:bCs/>
                <w:color w:val="000000"/>
                <w:lang w:eastAsia="en-GB"/>
              </w:rPr>
              <w:t>31</w:t>
            </w:r>
            <w:r w:rsidR="00B87A6E">
              <w:rPr>
                <w:rFonts w:ascii="Calibri" w:hAnsi="Calibri"/>
                <w:bCs/>
                <w:color w:val="000000"/>
                <w:lang w:eastAsia="en-GB"/>
              </w:rPr>
              <w:t xml:space="preserve"> March 20</w:t>
            </w:r>
            <w:r w:rsidR="005078DE">
              <w:rPr>
                <w:rFonts w:ascii="Calibri" w:hAnsi="Calibri"/>
                <w:bCs/>
                <w:color w:val="000000"/>
                <w:lang w:eastAsia="en-GB"/>
              </w:rPr>
              <w:t>2</w:t>
            </w:r>
            <w:r w:rsidR="005538C0">
              <w:rPr>
                <w:rFonts w:ascii="Calibri" w:hAnsi="Calibri"/>
                <w:bCs/>
                <w:color w:val="000000"/>
                <w:lang w:eastAsia="en-GB"/>
              </w:rPr>
              <w:t>2</w:t>
            </w:r>
          </w:p>
        </w:tc>
        <w:tc>
          <w:tcPr>
            <w:tcW w:w="6159" w:type="dxa"/>
            <w:tcBorders>
              <w:top w:val="nil"/>
              <w:left w:val="nil"/>
              <w:bottom w:val="nil"/>
              <w:right w:val="nil"/>
            </w:tcBorders>
            <w:shd w:val="clear" w:color="000000" w:fill="FABF8F"/>
            <w:vAlign w:val="center"/>
            <w:hideMark/>
          </w:tcPr>
          <w:p w14:paraId="22809593" w14:textId="77777777" w:rsidR="00794AA0" w:rsidRPr="00794AA0" w:rsidRDefault="00794AA0" w:rsidP="00794AA0">
            <w:pPr>
              <w:jc w:val="right"/>
              <w:rPr>
                <w:rFonts w:ascii="Calibri" w:hAnsi="Calibri"/>
                <w:bCs/>
                <w:color w:val="000000"/>
                <w:lang w:eastAsia="en-GB"/>
              </w:rPr>
            </w:pPr>
            <w:r w:rsidRPr="00794AA0">
              <w:rPr>
                <w:rFonts w:ascii="Calibri" w:hAnsi="Calibri"/>
                <w:bCs/>
                <w:color w:val="000000"/>
                <w:lang w:eastAsia="en-GB"/>
              </w:rPr>
              <w:t> </w:t>
            </w:r>
          </w:p>
        </w:tc>
        <w:tc>
          <w:tcPr>
            <w:tcW w:w="764" w:type="dxa"/>
            <w:tcBorders>
              <w:top w:val="single" w:sz="4" w:space="0" w:color="FFFFFF"/>
              <w:left w:val="single" w:sz="4" w:space="0" w:color="FFFFFF"/>
              <w:bottom w:val="nil"/>
              <w:right w:val="nil"/>
            </w:tcBorders>
            <w:shd w:val="clear" w:color="000000" w:fill="FABF8F"/>
            <w:noWrap/>
            <w:textDirection w:val="btLr"/>
            <w:vAlign w:val="center"/>
            <w:hideMark/>
          </w:tcPr>
          <w:p w14:paraId="39F6EAA4" w14:textId="77777777" w:rsidR="00794AA0" w:rsidRPr="00794AA0" w:rsidRDefault="00794AA0" w:rsidP="00794AA0">
            <w:pPr>
              <w:rPr>
                <w:rFonts w:ascii="Calibri" w:hAnsi="Calibri"/>
                <w:bCs/>
                <w:color w:val="000000"/>
                <w:lang w:eastAsia="en-GB"/>
              </w:rPr>
            </w:pPr>
            <w:r w:rsidRPr="00794AA0">
              <w:rPr>
                <w:rFonts w:ascii="Calibri" w:hAnsi="Calibri"/>
                <w:bCs/>
                <w:color w:val="000000"/>
                <w:lang w:eastAsia="en-GB"/>
              </w:rPr>
              <w:t>Note</w:t>
            </w:r>
          </w:p>
        </w:tc>
        <w:tc>
          <w:tcPr>
            <w:tcW w:w="1475"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50945EEF" w14:textId="1D4C8AF0" w:rsidR="00794AA0" w:rsidRPr="00794AA0" w:rsidRDefault="00794AA0" w:rsidP="005078DE">
            <w:pPr>
              <w:jc w:val="right"/>
              <w:rPr>
                <w:rFonts w:ascii="Calibri" w:hAnsi="Calibri"/>
                <w:bCs/>
                <w:color w:val="000000"/>
                <w:lang w:eastAsia="en-GB"/>
              </w:rPr>
            </w:pPr>
            <w:r w:rsidRPr="00794AA0">
              <w:rPr>
                <w:rFonts w:ascii="Calibri" w:hAnsi="Calibri"/>
                <w:bCs/>
                <w:color w:val="000000"/>
                <w:lang w:eastAsia="en-GB"/>
              </w:rPr>
              <w:t>31</w:t>
            </w:r>
            <w:r w:rsidR="00B87A6E">
              <w:rPr>
                <w:rFonts w:ascii="Calibri" w:hAnsi="Calibri"/>
                <w:bCs/>
                <w:color w:val="000000"/>
                <w:lang w:eastAsia="en-GB"/>
              </w:rPr>
              <w:t xml:space="preserve"> March 20</w:t>
            </w:r>
            <w:r w:rsidR="000D57FE">
              <w:rPr>
                <w:rFonts w:ascii="Calibri" w:hAnsi="Calibri"/>
                <w:bCs/>
                <w:color w:val="000000"/>
                <w:lang w:eastAsia="en-GB"/>
              </w:rPr>
              <w:t>2</w:t>
            </w:r>
            <w:r w:rsidR="005538C0">
              <w:rPr>
                <w:rFonts w:ascii="Calibri" w:hAnsi="Calibri"/>
                <w:bCs/>
                <w:color w:val="000000"/>
                <w:lang w:eastAsia="en-GB"/>
              </w:rPr>
              <w:t>3</w:t>
            </w:r>
          </w:p>
        </w:tc>
      </w:tr>
      <w:tr w:rsidR="00794AA0" w:rsidRPr="00794AA0" w14:paraId="059AB7B8"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ABF8F"/>
            <w:noWrap/>
            <w:vAlign w:val="center"/>
            <w:hideMark/>
          </w:tcPr>
          <w:p w14:paraId="23F406F1" w14:textId="77777777" w:rsidR="00794AA0" w:rsidRPr="00794AA0" w:rsidRDefault="00794AA0" w:rsidP="00794AA0">
            <w:pPr>
              <w:jc w:val="right"/>
              <w:rPr>
                <w:rFonts w:ascii="Calibri" w:hAnsi="Calibri"/>
                <w:bCs/>
                <w:color w:val="000000"/>
                <w:lang w:eastAsia="en-GB"/>
              </w:rPr>
            </w:pPr>
            <w:r w:rsidRPr="00794AA0">
              <w:rPr>
                <w:rFonts w:ascii="Calibri" w:hAnsi="Calibri"/>
                <w:bCs/>
                <w:color w:val="000000"/>
                <w:lang w:eastAsia="en-GB"/>
              </w:rPr>
              <w:t>£’000</w:t>
            </w:r>
          </w:p>
        </w:tc>
        <w:tc>
          <w:tcPr>
            <w:tcW w:w="6159" w:type="dxa"/>
            <w:tcBorders>
              <w:top w:val="nil"/>
              <w:left w:val="nil"/>
              <w:bottom w:val="nil"/>
              <w:right w:val="nil"/>
            </w:tcBorders>
            <w:shd w:val="clear" w:color="000000" w:fill="FABF8F"/>
            <w:noWrap/>
            <w:vAlign w:val="center"/>
            <w:hideMark/>
          </w:tcPr>
          <w:p w14:paraId="63BB1414" w14:textId="77777777" w:rsidR="00794AA0" w:rsidRPr="00794AA0" w:rsidRDefault="00794AA0" w:rsidP="00794AA0">
            <w:pPr>
              <w:jc w:val="right"/>
              <w:rPr>
                <w:rFonts w:ascii="Calibri" w:hAnsi="Calibri"/>
                <w:bCs/>
                <w:color w:val="000000"/>
                <w:lang w:eastAsia="en-GB"/>
              </w:rPr>
            </w:pPr>
            <w:r w:rsidRPr="00794AA0">
              <w:rPr>
                <w:rFonts w:ascii="Calibri" w:hAnsi="Calibri"/>
                <w:bCs/>
                <w:color w:val="000000"/>
                <w:lang w:eastAsia="en-GB"/>
              </w:rPr>
              <w:t> </w:t>
            </w:r>
          </w:p>
        </w:tc>
        <w:tc>
          <w:tcPr>
            <w:tcW w:w="764" w:type="dxa"/>
            <w:tcBorders>
              <w:top w:val="nil"/>
              <w:left w:val="single" w:sz="4" w:space="0" w:color="FFFFFF"/>
              <w:bottom w:val="nil"/>
              <w:right w:val="nil"/>
            </w:tcBorders>
            <w:shd w:val="clear" w:color="000000" w:fill="FABF8F"/>
            <w:noWrap/>
            <w:vAlign w:val="center"/>
            <w:hideMark/>
          </w:tcPr>
          <w:p w14:paraId="1AFE3CE0" w14:textId="77777777" w:rsidR="00794AA0" w:rsidRPr="00794AA0" w:rsidRDefault="00794AA0" w:rsidP="00794AA0">
            <w:pPr>
              <w:jc w:val="right"/>
              <w:rPr>
                <w:rFonts w:ascii="Calibri" w:hAnsi="Calibri"/>
                <w:bCs/>
                <w:color w:val="000000"/>
                <w:lang w:eastAsia="en-GB"/>
              </w:rPr>
            </w:pPr>
            <w:r w:rsidRPr="00794AA0">
              <w:rPr>
                <w:rFonts w:ascii="Calibri" w:hAnsi="Calibri"/>
                <w:bCs/>
                <w:color w:val="000000"/>
                <w:lang w:eastAsia="en-GB"/>
              </w:rPr>
              <w:t> </w:t>
            </w:r>
          </w:p>
        </w:tc>
        <w:tc>
          <w:tcPr>
            <w:tcW w:w="1475" w:type="dxa"/>
            <w:tcBorders>
              <w:top w:val="nil"/>
              <w:left w:val="single" w:sz="4" w:space="0" w:color="FFFFFF"/>
              <w:bottom w:val="single" w:sz="4" w:space="0" w:color="FFFFFF"/>
              <w:right w:val="single" w:sz="4" w:space="0" w:color="FFFFFF"/>
            </w:tcBorders>
            <w:shd w:val="clear" w:color="000000" w:fill="FABF8F"/>
            <w:noWrap/>
            <w:vAlign w:val="center"/>
            <w:hideMark/>
          </w:tcPr>
          <w:p w14:paraId="26722FA6" w14:textId="77777777" w:rsidR="00794AA0" w:rsidRPr="00794AA0" w:rsidRDefault="00794AA0" w:rsidP="00794AA0">
            <w:pPr>
              <w:jc w:val="right"/>
              <w:rPr>
                <w:rFonts w:ascii="Calibri" w:hAnsi="Calibri"/>
                <w:bCs/>
                <w:color w:val="000000"/>
                <w:lang w:eastAsia="en-GB"/>
              </w:rPr>
            </w:pPr>
            <w:r w:rsidRPr="00794AA0">
              <w:rPr>
                <w:rFonts w:ascii="Calibri" w:hAnsi="Calibri"/>
                <w:bCs/>
                <w:color w:val="000000"/>
                <w:lang w:eastAsia="en-GB"/>
              </w:rPr>
              <w:t>£’000</w:t>
            </w:r>
          </w:p>
        </w:tc>
      </w:tr>
      <w:tr w:rsidR="00794AA0" w:rsidRPr="00794AA0" w14:paraId="2E3A4D05"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1B86BB1A" w14:textId="12DEE2E7" w:rsidR="00794AA0" w:rsidRPr="00794AA0" w:rsidRDefault="005538C0" w:rsidP="0017384A">
            <w:pPr>
              <w:jc w:val="right"/>
              <w:rPr>
                <w:rFonts w:ascii="Calibri" w:hAnsi="Calibri"/>
                <w:color w:val="000000"/>
                <w:lang w:eastAsia="en-GB"/>
              </w:rPr>
            </w:pPr>
            <w:r>
              <w:rPr>
                <w:rFonts w:ascii="Calibri" w:hAnsi="Calibri"/>
                <w:color w:val="000000"/>
                <w:lang w:eastAsia="en-GB"/>
              </w:rPr>
              <w:t>144</w:t>
            </w:r>
            <w:r w:rsidR="005078DE">
              <w:rPr>
                <w:rFonts w:ascii="Calibri" w:hAnsi="Calibri"/>
                <w:color w:val="000000"/>
                <w:lang w:eastAsia="en-GB"/>
              </w:rPr>
              <w:t>,</w:t>
            </w:r>
            <w:r>
              <w:rPr>
                <w:rFonts w:ascii="Calibri" w:hAnsi="Calibri"/>
                <w:color w:val="000000"/>
                <w:lang w:eastAsia="en-GB"/>
              </w:rPr>
              <w:t>019</w:t>
            </w:r>
          </w:p>
        </w:tc>
        <w:tc>
          <w:tcPr>
            <w:tcW w:w="6159" w:type="dxa"/>
            <w:tcBorders>
              <w:top w:val="single" w:sz="4" w:space="0" w:color="FFFFFF"/>
              <w:left w:val="nil"/>
              <w:bottom w:val="single" w:sz="4" w:space="0" w:color="FFFFFF"/>
              <w:right w:val="single" w:sz="4" w:space="0" w:color="FFFFFF"/>
            </w:tcBorders>
            <w:shd w:val="clear" w:color="000000" w:fill="FDE9D9"/>
            <w:noWrap/>
            <w:vAlign w:val="center"/>
            <w:hideMark/>
          </w:tcPr>
          <w:p w14:paraId="1AC4A333" w14:textId="2D92A798" w:rsidR="00794AA0" w:rsidRPr="00794AA0" w:rsidRDefault="00794AA0" w:rsidP="00794AA0">
            <w:pPr>
              <w:rPr>
                <w:rFonts w:ascii="Calibri" w:hAnsi="Calibri"/>
                <w:color w:val="000000"/>
                <w:lang w:eastAsia="en-GB"/>
              </w:rPr>
            </w:pPr>
            <w:r w:rsidRPr="00794AA0">
              <w:rPr>
                <w:rFonts w:ascii="Calibri" w:hAnsi="Calibri"/>
                <w:color w:val="000000"/>
                <w:lang w:eastAsia="en-GB"/>
              </w:rPr>
              <w:t xml:space="preserve">Property Plant </w:t>
            </w:r>
            <w:r w:rsidR="00704A70">
              <w:rPr>
                <w:rFonts w:ascii="Calibri" w:hAnsi="Calibri"/>
                <w:color w:val="000000"/>
                <w:lang w:eastAsia="en-GB"/>
              </w:rPr>
              <w:t>and</w:t>
            </w:r>
            <w:r w:rsidRPr="00794AA0">
              <w:rPr>
                <w:rFonts w:ascii="Calibri" w:hAnsi="Calibri"/>
                <w:color w:val="000000"/>
                <w:lang w:eastAsia="en-GB"/>
              </w:rPr>
              <w:t xml:space="preserve"> Equipment</w:t>
            </w:r>
          </w:p>
        </w:tc>
        <w:tc>
          <w:tcPr>
            <w:tcW w:w="764" w:type="dxa"/>
            <w:tcBorders>
              <w:top w:val="single" w:sz="4" w:space="0" w:color="FFFFFF"/>
              <w:left w:val="nil"/>
              <w:bottom w:val="single" w:sz="4" w:space="0" w:color="FFFFFF"/>
              <w:right w:val="single" w:sz="4" w:space="0" w:color="FFFFFF"/>
            </w:tcBorders>
            <w:shd w:val="clear" w:color="000000" w:fill="FDE9D9"/>
            <w:noWrap/>
            <w:vAlign w:val="center"/>
          </w:tcPr>
          <w:p w14:paraId="04B58B56" w14:textId="4F4EF5BA" w:rsidR="00794AA0" w:rsidRPr="00794AA0" w:rsidRDefault="007E2A77" w:rsidP="00805549">
            <w:pPr>
              <w:jc w:val="right"/>
              <w:rPr>
                <w:rFonts w:ascii="Calibri" w:hAnsi="Calibri"/>
                <w:color w:val="000000"/>
                <w:lang w:eastAsia="en-GB"/>
              </w:rPr>
            </w:pPr>
            <w:r>
              <w:rPr>
                <w:rFonts w:ascii="Calibri" w:hAnsi="Calibri"/>
                <w:color w:val="000000"/>
                <w:lang w:eastAsia="en-GB"/>
              </w:rPr>
              <w:t>1</w:t>
            </w:r>
            <w:r w:rsidR="00805549">
              <w:rPr>
                <w:rFonts w:ascii="Calibri" w:hAnsi="Calibri"/>
                <w:color w:val="000000"/>
                <w:lang w:eastAsia="en-GB"/>
              </w:rPr>
              <w:t>8</w:t>
            </w:r>
          </w:p>
        </w:tc>
        <w:tc>
          <w:tcPr>
            <w:tcW w:w="1475" w:type="dxa"/>
            <w:tcBorders>
              <w:top w:val="nil"/>
              <w:left w:val="nil"/>
              <w:bottom w:val="single" w:sz="4" w:space="0" w:color="FFFFFF"/>
              <w:right w:val="single" w:sz="4" w:space="0" w:color="FFFFFF"/>
            </w:tcBorders>
            <w:shd w:val="clear" w:color="000000" w:fill="FDE9D9"/>
            <w:noWrap/>
            <w:vAlign w:val="center"/>
          </w:tcPr>
          <w:p w14:paraId="43AF115F" w14:textId="07566E1C" w:rsidR="00794AA0" w:rsidRPr="00794AA0" w:rsidRDefault="006362BB" w:rsidP="0017384A">
            <w:pPr>
              <w:jc w:val="right"/>
              <w:rPr>
                <w:rFonts w:ascii="Calibri" w:hAnsi="Calibri"/>
                <w:color w:val="000000"/>
                <w:lang w:eastAsia="en-GB"/>
              </w:rPr>
            </w:pPr>
            <w:r>
              <w:rPr>
                <w:rFonts w:ascii="Calibri" w:hAnsi="Calibri"/>
                <w:color w:val="000000"/>
                <w:lang w:eastAsia="en-GB"/>
              </w:rPr>
              <w:t>157,439</w:t>
            </w:r>
          </w:p>
        </w:tc>
      </w:tr>
      <w:tr w:rsidR="00794AA0" w:rsidRPr="00794AA0" w14:paraId="0F761E42"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0DA974B0" w14:textId="7229EAE8" w:rsidR="00794AA0" w:rsidRPr="00794AA0" w:rsidRDefault="005538C0" w:rsidP="00F17755">
            <w:pPr>
              <w:jc w:val="right"/>
              <w:rPr>
                <w:rFonts w:ascii="Calibri" w:hAnsi="Calibri"/>
                <w:color w:val="000000"/>
                <w:lang w:eastAsia="en-GB"/>
              </w:rPr>
            </w:pPr>
            <w:r>
              <w:rPr>
                <w:rFonts w:ascii="Calibri" w:hAnsi="Calibri"/>
                <w:color w:val="000000"/>
                <w:lang w:eastAsia="en-GB"/>
              </w:rPr>
              <w:t>2,143</w:t>
            </w:r>
          </w:p>
        </w:tc>
        <w:tc>
          <w:tcPr>
            <w:tcW w:w="6159" w:type="dxa"/>
            <w:tcBorders>
              <w:top w:val="nil"/>
              <w:left w:val="nil"/>
              <w:bottom w:val="single" w:sz="4" w:space="0" w:color="FFFFFF"/>
              <w:right w:val="single" w:sz="4" w:space="0" w:color="FFFFFF"/>
            </w:tcBorders>
            <w:shd w:val="clear" w:color="000000" w:fill="FDE9D9"/>
            <w:noWrap/>
            <w:vAlign w:val="center"/>
            <w:hideMark/>
          </w:tcPr>
          <w:p w14:paraId="38EE3C6F"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Investment Property</w:t>
            </w:r>
          </w:p>
        </w:tc>
        <w:tc>
          <w:tcPr>
            <w:tcW w:w="764" w:type="dxa"/>
            <w:tcBorders>
              <w:top w:val="nil"/>
              <w:left w:val="nil"/>
              <w:bottom w:val="single" w:sz="4" w:space="0" w:color="FFFFFF"/>
              <w:right w:val="single" w:sz="4" w:space="0" w:color="FFFFFF"/>
            </w:tcBorders>
            <w:shd w:val="clear" w:color="000000" w:fill="FDE9D9"/>
            <w:noWrap/>
            <w:vAlign w:val="center"/>
          </w:tcPr>
          <w:p w14:paraId="26914684" w14:textId="4665B95C" w:rsidR="00794AA0" w:rsidRPr="00794AA0" w:rsidRDefault="007E2A77" w:rsidP="00794AA0">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0</w:t>
            </w:r>
          </w:p>
        </w:tc>
        <w:tc>
          <w:tcPr>
            <w:tcW w:w="1475" w:type="dxa"/>
            <w:tcBorders>
              <w:top w:val="nil"/>
              <w:left w:val="nil"/>
              <w:bottom w:val="single" w:sz="4" w:space="0" w:color="FFFFFF"/>
              <w:right w:val="single" w:sz="4" w:space="0" w:color="FFFFFF"/>
            </w:tcBorders>
            <w:shd w:val="clear" w:color="000000" w:fill="FDE9D9"/>
            <w:noWrap/>
            <w:vAlign w:val="center"/>
          </w:tcPr>
          <w:p w14:paraId="2E4B07C7" w14:textId="798F9C1A" w:rsidR="00794AA0" w:rsidRPr="00794AA0" w:rsidRDefault="006362BB" w:rsidP="00794AA0">
            <w:pPr>
              <w:jc w:val="right"/>
              <w:rPr>
                <w:rFonts w:ascii="Calibri" w:hAnsi="Calibri"/>
                <w:color w:val="000000"/>
                <w:lang w:eastAsia="en-GB"/>
              </w:rPr>
            </w:pPr>
            <w:r>
              <w:rPr>
                <w:rFonts w:ascii="Calibri" w:hAnsi="Calibri"/>
                <w:color w:val="000000"/>
                <w:lang w:eastAsia="en-GB"/>
              </w:rPr>
              <w:t>2,025</w:t>
            </w:r>
          </w:p>
        </w:tc>
      </w:tr>
      <w:tr w:rsidR="00794AA0" w:rsidRPr="00794AA0" w14:paraId="34C7328B"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41738FF6" w14:textId="495B72A0" w:rsidR="00794AA0" w:rsidRPr="00794AA0" w:rsidRDefault="003F72FD" w:rsidP="00794AA0">
            <w:pPr>
              <w:jc w:val="right"/>
              <w:rPr>
                <w:rFonts w:ascii="Calibri" w:hAnsi="Calibri"/>
                <w:color w:val="000000"/>
                <w:lang w:eastAsia="en-GB"/>
              </w:rPr>
            </w:pPr>
            <w:r>
              <w:rPr>
                <w:rFonts w:ascii="Calibri" w:hAnsi="Calibri"/>
                <w:color w:val="000000"/>
                <w:lang w:eastAsia="en-GB"/>
              </w:rPr>
              <w:t>2</w:t>
            </w:r>
            <w:r w:rsidR="005538C0">
              <w:rPr>
                <w:rFonts w:ascii="Calibri" w:hAnsi="Calibri"/>
                <w:color w:val="000000"/>
                <w:lang w:eastAsia="en-GB"/>
              </w:rPr>
              <w:t>63</w:t>
            </w:r>
          </w:p>
        </w:tc>
        <w:tc>
          <w:tcPr>
            <w:tcW w:w="6159" w:type="dxa"/>
            <w:tcBorders>
              <w:top w:val="nil"/>
              <w:left w:val="nil"/>
              <w:bottom w:val="single" w:sz="4" w:space="0" w:color="FFFFFF"/>
              <w:right w:val="single" w:sz="4" w:space="0" w:color="FFFFFF"/>
            </w:tcBorders>
            <w:shd w:val="clear" w:color="000000" w:fill="FDE9D9"/>
            <w:noWrap/>
            <w:vAlign w:val="center"/>
            <w:hideMark/>
          </w:tcPr>
          <w:p w14:paraId="09669CDF"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Intangible Assets</w:t>
            </w:r>
          </w:p>
        </w:tc>
        <w:tc>
          <w:tcPr>
            <w:tcW w:w="764" w:type="dxa"/>
            <w:tcBorders>
              <w:top w:val="nil"/>
              <w:left w:val="nil"/>
              <w:bottom w:val="single" w:sz="4" w:space="0" w:color="FFFFFF"/>
              <w:right w:val="single" w:sz="4" w:space="0" w:color="FFFFFF"/>
            </w:tcBorders>
            <w:shd w:val="clear" w:color="000000" w:fill="FDE9D9"/>
            <w:noWrap/>
            <w:vAlign w:val="center"/>
          </w:tcPr>
          <w:p w14:paraId="409CDBF2" w14:textId="06BA1DB2" w:rsidR="00794AA0" w:rsidRPr="00794AA0" w:rsidRDefault="007E2A77" w:rsidP="001E63B9">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1</w:t>
            </w:r>
          </w:p>
        </w:tc>
        <w:tc>
          <w:tcPr>
            <w:tcW w:w="1475" w:type="dxa"/>
            <w:tcBorders>
              <w:top w:val="nil"/>
              <w:left w:val="nil"/>
              <w:bottom w:val="single" w:sz="4" w:space="0" w:color="FFFFFF"/>
              <w:right w:val="single" w:sz="4" w:space="0" w:color="FFFFFF"/>
            </w:tcBorders>
            <w:shd w:val="clear" w:color="000000" w:fill="FDE9D9"/>
            <w:noWrap/>
            <w:vAlign w:val="center"/>
          </w:tcPr>
          <w:p w14:paraId="5CAEB0F3" w14:textId="4C92AE92" w:rsidR="00794AA0" w:rsidRPr="00794AA0" w:rsidRDefault="006362BB" w:rsidP="00794AA0">
            <w:pPr>
              <w:jc w:val="right"/>
              <w:rPr>
                <w:rFonts w:ascii="Calibri" w:hAnsi="Calibri"/>
                <w:color w:val="000000"/>
                <w:lang w:eastAsia="en-GB"/>
              </w:rPr>
            </w:pPr>
            <w:r>
              <w:rPr>
                <w:rFonts w:ascii="Calibri" w:hAnsi="Calibri"/>
                <w:color w:val="000000"/>
                <w:lang w:eastAsia="en-GB"/>
              </w:rPr>
              <w:t>203</w:t>
            </w:r>
          </w:p>
        </w:tc>
      </w:tr>
      <w:tr w:rsidR="00794AA0" w:rsidRPr="00794AA0" w14:paraId="1E0DBFBF"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58EAD749" w14:textId="241C7D94" w:rsidR="00794AA0" w:rsidRPr="00794AA0" w:rsidRDefault="005538C0" w:rsidP="00F934D4">
            <w:pPr>
              <w:jc w:val="right"/>
              <w:rPr>
                <w:rFonts w:ascii="Calibri" w:hAnsi="Calibri"/>
                <w:color w:val="000000"/>
                <w:lang w:eastAsia="en-GB"/>
              </w:rPr>
            </w:pPr>
            <w:r>
              <w:rPr>
                <w:rFonts w:ascii="Calibri" w:hAnsi="Calibri"/>
                <w:color w:val="000000"/>
                <w:lang w:eastAsia="en-GB"/>
              </w:rPr>
              <w:t>2,212</w:t>
            </w:r>
          </w:p>
        </w:tc>
        <w:tc>
          <w:tcPr>
            <w:tcW w:w="6159" w:type="dxa"/>
            <w:tcBorders>
              <w:top w:val="nil"/>
              <w:left w:val="nil"/>
              <w:bottom w:val="single" w:sz="4" w:space="0" w:color="FFFFFF"/>
              <w:right w:val="single" w:sz="4" w:space="0" w:color="FFFFFF"/>
            </w:tcBorders>
            <w:shd w:val="clear" w:color="000000" w:fill="FDE9D9"/>
            <w:noWrap/>
            <w:vAlign w:val="center"/>
            <w:hideMark/>
          </w:tcPr>
          <w:p w14:paraId="4451EEBA" w14:textId="77777777" w:rsidR="00794AA0" w:rsidRPr="00794AA0" w:rsidRDefault="00794AA0" w:rsidP="0038663A">
            <w:pPr>
              <w:rPr>
                <w:rFonts w:ascii="Calibri" w:hAnsi="Calibri"/>
                <w:color w:val="000000"/>
                <w:lang w:eastAsia="en-GB"/>
              </w:rPr>
            </w:pPr>
            <w:r w:rsidRPr="00794AA0">
              <w:rPr>
                <w:rFonts w:ascii="Calibri" w:hAnsi="Calibri"/>
                <w:color w:val="000000"/>
                <w:lang w:eastAsia="en-GB"/>
              </w:rPr>
              <w:t xml:space="preserve">Long Term </w:t>
            </w:r>
            <w:r w:rsidR="0038663A">
              <w:rPr>
                <w:rFonts w:ascii="Calibri" w:hAnsi="Calibri"/>
                <w:color w:val="000000"/>
                <w:lang w:eastAsia="en-GB"/>
              </w:rPr>
              <w:t>I</w:t>
            </w:r>
            <w:r w:rsidR="001E63B9">
              <w:rPr>
                <w:rFonts w:ascii="Calibri" w:hAnsi="Calibri"/>
                <w:color w:val="000000"/>
                <w:lang w:eastAsia="en-GB"/>
              </w:rPr>
              <w:t>nvestments</w:t>
            </w:r>
          </w:p>
        </w:tc>
        <w:tc>
          <w:tcPr>
            <w:tcW w:w="764" w:type="dxa"/>
            <w:tcBorders>
              <w:top w:val="nil"/>
              <w:left w:val="nil"/>
              <w:bottom w:val="single" w:sz="4" w:space="0" w:color="FFFFFF"/>
              <w:right w:val="single" w:sz="4" w:space="0" w:color="FFFFFF"/>
            </w:tcBorders>
            <w:shd w:val="clear" w:color="000000" w:fill="FDE9D9"/>
            <w:noWrap/>
            <w:vAlign w:val="center"/>
          </w:tcPr>
          <w:p w14:paraId="16401BEE" w14:textId="1563E394" w:rsidR="00794AA0" w:rsidRPr="00794AA0" w:rsidRDefault="007E2A77" w:rsidP="00794AA0">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2</w:t>
            </w:r>
          </w:p>
        </w:tc>
        <w:tc>
          <w:tcPr>
            <w:tcW w:w="1475" w:type="dxa"/>
            <w:tcBorders>
              <w:top w:val="nil"/>
              <w:left w:val="nil"/>
              <w:bottom w:val="single" w:sz="4" w:space="0" w:color="FFFFFF"/>
              <w:right w:val="single" w:sz="4" w:space="0" w:color="FFFFFF"/>
            </w:tcBorders>
            <w:shd w:val="clear" w:color="000000" w:fill="FDE9D9"/>
            <w:noWrap/>
            <w:vAlign w:val="center"/>
          </w:tcPr>
          <w:p w14:paraId="347C4271" w14:textId="5A7FCB67" w:rsidR="00794AA0" w:rsidRPr="00794AA0" w:rsidRDefault="006362BB" w:rsidP="00794AA0">
            <w:pPr>
              <w:jc w:val="right"/>
              <w:rPr>
                <w:rFonts w:ascii="Calibri" w:hAnsi="Calibri"/>
                <w:color w:val="000000"/>
                <w:lang w:eastAsia="en-GB"/>
              </w:rPr>
            </w:pPr>
            <w:r>
              <w:rPr>
                <w:rFonts w:ascii="Calibri" w:hAnsi="Calibri"/>
                <w:color w:val="000000"/>
                <w:lang w:eastAsia="en-GB"/>
              </w:rPr>
              <w:t>1,848</w:t>
            </w:r>
          </w:p>
        </w:tc>
      </w:tr>
      <w:tr w:rsidR="001E63B9" w:rsidRPr="00794AA0" w14:paraId="4569D816"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tcPr>
          <w:p w14:paraId="1081BBEF" w14:textId="20E46403" w:rsidR="001E63B9" w:rsidRDefault="005078DE" w:rsidP="005565F1">
            <w:pPr>
              <w:jc w:val="right"/>
              <w:rPr>
                <w:rFonts w:ascii="Calibri" w:hAnsi="Calibri"/>
                <w:color w:val="000000"/>
                <w:lang w:eastAsia="en-GB"/>
              </w:rPr>
            </w:pPr>
            <w:r>
              <w:rPr>
                <w:rFonts w:ascii="Calibri" w:hAnsi="Calibri"/>
                <w:color w:val="000000"/>
                <w:lang w:eastAsia="en-GB"/>
              </w:rPr>
              <w:t>7</w:t>
            </w:r>
            <w:r w:rsidR="005538C0">
              <w:rPr>
                <w:rFonts w:ascii="Calibri" w:hAnsi="Calibri"/>
                <w:color w:val="000000"/>
                <w:lang w:eastAsia="en-GB"/>
              </w:rPr>
              <w:t>95</w:t>
            </w:r>
          </w:p>
        </w:tc>
        <w:tc>
          <w:tcPr>
            <w:tcW w:w="6159" w:type="dxa"/>
            <w:tcBorders>
              <w:top w:val="nil"/>
              <w:left w:val="nil"/>
              <w:bottom w:val="single" w:sz="4" w:space="0" w:color="FFFFFF"/>
              <w:right w:val="single" w:sz="4" w:space="0" w:color="FFFFFF"/>
            </w:tcBorders>
            <w:shd w:val="clear" w:color="000000" w:fill="FDE9D9"/>
            <w:noWrap/>
            <w:vAlign w:val="center"/>
          </w:tcPr>
          <w:p w14:paraId="5C13867B" w14:textId="77777777" w:rsidR="001E63B9" w:rsidRPr="001E63B9" w:rsidRDefault="001E63B9" w:rsidP="0038663A">
            <w:pPr>
              <w:rPr>
                <w:rFonts w:ascii="Calibri" w:hAnsi="Calibri"/>
                <w:b/>
                <w:color w:val="000000"/>
                <w:lang w:eastAsia="en-GB"/>
              </w:rPr>
            </w:pPr>
            <w:r w:rsidRPr="00794AA0">
              <w:rPr>
                <w:rFonts w:ascii="Calibri" w:hAnsi="Calibri"/>
                <w:color w:val="000000"/>
                <w:lang w:eastAsia="en-GB"/>
              </w:rPr>
              <w:t>Long Term Receivables</w:t>
            </w:r>
          </w:p>
        </w:tc>
        <w:tc>
          <w:tcPr>
            <w:tcW w:w="764" w:type="dxa"/>
            <w:tcBorders>
              <w:top w:val="nil"/>
              <w:left w:val="nil"/>
              <w:bottom w:val="single" w:sz="4" w:space="0" w:color="FFFFFF"/>
              <w:right w:val="single" w:sz="4" w:space="0" w:color="FFFFFF"/>
            </w:tcBorders>
            <w:shd w:val="clear" w:color="000000" w:fill="FDE9D9"/>
            <w:noWrap/>
            <w:vAlign w:val="center"/>
          </w:tcPr>
          <w:p w14:paraId="741B0189" w14:textId="26871F68" w:rsidR="001E63B9" w:rsidRDefault="001E63B9" w:rsidP="004E105D">
            <w:pPr>
              <w:jc w:val="right"/>
              <w:rPr>
                <w:rFonts w:ascii="Calibri" w:hAnsi="Calibri"/>
                <w:color w:val="000000"/>
                <w:lang w:eastAsia="en-GB"/>
              </w:rPr>
            </w:pPr>
            <w:r>
              <w:rPr>
                <w:rFonts w:ascii="Calibri" w:hAnsi="Calibri"/>
                <w:color w:val="000000"/>
                <w:lang w:eastAsia="en-GB"/>
              </w:rPr>
              <w:t>2</w:t>
            </w:r>
            <w:r w:rsidR="004E105D">
              <w:rPr>
                <w:rFonts w:ascii="Calibri" w:hAnsi="Calibri"/>
                <w:color w:val="000000"/>
                <w:lang w:eastAsia="en-GB"/>
              </w:rPr>
              <w:t>2</w:t>
            </w:r>
          </w:p>
        </w:tc>
        <w:tc>
          <w:tcPr>
            <w:tcW w:w="1475" w:type="dxa"/>
            <w:tcBorders>
              <w:top w:val="nil"/>
              <w:left w:val="nil"/>
              <w:bottom w:val="single" w:sz="4" w:space="0" w:color="FFFFFF"/>
              <w:right w:val="single" w:sz="4" w:space="0" w:color="FFFFFF"/>
            </w:tcBorders>
            <w:shd w:val="clear" w:color="000000" w:fill="FDE9D9"/>
            <w:noWrap/>
            <w:vAlign w:val="center"/>
          </w:tcPr>
          <w:p w14:paraId="4B16D157" w14:textId="1813FD79" w:rsidR="001E63B9" w:rsidRDefault="006362BB" w:rsidP="00794AA0">
            <w:pPr>
              <w:jc w:val="right"/>
              <w:rPr>
                <w:rFonts w:ascii="Calibri" w:hAnsi="Calibri"/>
                <w:color w:val="000000"/>
                <w:lang w:eastAsia="en-GB"/>
              </w:rPr>
            </w:pPr>
            <w:r>
              <w:rPr>
                <w:rFonts w:ascii="Calibri" w:hAnsi="Calibri"/>
                <w:color w:val="000000"/>
                <w:lang w:eastAsia="en-GB"/>
              </w:rPr>
              <w:t>817</w:t>
            </w:r>
          </w:p>
        </w:tc>
      </w:tr>
      <w:tr w:rsidR="00794AA0" w:rsidRPr="00794AA0" w14:paraId="4DA04F00"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0893A9E6" w14:textId="4BC29B65" w:rsidR="00794AA0" w:rsidRPr="00794AA0" w:rsidRDefault="00E05DF5" w:rsidP="005565F1">
            <w:pPr>
              <w:jc w:val="right"/>
              <w:rPr>
                <w:rFonts w:ascii="Calibri" w:hAnsi="Calibri"/>
                <w:b/>
                <w:bCs/>
                <w:color w:val="000000"/>
                <w:lang w:eastAsia="en-GB"/>
              </w:rPr>
            </w:pPr>
            <w:r>
              <w:rPr>
                <w:rFonts w:ascii="Calibri" w:hAnsi="Calibri"/>
                <w:b/>
                <w:bCs/>
                <w:color w:val="000000"/>
                <w:lang w:eastAsia="en-GB"/>
              </w:rPr>
              <w:t>1</w:t>
            </w:r>
            <w:r w:rsidR="003F72FD">
              <w:rPr>
                <w:rFonts w:ascii="Calibri" w:hAnsi="Calibri"/>
                <w:b/>
                <w:bCs/>
                <w:color w:val="000000"/>
                <w:lang w:eastAsia="en-GB"/>
              </w:rPr>
              <w:t>4</w:t>
            </w:r>
            <w:r w:rsidR="005538C0">
              <w:rPr>
                <w:rFonts w:ascii="Calibri" w:hAnsi="Calibri"/>
                <w:b/>
                <w:bCs/>
                <w:color w:val="000000"/>
                <w:lang w:eastAsia="en-GB"/>
              </w:rPr>
              <w:t>9,432</w:t>
            </w:r>
          </w:p>
        </w:tc>
        <w:tc>
          <w:tcPr>
            <w:tcW w:w="6159" w:type="dxa"/>
            <w:tcBorders>
              <w:top w:val="nil"/>
              <w:left w:val="nil"/>
              <w:bottom w:val="single" w:sz="4" w:space="0" w:color="FFFFFF"/>
              <w:right w:val="single" w:sz="4" w:space="0" w:color="FFFFFF"/>
            </w:tcBorders>
            <w:shd w:val="clear" w:color="000000" w:fill="FCD5B4"/>
            <w:noWrap/>
            <w:vAlign w:val="center"/>
            <w:hideMark/>
          </w:tcPr>
          <w:p w14:paraId="23E9913B"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Long Term Assets</w:t>
            </w:r>
          </w:p>
        </w:tc>
        <w:tc>
          <w:tcPr>
            <w:tcW w:w="764" w:type="dxa"/>
            <w:tcBorders>
              <w:top w:val="nil"/>
              <w:left w:val="nil"/>
              <w:bottom w:val="single" w:sz="4" w:space="0" w:color="FFFFFF"/>
              <w:right w:val="single" w:sz="4" w:space="0" w:color="FFFFFF"/>
            </w:tcBorders>
            <w:shd w:val="clear" w:color="000000" w:fill="FCD5B4"/>
            <w:noWrap/>
            <w:vAlign w:val="center"/>
          </w:tcPr>
          <w:p w14:paraId="52755282" w14:textId="77777777" w:rsidR="00794AA0" w:rsidRPr="00794AA0" w:rsidRDefault="00794AA0" w:rsidP="00794AA0">
            <w:pPr>
              <w:rPr>
                <w:rFonts w:ascii="Calibri" w:hAnsi="Calibri"/>
                <w:b/>
                <w:bCs/>
                <w:color w:val="000000"/>
                <w:lang w:eastAsia="en-GB"/>
              </w:rPr>
            </w:pPr>
          </w:p>
        </w:tc>
        <w:tc>
          <w:tcPr>
            <w:tcW w:w="1475" w:type="dxa"/>
            <w:tcBorders>
              <w:top w:val="nil"/>
              <w:left w:val="nil"/>
              <w:bottom w:val="single" w:sz="4" w:space="0" w:color="FFFFFF"/>
              <w:right w:val="single" w:sz="4" w:space="0" w:color="FFFFFF"/>
            </w:tcBorders>
            <w:shd w:val="clear" w:color="000000" w:fill="FCD5B4"/>
            <w:noWrap/>
            <w:vAlign w:val="center"/>
          </w:tcPr>
          <w:p w14:paraId="79EB2967" w14:textId="55D21541" w:rsidR="00794AA0" w:rsidRPr="00794AA0" w:rsidRDefault="006362BB" w:rsidP="0017384A">
            <w:pPr>
              <w:jc w:val="right"/>
              <w:rPr>
                <w:rFonts w:ascii="Calibri" w:hAnsi="Calibri"/>
                <w:b/>
                <w:bCs/>
                <w:color w:val="000000"/>
                <w:lang w:eastAsia="en-GB"/>
              </w:rPr>
            </w:pPr>
            <w:r>
              <w:rPr>
                <w:rFonts w:ascii="Calibri" w:hAnsi="Calibri"/>
                <w:b/>
                <w:bCs/>
                <w:color w:val="000000"/>
                <w:lang w:eastAsia="en-GB"/>
              </w:rPr>
              <w:t>162,332</w:t>
            </w:r>
          </w:p>
        </w:tc>
      </w:tr>
      <w:tr w:rsidR="007B7850" w:rsidRPr="00794AA0" w14:paraId="4F15D997"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tcPr>
          <w:p w14:paraId="20C33031" w14:textId="439456F3" w:rsidR="007B7850" w:rsidRDefault="005538C0" w:rsidP="005565F1">
            <w:pPr>
              <w:jc w:val="right"/>
              <w:rPr>
                <w:rFonts w:ascii="Calibri" w:hAnsi="Calibri"/>
                <w:color w:val="000000"/>
                <w:lang w:eastAsia="en-GB"/>
              </w:rPr>
            </w:pPr>
            <w:r>
              <w:rPr>
                <w:rFonts w:ascii="Calibri" w:hAnsi="Calibri"/>
                <w:color w:val="000000"/>
                <w:lang w:eastAsia="en-GB"/>
              </w:rPr>
              <w:t>20</w:t>
            </w:r>
            <w:r w:rsidR="005078DE">
              <w:rPr>
                <w:rFonts w:ascii="Calibri" w:hAnsi="Calibri"/>
                <w:color w:val="000000"/>
                <w:lang w:eastAsia="en-GB"/>
              </w:rPr>
              <w:t>,000</w:t>
            </w:r>
          </w:p>
        </w:tc>
        <w:tc>
          <w:tcPr>
            <w:tcW w:w="6159" w:type="dxa"/>
            <w:tcBorders>
              <w:top w:val="nil"/>
              <w:left w:val="nil"/>
              <w:bottom w:val="single" w:sz="4" w:space="0" w:color="FFFFFF"/>
              <w:right w:val="single" w:sz="4" w:space="0" w:color="FFFFFF"/>
            </w:tcBorders>
            <w:shd w:val="clear" w:color="000000" w:fill="FDE9D9"/>
            <w:noWrap/>
            <w:vAlign w:val="center"/>
          </w:tcPr>
          <w:p w14:paraId="7B1C8636" w14:textId="77777777" w:rsidR="007B7850" w:rsidRPr="00794AA0" w:rsidRDefault="007B7850" w:rsidP="00794AA0">
            <w:pPr>
              <w:rPr>
                <w:rFonts w:ascii="Calibri" w:hAnsi="Calibri"/>
                <w:color w:val="000000"/>
                <w:lang w:eastAsia="en-GB"/>
              </w:rPr>
            </w:pPr>
            <w:r>
              <w:rPr>
                <w:rFonts w:ascii="Calibri" w:hAnsi="Calibri"/>
                <w:color w:val="000000"/>
                <w:lang w:eastAsia="en-GB"/>
              </w:rPr>
              <w:t>Short Term Investments</w:t>
            </w:r>
          </w:p>
        </w:tc>
        <w:tc>
          <w:tcPr>
            <w:tcW w:w="764" w:type="dxa"/>
            <w:tcBorders>
              <w:top w:val="nil"/>
              <w:left w:val="nil"/>
              <w:bottom w:val="single" w:sz="4" w:space="0" w:color="FFFFFF"/>
              <w:right w:val="single" w:sz="4" w:space="0" w:color="FFFFFF"/>
            </w:tcBorders>
            <w:shd w:val="clear" w:color="000000" w:fill="FDE9D9"/>
            <w:noWrap/>
            <w:vAlign w:val="center"/>
          </w:tcPr>
          <w:p w14:paraId="1055D196" w14:textId="6037256C" w:rsidR="007B7850" w:rsidRDefault="005078DE" w:rsidP="00794AA0">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2</w:t>
            </w:r>
            <w:r w:rsidR="00B81A4A">
              <w:rPr>
                <w:rFonts w:ascii="Calibri" w:hAnsi="Calibri"/>
                <w:color w:val="000000"/>
                <w:lang w:eastAsia="en-GB"/>
              </w:rPr>
              <w:t>/30</w:t>
            </w:r>
          </w:p>
        </w:tc>
        <w:tc>
          <w:tcPr>
            <w:tcW w:w="1475" w:type="dxa"/>
            <w:tcBorders>
              <w:top w:val="nil"/>
              <w:left w:val="nil"/>
              <w:bottom w:val="single" w:sz="4" w:space="0" w:color="FFFFFF"/>
              <w:right w:val="single" w:sz="4" w:space="0" w:color="FFFFFF"/>
            </w:tcBorders>
            <w:shd w:val="clear" w:color="000000" w:fill="FDE9D9"/>
            <w:noWrap/>
            <w:vAlign w:val="center"/>
          </w:tcPr>
          <w:p w14:paraId="475626A8" w14:textId="1E12EFA9" w:rsidR="007B7850" w:rsidRDefault="006362BB" w:rsidP="00A545B5">
            <w:pPr>
              <w:jc w:val="right"/>
              <w:rPr>
                <w:rFonts w:ascii="Calibri" w:hAnsi="Calibri"/>
                <w:color w:val="000000"/>
                <w:lang w:eastAsia="en-GB"/>
              </w:rPr>
            </w:pPr>
            <w:r>
              <w:rPr>
                <w:rFonts w:ascii="Calibri" w:hAnsi="Calibri"/>
                <w:color w:val="000000"/>
                <w:lang w:eastAsia="en-GB"/>
              </w:rPr>
              <w:t>15,500</w:t>
            </w:r>
          </w:p>
        </w:tc>
      </w:tr>
      <w:tr w:rsidR="00794AA0" w:rsidRPr="00794AA0" w14:paraId="3CA2428F"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1449588A" w14:textId="6EE516DD" w:rsidR="00794AA0" w:rsidRPr="00794AA0" w:rsidRDefault="005538C0" w:rsidP="005565F1">
            <w:pPr>
              <w:jc w:val="right"/>
              <w:rPr>
                <w:rFonts w:ascii="Calibri" w:hAnsi="Calibri"/>
                <w:color w:val="000000"/>
                <w:lang w:eastAsia="en-GB"/>
              </w:rPr>
            </w:pPr>
            <w:r>
              <w:rPr>
                <w:rFonts w:ascii="Calibri" w:hAnsi="Calibri"/>
                <w:color w:val="000000"/>
                <w:lang w:eastAsia="en-GB"/>
              </w:rPr>
              <w:t>3</w:t>
            </w:r>
            <w:r w:rsidR="00E05DF5">
              <w:rPr>
                <w:rFonts w:ascii="Calibri" w:hAnsi="Calibri"/>
                <w:color w:val="000000"/>
                <w:lang w:eastAsia="en-GB"/>
              </w:rPr>
              <w:t>,</w:t>
            </w:r>
            <w:r>
              <w:rPr>
                <w:rFonts w:ascii="Calibri" w:hAnsi="Calibri"/>
                <w:color w:val="000000"/>
                <w:lang w:eastAsia="en-GB"/>
              </w:rPr>
              <w:t>252</w:t>
            </w:r>
          </w:p>
        </w:tc>
        <w:tc>
          <w:tcPr>
            <w:tcW w:w="6159" w:type="dxa"/>
            <w:tcBorders>
              <w:top w:val="nil"/>
              <w:left w:val="nil"/>
              <w:bottom w:val="single" w:sz="4" w:space="0" w:color="FFFFFF"/>
              <w:right w:val="single" w:sz="4" w:space="0" w:color="FFFFFF"/>
            </w:tcBorders>
            <w:shd w:val="clear" w:color="000000" w:fill="FDE9D9"/>
            <w:noWrap/>
            <w:vAlign w:val="center"/>
            <w:hideMark/>
          </w:tcPr>
          <w:p w14:paraId="5CD66213"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Short Term Receivables</w:t>
            </w:r>
          </w:p>
        </w:tc>
        <w:tc>
          <w:tcPr>
            <w:tcW w:w="764" w:type="dxa"/>
            <w:tcBorders>
              <w:top w:val="nil"/>
              <w:left w:val="nil"/>
              <w:bottom w:val="single" w:sz="4" w:space="0" w:color="FFFFFF"/>
              <w:right w:val="single" w:sz="4" w:space="0" w:color="FFFFFF"/>
            </w:tcBorders>
            <w:shd w:val="clear" w:color="000000" w:fill="FDE9D9"/>
            <w:noWrap/>
            <w:vAlign w:val="center"/>
          </w:tcPr>
          <w:p w14:paraId="277D58BB" w14:textId="0A904AAE" w:rsidR="00794AA0" w:rsidRPr="00794AA0" w:rsidRDefault="00180FBA" w:rsidP="00794AA0">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8</w:t>
            </w:r>
          </w:p>
        </w:tc>
        <w:tc>
          <w:tcPr>
            <w:tcW w:w="1475" w:type="dxa"/>
            <w:tcBorders>
              <w:top w:val="nil"/>
              <w:left w:val="nil"/>
              <w:bottom w:val="single" w:sz="4" w:space="0" w:color="FFFFFF"/>
              <w:right w:val="single" w:sz="4" w:space="0" w:color="FFFFFF"/>
            </w:tcBorders>
            <w:shd w:val="clear" w:color="000000" w:fill="FDE9D9"/>
            <w:noWrap/>
            <w:vAlign w:val="center"/>
          </w:tcPr>
          <w:p w14:paraId="0EC1D202" w14:textId="096555EB" w:rsidR="00794AA0" w:rsidRPr="00794AA0" w:rsidRDefault="006362BB" w:rsidP="00A545B5">
            <w:pPr>
              <w:jc w:val="right"/>
              <w:rPr>
                <w:rFonts w:ascii="Calibri" w:hAnsi="Calibri"/>
                <w:color w:val="000000"/>
                <w:lang w:eastAsia="en-GB"/>
              </w:rPr>
            </w:pPr>
            <w:r>
              <w:rPr>
                <w:rFonts w:ascii="Calibri" w:hAnsi="Calibri"/>
                <w:color w:val="000000"/>
                <w:lang w:eastAsia="en-GB"/>
              </w:rPr>
              <w:t>4,953</w:t>
            </w:r>
          </w:p>
        </w:tc>
      </w:tr>
      <w:tr w:rsidR="00794AA0" w:rsidRPr="00794AA0" w14:paraId="78B22EAF"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37E04BC1" w14:textId="479B74A7" w:rsidR="00794AA0" w:rsidRPr="00794AA0" w:rsidRDefault="005538C0" w:rsidP="005565F1">
            <w:pPr>
              <w:jc w:val="right"/>
              <w:rPr>
                <w:rFonts w:ascii="Calibri" w:hAnsi="Calibri"/>
                <w:color w:val="000000"/>
                <w:lang w:eastAsia="en-GB"/>
              </w:rPr>
            </w:pPr>
            <w:r>
              <w:rPr>
                <w:rFonts w:ascii="Calibri" w:hAnsi="Calibri"/>
                <w:color w:val="000000"/>
                <w:lang w:eastAsia="en-GB"/>
              </w:rPr>
              <w:t>5,755</w:t>
            </w:r>
          </w:p>
        </w:tc>
        <w:tc>
          <w:tcPr>
            <w:tcW w:w="6159" w:type="dxa"/>
            <w:tcBorders>
              <w:top w:val="nil"/>
              <w:left w:val="nil"/>
              <w:bottom w:val="single" w:sz="4" w:space="0" w:color="FFFFFF"/>
              <w:right w:val="single" w:sz="4" w:space="0" w:color="FFFFFF"/>
            </w:tcBorders>
            <w:shd w:val="clear" w:color="000000" w:fill="FDE9D9"/>
            <w:noWrap/>
            <w:vAlign w:val="center"/>
            <w:hideMark/>
          </w:tcPr>
          <w:p w14:paraId="32C702DB"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 xml:space="preserve">Cash and Cash Equivalents </w:t>
            </w:r>
          </w:p>
        </w:tc>
        <w:tc>
          <w:tcPr>
            <w:tcW w:w="764" w:type="dxa"/>
            <w:tcBorders>
              <w:top w:val="nil"/>
              <w:left w:val="nil"/>
              <w:bottom w:val="single" w:sz="4" w:space="0" w:color="FFFFFF"/>
              <w:right w:val="single" w:sz="4" w:space="0" w:color="FFFFFF"/>
            </w:tcBorders>
            <w:shd w:val="clear" w:color="000000" w:fill="FDE9D9"/>
            <w:noWrap/>
            <w:vAlign w:val="center"/>
          </w:tcPr>
          <w:p w14:paraId="17C559F0" w14:textId="0DA0003D" w:rsidR="00794AA0" w:rsidRPr="00794AA0" w:rsidRDefault="007E2A77" w:rsidP="00436CCB">
            <w:pPr>
              <w:jc w:val="right"/>
              <w:rPr>
                <w:rFonts w:ascii="Calibri" w:hAnsi="Calibri"/>
                <w:color w:val="000000"/>
                <w:lang w:eastAsia="en-GB"/>
              </w:rPr>
            </w:pPr>
            <w:r>
              <w:rPr>
                <w:rFonts w:ascii="Calibri" w:hAnsi="Calibri"/>
                <w:color w:val="000000"/>
                <w:lang w:eastAsia="en-GB"/>
              </w:rPr>
              <w:t>3</w:t>
            </w:r>
            <w:r w:rsidR="00805549">
              <w:rPr>
                <w:rFonts w:ascii="Calibri" w:hAnsi="Calibri"/>
                <w:color w:val="000000"/>
                <w:lang w:eastAsia="en-GB"/>
              </w:rPr>
              <w:t>0</w:t>
            </w:r>
          </w:p>
        </w:tc>
        <w:tc>
          <w:tcPr>
            <w:tcW w:w="1475" w:type="dxa"/>
            <w:tcBorders>
              <w:top w:val="nil"/>
              <w:left w:val="nil"/>
              <w:bottom w:val="single" w:sz="4" w:space="0" w:color="FFFFFF"/>
              <w:right w:val="single" w:sz="4" w:space="0" w:color="FFFFFF"/>
            </w:tcBorders>
            <w:shd w:val="clear" w:color="000000" w:fill="FDE9D9"/>
            <w:noWrap/>
            <w:vAlign w:val="center"/>
          </w:tcPr>
          <w:p w14:paraId="0917FF84" w14:textId="040BD9FE" w:rsidR="00794AA0" w:rsidRPr="00794AA0" w:rsidRDefault="006362BB" w:rsidP="00794AA0">
            <w:pPr>
              <w:jc w:val="right"/>
              <w:rPr>
                <w:rFonts w:ascii="Calibri" w:hAnsi="Calibri"/>
                <w:color w:val="000000"/>
                <w:lang w:eastAsia="en-GB"/>
              </w:rPr>
            </w:pPr>
            <w:r>
              <w:rPr>
                <w:rFonts w:ascii="Calibri" w:hAnsi="Calibri"/>
                <w:color w:val="000000"/>
                <w:lang w:eastAsia="en-GB"/>
              </w:rPr>
              <w:t>2,269</w:t>
            </w:r>
          </w:p>
        </w:tc>
      </w:tr>
      <w:tr w:rsidR="00794AA0" w:rsidRPr="00794AA0" w14:paraId="675FAF7B"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66B5F791" w14:textId="01D9635F" w:rsidR="00794AA0" w:rsidRPr="00794AA0" w:rsidRDefault="005078DE" w:rsidP="005565F1">
            <w:pPr>
              <w:jc w:val="right"/>
              <w:rPr>
                <w:rFonts w:ascii="Calibri" w:hAnsi="Calibri"/>
                <w:b/>
                <w:bCs/>
                <w:color w:val="000000"/>
                <w:lang w:eastAsia="en-GB"/>
              </w:rPr>
            </w:pPr>
            <w:r>
              <w:rPr>
                <w:rFonts w:ascii="Calibri" w:hAnsi="Calibri"/>
                <w:b/>
                <w:bCs/>
                <w:color w:val="000000"/>
                <w:lang w:eastAsia="en-GB"/>
              </w:rPr>
              <w:t>2</w:t>
            </w:r>
            <w:r w:rsidR="005538C0">
              <w:rPr>
                <w:rFonts w:ascii="Calibri" w:hAnsi="Calibri"/>
                <w:b/>
                <w:bCs/>
                <w:color w:val="000000"/>
                <w:lang w:eastAsia="en-GB"/>
              </w:rPr>
              <w:t>9,007</w:t>
            </w:r>
          </w:p>
        </w:tc>
        <w:tc>
          <w:tcPr>
            <w:tcW w:w="6159" w:type="dxa"/>
            <w:tcBorders>
              <w:top w:val="nil"/>
              <w:left w:val="nil"/>
              <w:bottom w:val="single" w:sz="4" w:space="0" w:color="FFFFFF"/>
              <w:right w:val="single" w:sz="4" w:space="0" w:color="FFFFFF"/>
            </w:tcBorders>
            <w:shd w:val="clear" w:color="000000" w:fill="FCD5B4"/>
            <w:noWrap/>
            <w:vAlign w:val="center"/>
            <w:hideMark/>
          </w:tcPr>
          <w:p w14:paraId="6DE76996"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Current Assets</w:t>
            </w:r>
          </w:p>
        </w:tc>
        <w:tc>
          <w:tcPr>
            <w:tcW w:w="764" w:type="dxa"/>
            <w:tcBorders>
              <w:top w:val="nil"/>
              <w:left w:val="nil"/>
              <w:bottom w:val="single" w:sz="4" w:space="0" w:color="FFFFFF"/>
              <w:right w:val="single" w:sz="4" w:space="0" w:color="FFFFFF"/>
            </w:tcBorders>
            <w:shd w:val="clear" w:color="000000" w:fill="FCD5B4"/>
            <w:noWrap/>
            <w:vAlign w:val="center"/>
          </w:tcPr>
          <w:p w14:paraId="61CA9F9E" w14:textId="77777777" w:rsidR="00794AA0" w:rsidRPr="00794AA0" w:rsidRDefault="00794AA0" w:rsidP="00794AA0">
            <w:pPr>
              <w:rPr>
                <w:rFonts w:ascii="Calibri" w:hAnsi="Calibri"/>
                <w:b/>
                <w:bCs/>
                <w:color w:val="000000"/>
                <w:lang w:eastAsia="en-GB"/>
              </w:rPr>
            </w:pPr>
          </w:p>
        </w:tc>
        <w:tc>
          <w:tcPr>
            <w:tcW w:w="1475" w:type="dxa"/>
            <w:tcBorders>
              <w:top w:val="nil"/>
              <w:left w:val="nil"/>
              <w:bottom w:val="single" w:sz="4" w:space="0" w:color="FFFFFF"/>
              <w:right w:val="single" w:sz="4" w:space="0" w:color="FFFFFF"/>
            </w:tcBorders>
            <w:shd w:val="clear" w:color="000000" w:fill="FCD5B4"/>
            <w:noWrap/>
            <w:vAlign w:val="center"/>
          </w:tcPr>
          <w:p w14:paraId="355A619E" w14:textId="1E6E273E" w:rsidR="00794AA0" w:rsidRPr="00794AA0" w:rsidRDefault="006362BB" w:rsidP="00A545B5">
            <w:pPr>
              <w:jc w:val="right"/>
              <w:rPr>
                <w:rFonts w:ascii="Calibri" w:hAnsi="Calibri"/>
                <w:b/>
                <w:bCs/>
                <w:color w:val="000000"/>
                <w:lang w:eastAsia="en-GB"/>
              </w:rPr>
            </w:pPr>
            <w:r>
              <w:rPr>
                <w:rFonts w:ascii="Calibri" w:hAnsi="Calibri"/>
                <w:b/>
                <w:bCs/>
                <w:color w:val="000000"/>
                <w:lang w:eastAsia="en-GB"/>
              </w:rPr>
              <w:t>22,722</w:t>
            </w:r>
          </w:p>
        </w:tc>
      </w:tr>
      <w:tr w:rsidR="00794AA0" w:rsidRPr="00794AA0" w14:paraId="6CF3E843"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5CDBEDA7" w14:textId="603F9662" w:rsidR="00794AA0" w:rsidRPr="00794AA0" w:rsidRDefault="005538C0" w:rsidP="00F17755">
            <w:pPr>
              <w:jc w:val="right"/>
              <w:rPr>
                <w:rFonts w:ascii="Calibri" w:hAnsi="Calibri"/>
                <w:color w:val="000000"/>
                <w:lang w:eastAsia="en-GB"/>
              </w:rPr>
            </w:pPr>
            <w:r>
              <w:rPr>
                <w:rFonts w:ascii="Calibri" w:hAnsi="Calibri"/>
                <w:color w:val="000000"/>
                <w:lang w:eastAsia="en-GB"/>
              </w:rPr>
              <w:t>298</w:t>
            </w:r>
          </w:p>
        </w:tc>
        <w:tc>
          <w:tcPr>
            <w:tcW w:w="6159" w:type="dxa"/>
            <w:tcBorders>
              <w:top w:val="nil"/>
              <w:left w:val="nil"/>
              <w:bottom w:val="single" w:sz="4" w:space="0" w:color="FFFFFF"/>
              <w:right w:val="single" w:sz="4" w:space="0" w:color="FFFFFF"/>
            </w:tcBorders>
            <w:shd w:val="clear" w:color="000000" w:fill="FDE9D9"/>
            <w:noWrap/>
            <w:vAlign w:val="center"/>
            <w:hideMark/>
          </w:tcPr>
          <w:p w14:paraId="7C39160D"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Provisions</w:t>
            </w:r>
          </w:p>
        </w:tc>
        <w:tc>
          <w:tcPr>
            <w:tcW w:w="764" w:type="dxa"/>
            <w:tcBorders>
              <w:top w:val="nil"/>
              <w:left w:val="nil"/>
              <w:bottom w:val="single" w:sz="4" w:space="0" w:color="FFFFFF"/>
              <w:right w:val="single" w:sz="4" w:space="0" w:color="FFFFFF"/>
            </w:tcBorders>
            <w:shd w:val="clear" w:color="000000" w:fill="FDE9D9"/>
            <w:noWrap/>
            <w:vAlign w:val="center"/>
          </w:tcPr>
          <w:p w14:paraId="350FF0A0" w14:textId="3014F398" w:rsidR="00794AA0" w:rsidRPr="00794AA0" w:rsidRDefault="007E2A77" w:rsidP="00436CCB">
            <w:pPr>
              <w:jc w:val="right"/>
              <w:rPr>
                <w:rFonts w:ascii="Calibri" w:hAnsi="Calibri"/>
                <w:color w:val="000000"/>
                <w:lang w:eastAsia="en-GB"/>
              </w:rPr>
            </w:pPr>
            <w:r>
              <w:rPr>
                <w:rFonts w:ascii="Calibri" w:hAnsi="Calibri"/>
                <w:color w:val="000000"/>
                <w:lang w:eastAsia="en-GB"/>
              </w:rPr>
              <w:t>3</w:t>
            </w:r>
            <w:r w:rsidR="00805549">
              <w:rPr>
                <w:rFonts w:ascii="Calibri" w:hAnsi="Calibri"/>
                <w:color w:val="000000"/>
                <w:lang w:eastAsia="en-GB"/>
              </w:rPr>
              <w:t>2</w:t>
            </w:r>
          </w:p>
        </w:tc>
        <w:tc>
          <w:tcPr>
            <w:tcW w:w="1475" w:type="dxa"/>
            <w:tcBorders>
              <w:top w:val="nil"/>
              <w:left w:val="nil"/>
              <w:bottom w:val="single" w:sz="4" w:space="0" w:color="FFFFFF"/>
              <w:right w:val="single" w:sz="4" w:space="0" w:color="FFFFFF"/>
            </w:tcBorders>
            <w:shd w:val="clear" w:color="000000" w:fill="FDE9D9"/>
            <w:noWrap/>
            <w:vAlign w:val="center"/>
          </w:tcPr>
          <w:p w14:paraId="3F8F065D" w14:textId="6A8884C7" w:rsidR="00794AA0" w:rsidRPr="00794AA0" w:rsidRDefault="006362BB" w:rsidP="00794AA0">
            <w:pPr>
              <w:jc w:val="right"/>
              <w:rPr>
                <w:rFonts w:ascii="Calibri" w:hAnsi="Calibri"/>
                <w:color w:val="000000"/>
                <w:lang w:eastAsia="en-GB"/>
              </w:rPr>
            </w:pPr>
            <w:r>
              <w:rPr>
                <w:rFonts w:ascii="Calibri" w:hAnsi="Calibri"/>
                <w:color w:val="000000"/>
                <w:lang w:eastAsia="en-GB"/>
              </w:rPr>
              <w:t>317</w:t>
            </w:r>
          </w:p>
        </w:tc>
      </w:tr>
      <w:tr w:rsidR="00794AA0" w:rsidRPr="00794AA0" w14:paraId="5D3A7083"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6422414F" w14:textId="4234517D" w:rsidR="00794AA0" w:rsidRPr="00794AA0" w:rsidRDefault="005538C0" w:rsidP="005565F1">
            <w:pPr>
              <w:jc w:val="right"/>
              <w:rPr>
                <w:rFonts w:ascii="Calibri" w:hAnsi="Calibri"/>
                <w:color w:val="000000"/>
                <w:lang w:eastAsia="en-GB"/>
              </w:rPr>
            </w:pPr>
            <w:r>
              <w:rPr>
                <w:rFonts w:ascii="Calibri" w:hAnsi="Calibri"/>
                <w:color w:val="000000"/>
                <w:lang w:eastAsia="en-GB"/>
              </w:rPr>
              <w:t>8,669</w:t>
            </w:r>
          </w:p>
        </w:tc>
        <w:tc>
          <w:tcPr>
            <w:tcW w:w="6159" w:type="dxa"/>
            <w:tcBorders>
              <w:top w:val="nil"/>
              <w:left w:val="nil"/>
              <w:bottom w:val="single" w:sz="4" w:space="0" w:color="FFFFFF"/>
              <w:right w:val="single" w:sz="4" w:space="0" w:color="FFFFFF"/>
            </w:tcBorders>
            <w:shd w:val="clear" w:color="000000" w:fill="FDE9D9"/>
            <w:noWrap/>
            <w:vAlign w:val="center"/>
            <w:hideMark/>
          </w:tcPr>
          <w:p w14:paraId="11304DFE"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Short Term Payables</w:t>
            </w:r>
          </w:p>
        </w:tc>
        <w:tc>
          <w:tcPr>
            <w:tcW w:w="764" w:type="dxa"/>
            <w:tcBorders>
              <w:top w:val="nil"/>
              <w:left w:val="nil"/>
              <w:bottom w:val="single" w:sz="4" w:space="0" w:color="FFFFFF"/>
              <w:right w:val="single" w:sz="4" w:space="0" w:color="FFFFFF"/>
            </w:tcBorders>
            <w:shd w:val="clear" w:color="000000" w:fill="FDE9D9"/>
            <w:noWrap/>
            <w:vAlign w:val="center"/>
          </w:tcPr>
          <w:p w14:paraId="052CB808" w14:textId="7F94BE20" w:rsidR="00794AA0" w:rsidRPr="00794AA0" w:rsidRDefault="007E2A77" w:rsidP="00436CCB">
            <w:pPr>
              <w:jc w:val="right"/>
              <w:rPr>
                <w:rFonts w:ascii="Calibri" w:hAnsi="Calibri"/>
                <w:color w:val="000000"/>
                <w:lang w:eastAsia="en-GB"/>
              </w:rPr>
            </w:pPr>
            <w:r>
              <w:rPr>
                <w:rFonts w:ascii="Calibri" w:hAnsi="Calibri"/>
                <w:color w:val="000000"/>
                <w:lang w:eastAsia="en-GB"/>
              </w:rPr>
              <w:t>3</w:t>
            </w:r>
            <w:r w:rsidR="00805549">
              <w:rPr>
                <w:rFonts w:ascii="Calibri" w:hAnsi="Calibri"/>
                <w:color w:val="000000"/>
                <w:lang w:eastAsia="en-GB"/>
              </w:rPr>
              <w:t>1</w:t>
            </w:r>
          </w:p>
        </w:tc>
        <w:tc>
          <w:tcPr>
            <w:tcW w:w="1475" w:type="dxa"/>
            <w:tcBorders>
              <w:top w:val="nil"/>
              <w:left w:val="nil"/>
              <w:bottom w:val="single" w:sz="4" w:space="0" w:color="FFFFFF"/>
              <w:right w:val="single" w:sz="4" w:space="0" w:color="FFFFFF"/>
            </w:tcBorders>
            <w:shd w:val="clear" w:color="000000" w:fill="FDE9D9"/>
            <w:noWrap/>
            <w:vAlign w:val="center"/>
          </w:tcPr>
          <w:p w14:paraId="1F9CCB92" w14:textId="3EC7EC15" w:rsidR="00794AA0" w:rsidRPr="00794AA0" w:rsidRDefault="006362BB" w:rsidP="00AD59AD">
            <w:pPr>
              <w:jc w:val="right"/>
              <w:rPr>
                <w:rFonts w:ascii="Calibri" w:hAnsi="Calibri"/>
                <w:color w:val="000000"/>
                <w:lang w:eastAsia="en-GB"/>
              </w:rPr>
            </w:pPr>
            <w:r>
              <w:rPr>
                <w:rFonts w:ascii="Calibri" w:hAnsi="Calibri"/>
                <w:color w:val="000000"/>
                <w:lang w:eastAsia="en-GB"/>
              </w:rPr>
              <w:t>5,367</w:t>
            </w:r>
          </w:p>
        </w:tc>
      </w:tr>
      <w:tr w:rsidR="00794AA0" w:rsidRPr="00794AA0" w14:paraId="3BFF5B00"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25FB2E94" w14:textId="0FCD2869" w:rsidR="00794AA0" w:rsidRPr="00794AA0" w:rsidRDefault="003F72FD" w:rsidP="005565F1">
            <w:pPr>
              <w:jc w:val="right"/>
              <w:rPr>
                <w:rFonts w:ascii="Calibri" w:hAnsi="Calibri"/>
                <w:b/>
                <w:bCs/>
                <w:color w:val="000000"/>
                <w:lang w:eastAsia="en-GB"/>
              </w:rPr>
            </w:pPr>
            <w:r>
              <w:rPr>
                <w:rFonts w:ascii="Calibri" w:hAnsi="Calibri"/>
                <w:b/>
                <w:bCs/>
                <w:color w:val="000000"/>
                <w:lang w:eastAsia="en-GB"/>
              </w:rPr>
              <w:t>8,</w:t>
            </w:r>
            <w:r w:rsidR="005538C0">
              <w:rPr>
                <w:rFonts w:ascii="Calibri" w:hAnsi="Calibri"/>
                <w:b/>
                <w:bCs/>
                <w:color w:val="000000"/>
                <w:lang w:eastAsia="en-GB"/>
              </w:rPr>
              <w:t>967</w:t>
            </w:r>
          </w:p>
        </w:tc>
        <w:tc>
          <w:tcPr>
            <w:tcW w:w="6159" w:type="dxa"/>
            <w:tcBorders>
              <w:top w:val="nil"/>
              <w:left w:val="nil"/>
              <w:bottom w:val="single" w:sz="4" w:space="0" w:color="FFFFFF"/>
              <w:right w:val="single" w:sz="4" w:space="0" w:color="FFFFFF"/>
            </w:tcBorders>
            <w:shd w:val="clear" w:color="000000" w:fill="FCD5B4"/>
            <w:noWrap/>
            <w:vAlign w:val="center"/>
            <w:hideMark/>
          </w:tcPr>
          <w:p w14:paraId="3036A734"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Current Liabilities</w:t>
            </w:r>
          </w:p>
        </w:tc>
        <w:tc>
          <w:tcPr>
            <w:tcW w:w="764" w:type="dxa"/>
            <w:tcBorders>
              <w:top w:val="nil"/>
              <w:left w:val="nil"/>
              <w:bottom w:val="single" w:sz="4" w:space="0" w:color="FFFFFF"/>
              <w:right w:val="single" w:sz="4" w:space="0" w:color="FFFFFF"/>
            </w:tcBorders>
            <w:shd w:val="clear" w:color="000000" w:fill="FCD5B4"/>
            <w:noWrap/>
            <w:vAlign w:val="center"/>
          </w:tcPr>
          <w:p w14:paraId="3BB93BA6" w14:textId="77777777" w:rsidR="00794AA0" w:rsidRPr="00794AA0" w:rsidRDefault="00794AA0" w:rsidP="00794AA0">
            <w:pPr>
              <w:rPr>
                <w:rFonts w:ascii="Calibri" w:hAnsi="Calibri"/>
                <w:b/>
                <w:bCs/>
                <w:color w:val="000000"/>
                <w:lang w:eastAsia="en-GB"/>
              </w:rPr>
            </w:pPr>
          </w:p>
        </w:tc>
        <w:tc>
          <w:tcPr>
            <w:tcW w:w="1475" w:type="dxa"/>
            <w:tcBorders>
              <w:top w:val="nil"/>
              <w:left w:val="nil"/>
              <w:bottom w:val="single" w:sz="4" w:space="0" w:color="FFFFFF"/>
              <w:right w:val="single" w:sz="4" w:space="0" w:color="FFFFFF"/>
            </w:tcBorders>
            <w:shd w:val="clear" w:color="000000" w:fill="FCD5B4"/>
            <w:noWrap/>
            <w:vAlign w:val="center"/>
          </w:tcPr>
          <w:p w14:paraId="4C322D44" w14:textId="669104E2" w:rsidR="00794AA0" w:rsidRPr="00794AA0" w:rsidRDefault="006362BB" w:rsidP="00AD59AD">
            <w:pPr>
              <w:jc w:val="right"/>
              <w:rPr>
                <w:rFonts w:ascii="Calibri" w:hAnsi="Calibri"/>
                <w:b/>
                <w:bCs/>
                <w:color w:val="000000"/>
                <w:lang w:eastAsia="en-GB"/>
              </w:rPr>
            </w:pPr>
            <w:r>
              <w:rPr>
                <w:rFonts w:ascii="Calibri" w:hAnsi="Calibri"/>
                <w:b/>
                <w:bCs/>
                <w:color w:val="000000"/>
                <w:lang w:eastAsia="en-GB"/>
              </w:rPr>
              <w:t>5,684</w:t>
            </w:r>
          </w:p>
        </w:tc>
      </w:tr>
      <w:tr w:rsidR="00794AA0" w:rsidRPr="00794AA0" w14:paraId="2BD5655B"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4E52EBE9" w14:textId="77777777" w:rsidR="00794AA0" w:rsidRPr="00794AA0" w:rsidRDefault="00794AA0" w:rsidP="00794AA0">
            <w:pPr>
              <w:jc w:val="right"/>
              <w:rPr>
                <w:rFonts w:ascii="Calibri" w:hAnsi="Calibri"/>
                <w:color w:val="000000"/>
                <w:lang w:eastAsia="en-GB"/>
              </w:rPr>
            </w:pPr>
            <w:r w:rsidRPr="00794AA0">
              <w:rPr>
                <w:rFonts w:ascii="Calibri" w:hAnsi="Calibri"/>
                <w:color w:val="000000"/>
                <w:lang w:eastAsia="en-GB"/>
              </w:rPr>
              <w:t>31,</w:t>
            </w:r>
            <w:r>
              <w:rPr>
                <w:rFonts w:ascii="Calibri" w:hAnsi="Calibri"/>
                <w:color w:val="000000"/>
                <w:lang w:eastAsia="en-GB"/>
              </w:rPr>
              <w:t>5</w:t>
            </w:r>
            <w:r w:rsidR="00E05DF5">
              <w:rPr>
                <w:rFonts w:ascii="Calibri" w:hAnsi="Calibri"/>
                <w:color w:val="000000"/>
                <w:lang w:eastAsia="en-GB"/>
              </w:rPr>
              <w:t>34</w:t>
            </w:r>
          </w:p>
        </w:tc>
        <w:tc>
          <w:tcPr>
            <w:tcW w:w="6159" w:type="dxa"/>
            <w:tcBorders>
              <w:top w:val="nil"/>
              <w:left w:val="nil"/>
              <w:bottom w:val="single" w:sz="4" w:space="0" w:color="FFFFFF"/>
              <w:right w:val="single" w:sz="4" w:space="0" w:color="FFFFFF"/>
            </w:tcBorders>
            <w:shd w:val="clear" w:color="000000" w:fill="FDE9D9"/>
            <w:noWrap/>
            <w:vAlign w:val="center"/>
            <w:hideMark/>
          </w:tcPr>
          <w:p w14:paraId="5E312C79"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Long Term Borrowing</w:t>
            </w:r>
          </w:p>
        </w:tc>
        <w:tc>
          <w:tcPr>
            <w:tcW w:w="764" w:type="dxa"/>
            <w:tcBorders>
              <w:top w:val="nil"/>
              <w:left w:val="nil"/>
              <w:bottom w:val="single" w:sz="4" w:space="0" w:color="FFFFFF"/>
              <w:right w:val="single" w:sz="4" w:space="0" w:color="FFFFFF"/>
            </w:tcBorders>
            <w:shd w:val="clear" w:color="000000" w:fill="FDE9D9"/>
            <w:noWrap/>
            <w:vAlign w:val="center"/>
          </w:tcPr>
          <w:p w14:paraId="1F840E34" w14:textId="6ECD3AA1" w:rsidR="00794AA0" w:rsidRPr="00794AA0" w:rsidRDefault="007E2A77" w:rsidP="00794AA0">
            <w:pPr>
              <w:jc w:val="right"/>
              <w:rPr>
                <w:rFonts w:ascii="Calibri" w:hAnsi="Calibri"/>
                <w:color w:val="000000"/>
                <w:lang w:eastAsia="en-GB"/>
              </w:rPr>
            </w:pPr>
            <w:r>
              <w:rPr>
                <w:rFonts w:ascii="Calibri" w:hAnsi="Calibri"/>
                <w:color w:val="000000"/>
                <w:lang w:eastAsia="en-GB"/>
              </w:rPr>
              <w:t>2</w:t>
            </w:r>
            <w:r w:rsidR="00805549">
              <w:rPr>
                <w:rFonts w:ascii="Calibri" w:hAnsi="Calibri"/>
                <w:color w:val="000000"/>
                <w:lang w:eastAsia="en-GB"/>
              </w:rPr>
              <w:t>2</w:t>
            </w:r>
          </w:p>
        </w:tc>
        <w:tc>
          <w:tcPr>
            <w:tcW w:w="1475" w:type="dxa"/>
            <w:tcBorders>
              <w:top w:val="nil"/>
              <w:left w:val="nil"/>
              <w:bottom w:val="single" w:sz="4" w:space="0" w:color="FFFFFF"/>
              <w:right w:val="single" w:sz="4" w:space="0" w:color="FFFFFF"/>
            </w:tcBorders>
            <w:shd w:val="clear" w:color="000000" w:fill="FDE9D9"/>
            <w:noWrap/>
            <w:vAlign w:val="center"/>
          </w:tcPr>
          <w:p w14:paraId="2821981D" w14:textId="2FADC4CA" w:rsidR="00794AA0" w:rsidRPr="00794AA0" w:rsidRDefault="006362BB" w:rsidP="00794AA0">
            <w:pPr>
              <w:jc w:val="right"/>
              <w:rPr>
                <w:rFonts w:ascii="Calibri" w:hAnsi="Calibri"/>
                <w:color w:val="000000"/>
                <w:lang w:eastAsia="en-GB"/>
              </w:rPr>
            </w:pPr>
            <w:r>
              <w:rPr>
                <w:rFonts w:ascii="Calibri" w:hAnsi="Calibri"/>
                <w:color w:val="000000"/>
                <w:lang w:eastAsia="en-GB"/>
              </w:rPr>
              <w:t>31,534</w:t>
            </w:r>
          </w:p>
        </w:tc>
      </w:tr>
      <w:tr w:rsidR="00794AA0" w:rsidRPr="00794AA0" w14:paraId="668A6D25"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349E1F36" w14:textId="50754F91" w:rsidR="00794AA0" w:rsidRPr="00794AA0" w:rsidRDefault="00F17755" w:rsidP="005565F1">
            <w:pPr>
              <w:jc w:val="right"/>
              <w:rPr>
                <w:rFonts w:ascii="Calibri" w:hAnsi="Calibri"/>
                <w:color w:val="000000"/>
                <w:lang w:eastAsia="en-GB"/>
              </w:rPr>
            </w:pPr>
            <w:r>
              <w:rPr>
                <w:rFonts w:ascii="Calibri" w:hAnsi="Calibri"/>
                <w:color w:val="000000"/>
                <w:lang w:eastAsia="en-GB"/>
              </w:rPr>
              <w:t>2</w:t>
            </w:r>
            <w:r w:rsidR="005538C0">
              <w:rPr>
                <w:rFonts w:ascii="Calibri" w:hAnsi="Calibri"/>
                <w:color w:val="000000"/>
                <w:lang w:eastAsia="en-GB"/>
              </w:rPr>
              <w:t>0,613</w:t>
            </w:r>
          </w:p>
        </w:tc>
        <w:tc>
          <w:tcPr>
            <w:tcW w:w="6159" w:type="dxa"/>
            <w:tcBorders>
              <w:top w:val="nil"/>
              <w:left w:val="nil"/>
              <w:bottom w:val="single" w:sz="4" w:space="0" w:color="FFFFFF"/>
              <w:right w:val="single" w:sz="4" w:space="0" w:color="FFFFFF"/>
            </w:tcBorders>
            <w:shd w:val="clear" w:color="000000" w:fill="FDE9D9"/>
            <w:noWrap/>
            <w:vAlign w:val="center"/>
            <w:hideMark/>
          </w:tcPr>
          <w:p w14:paraId="31203B93"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 xml:space="preserve">Other </w:t>
            </w:r>
            <w:proofErr w:type="gramStart"/>
            <w:r w:rsidRPr="00794AA0">
              <w:rPr>
                <w:rFonts w:ascii="Calibri" w:hAnsi="Calibri"/>
                <w:color w:val="000000"/>
                <w:lang w:eastAsia="en-GB"/>
              </w:rPr>
              <w:t>Long Term</w:t>
            </w:r>
            <w:proofErr w:type="gramEnd"/>
            <w:r w:rsidRPr="00794AA0">
              <w:rPr>
                <w:rFonts w:ascii="Calibri" w:hAnsi="Calibri"/>
                <w:color w:val="000000"/>
                <w:lang w:eastAsia="en-GB"/>
              </w:rPr>
              <w:t xml:space="preserve"> Liabilities</w:t>
            </w:r>
          </w:p>
        </w:tc>
        <w:tc>
          <w:tcPr>
            <w:tcW w:w="764" w:type="dxa"/>
            <w:tcBorders>
              <w:top w:val="nil"/>
              <w:left w:val="nil"/>
              <w:bottom w:val="single" w:sz="4" w:space="0" w:color="FFFFFF"/>
              <w:right w:val="single" w:sz="4" w:space="0" w:color="FFFFFF"/>
            </w:tcBorders>
            <w:shd w:val="clear" w:color="000000" w:fill="FDE9D9"/>
            <w:noWrap/>
            <w:vAlign w:val="center"/>
          </w:tcPr>
          <w:p w14:paraId="3C9A51E4" w14:textId="1DA46AED" w:rsidR="00794AA0" w:rsidRPr="00794AA0" w:rsidRDefault="00805549" w:rsidP="008D2291">
            <w:pPr>
              <w:jc w:val="right"/>
              <w:rPr>
                <w:rFonts w:ascii="Calibri" w:hAnsi="Calibri"/>
                <w:color w:val="000000"/>
                <w:lang w:eastAsia="en-GB"/>
              </w:rPr>
            </w:pPr>
            <w:r>
              <w:rPr>
                <w:rFonts w:ascii="Calibri" w:hAnsi="Calibri"/>
                <w:color w:val="000000"/>
                <w:lang w:eastAsia="en-GB"/>
              </w:rPr>
              <w:t>22</w:t>
            </w:r>
            <w:r w:rsidR="007E2A77">
              <w:rPr>
                <w:rFonts w:ascii="Calibri" w:hAnsi="Calibri"/>
                <w:color w:val="000000"/>
                <w:lang w:eastAsia="en-GB"/>
              </w:rPr>
              <w:t>/3</w:t>
            </w:r>
            <w:r>
              <w:rPr>
                <w:rFonts w:ascii="Calibri" w:hAnsi="Calibri"/>
                <w:color w:val="000000"/>
                <w:lang w:eastAsia="en-GB"/>
              </w:rPr>
              <w:t>4</w:t>
            </w:r>
          </w:p>
        </w:tc>
        <w:tc>
          <w:tcPr>
            <w:tcW w:w="1475" w:type="dxa"/>
            <w:tcBorders>
              <w:top w:val="nil"/>
              <w:left w:val="nil"/>
              <w:bottom w:val="single" w:sz="4" w:space="0" w:color="FFFFFF"/>
              <w:right w:val="single" w:sz="4" w:space="0" w:color="FFFFFF"/>
            </w:tcBorders>
            <w:shd w:val="clear" w:color="000000" w:fill="FDE9D9"/>
            <w:noWrap/>
            <w:vAlign w:val="center"/>
          </w:tcPr>
          <w:p w14:paraId="0744695B" w14:textId="04A8D5FF" w:rsidR="00794AA0" w:rsidRPr="00794AA0" w:rsidRDefault="006362BB" w:rsidP="00193DED">
            <w:pPr>
              <w:jc w:val="right"/>
              <w:rPr>
                <w:rFonts w:ascii="Calibri" w:hAnsi="Calibri"/>
                <w:color w:val="000000"/>
                <w:lang w:eastAsia="en-GB"/>
              </w:rPr>
            </w:pPr>
            <w:r>
              <w:rPr>
                <w:rFonts w:ascii="Calibri" w:hAnsi="Calibri"/>
                <w:color w:val="000000"/>
                <w:lang w:eastAsia="en-GB"/>
              </w:rPr>
              <w:t>2,306</w:t>
            </w:r>
          </w:p>
        </w:tc>
      </w:tr>
      <w:tr w:rsidR="00794AA0" w:rsidRPr="00794AA0" w14:paraId="71B4C0CC"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678A2145" w14:textId="00D85F58" w:rsidR="00794AA0" w:rsidRPr="00794AA0" w:rsidRDefault="00794AA0" w:rsidP="00794AA0">
            <w:pPr>
              <w:jc w:val="right"/>
              <w:rPr>
                <w:rFonts w:ascii="Calibri" w:hAnsi="Calibri"/>
                <w:color w:val="000000"/>
                <w:lang w:eastAsia="en-GB"/>
              </w:rPr>
            </w:pPr>
            <w:r w:rsidRPr="00794AA0">
              <w:rPr>
                <w:rFonts w:ascii="Calibri" w:hAnsi="Calibri"/>
                <w:color w:val="000000"/>
                <w:lang w:eastAsia="en-GB"/>
              </w:rPr>
              <w:t> </w:t>
            </w:r>
            <w:r w:rsidR="005538C0">
              <w:rPr>
                <w:rFonts w:ascii="Calibri" w:hAnsi="Calibri"/>
                <w:color w:val="000000"/>
                <w:lang w:eastAsia="en-GB"/>
              </w:rPr>
              <w:t>456</w:t>
            </w:r>
          </w:p>
        </w:tc>
        <w:tc>
          <w:tcPr>
            <w:tcW w:w="6159" w:type="dxa"/>
            <w:tcBorders>
              <w:top w:val="nil"/>
              <w:left w:val="nil"/>
              <w:bottom w:val="single" w:sz="4" w:space="0" w:color="FFFFFF"/>
              <w:right w:val="single" w:sz="4" w:space="0" w:color="FFFFFF"/>
            </w:tcBorders>
            <w:shd w:val="clear" w:color="000000" w:fill="FDE9D9"/>
            <w:noWrap/>
            <w:vAlign w:val="center"/>
            <w:hideMark/>
          </w:tcPr>
          <w:p w14:paraId="392B456F"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Capital Grants Receipts in Advance</w:t>
            </w:r>
          </w:p>
        </w:tc>
        <w:tc>
          <w:tcPr>
            <w:tcW w:w="764" w:type="dxa"/>
            <w:tcBorders>
              <w:top w:val="nil"/>
              <w:left w:val="nil"/>
              <w:bottom w:val="single" w:sz="4" w:space="0" w:color="FFFFFF"/>
              <w:right w:val="single" w:sz="4" w:space="0" w:color="FFFFFF"/>
            </w:tcBorders>
            <w:shd w:val="clear" w:color="000000" w:fill="FDE9D9"/>
            <w:noWrap/>
            <w:vAlign w:val="center"/>
          </w:tcPr>
          <w:p w14:paraId="4C138658" w14:textId="4761F1B2" w:rsidR="00794AA0" w:rsidRPr="00794AA0" w:rsidRDefault="00805549" w:rsidP="00794AA0">
            <w:pPr>
              <w:jc w:val="right"/>
              <w:rPr>
                <w:rFonts w:ascii="Calibri" w:hAnsi="Calibri"/>
                <w:color w:val="000000"/>
                <w:lang w:eastAsia="en-GB"/>
              </w:rPr>
            </w:pPr>
            <w:r>
              <w:rPr>
                <w:rFonts w:ascii="Calibri" w:hAnsi="Calibri"/>
                <w:color w:val="000000"/>
                <w:lang w:eastAsia="en-GB"/>
              </w:rPr>
              <w:t>8</w:t>
            </w:r>
          </w:p>
        </w:tc>
        <w:tc>
          <w:tcPr>
            <w:tcW w:w="1475" w:type="dxa"/>
            <w:tcBorders>
              <w:top w:val="nil"/>
              <w:left w:val="nil"/>
              <w:bottom w:val="single" w:sz="4" w:space="0" w:color="FFFFFF"/>
              <w:right w:val="single" w:sz="4" w:space="0" w:color="FFFFFF"/>
            </w:tcBorders>
            <w:shd w:val="clear" w:color="000000" w:fill="FDE9D9"/>
            <w:noWrap/>
            <w:vAlign w:val="center"/>
          </w:tcPr>
          <w:p w14:paraId="2415C1B3" w14:textId="5C265108" w:rsidR="00794AA0" w:rsidRPr="00794AA0" w:rsidRDefault="006362BB" w:rsidP="00794AA0">
            <w:pPr>
              <w:jc w:val="right"/>
              <w:rPr>
                <w:rFonts w:ascii="Calibri" w:hAnsi="Calibri"/>
                <w:color w:val="000000"/>
                <w:lang w:eastAsia="en-GB"/>
              </w:rPr>
            </w:pPr>
            <w:r>
              <w:rPr>
                <w:rFonts w:ascii="Calibri" w:hAnsi="Calibri"/>
                <w:color w:val="000000"/>
                <w:lang w:eastAsia="en-GB"/>
              </w:rPr>
              <w:t>0</w:t>
            </w:r>
          </w:p>
        </w:tc>
      </w:tr>
      <w:tr w:rsidR="00794AA0" w:rsidRPr="00794AA0" w14:paraId="43D4900D"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3E554AF8" w14:textId="1B617805" w:rsidR="00794AA0" w:rsidRPr="00794AA0" w:rsidRDefault="005078DE" w:rsidP="005565F1">
            <w:pPr>
              <w:jc w:val="right"/>
              <w:rPr>
                <w:rFonts w:ascii="Calibri" w:hAnsi="Calibri"/>
                <w:color w:val="000000"/>
                <w:lang w:eastAsia="en-GB"/>
              </w:rPr>
            </w:pPr>
            <w:r>
              <w:rPr>
                <w:rFonts w:ascii="Calibri" w:hAnsi="Calibri"/>
                <w:color w:val="000000"/>
                <w:lang w:eastAsia="en-GB"/>
              </w:rPr>
              <w:t>1,</w:t>
            </w:r>
            <w:r w:rsidR="005538C0">
              <w:rPr>
                <w:rFonts w:ascii="Calibri" w:hAnsi="Calibri"/>
                <w:color w:val="000000"/>
                <w:lang w:eastAsia="en-GB"/>
              </w:rPr>
              <w:t>828</w:t>
            </w:r>
          </w:p>
        </w:tc>
        <w:tc>
          <w:tcPr>
            <w:tcW w:w="6159" w:type="dxa"/>
            <w:tcBorders>
              <w:top w:val="nil"/>
              <w:left w:val="nil"/>
              <w:bottom w:val="single" w:sz="4" w:space="0" w:color="FFFFFF"/>
              <w:right w:val="single" w:sz="4" w:space="0" w:color="FFFFFF"/>
            </w:tcBorders>
            <w:shd w:val="clear" w:color="000000" w:fill="FDE9D9"/>
            <w:noWrap/>
            <w:vAlign w:val="center"/>
            <w:hideMark/>
          </w:tcPr>
          <w:p w14:paraId="6929E57B"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Revenue Grants Receipts in Advance</w:t>
            </w:r>
          </w:p>
        </w:tc>
        <w:tc>
          <w:tcPr>
            <w:tcW w:w="764" w:type="dxa"/>
            <w:tcBorders>
              <w:top w:val="nil"/>
              <w:left w:val="nil"/>
              <w:bottom w:val="single" w:sz="4" w:space="0" w:color="FFFFFF"/>
              <w:right w:val="single" w:sz="4" w:space="0" w:color="FFFFFF"/>
            </w:tcBorders>
            <w:shd w:val="clear" w:color="000000" w:fill="FDE9D9"/>
            <w:noWrap/>
            <w:vAlign w:val="center"/>
          </w:tcPr>
          <w:p w14:paraId="07559447" w14:textId="36EC92B6" w:rsidR="00794AA0" w:rsidRPr="00794AA0" w:rsidRDefault="00805549" w:rsidP="00794AA0">
            <w:pPr>
              <w:jc w:val="right"/>
              <w:rPr>
                <w:rFonts w:ascii="Calibri" w:hAnsi="Calibri"/>
                <w:color w:val="000000"/>
                <w:lang w:eastAsia="en-GB"/>
              </w:rPr>
            </w:pPr>
            <w:r>
              <w:rPr>
                <w:rFonts w:ascii="Calibri" w:hAnsi="Calibri"/>
                <w:color w:val="000000"/>
                <w:lang w:eastAsia="en-GB"/>
              </w:rPr>
              <w:t>8</w:t>
            </w:r>
          </w:p>
        </w:tc>
        <w:tc>
          <w:tcPr>
            <w:tcW w:w="1475" w:type="dxa"/>
            <w:tcBorders>
              <w:top w:val="nil"/>
              <w:left w:val="nil"/>
              <w:bottom w:val="single" w:sz="4" w:space="0" w:color="FFFFFF"/>
              <w:right w:val="single" w:sz="4" w:space="0" w:color="FFFFFF"/>
            </w:tcBorders>
            <w:shd w:val="clear" w:color="000000" w:fill="FDE9D9"/>
            <w:noWrap/>
            <w:vAlign w:val="center"/>
          </w:tcPr>
          <w:p w14:paraId="79260D2E" w14:textId="570F1B2F" w:rsidR="00794AA0" w:rsidRPr="00794AA0" w:rsidRDefault="006362BB" w:rsidP="00794AA0">
            <w:pPr>
              <w:jc w:val="right"/>
              <w:rPr>
                <w:rFonts w:ascii="Calibri" w:hAnsi="Calibri"/>
                <w:color w:val="000000"/>
                <w:lang w:eastAsia="en-GB"/>
              </w:rPr>
            </w:pPr>
            <w:r>
              <w:rPr>
                <w:rFonts w:ascii="Calibri" w:hAnsi="Calibri"/>
                <w:color w:val="000000"/>
                <w:lang w:eastAsia="en-GB"/>
              </w:rPr>
              <w:t>663</w:t>
            </w:r>
          </w:p>
        </w:tc>
      </w:tr>
      <w:tr w:rsidR="00794AA0" w:rsidRPr="00794AA0" w14:paraId="479153AF"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4CA723C1" w14:textId="6D739D09" w:rsidR="00794AA0" w:rsidRPr="00794AA0" w:rsidRDefault="005538C0" w:rsidP="00794AA0">
            <w:pPr>
              <w:jc w:val="right"/>
              <w:rPr>
                <w:rFonts w:ascii="Calibri" w:hAnsi="Calibri"/>
                <w:b/>
                <w:bCs/>
                <w:color w:val="000000"/>
                <w:lang w:eastAsia="en-GB"/>
              </w:rPr>
            </w:pPr>
            <w:r>
              <w:rPr>
                <w:rFonts w:ascii="Calibri" w:hAnsi="Calibri"/>
                <w:b/>
                <w:bCs/>
                <w:color w:val="000000"/>
                <w:lang w:eastAsia="en-GB"/>
              </w:rPr>
              <w:t>54,431</w:t>
            </w:r>
          </w:p>
        </w:tc>
        <w:tc>
          <w:tcPr>
            <w:tcW w:w="6159" w:type="dxa"/>
            <w:tcBorders>
              <w:top w:val="nil"/>
              <w:left w:val="nil"/>
              <w:bottom w:val="single" w:sz="4" w:space="0" w:color="FFFFFF"/>
              <w:right w:val="single" w:sz="4" w:space="0" w:color="FFFFFF"/>
            </w:tcBorders>
            <w:shd w:val="clear" w:color="000000" w:fill="FCD5B4"/>
            <w:noWrap/>
            <w:vAlign w:val="center"/>
            <w:hideMark/>
          </w:tcPr>
          <w:p w14:paraId="43138592"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Long Term Liabilities</w:t>
            </w:r>
          </w:p>
        </w:tc>
        <w:tc>
          <w:tcPr>
            <w:tcW w:w="764" w:type="dxa"/>
            <w:tcBorders>
              <w:top w:val="nil"/>
              <w:left w:val="nil"/>
              <w:bottom w:val="single" w:sz="4" w:space="0" w:color="FFFFFF"/>
              <w:right w:val="single" w:sz="4" w:space="0" w:color="FFFFFF"/>
            </w:tcBorders>
            <w:shd w:val="clear" w:color="000000" w:fill="FCD5B4"/>
            <w:noWrap/>
            <w:vAlign w:val="center"/>
          </w:tcPr>
          <w:p w14:paraId="5EF7FF70" w14:textId="77777777" w:rsidR="00794AA0" w:rsidRPr="00794AA0" w:rsidRDefault="00794AA0" w:rsidP="00794AA0">
            <w:pPr>
              <w:rPr>
                <w:rFonts w:ascii="Calibri" w:hAnsi="Calibri"/>
                <w:b/>
                <w:bCs/>
                <w:color w:val="000000"/>
                <w:lang w:eastAsia="en-GB"/>
              </w:rPr>
            </w:pPr>
          </w:p>
        </w:tc>
        <w:tc>
          <w:tcPr>
            <w:tcW w:w="1475" w:type="dxa"/>
            <w:tcBorders>
              <w:top w:val="nil"/>
              <w:left w:val="nil"/>
              <w:bottom w:val="single" w:sz="4" w:space="0" w:color="FFFFFF"/>
              <w:right w:val="single" w:sz="4" w:space="0" w:color="FFFFFF"/>
            </w:tcBorders>
            <w:shd w:val="clear" w:color="000000" w:fill="FCD5B4"/>
            <w:noWrap/>
            <w:vAlign w:val="center"/>
          </w:tcPr>
          <w:p w14:paraId="6B0F5DE0" w14:textId="0289A39A" w:rsidR="00794AA0" w:rsidRPr="00794AA0" w:rsidRDefault="006362BB" w:rsidP="00193DED">
            <w:pPr>
              <w:jc w:val="right"/>
              <w:rPr>
                <w:rFonts w:ascii="Calibri" w:hAnsi="Calibri"/>
                <w:b/>
                <w:bCs/>
                <w:color w:val="000000"/>
                <w:lang w:eastAsia="en-GB"/>
              </w:rPr>
            </w:pPr>
            <w:r>
              <w:rPr>
                <w:rFonts w:ascii="Calibri" w:hAnsi="Calibri"/>
                <w:b/>
                <w:bCs/>
                <w:color w:val="000000"/>
                <w:lang w:eastAsia="en-GB"/>
              </w:rPr>
              <w:t>34,503</w:t>
            </w:r>
          </w:p>
        </w:tc>
      </w:tr>
      <w:tr w:rsidR="00794AA0" w:rsidRPr="00794AA0" w14:paraId="03EA4C00"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2D443D69" w14:textId="6EB5EBEE" w:rsidR="00794AA0" w:rsidRPr="00794AA0" w:rsidRDefault="00794AA0" w:rsidP="005565F1">
            <w:pPr>
              <w:jc w:val="right"/>
              <w:rPr>
                <w:rFonts w:ascii="Calibri" w:hAnsi="Calibri"/>
                <w:b/>
                <w:bCs/>
                <w:color w:val="000000"/>
                <w:lang w:eastAsia="en-GB"/>
              </w:rPr>
            </w:pPr>
            <w:r w:rsidRPr="00794AA0">
              <w:rPr>
                <w:rFonts w:ascii="Calibri" w:hAnsi="Calibri"/>
                <w:b/>
                <w:bCs/>
                <w:color w:val="000000"/>
                <w:lang w:eastAsia="en-GB"/>
              </w:rPr>
              <w:t> </w:t>
            </w:r>
            <w:r w:rsidR="005538C0">
              <w:rPr>
                <w:rFonts w:ascii="Calibri" w:hAnsi="Calibri"/>
                <w:b/>
                <w:bCs/>
                <w:color w:val="000000"/>
                <w:lang w:eastAsia="en-GB"/>
              </w:rPr>
              <w:t>115,041</w:t>
            </w:r>
          </w:p>
        </w:tc>
        <w:tc>
          <w:tcPr>
            <w:tcW w:w="6159" w:type="dxa"/>
            <w:tcBorders>
              <w:top w:val="nil"/>
              <w:left w:val="nil"/>
              <w:bottom w:val="single" w:sz="4" w:space="0" w:color="FFFFFF"/>
              <w:right w:val="single" w:sz="4" w:space="0" w:color="FFFFFF"/>
            </w:tcBorders>
            <w:shd w:val="clear" w:color="000000" w:fill="FCD5B4"/>
            <w:noWrap/>
            <w:vAlign w:val="center"/>
            <w:hideMark/>
          </w:tcPr>
          <w:p w14:paraId="2DF4C102"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Net Assets</w:t>
            </w:r>
          </w:p>
        </w:tc>
        <w:tc>
          <w:tcPr>
            <w:tcW w:w="764" w:type="dxa"/>
            <w:tcBorders>
              <w:top w:val="nil"/>
              <w:left w:val="nil"/>
              <w:bottom w:val="single" w:sz="4" w:space="0" w:color="FFFFFF"/>
              <w:right w:val="single" w:sz="4" w:space="0" w:color="FFFFFF"/>
            </w:tcBorders>
            <w:shd w:val="clear" w:color="000000" w:fill="FCD5B4"/>
            <w:noWrap/>
            <w:vAlign w:val="center"/>
          </w:tcPr>
          <w:p w14:paraId="219D37BB" w14:textId="77777777" w:rsidR="00794AA0" w:rsidRPr="00794AA0" w:rsidRDefault="00794AA0" w:rsidP="00794AA0">
            <w:pPr>
              <w:rPr>
                <w:rFonts w:ascii="Calibri" w:hAnsi="Calibri"/>
                <w:b/>
                <w:bCs/>
                <w:color w:val="000000"/>
                <w:lang w:eastAsia="en-GB"/>
              </w:rPr>
            </w:pPr>
          </w:p>
        </w:tc>
        <w:tc>
          <w:tcPr>
            <w:tcW w:w="1475" w:type="dxa"/>
            <w:tcBorders>
              <w:top w:val="nil"/>
              <w:left w:val="nil"/>
              <w:bottom w:val="single" w:sz="4" w:space="0" w:color="FFFFFF"/>
              <w:right w:val="single" w:sz="4" w:space="0" w:color="FFFFFF"/>
            </w:tcBorders>
            <w:shd w:val="clear" w:color="000000" w:fill="FCD5B4"/>
            <w:noWrap/>
            <w:vAlign w:val="center"/>
          </w:tcPr>
          <w:p w14:paraId="276FB7C8" w14:textId="08CF7011" w:rsidR="00794AA0" w:rsidRPr="00794AA0" w:rsidRDefault="006362BB" w:rsidP="0017384A">
            <w:pPr>
              <w:jc w:val="right"/>
              <w:rPr>
                <w:rFonts w:ascii="Calibri" w:hAnsi="Calibri"/>
                <w:b/>
                <w:bCs/>
                <w:color w:val="000000"/>
                <w:lang w:eastAsia="en-GB"/>
              </w:rPr>
            </w:pPr>
            <w:r>
              <w:rPr>
                <w:rFonts w:ascii="Calibri" w:hAnsi="Calibri"/>
                <w:b/>
                <w:bCs/>
                <w:color w:val="000000"/>
                <w:lang w:eastAsia="en-GB"/>
              </w:rPr>
              <w:t>144,867</w:t>
            </w:r>
          </w:p>
        </w:tc>
      </w:tr>
      <w:tr w:rsidR="00794AA0" w:rsidRPr="00794AA0" w14:paraId="5183BD73"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4E725565" w14:textId="54E6B9B5" w:rsidR="00794AA0" w:rsidRPr="00794AA0" w:rsidRDefault="005538C0" w:rsidP="005565F1">
            <w:pPr>
              <w:jc w:val="right"/>
              <w:rPr>
                <w:rFonts w:ascii="Calibri" w:hAnsi="Calibri"/>
                <w:color w:val="000000"/>
                <w:lang w:eastAsia="en-GB"/>
              </w:rPr>
            </w:pPr>
            <w:r>
              <w:rPr>
                <w:rFonts w:ascii="Calibri" w:hAnsi="Calibri"/>
                <w:color w:val="000000"/>
                <w:lang w:eastAsia="en-GB"/>
              </w:rPr>
              <w:t>20,441</w:t>
            </w:r>
          </w:p>
        </w:tc>
        <w:tc>
          <w:tcPr>
            <w:tcW w:w="6159" w:type="dxa"/>
            <w:tcBorders>
              <w:top w:val="nil"/>
              <w:left w:val="nil"/>
              <w:bottom w:val="single" w:sz="4" w:space="0" w:color="FFFFFF"/>
              <w:right w:val="single" w:sz="4" w:space="0" w:color="FFFFFF"/>
            </w:tcBorders>
            <w:shd w:val="clear" w:color="000000" w:fill="FDE9D9"/>
            <w:noWrap/>
            <w:vAlign w:val="center"/>
            <w:hideMark/>
          </w:tcPr>
          <w:p w14:paraId="1342E2C7"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Usable Reserves</w:t>
            </w:r>
          </w:p>
        </w:tc>
        <w:tc>
          <w:tcPr>
            <w:tcW w:w="764" w:type="dxa"/>
            <w:tcBorders>
              <w:top w:val="nil"/>
              <w:left w:val="nil"/>
              <w:bottom w:val="single" w:sz="4" w:space="0" w:color="FFFFFF"/>
              <w:right w:val="single" w:sz="4" w:space="0" w:color="FFFFFF"/>
            </w:tcBorders>
            <w:shd w:val="clear" w:color="000000" w:fill="FDE9D9"/>
            <w:noWrap/>
            <w:vAlign w:val="center"/>
          </w:tcPr>
          <w:p w14:paraId="0802B307" w14:textId="77777777" w:rsidR="00794AA0" w:rsidRPr="00794AA0" w:rsidRDefault="00794AA0" w:rsidP="00794AA0">
            <w:pPr>
              <w:jc w:val="right"/>
              <w:rPr>
                <w:rFonts w:ascii="Calibri" w:hAnsi="Calibri"/>
                <w:color w:val="000000"/>
                <w:lang w:eastAsia="en-GB"/>
              </w:rPr>
            </w:pPr>
          </w:p>
        </w:tc>
        <w:tc>
          <w:tcPr>
            <w:tcW w:w="1475" w:type="dxa"/>
            <w:tcBorders>
              <w:top w:val="nil"/>
              <w:left w:val="nil"/>
              <w:bottom w:val="single" w:sz="4" w:space="0" w:color="FFFFFF"/>
              <w:right w:val="single" w:sz="4" w:space="0" w:color="FFFFFF"/>
            </w:tcBorders>
            <w:shd w:val="clear" w:color="000000" w:fill="FDE9D9"/>
            <w:noWrap/>
            <w:vAlign w:val="center"/>
          </w:tcPr>
          <w:p w14:paraId="6A9AD900" w14:textId="0BB9BC23" w:rsidR="00794AA0" w:rsidRPr="00794AA0" w:rsidRDefault="006362BB" w:rsidP="00A545B5">
            <w:pPr>
              <w:jc w:val="right"/>
              <w:rPr>
                <w:rFonts w:ascii="Calibri" w:hAnsi="Calibri"/>
                <w:color w:val="000000"/>
                <w:lang w:eastAsia="en-GB"/>
              </w:rPr>
            </w:pPr>
            <w:r>
              <w:rPr>
                <w:rFonts w:ascii="Calibri" w:hAnsi="Calibri"/>
                <w:color w:val="000000"/>
                <w:lang w:eastAsia="en-GB"/>
              </w:rPr>
              <w:t>19,872</w:t>
            </w:r>
          </w:p>
        </w:tc>
      </w:tr>
      <w:tr w:rsidR="00794AA0" w:rsidRPr="00794AA0" w14:paraId="1BB1ACCF"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DE9D9"/>
            <w:noWrap/>
            <w:vAlign w:val="center"/>
            <w:hideMark/>
          </w:tcPr>
          <w:p w14:paraId="4607C68F" w14:textId="014F1EA5" w:rsidR="00794AA0" w:rsidRPr="00794AA0" w:rsidRDefault="005538C0" w:rsidP="005565F1">
            <w:pPr>
              <w:jc w:val="right"/>
              <w:rPr>
                <w:rFonts w:ascii="Calibri" w:hAnsi="Calibri"/>
                <w:color w:val="000000"/>
                <w:lang w:eastAsia="en-GB"/>
              </w:rPr>
            </w:pPr>
            <w:r>
              <w:rPr>
                <w:rFonts w:ascii="Calibri" w:hAnsi="Calibri"/>
                <w:color w:val="000000"/>
                <w:lang w:eastAsia="en-GB"/>
              </w:rPr>
              <w:t>94,600</w:t>
            </w:r>
          </w:p>
        </w:tc>
        <w:tc>
          <w:tcPr>
            <w:tcW w:w="6159" w:type="dxa"/>
            <w:tcBorders>
              <w:top w:val="nil"/>
              <w:left w:val="nil"/>
              <w:bottom w:val="single" w:sz="4" w:space="0" w:color="FFFFFF"/>
              <w:right w:val="single" w:sz="4" w:space="0" w:color="FFFFFF"/>
            </w:tcBorders>
            <w:shd w:val="clear" w:color="000000" w:fill="FDE9D9"/>
            <w:noWrap/>
            <w:vAlign w:val="center"/>
            <w:hideMark/>
          </w:tcPr>
          <w:p w14:paraId="3359375D" w14:textId="77777777" w:rsidR="00794AA0" w:rsidRPr="00794AA0" w:rsidRDefault="00794AA0" w:rsidP="00794AA0">
            <w:pPr>
              <w:rPr>
                <w:rFonts w:ascii="Calibri" w:hAnsi="Calibri"/>
                <w:color w:val="000000"/>
                <w:lang w:eastAsia="en-GB"/>
              </w:rPr>
            </w:pPr>
            <w:r w:rsidRPr="00794AA0">
              <w:rPr>
                <w:rFonts w:ascii="Calibri" w:hAnsi="Calibri"/>
                <w:color w:val="000000"/>
                <w:lang w:eastAsia="en-GB"/>
              </w:rPr>
              <w:t>Unusable Reserves</w:t>
            </w:r>
          </w:p>
        </w:tc>
        <w:tc>
          <w:tcPr>
            <w:tcW w:w="764" w:type="dxa"/>
            <w:tcBorders>
              <w:top w:val="nil"/>
              <w:left w:val="nil"/>
              <w:bottom w:val="single" w:sz="4" w:space="0" w:color="FFFFFF"/>
              <w:right w:val="single" w:sz="4" w:space="0" w:color="FFFFFF"/>
            </w:tcBorders>
            <w:shd w:val="clear" w:color="000000" w:fill="FDE9D9"/>
            <w:noWrap/>
            <w:vAlign w:val="center"/>
          </w:tcPr>
          <w:p w14:paraId="00ADB558" w14:textId="013715B9" w:rsidR="00794AA0" w:rsidRPr="00794AA0" w:rsidRDefault="00484DC3" w:rsidP="00794AA0">
            <w:pPr>
              <w:jc w:val="right"/>
              <w:rPr>
                <w:rFonts w:ascii="Calibri" w:hAnsi="Calibri"/>
                <w:color w:val="000000"/>
                <w:lang w:eastAsia="en-GB"/>
              </w:rPr>
            </w:pPr>
            <w:r>
              <w:rPr>
                <w:rFonts w:ascii="Calibri" w:hAnsi="Calibri"/>
                <w:color w:val="000000"/>
                <w:lang w:eastAsia="en-GB"/>
              </w:rPr>
              <w:t>1</w:t>
            </w:r>
            <w:r w:rsidR="00805549">
              <w:rPr>
                <w:rFonts w:ascii="Calibri" w:hAnsi="Calibri"/>
                <w:color w:val="000000"/>
                <w:lang w:eastAsia="en-GB"/>
              </w:rPr>
              <w:t>7</w:t>
            </w:r>
          </w:p>
        </w:tc>
        <w:tc>
          <w:tcPr>
            <w:tcW w:w="1475" w:type="dxa"/>
            <w:tcBorders>
              <w:top w:val="nil"/>
              <w:left w:val="nil"/>
              <w:bottom w:val="single" w:sz="4" w:space="0" w:color="FFFFFF"/>
              <w:right w:val="single" w:sz="4" w:space="0" w:color="FFFFFF"/>
            </w:tcBorders>
            <w:shd w:val="clear" w:color="000000" w:fill="FDE9D9"/>
            <w:noWrap/>
            <w:vAlign w:val="center"/>
          </w:tcPr>
          <w:p w14:paraId="23129A2E" w14:textId="77A34F89" w:rsidR="00794AA0" w:rsidRPr="00794AA0" w:rsidRDefault="006362BB" w:rsidP="0017384A">
            <w:pPr>
              <w:jc w:val="right"/>
              <w:rPr>
                <w:rFonts w:ascii="Calibri" w:hAnsi="Calibri"/>
                <w:color w:val="000000"/>
                <w:lang w:eastAsia="en-GB"/>
              </w:rPr>
            </w:pPr>
            <w:r>
              <w:rPr>
                <w:rFonts w:ascii="Calibri" w:hAnsi="Calibri"/>
                <w:color w:val="000000"/>
                <w:lang w:eastAsia="en-GB"/>
              </w:rPr>
              <w:t>124,995</w:t>
            </w:r>
          </w:p>
        </w:tc>
      </w:tr>
      <w:tr w:rsidR="00794AA0" w:rsidRPr="00794AA0" w14:paraId="20D0956D" w14:textId="77777777" w:rsidTr="00484DC3">
        <w:trPr>
          <w:trHeight w:val="300"/>
        </w:trPr>
        <w:tc>
          <w:tcPr>
            <w:tcW w:w="1456" w:type="dxa"/>
            <w:tcBorders>
              <w:top w:val="nil"/>
              <w:left w:val="single" w:sz="4" w:space="0" w:color="FFFFFF"/>
              <w:bottom w:val="single" w:sz="4" w:space="0" w:color="FFFFFF"/>
              <w:right w:val="single" w:sz="4" w:space="0" w:color="FFFFFF"/>
            </w:tcBorders>
            <w:shd w:val="clear" w:color="000000" w:fill="FCD5B4"/>
            <w:noWrap/>
            <w:vAlign w:val="center"/>
            <w:hideMark/>
          </w:tcPr>
          <w:p w14:paraId="0A3F34DE" w14:textId="182F4380" w:rsidR="00794AA0" w:rsidRPr="00794AA0" w:rsidRDefault="00794AA0" w:rsidP="005565F1">
            <w:pPr>
              <w:jc w:val="right"/>
              <w:rPr>
                <w:rFonts w:ascii="Calibri" w:hAnsi="Calibri"/>
                <w:b/>
                <w:bCs/>
                <w:color w:val="000000"/>
                <w:lang w:eastAsia="en-GB"/>
              </w:rPr>
            </w:pPr>
            <w:r w:rsidRPr="00794AA0">
              <w:rPr>
                <w:rFonts w:ascii="Calibri" w:hAnsi="Calibri"/>
                <w:b/>
                <w:bCs/>
                <w:color w:val="000000"/>
                <w:lang w:eastAsia="en-GB"/>
              </w:rPr>
              <w:t> </w:t>
            </w:r>
            <w:r w:rsidR="005538C0">
              <w:rPr>
                <w:rFonts w:ascii="Calibri" w:hAnsi="Calibri"/>
                <w:b/>
                <w:bCs/>
                <w:color w:val="000000"/>
                <w:lang w:eastAsia="en-GB"/>
              </w:rPr>
              <w:t>115,041</w:t>
            </w:r>
          </w:p>
        </w:tc>
        <w:tc>
          <w:tcPr>
            <w:tcW w:w="6159" w:type="dxa"/>
            <w:tcBorders>
              <w:top w:val="nil"/>
              <w:left w:val="nil"/>
              <w:bottom w:val="single" w:sz="4" w:space="0" w:color="FFFFFF"/>
              <w:right w:val="single" w:sz="4" w:space="0" w:color="FFFFFF"/>
            </w:tcBorders>
            <w:shd w:val="clear" w:color="000000" w:fill="FCD5B4"/>
            <w:noWrap/>
            <w:vAlign w:val="center"/>
            <w:hideMark/>
          </w:tcPr>
          <w:p w14:paraId="35DBD232"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Total Reserves</w:t>
            </w:r>
          </w:p>
        </w:tc>
        <w:tc>
          <w:tcPr>
            <w:tcW w:w="764" w:type="dxa"/>
            <w:tcBorders>
              <w:top w:val="nil"/>
              <w:left w:val="nil"/>
              <w:bottom w:val="single" w:sz="4" w:space="0" w:color="FFFFFF"/>
              <w:right w:val="single" w:sz="4" w:space="0" w:color="FFFFFF"/>
            </w:tcBorders>
            <w:shd w:val="clear" w:color="000000" w:fill="FCD5B4"/>
            <w:noWrap/>
            <w:vAlign w:val="center"/>
            <w:hideMark/>
          </w:tcPr>
          <w:p w14:paraId="4D1BAA6F" w14:textId="77777777" w:rsidR="00794AA0" w:rsidRPr="00794AA0" w:rsidRDefault="00794AA0" w:rsidP="00794AA0">
            <w:pPr>
              <w:rPr>
                <w:rFonts w:ascii="Calibri" w:hAnsi="Calibri"/>
                <w:b/>
                <w:bCs/>
                <w:color w:val="000000"/>
                <w:lang w:eastAsia="en-GB"/>
              </w:rPr>
            </w:pPr>
            <w:r w:rsidRPr="00794AA0">
              <w:rPr>
                <w:rFonts w:ascii="Calibri" w:hAnsi="Calibri"/>
                <w:b/>
                <w:bCs/>
                <w:color w:val="000000"/>
                <w:lang w:eastAsia="en-GB"/>
              </w:rPr>
              <w:t> </w:t>
            </w:r>
          </w:p>
        </w:tc>
        <w:tc>
          <w:tcPr>
            <w:tcW w:w="1475" w:type="dxa"/>
            <w:tcBorders>
              <w:top w:val="nil"/>
              <w:left w:val="nil"/>
              <w:bottom w:val="single" w:sz="4" w:space="0" w:color="FFFFFF"/>
              <w:right w:val="single" w:sz="4" w:space="0" w:color="FFFFFF"/>
            </w:tcBorders>
            <w:shd w:val="clear" w:color="000000" w:fill="FCD5B4"/>
            <w:noWrap/>
            <w:vAlign w:val="center"/>
          </w:tcPr>
          <w:p w14:paraId="39663373" w14:textId="3A46BD9F" w:rsidR="00794AA0" w:rsidRPr="00794AA0" w:rsidRDefault="006362BB" w:rsidP="00193DED">
            <w:pPr>
              <w:jc w:val="right"/>
              <w:rPr>
                <w:rFonts w:ascii="Calibri" w:hAnsi="Calibri"/>
                <w:b/>
                <w:bCs/>
                <w:color w:val="000000"/>
                <w:lang w:eastAsia="en-GB"/>
              </w:rPr>
            </w:pPr>
            <w:r>
              <w:rPr>
                <w:rFonts w:ascii="Calibri" w:hAnsi="Calibri"/>
                <w:b/>
                <w:bCs/>
                <w:color w:val="000000"/>
                <w:lang w:eastAsia="en-GB"/>
              </w:rPr>
              <w:t>144,867</w:t>
            </w:r>
          </w:p>
        </w:tc>
      </w:tr>
    </w:tbl>
    <w:p w14:paraId="7D01377B" w14:textId="77777777" w:rsidR="00C134B1" w:rsidRDefault="00C134B1" w:rsidP="00EE3782">
      <w:pPr>
        <w:widowControl w:val="0"/>
        <w:spacing w:line="18" w:lineRule="atLeast"/>
        <w:jc w:val="both"/>
      </w:pPr>
    </w:p>
    <w:bookmarkEnd w:id="0"/>
    <w:p w14:paraId="32BA756D" w14:textId="77777777" w:rsidR="002F617C" w:rsidRPr="00BC1AF0" w:rsidRDefault="002F617C" w:rsidP="00EE3782">
      <w:pPr>
        <w:widowControl w:val="0"/>
        <w:spacing w:line="18" w:lineRule="atLeast"/>
        <w:jc w:val="both"/>
      </w:pPr>
    </w:p>
    <w:p w14:paraId="3637A74C" w14:textId="77777777" w:rsidR="002F617C" w:rsidRPr="00BC1AF0" w:rsidRDefault="002F617C" w:rsidP="00EE3782">
      <w:pPr>
        <w:widowControl w:val="0"/>
        <w:spacing w:line="18" w:lineRule="atLeast"/>
        <w:jc w:val="both"/>
      </w:pPr>
    </w:p>
    <w:p w14:paraId="36AF00E0" w14:textId="000319F3" w:rsidR="00E063B3" w:rsidRDefault="00E063B3" w:rsidP="007E2CDB">
      <w:pPr>
        <w:widowControl w:val="0"/>
        <w:spacing w:line="18" w:lineRule="atLeast"/>
        <w:jc w:val="both"/>
        <w:rPr>
          <w:rFonts w:asciiTheme="minorHAnsi" w:hAnsiTheme="minorHAnsi" w:cs="Arial"/>
          <w:sz w:val="28"/>
          <w:szCs w:val="28"/>
        </w:rPr>
      </w:pPr>
    </w:p>
    <w:p w14:paraId="78AC3258" w14:textId="303D53F5" w:rsidR="00365626" w:rsidRDefault="00365626" w:rsidP="007E2CDB">
      <w:pPr>
        <w:widowControl w:val="0"/>
        <w:spacing w:line="18" w:lineRule="atLeast"/>
        <w:jc w:val="both"/>
        <w:rPr>
          <w:rFonts w:asciiTheme="minorHAnsi" w:hAnsiTheme="minorHAnsi" w:cs="Arial"/>
          <w:sz w:val="28"/>
          <w:szCs w:val="28"/>
        </w:rPr>
      </w:pPr>
    </w:p>
    <w:p w14:paraId="3BCAB36C" w14:textId="59E518F7" w:rsidR="00365626" w:rsidRDefault="00365626" w:rsidP="007E2CDB">
      <w:pPr>
        <w:widowControl w:val="0"/>
        <w:spacing w:line="18" w:lineRule="atLeast"/>
        <w:jc w:val="both"/>
        <w:rPr>
          <w:rFonts w:asciiTheme="minorHAnsi" w:hAnsiTheme="minorHAnsi" w:cs="Arial"/>
          <w:sz w:val="28"/>
          <w:szCs w:val="28"/>
        </w:rPr>
      </w:pPr>
    </w:p>
    <w:p w14:paraId="44FBA0F5" w14:textId="4FE99D4A" w:rsidR="00365626" w:rsidRDefault="00365626" w:rsidP="007E2CDB">
      <w:pPr>
        <w:widowControl w:val="0"/>
        <w:spacing w:line="18" w:lineRule="atLeast"/>
        <w:jc w:val="both"/>
        <w:rPr>
          <w:rFonts w:asciiTheme="minorHAnsi" w:hAnsiTheme="minorHAnsi" w:cs="Arial"/>
          <w:sz w:val="28"/>
          <w:szCs w:val="28"/>
        </w:rPr>
      </w:pPr>
    </w:p>
    <w:p w14:paraId="50440FE6" w14:textId="3F93C92B" w:rsidR="00365626" w:rsidRDefault="00365626" w:rsidP="007E2CDB">
      <w:pPr>
        <w:widowControl w:val="0"/>
        <w:spacing w:line="18" w:lineRule="atLeast"/>
        <w:jc w:val="both"/>
        <w:rPr>
          <w:rFonts w:asciiTheme="minorHAnsi" w:hAnsiTheme="minorHAnsi" w:cs="Arial"/>
          <w:sz w:val="28"/>
          <w:szCs w:val="28"/>
        </w:rPr>
      </w:pPr>
    </w:p>
    <w:p w14:paraId="239953D5" w14:textId="77777777" w:rsidR="00365626" w:rsidRDefault="00365626" w:rsidP="007E2CDB">
      <w:pPr>
        <w:widowControl w:val="0"/>
        <w:spacing w:line="18" w:lineRule="atLeast"/>
        <w:jc w:val="both"/>
        <w:rPr>
          <w:rFonts w:asciiTheme="minorHAnsi" w:hAnsiTheme="minorHAnsi" w:cs="Arial"/>
          <w:sz w:val="28"/>
          <w:szCs w:val="28"/>
        </w:rPr>
      </w:pPr>
    </w:p>
    <w:p w14:paraId="72C15841" w14:textId="77777777" w:rsidR="0084582F" w:rsidRPr="00365626" w:rsidRDefault="00794AA0" w:rsidP="00704A70">
      <w:pPr>
        <w:pStyle w:val="Heading1"/>
      </w:pPr>
      <w:r w:rsidRPr="00365626">
        <w:lastRenderedPageBreak/>
        <w:t>Cash Flow Statement</w:t>
      </w:r>
    </w:p>
    <w:p w14:paraId="7E63AF5E" w14:textId="77777777" w:rsidR="0084582F" w:rsidRPr="004C6DC4" w:rsidRDefault="0084582F" w:rsidP="0084582F">
      <w:pPr>
        <w:pStyle w:val="Footer"/>
        <w:widowControl w:val="0"/>
        <w:tabs>
          <w:tab w:val="clear" w:pos="4153"/>
          <w:tab w:val="clear" w:pos="8306"/>
        </w:tabs>
        <w:rPr>
          <w:rFonts w:ascii="Arial" w:hAnsi="Arial" w:cs="Arial"/>
          <w:szCs w:val="24"/>
        </w:rPr>
      </w:pPr>
    </w:p>
    <w:p w14:paraId="514BAFCB" w14:textId="537FCE73" w:rsidR="0084582F" w:rsidRPr="00794AA0" w:rsidRDefault="00DB5013" w:rsidP="004C27EA">
      <w:pPr>
        <w:pStyle w:val="BodyText"/>
        <w:ind w:right="61"/>
        <w:jc w:val="both"/>
        <w:rPr>
          <w:rFonts w:asciiTheme="minorHAnsi" w:hAnsiTheme="minorHAnsi" w:cs="Arial"/>
          <w:sz w:val="22"/>
          <w:szCs w:val="22"/>
        </w:rPr>
      </w:pPr>
      <w:r w:rsidRPr="00794AA0">
        <w:rPr>
          <w:rFonts w:asciiTheme="minorHAnsi" w:hAnsiTheme="minorHAnsi" w:cs="Arial"/>
          <w:sz w:val="22"/>
          <w:szCs w:val="22"/>
        </w:rPr>
        <w:t xml:space="preserve">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w:t>
      </w:r>
      <w:r w:rsidR="003E0F76" w:rsidRPr="00794AA0">
        <w:rPr>
          <w:rFonts w:asciiTheme="minorHAnsi" w:hAnsiTheme="minorHAnsi" w:cs="Arial"/>
          <w:sz w:val="22"/>
          <w:szCs w:val="22"/>
        </w:rPr>
        <w:t>of the extent to which the operations of the authority are funded by way of taxation and grant income or from the recipients of services provided by the authority.  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w:t>
      </w:r>
      <w:r w:rsidR="00120BFE">
        <w:rPr>
          <w:rFonts w:asciiTheme="minorHAnsi" w:hAnsiTheme="minorHAnsi" w:cs="Arial"/>
          <w:sz w:val="22"/>
          <w:szCs w:val="22"/>
        </w:rPr>
        <w:t>for example,</w:t>
      </w:r>
      <w:r w:rsidR="003E0F76" w:rsidRPr="00794AA0">
        <w:rPr>
          <w:rFonts w:asciiTheme="minorHAnsi" w:hAnsiTheme="minorHAnsi" w:cs="Arial"/>
          <w:sz w:val="22"/>
          <w:szCs w:val="22"/>
        </w:rPr>
        <w:t xml:space="preserve"> borrowing) to the authority. </w:t>
      </w:r>
      <w:r w:rsidRPr="00794AA0">
        <w:rPr>
          <w:rFonts w:asciiTheme="minorHAnsi" w:hAnsiTheme="minorHAnsi" w:cs="Arial"/>
          <w:sz w:val="22"/>
          <w:szCs w:val="22"/>
        </w:rPr>
        <w:t xml:space="preserve"> </w:t>
      </w:r>
    </w:p>
    <w:p w14:paraId="5FA3E852" w14:textId="77777777" w:rsidR="00FF4D0B" w:rsidRPr="00794AA0" w:rsidRDefault="00FF4D0B" w:rsidP="004C27EA">
      <w:pPr>
        <w:pStyle w:val="BodyText"/>
        <w:ind w:right="61"/>
        <w:jc w:val="both"/>
        <w:rPr>
          <w:rFonts w:asciiTheme="minorHAnsi" w:hAnsiTheme="minorHAnsi" w:cs="Arial"/>
          <w:sz w:val="22"/>
          <w:szCs w:val="22"/>
        </w:rPr>
      </w:pPr>
    </w:p>
    <w:p w14:paraId="2E146902" w14:textId="77777777" w:rsidR="00FF4D0B" w:rsidRPr="00794AA0" w:rsidRDefault="00FF4D0B" w:rsidP="004C27EA">
      <w:pPr>
        <w:pStyle w:val="BodyText"/>
        <w:ind w:right="61"/>
        <w:jc w:val="both"/>
        <w:rPr>
          <w:rFonts w:asciiTheme="minorHAnsi" w:hAnsiTheme="minorHAnsi" w:cs="Arial"/>
          <w:sz w:val="22"/>
          <w:szCs w:val="22"/>
        </w:rPr>
      </w:pPr>
      <w:r w:rsidRPr="00794AA0">
        <w:rPr>
          <w:rFonts w:asciiTheme="minorHAnsi" w:hAnsiTheme="minorHAnsi" w:cs="Arial"/>
          <w:sz w:val="22"/>
          <w:szCs w:val="22"/>
        </w:rPr>
        <w:t>The</w:t>
      </w:r>
      <w:r w:rsidR="00022432" w:rsidRPr="00794AA0">
        <w:rPr>
          <w:rFonts w:asciiTheme="minorHAnsi" w:hAnsiTheme="minorHAnsi" w:cs="Arial"/>
          <w:sz w:val="22"/>
          <w:szCs w:val="22"/>
        </w:rPr>
        <w:t xml:space="preserve"> adjustments to the net </w:t>
      </w:r>
      <w:r w:rsidRPr="00794AA0">
        <w:rPr>
          <w:rFonts w:asciiTheme="minorHAnsi" w:hAnsiTheme="minorHAnsi" w:cs="Arial"/>
          <w:sz w:val="22"/>
          <w:szCs w:val="22"/>
        </w:rPr>
        <w:t xml:space="preserve">deficit on the provision of service consist of </w:t>
      </w:r>
      <w:proofErr w:type="spellStart"/>
      <w:proofErr w:type="gramStart"/>
      <w:r w:rsidRPr="00794AA0">
        <w:rPr>
          <w:rFonts w:asciiTheme="minorHAnsi" w:hAnsiTheme="minorHAnsi" w:cs="Arial"/>
          <w:sz w:val="22"/>
          <w:szCs w:val="22"/>
        </w:rPr>
        <w:t>non cash</w:t>
      </w:r>
      <w:proofErr w:type="spellEnd"/>
      <w:proofErr w:type="gramEnd"/>
      <w:r w:rsidRPr="00794AA0">
        <w:rPr>
          <w:rFonts w:asciiTheme="minorHAnsi" w:hAnsiTheme="minorHAnsi" w:cs="Arial"/>
          <w:sz w:val="22"/>
          <w:szCs w:val="22"/>
        </w:rPr>
        <w:t xml:space="preserve"> movements for items including depreciation, revaluations and impairments, and use of reserves.</w:t>
      </w:r>
    </w:p>
    <w:p w14:paraId="600D35AF" w14:textId="77777777" w:rsidR="00434E7D" w:rsidRPr="00794AA0" w:rsidRDefault="00434E7D" w:rsidP="004C27EA">
      <w:pPr>
        <w:pStyle w:val="BodyText"/>
        <w:ind w:right="61"/>
        <w:jc w:val="both"/>
        <w:rPr>
          <w:rFonts w:asciiTheme="minorHAnsi" w:hAnsiTheme="minorHAnsi" w:cs="Arial"/>
          <w:sz w:val="22"/>
          <w:szCs w:val="22"/>
        </w:rPr>
      </w:pPr>
    </w:p>
    <w:p w14:paraId="75D1711C" w14:textId="77777777" w:rsidR="00434E7D" w:rsidRPr="00794AA0" w:rsidRDefault="00434E7D" w:rsidP="004C27EA">
      <w:pPr>
        <w:pStyle w:val="BodyText"/>
        <w:ind w:right="61"/>
        <w:jc w:val="both"/>
        <w:rPr>
          <w:rFonts w:asciiTheme="minorHAnsi" w:hAnsiTheme="minorHAnsi" w:cs="Arial"/>
          <w:sz w:val="22"/>
          <w:szCs w:val="22"/>
        </w:rPr>
      </w:pPr>
      <w:r w:rsidRPr="00794AA0">
        <w:rPr>
          <w:rFonts w:asciiTheme="minorHAnsi" w:hAnsiTheme="minorHAnsi" w:cs="Arial"/>
          <w:sz w:val="22"/>
          <w:szCs w:val="22"/>
        </w:rPr>
        <w:t xml:space="preserve">The adjustments for </w:t>
      </w:r>
      <w:r w:rsidR="00022432" w:rsidRPr="00794AA0">
        <w:rPr>
          <w:rFonts w:asciiTheme="minorHAnsi" w:hAnsiTheme="minorHAnsi" w:cs="Arial"/>
          <w:sz w:val="22"/>
          <w:szCs w:val="22"/>
        </w:rPr>
        <w:t>items included in net</w:t>
      </w:r>
      <w:r w:rsidRPr="00794AA0">
        <w:rPr>
          <w:rFonts w:asciiTheme="minorHAnsi" w:hAnsiTheme="minorHAnsi" w:cs="Arial"/>
          <w:sz w:val="22"/>
          <w:szCs w:val="22"/>
        </w:rPr>
        <w:t xml:space="preserve"> deficit for investing and financing activities consists of the proceeds received from the sale of property plant and equipment.</w:t>
      </w:r>
    </w:p>
    <w:p w14:paraId="7EED26A5" w14:textId="77777777" w:rsidR="0084582F" w:rsidRPr="004C6DC4" w:rsidRDefault="00F741FF" w:rsidP="0084582F">
      <w:pPr>
        <w:widowControl w:val="0"/>
        <w:ind w:right="-288"/>
        <w:rPr>
          <w:rFonts w:ascii="Arial" w:hAnsi="Arial" w:cs="Arial"/>
        </w:rPr>
      </w:pPr>
      <w:r>
        <w:rPr>
          <w:rFonts w:ascii="Arial" w:hAnsi="Arial" w:cs="Arial"/>
        </w:rPr>
        <w:tab/>
      </w:r>
      <w:r>
        <w:rPr>
          <w:rFonts w:ascii="Arial" w:hAnsi="Arial" w:cs="Arial"/>
        </w:rPr>
        <w:tab/>
      </w:r>
    </w:p>
    <w:p w14:paraId="6AF0824C" w14:textId="77777777" w:rsidR="0084582F" w:rsidRPr="004C6DC4" w:rsidRDefault="0084582F" w:rsidP="0084582F">
      <w:pPr>
        <w:widowControl w:val="0"/>
        <w:tabs>
          <w:tab w:val="left" w:pos="720"/>
          <w:tab w:val="left" w:pos="7200"/>
          <w:tab w:val="left" w:pos="8640"/>
        </w:tabs>
        <w:rPr>
          <w:rFonts w:ascii="Arial" w:hAnsi="Arial" w:cs="Arial"/>
          <w:b/>
        </w:rPr>
      </w:pPr>
    </w:p>
    <w:p w14:paraId="27C38F47" w14:textId="77777777" w:rsidR="00822342" w:rsidRPr="004C6DC4" w:rsidRDefault="00822342" w:rsidP="0084582F">
      <w:pPr>
        <w:widowControl w:val="0"/>
        <w:tabs>
          <w:tab w:val="left" w:pos="720"/>
          <w:tab w:val="left" w:pos="7200"/>
          <w:tab w:val="left" w:pos="8640"/>
        </w:tabs>
        <w:rPr>
          <w:rFonts w:ascii="Arial" w:hAnsi="Arial" w:cs="Arial"/>
          <w:b/>
        </w:rPr>
      </w:pPr>
    </w:p>
    <w:p w14:paraId="145C5F67" w14:textId="77777777" w:rsidR="00C0509A" w:rsidRDefault="00C0509A" w:rsidP="0084582F">
      <w:pPr>
        <w:widowControl w:val="0"/>
        <w:tabs>
          <w:tab w:val="left" w:pos="720"/>
          <w:tab w:val="left" w:pos="7200"/>
          <w:tab w:val="left" w:pos="8640"/>
        </w:tabs>
        <w:rPr>
          <w:rFonts w:ascii="Arial" w:hAnsi="Arial" w:cs="Arial"/>
          <w:b/>
        </w:rPr>
      </w:pPr>
    </w:p>
    <w:p w14:paraId="36C4A645" w14:textId="77777777" w:rsidR="008B325D" w:rsidRDefault="008B325D" w:rsidP="0084582F">
      <w:pPr>
        <w:widowControl w:val="0"/>
        <w:tabs>
          <w:tab w:val="left" w:pos="720"/>
          <w:tab w:val="left" w:pos="7200"/>
          <w:tab w:val="left" w:pos="8640"/>
        </w:tabs>
        <w:rPr>
          <w:rFonts w:ascii="Arial" w:hAnsi="Arial" w:cs="Arial"/>
          <w:b/>
        </w:rPr>
      </w:pPr>
    </w:p>
    <w:p w14:paraId="312B7338" w14:textId="77777777" w:rsidR="008B325D" w:rsidRDefault="008B325D" w:rsidP="0084582F">
      <w:pPr>
        <w:widowControl w:val="0"/>
        <w:tabs>
          <w:tab w:val="left" w:pos="720"/>
          <w:tab w:val="left" w:pos="7200"/>
          <w:tab w:val="left" w:pos="8640"/>
        </w:tabs>
        <w:rPr>
          <w:rFonts w:ascii="Arial" w:hAnsi="Arial" w:cs="Arial"/>
          <w:b/>
        </w:rPr>
      </w:pPr>
    </w:p>
    <w:p w14:paraId="6AEFF020" w14:textId="77777777" w:rsidR="008B325D" w:rsidRDefault="008B325D" w:rsidP="0084582F">
      <w:pPr>
        <w:widowControl w:val="0"/>
        <w:tabs>
          <w:tab w:val="left" w:pos="720"/>
          <w:tab w:val="left" w:pos="7200"/>
          <w:tab w:val="left" w:pos="8640"/>
        </w:tabs>
        <w:rPr>
          <w:rFonts w:ascii="Arial" w:hAnsi="Arial" w:cs="Arial"/>
          <w:b/>
        </w:rPr>
      </w:pPr>
    </w:p>
    <w:tbl>
      <w:tblPr>
        <w:tblW w:w="9140" w:type="dxa"/>
        <w:tblInd w:w="93" w:type="dxa"/>
        <w:tblLook w:val="04A0" w:firstRow="1" w:lastRow="0" w:firstColumn="1" w:lastColumn="0" w:noHBand="0" w:noVBand="1"/>
        <w:tblCaption w:val="Cash flow statement"/>
        <w:tblDescription w:val="Cash flow statement for 2022-2023 also showing 2021-2022 comparitives"/>
      </w:tblPr>
      <w:tblGrid>
        <w:gridCol w:w="1500"/>
        <w:gridCol w:w="5800"/>
        <w:gridCol w:w="473"/>
        <w:gridCol w:w="1500"/>
      </w:tblGrid>
      <w:tr w:rsidR="00B771FD" w:rsidRPr="00B771FD" w14:paraId="215E2503" w14:textId="77777777" w:rsidTr="00F367A2">
        <w:trPr>
          <w:trHeight w:val="480"/>
          <w:tblHeader/>
        </w:trPr>
        <w:tc>
          <w:tcPr>
            <w:tcW w:w="1500" w:type="dxa"/>
            <w:tcBorders>
              <w:top w:val="single" w:sz="4" w:space="0" w:color="FFFFFF"/>
              <w:left w:val="single" w:sz="4" w:space="0" w:color="FFFFFF"/>
              <w:bottom w:val="single" w:sz="4" w:space="0" w:color="FFFFFF"/>
              <w:right w:val="single" w:sz="4" w:space="0" w:color="FFFFFF"/>
            </w:tcBorders>
            <w:shd w:val="clear" w:color="000000" w:fill="95B3D7"/>
            <w:noWrap/>
            <w:vAlign w:val="center"/>
            <w:hideMark/>
          </w:tcPr>
          <w:p w14:paraId="11DBF217" w14:textId="67F51439" w:rsidR="004769BC" w:rsidRPr="00B771FD" w:rsidRDefault="00B771FD" w:rsidP="005078DE">
            <w:pPr>
              <w:jc w:val="right"/>
              <w:rPr>
                <w:rFonts w:ascii="Calibri" w:hAnsi="Calibri"/>
                <w:color w:val="000000"/>
                <w:lang w:eastAsia="en-GB"/>
              </w:rPr>
            </w:pPr>
            <w:r w:rsidRPr="00B771FD">
              <w:rPr>
                <w:rFonts w:ascii="Calibri" w:hAnsi="Calibri"/>
                <w:color w:val="000000"/>
                <w:lang w:eastAsia="en-GB"/>
              </w:rPr>
              <w:t>20</w:t>
            </w:r>
            <w:r w:rsidR="003F72FD">
              <w:rPr>
                <w:rFonts w:ascii="Calibri" w:hAnsi="Calibri"/>
                <w:color w:val="000000"/>
                <w:lang w:eastAsia="en-GB"/>
              </w:rPr>
              <w:t>2</w:t>
            </w:r>
            <w:r w:rsidR="005538C0">
              <w:rPr>
                <w:rFonts w:ascii="Calibri" w:hAnsi="Calibri"/>
                <w:color w:val="000000"/>
                <w:lang w:eastAsia="en-GB"/>
              </w:rPr>
              <w:t>1</w:t>
            </w:r>
            <w:r w:rsidR="005078DE">
              <w:rPr>
                <w:rFonts w:ascii="Calibri" w:hAnsi="Calibri"/>
                <w:color w:val="000000"/>
                <w:lang w:eastAsia="en-GB"/>
              </w:rPr>
              <w:t>-2</w:t>
            </w:r>
            <w:r w:rsidR="005538C0">
              <w:rPr>
                <w:rFonts w:ascii="Calibri" w:hAnsi="Calibri"/>
                <w:color w:val="000000"/>
                <w:lang w:eastAsia="en-GB"/>
              </w:rPr>
              <w:t>2</w:t>
            </w:r>
          </w:p>
        </w:tc>
        <w:tc>
          <w:tcPr>
            <w:tcW w:w="5800" w:type="dxa"/>
            <w:tcBorders>
              <w:top w:val="nil"/>
              <w:left w:val="nil"/>
              <w:bottom w:val="nil"/>
              <w:right w:val="nil"/>
            </w:tcBorders>
            <w:shd w:val="clear" w:color="000000" w:fill="95B3D7"/>
            <w:noWrap/>
            <w:vAlign w:val="center"/>
            <w:hideMark/>
          </w:tcPr>
          <w:p w14:paraId="3DE31693" w14:textId="77777777" w:rsidR="00B771FD" w:rsidRPr="00B771FD" w:rsidRDefault="00B771FD" w:rsidP="00B771FD">
            <w:pPr>
              <w:jc w:val="right"/>
              <w:rPr>
                <w:rFonts w:ascii="Calibri" w:hAnsi="Calibri"/>
                <w:color w:val="000000"/>
                <w:lang w:eastAsia="en-GB"/>
              </w:rPr>
            </w:pPr>
            <w:r w:rsidRPr="00B771FD">
              <w:rPr>
                <w:rFonts w:ascii="Calibri" w:hAnsi="Calibri"/>
                <w:color w:val="000000"/>
                <w:lang w:eastAsia="en-GB"/>
              </w:rPr>
              <w:t> </w:t>
            </w:r>
          </w:p>
        </w:tc>
        <w:tc>
          <w:tcPr>
            <w:tcW w:w="340" w:type="dxa"/>
            <w:tcBorders>
              <w:top w:val="single" w:sz="4" w:space="0" w:color="FFFFFF"/>
              <w:left w:val="single" w:sz="4" w:space="0" w:color="FFFFFF"/>
              <w:bottom w:val="nil"/>
              <w:right w:val="single" w:sz="4" w:space="0" w:color="FFFFFF"/>
            </w:tcBorders>
            <w:shd w:val="clear" w:color="000000" w:fill="95B3D7"/>
            <w:noWrap/>
            <w:textDirection w:val="btLr"/>
            <w:vAlign w:val="center"/>
            <w:hideMark/>
          </w:tcPr>
          <w:p w14:paraId="4BE5E469" w14:textId="77777777" w:rsidR="00B771FD" w:rsidRPr="00B771FD" w:rsidRDefault="00B771FD" w:rsidP="00B771FD">
            <w:pPr>
              <w:rPr>
                <w:rFonts w:ascii="Calibri" w:hAnsi="Calibri"/>
                <w:color w:val="000000"/>
                <w:lang w:eastAsia="en-GB"/>
              </w:rPr>
            </w:pPr>
            <w:r w:rsidRPr="00B771FD">
              <w:rPr>
                <w:rFonts w:ascii="Calibri" w:hAnsi="Calibri"/>
                <w:color w:val="000000"/>
                <w:lang w:eastAsia="en-GB"/>
              </w:rPr>
              <w:t>Note</w:t>
            </w:r>
          </w:p>
        </w:tc>
        <w:tc>
          <w:tcPr>
            <w:tcW w:w="1500" w:type="dxa"/>
            <w:tcBorders>
              <w:top w:val="single" w:sz="4" w:space="0" w:color="FFFFFF"/>
              <w:left w:val="nil"/>
              <w:bottom w:val="single" w:sz="4" w:space="0" w:color="FFFFFF"/>
              <w:right w:val="single" w:sz="4" w:space="0" w:color="FFFFFF"/>
            </w:tcBorders>
            <w:shd w:val="clear" w:color="000000" w:fill="95B3D7"/>
            <w:noWrap/>
            <w:vAlign w:val="center"/>
            <w:hideMark/>
          </w:tcPr>
          <w:p w14:paraId="4D787645" w14:textId="6C36AC15" w:rsidR="00B771FD" w:rsidRPr="00B771FD" w:rsidRDefault="00B771FD" w:rsidP="005078DE">
            <w:pPr>
              <w:jc w:val="right"/>
              <w:rPr>
                <w:rFonts w:ascii="Calibri" w:hAnsi="Calibri"/>
                <w:color w:val="000000"/>
                <w:lang w:eastAsia="en-GB"/>
              </w:rPr>
            </w:pPr>
            <w:r w:rsidRPr="00B771FD">
              <w:rPr>
                <w:rFonts w:ascii="Calibri" w:hAnsi="Calibri"/>
                <w:color w:val="000000"/>
                <w:lang w:eastAsia="en-GB"/>
              </w:rPr>
              <w:t>20</w:t>
            </w:r>
            <w:r w:rsidR="005078DE">
              <w:rPr>
                <w:rFonts w:ascii="Calibri" w:hAnsi="Calibri"/>
                <w:color w:val="000000"/>
                <w:lang w:eastAsia="en-GB"/>
              </w:rPr>
              <w:t>2</w:t>
            </w:r>
            <w:r w:rsidR="005538C0">
              <w:rPr>
                <w:rFonts w:ascii="Calibri" w:hAnsi="Calibri"/>
                <w:color w:val="000000"/>
                <w:lang w:eastAsia="en-GB"/>
              </w:rPr>
              <w:t>2</w:t>
            </w:r>
            <w:r w:rsidRPr="00B771FD">
              <w:rPr>
                <w:rFonts w:ascii="Calibri" w:hAnsi="Calibri"/>
                <w:color w:val="000000"/>
                <w:lang w:eastAsia="en-GB"/>
              </w:rPr>
              <w:t>-</w:t>
            </w:r>
            <w:r w:rsidR="00F17755">
              <w:rPr>
                <w:rFonts w:ascii="Calibri" w:hAnsi="Calibri"/>
                <w:color w:val="000000"/>
                <w:lang w:eastAsia="en-GB"/>
              </w:rPr>
              <w:t>2</w:t>
            </w:r>
            <w:r w:rsidR="005538C0">
              <w:rPr>
                <w:rFonts w:ascii="Calibri" w:hAnsi="Calibri"/>
                <w:color w:val="000000"/>
                <w:lang w:eastAsia="en-GB"/>
              </w:rPr>
              <w:t>3</w:t>
            </w:r>
          </w:p>
        </w:tc>
      </w:tr>
      <w:tr w:rsidR="00B771FD" w:rsidRPr="00B771FD" w14:paraId="4BE93B56" w14:textId="77777777" w:rsidTr="00B771FD">
        <w:trPr>
          <w:trHeight w:val="300"/>
        </w:trPr>
        <w:tc>
          <w:tcPr>
            <w:tcW w:w="1500" w:type="dxa"/>
            <w:tcBorders>
              <w:top w:val="nil"/>
              <w:left w:val="single" w:sz="4" w:space="0" w:color="FFFFFF"/>
              <w:bottom w:val="single" w:sz="4" w:space="0" w:color="FFFFFF"/>
              <w:right w:val="single" w:sz="4" w:space="0" w:color="FFFFFF"/>
            </w:tcBorders>
            <w:shd w:val="clear" w:color="000000" w:fill="95B3D7"/>
            <w:noWrap/>
            <w:vAlign w:val="center"/>
            <w:hideMark/>
          </w:tcPr>
          <w:p w14:paraId="33BEA5CE" w14:textId="77777777" w:rsidR="00B771FD" w:rsidRPr="00B771FD" w:rsidRDefault="00B771FD" w:rsidP="00B771FD">
            <w:pPr>
              <w:jc w:val="right"/>
              <w:rPr>
                <w:rFonts w:ascii="Calibri" w:hAnsi="Calibri"/>
                <w:color w:val="000000"/>
                <w:lang w:eastAsia="en-GB"/>
              </w:rPr>
            </w:pPr>
            <w:r w:rsidRPr="00B771FD">
              <w:rPr>
                <w:rFonts w:ascii="Calibri" w:hAnsi="Calibri"/>
                <w:color w:val="000000"/>
                <w:lang w:eastAsia="en-GB"/>
              </w:rPr>
              <w:t>£’000</w:t>
            </w:r>
          </w:p>
        </w:tc>
        <w:tc>
          <w:tcPr>
            <w:tcW w:w="5800" w:type="dxa"/>
            <w:tcBorders>
              <w:top w:val="nil"/>
              <w:left w:val="nil"/>
              <w:bottom w:val="nil"/>
              <w:right w:val="nil"/>
            </w:tcBorders>
            <w:shd w:val="clear" w:color="000000" w:fill="95B3D7"/>
            <w:noWrap/>
            <w:vAlign w:val="center"/>
            <w:hideMark/>
          </w:tcPr>
          <w:p w14:paraId="33EB8EC7" w14:textId="77777777" w:rsidR="00B771FD" w:rsidRPr="00B771FD" w:rsidRDefault="00B771FD" w:rsidP="00B771FD">
            <w:pPr>
              <w:jc w:val="right"/>
              <w:rPr>
                <w:rFonts w:ascii="Calibri" w:hAnsi="Calibri"/>
                <w:color w:val="000000"/>
                <w:lang w:eastAsia="en-GB"/>
              </w:rPr>
            </w:pPr>
            <w:r w:rsidRPr="00B771FD">
              <w:rPr>
                <w:rFonts w:ascii="Calibri" w:hAnsi="Calibri"/>
                <w:color w:val="000000"/>
                <w:lang w:eastAsia="en-GB"/>
              </w:rPr>
              <w:t> </w:t>
            </w:r>
          </w:p>
        </w:tc>
        <w:tc>
          <w:tcPr>
            <w:tcW w:w="340" w:type="dxa"/>
            <w:tcBorders>
              <w:top w:val="nil"/>
              <w:left w:val="single" w:sz="4" w:space="0" w:color="FFFFFF"/>
              <w:bottom w:val="single" w:sz="4" w:space="0" w:color="FFFFFF"/>
              <w:right w:val="single" w:sz="4" w:space="0" w:color="FFFFFF"/>
            </w:tcBorders>
            <w:shd w:val="clear" w:color="000000" w:fill="95B3D7"/>
            <w:noWrap/>
            <w:vAlign w:val="center"/>
            <w:hideMark/>
          </w:tcPr>
          <w:p w14:paraId="6ED131F2" w14:textId="77777777" w:rsidR="00B771FD" w:rsidRPr="00B771FD" w:rsidRDefault="00B771FD" w:rsidP="00B771FD">
            <w:pPr>
              <w:jc w:val="right"/>
              <w:rPr>
                <w:rFonts w:ascii="Calibri" w:hAnsi="Calibri"/>
                <w:color w:val="000000"/>
                <w:lang w:eastAsia="en-GB"/>
              </w:rPr>
            </w:pPr>
            <w:r w:rsidRPr="00B771FD">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5B3D7"/>
            <w:noWrap/>
            <w:vAlign w:val="center"/>
            <w:hideMark/>
          </w:tcPr>
          <w:p w14:paraId="6A75FFF5" w14:textId="77777777" w:rsidR="00B771FD" w:rsidRPr="00B771FD" w:rsidRDefault="00B771FD" w:rsidP="00B771FD">
            <w:pPr>
              <w:jc w:val="right"/>
              <w:rPr>
                <w:rFonts w:ascii="Calibri" w:hAnsi="Calibri"/>
                <w:color w:val="000000"/>
                <w:lang w:eastAsia="en-GB"/>
              </w:rPr>
            </w:pPr>
            <w:r w:rsidRPr="00B771FD">
              <w:rPr>
                <w:rFonts w:ascii="Calibri" w:hAnsi="Calibri"/>
                <w:color w:val="000000"/>
                <w:lang w:eastAsia="en-GB"/>
              </w:rPr>
              <w:t>£’000</w:t>
            </w:r>
          </w:p>
        </w:tc>
      </w:tr>
      <w:tr w:rsidR="00B771FD" w:rsidRPr="00B771FD" w14:paraId="4315B69E"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14:paraId="4D962A35" w14:textId="7A7EBF9E" w:rsidR="00B771FD" w:rsidRPr="00B771FD" w:rsidRDefault="002D2006" w:rsidP="005078DE">
            <w:pPr>
              <w:jc w:val="right"/>
              <w:rPr>
                <w:rFonts w:ascii="Calibri" w:hAnsi="Calibri"/>
                <w:color w:val="000000"/>
                <w:lang w:eastAsia="en-GB"/>
              </w:rPr>
            </w:pPr>
            <w:r>
              <w:rPr>
                <w:rFonts w:ascii="Calibri" w:hAnsi="Calibri"/>
                <w:color w:val="000000"/>
                <w:lang w:eastAsia="en-GB"/>
              </w:rPr>
              <w:t>-</w:t>
            </w:r>
            <w:r w:rsidR="005538C0">
              <w:rPr>
                <w:rFonts w:ascii="Calibri" w:hAnsi="Calibri"/>
                <w:color w:val="000000"/>
                <w:lang w:eastAsia="en-GB"/>
              </w:rPr>
              <w:t>533</w:t>
            </w:r>
          </w:p>
        </w:tc>
        <w:tc>
          <w:tcPr>
            <w:tcW w:w="5800" w:type="dxa"/>
            <w:tcBorders>
              <w:top w:val="single" w:sz="4" w:space="0" w:color="FFFFFF"/>
              <w:left w:val="nil"/>
              <w:bottom w:val="single" w:sz="4" w:space="0" w:color="FFFFFF"/>
              <w:right w:val="single" w:sz="4" w:space="0" w:color="FFFFFF"/>
            </w:tcBorders>
            <w:shd w:val="clear" w:color="000000" w:fill="DCE6F1"/>
            <w:vAlign w:val="center"/>
            <w:hideMark/>
          </w:tcPr>
          <w:p w14:paraId="14DE1689" w14:textId="77777777" w:rsidR="00B771FD" w:rsidRPr="00B771FD" w:rsidRDefault="00B771FD" w:rsidP="00B771FD">
            <w:pPr>
              <w:rPr>
                <w:rFonts w:ascii="Calibri" w:hAnsi="Calibri"/>
                <w:color w:val="000000"/>
                <w:lang w:eastAsia="en-GB"/>
              </w:rPr>
            </w:pPr>
            <w:r w:rsidRPr="00B771FD">
              <w:rPr>
                <w:rFonts w:ascii="Calibri" w:hAnsi="Calibri"/>
                <w:color w:val="000000"/>
                <w:lang w:eastAsia="en-GB"/>
              </w:rPr>
              <w:t xml:space="preserve">Net </w:t>
            </w:r>
            <w:proofErr w:type="gramStart"/>
            <w:r w:rsidRPr="00B771FD">
              <w:rPr>
                <w:rFonts w:ascii="Calibri" w:hAnsi="Calibri"/>
                <w:color w:val="000000"/>
                <w:lang w:eastAsia="en-GB"/>
              </w:rPr>
              <w:t>deficit(</w:t>
            </w:r>
            <w:proofErr w:type="gramEnd"/>
            <w:r w:rsidRPr="00B771FD">
              <w:rPr>
                <w:rFonts w:ascii="Calibri" w:hAnsi="Calibri"/>
                <w:color w:val="000000"/>
                <w:lang w:eastAsia="en-GB"/>
              </w:rPr>
              <w:t>-)/surplus on the provision of services</w:t>
            </w:r>
          </w:p>
        </w:tc>
        <w:tc>
          <w:tcPr>
            <w:tcW w:w="340" w:type="dxa"/>
            <w:tcBorders>
              <w:top w:val="nil"/>
              <w:left w:val="nil"/>
              <w:bottom w:val="single" w:sz="4" w:space="0" w:color="FFFFFF"/>
              <w:right w:val="single" w:sz="4" w:space="0" w:color="FFFFFF"/>
            </w:tcBorders>
            <w:shd w:val="clear" w:color="000000" w:fill="DCE6F1"/>
            <w:noWrap/>
            <w:vAlign w:val="center"/>
          </w:tcPr>
          <w:p w14:paraId="27135319" w14:textId="77777777" w:rsidR="00B771FD" w:rsidRPr="00B771FD" w:rsidRDefault="00B771FD" w:rsidP="00B771FD">
            <w:pPr>
              <w:rPr>
                <w:rFonts w:ascii="Calibri" w:hAnsi="Calibri"/>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2B67AAF1" w14:textId="1DB91675" w:rsidR="00B771FD" w:rsidRPr="00B771FD" w:rsidRDefault="005031BB" w:rsidP="00A4434B">
            <w:pPr>
              <w:jc w:val="right"/>
              <w:rPr>
                <w:rFonts w:ascii="Calibri" w:hAnsi="Calibri"/>
                <w:color w:val="000000"/>
                <w:lang w:eastAsia="en-GB"/>
              </w:rPr>
            </w:pPr>
            <w:r>
              <w:rPr>
                <w:rFonts w:ascii="Calibri" w:hAnsi="Calibri"/>
                <w:color w:val="000000"/>
                <w:lang w:eastAsia="en-GB"/>
              </w:rPr>
              <w:t>-3,00</w:t>
            </w:r>
            <w:r w:rsidR="00702AC3">
              <w:rPr>
                <w:rFonts w:ascii="Calibri" w:hAnsi="Calibri"/>
                <w:color w:val="000000"/>
                <w:lang w:eastAsia="en-GB"/>
              </w:rPr>
              <w:t>3</w:t>
            </w:r>
          </w:p>
        </w:tc>
      </w:tr>
      <w:tr w:rsidR="00B771FD" w:rsidRPr="00B771FD" w14:paraId="5BCE5B0B" w14:textId="77777777" w:rsidTr="00E05DF5">
        <w:trPr>
          <w:trHeight w:val="510"/>
        </w:trPr>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14:paraId="330BA7C9" w14:textId="154DEFB8" w:rsidR="00B771FD" w:rsidRPr="00B771FD" w:rsidRDefault="005538C0" w:rsidP="005078DE">
            <w:pPr>
              <w:jc w:val="right"/>
              <w:rPr>
                <w:rFonts w:ascii="Calibri" w:hAnsi="Calibri"/>
                <w:color w:val="000000"/>
                <w:lang w:eastAsia="en-GB"/>
              </w:rPr>
            </w:pPr>
            <w:r>
              <w:rPr>
                <w:rFonts w:ascii="Calibri" w:hAnsi="Calibri"/>
                <w:color w:val="000000"/>
                <w:lang w:eastAsia="en-GB"/>
              </w:rPr>
              <w:t>8,901</w:t>
            </w:r>
          </w:p>
        </w:tc>
        <w:tc>
          <w:tcPr>
            <w:tcW w:w="5800" w:type="dxa"/>
            <w:tcBorders>
              <w:top w:val="nil"/>
              <w:left w:val="nil"/>
              <w:bottom w:val="single" w:sz="4" w:space="0" w:color="FFFFFF"/>
              <w:right w:val="single" w:sz="4" w:space="0" w:color="FFFFFF"/>
            </w:tcBorders>
            <w:shd w:val="clear" w:color="000000" w:fill="DCE6F1"/>
            <w:vAlign w:val="center"/>
            <w:hideMark/>
          </w:tcPr>
          <w:p w14:paraId="6130A26F" w14:textId="77777777" w:rsidR="00B771FD" w:rsidRPr="00B771FD" w:rsidRDefault="00B771FD" w:rsidP="00436CCB">
            <w:pPr>
              <w:rPr>
                <w:rFonts w:ascii="Calibri" w:hAnsi="Calibri"/>
                <w:color w:val="000000"/>
                <w:lang w:eastAsia="en-GB"/>
              </w:rPr>
            </w:pPr>
            <w:r w:rsidRPr="00B771FD">
              <w:rPr>
                <w:rFonts w:ascii="Calibri" w:hAnsi="Calibri"/>
                <w:color w:val="000000"/>
                <w:lang w:eastAsia="en-GB"/>
              </w:rPr>
              <w:t xml:space="preserve">Adjustments to the net </w:t>
            </w:r>
            <w:proofErr w:type="gramStart"/>
            <w:r w:rsidRPr="00B771FD">
              <w:rPr>
                <w:rFonts w:ascii="Calibri" w:hAnsi="Calibri"/>
                <w:color w:val="000000"/>
                <w:lang w:eastAsia="en-GB"/>
              </w:rPr>
              <w:t>deficit(</w:t>
            </w:r>
            <w:proofErr w:type="gramEnd"/>
            <w:r w:rsidRPr="00B771FD">
              <w:rPr>
                <w:rFonts w:ascii="Calibri" w:hAnsi="Calibri"/>
                <w:color w:val="000000"/>
                <w:lang w:eastAsia="en-GB"/>
              </w:rPr>
              <w:t xml:space="preserve">-)/surplus on the provision </w:t>
            </w:r>
            <w:r w:rsidR="00436CCB">
              <w:rPr>
                <w:rFonts w:ascii="Calibri" w:hAnsi="Calibri"/>
                <w:color w:val="000000"/>
                <w:lang w:eastAsia="en-GB"/>
              </w:rPr>
              <w:t>of</w:t>
            </w:r>
            <w:r w:rsidRPr="00B771FD">
              <w:rPr>
                <w:rFonts w:ascii="Calibri" w:hAnsi="Calibri"/>
                <w:color w:val="000000"/>
                <w:lang w:eastAsia="en-GB"/>
              </w:rPr>
              <w:t xml:space="preserve"> services for </w:t>
            </w:r>
            <w:proofErr w:type="spellStart"/>
            <w:r w:rsidRPr="00B771FD">
              <w:rPr>
                <w:rFonts w:ascii="Calibri" w:hAnsi="Calibri"/>
                <w:color w:val="000000"/>
                <w:lang w:eastAsia="en-GB"/>
              </w:rPr>
              <w:t>non cash</w:t>
            </w:r>
            <w:proofErr w:type="spellEnd"/>
            <w:r w:rsidRPr="00B771FD">
              <w:rPr>
                <w:rFonts w:ascii="Calibri" w:hAnsi="Calibri"/>
                <w:color w:val="000000"/>
                <w:lang w:eastAsia="en-GB"/>
              </w:rPr>
              <w:t xml:space="preserve"> movements</w:t>
            </w:r>
          </w:p>
        </w:tc>
        <w:tc>
          <w:tcPr>
            <w:tcW w:w="340" w:type="dxa"/>
            <w:tcBorders>
              <w:top w:val="nil"/>
              <w:left w:val="nil"/>
              <w:bottom w:val="single" w:sz="4" w:space="0" w:color="FFFFFF"/>
              <w:right w:val="single" w:sz="4" w:space="0" w:color="FFFFFF"/>
            </w:tcBorders>
            <w:shd w:val="clear" w:color="000000" w:fill="DCE6F1"/>
            <w:noWrap/>
            <w:vAlign w:val="center"/>
          </w:tcPr>
          <w:p w14:paraId="21D4630E" w14:textId="77777777" w:rsidR="00B771FD" w:rsidRPr="00B771FD" w:rsidRDefault="00B771FD" w:rsidP="00B771FD">
            <w:pPr>
              <w:jc w:val="right"/>
              <w:rPr>
                <w:rFonts w:ascii="Calibri" w:hAnsi="Calibri"/>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6BE8C4AF" w14:textId="582F7BF7" w:rsidR="00B771FD" w:rsidRPr="00B771FD" w:rsidRDefault="005031BB" w:rsidP="003B5315">
            <w:pPr>
              <w:jc w:val="right"/>
              <w:rPr>
                <w:rFonts w:ascii="Calibri" w:hAnsi="Calibri"/>
                <w:color w:val="000000"/>
                <w:lang w:eastAsia="en-GB"/>
              </w:rPr>
            </w:pPr>
            <w:r>
              <w:rPr>
                <w:rFonts w:ascii="Calibri" w:hAnsi="Calibri"/>
                <w:color w:val="000000"/>
                <w:lang w:eastAsia="en-GB"/>
              </w:rPr>
              <w:t>-69</w:t>
            </w:r>
            <w:r w:rsidR="00702AC3">
              <w:rPr>
                <w:rFonts w:ascii="Calibri" w:hAnsi="Calibri"/>
                <w:color w:val="000000"/>
                <w:lang w:eastAsia="en-GB"/>
              </w:rPr>
              <w:t>1</w:t>
            </w:r>
          </w:p>
        </w:tc>
      </w:tr>
      <w:tr w:rsidR="00B771FD" w:rsidRPr="00B771FD" w14:paraId="6B1E1AF0" w14:textId="77777777" w:rsidTr="00E05DF5">
        <w:trPr>
          <w:trHeight w:val="600"/>
        </w:trPr>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14:paraId="16879D60" w14:textId="76E13DE9" w:rsidR="00B771FD" w:rsidRPr="00B771FD" w:rsidRDefault="00E05DF5" w:rsidP="002D2006">
            <w:pPr>
              <w:jc w:val="right"/>
              <w:rPr>
                <w:rFonts w:ascii="Calibri" w:hAnsi="Calibri"/>
                <w:color w:val="000000"/>
                <w:lang w:eastAsia="en-GB"/>
              </w:rPr>
            </w:pPr>
            <w:r>
              <w:rPr>
                <w:rFonts w:ascii="Calibri" w:hAnsi="Calibri"/>
                <w:color w:val="000000"/>
                <w:lang w:eastAsia="en-GB"/>
              </w:rPr>
              <w:t>-</w:t>
            </w:r>
            <w:r w:rsidR="005538C0">
              <w:rPr>
                <w:rFonts w:ascii="Calibri" w:hAnsi="Calibri"/>
                <w:color w:val="000000"/>
                <w:lang w:eastAsia="en-GB"/>
              </w:rPr>
              <w:t>1,084</w:t>
            </w:r>
          </w:p>
        </w:tc>
        <w:tc>
          <w:tcPr>
            <w:tcW w:w="5800" w:type="dxa"/>
            <w:tcBorders>
              <w:top w:val="nil"/>
              <w:left w:val="nil"/>
              <w:bottom w:val="single" w:sz="4" w:space="0" w:color="FFFFFF"/>
              <w:right w:val="single" w:sz="4" w:space="0" w:color="FFFFFF"/>
            </w:tcBorders>
            <w:shd w:val="clear" w:color="000000" w:fill="DCE6F1"/>
            <w:vAlign w:val="center"/>
            <w:hideMark/>
          </w:tcPr>
          <w:p w14:paraId="6BAD2053" w14:textId="77777777" w:rsidR="00B771FD" w:rsidRPr="00B771FD" w:rsidRDefault="00B771FD" w:rsidP="00B771FD">
            <w:pPr>
              <w:rPr>
                <w:rFonts w:ascii="Calibri" w:hAnsi="Calibri"/>
                <w:color w:val="000000"/>
                <w:lang w:eastAsia="en-GB"/>
              </w:rPr>
            </w:pPr>
            <w:r w:rsidRPr="00B771FD">
              <w:rPr>
                <w:rFonts w:ascii="Calibri" w:hAnsi="Calibri"/>
                <w:color w:val="000000"/>
                <w:lang w:eastAsia="en-GB"/>
              </w:rPr>
              <w:t>Adjustments for items included in the net deficit (-)/surplus on the provision of services that are investing and financing activities</w:t>
            </w:r>
          </w:p>
        </w:tc>
        <w:tc>
          <w:tcPr>
            <w:tcW w:w="340" w:type="dxa"/>
            <w:tcBorders>
              <w:top w:val="nil"/>
              <w:left w:val="nil"/>
              <w:bottom w:val="single" w:sz="4" w:space="0" w:color="FFFFFF"/>
              <w:right w:val="single" w:sz="4" w:space="0" w:color="FFFFFF"/>
            </w:tcBorders>
            <w:shd w:val="clear" w:color="000000" w:fill="DCE6F1"/>
            <w:noWrap/>
            <w:vAlign w:val="center"/>
          </w:tcPr>
          <w:p w14:paraId="6BBDEFAF" w14:textId="77777777" w:rsidR="00B771FD" w:rsidRPr="00B771FD" w:rsidRDefault="00B771FD" w:rsidP="00B771FD">
            <w:pPr>
              <w:jc w:val="right"/>
              <w:rPr>
                <w:rFonts w:ascii="Calibri" w:hAnsi="Calibri"/>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70A0FD30" w14:textId="3EA379ED" w:rsidR="00B771FD" w:rsidRPr="00B771FD" w:rsidRDefault="005031BB" w:rsidP="00DC6D56">
            <w:pPr>
              <w:jc w:val="right"/>
              <w:rPr>
                <w:rFonts w:ascii="Calibri" w:hAnsi="Calibri"/>
                <w:color w:val="000000"/>
                <w:lang w:eastAsia="en-GB"/>
              </w:rPr>
            </w:pPr>
            <w:r>
              <w:rPr>
                <w:rFonts w:ascii="Calibri" w:hAnsi="Calibri"/>
                <w:color w:val="000000"/>
                <w:lang w:eastAsia="en-GB"/>
              </w:rPr>
              <w:t>-1</w:t>
            </w:r>
            <w:r w:rsidR="00B81A4A">
              <w:rPr>
                <w:rFonts w:ascii="Calibri" w:hAnsi="Calibri"/>
                <w:color w:val="000000"/>
                <w:lang w:eastAsia="en-GB"/>
              </w:rPr>
              <w:t>,</w:t>
            </w:r>
            <w:r>
              <w:rPr>
                <w:rFonts w:ascii="Calibri" w:hAnsi="Calibri"/>
                <w:color w:val="000000"/>
                <w:lang w:eastAsia="en-GB"/>
              </w:rPr>
              <w:t>812</w:t>
            </w:r>
          </w:p>
        </w:tc>
      </w:tr>
      <w:tr w:rsidR="00B771FD" w:rsidRPr="00B771FD" w14:paraId="7D128BCA"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B8CCE4"/>
            <w:noWrap/>
            <w:vAlign w:val="center"/>
            <w:hideMark/>
          </w:tcPr>
          <w:p w14:paraId="7CFC56CE" w14:textId="57C3A01B" w:rsidR="00B771FD" w:rsidRPr="00B771FD" w:rsidRDefault="005538C0" w:rsidP="002D2006">
            <w:pPr>
              <w:jc w:val="right"/>
              <w:rPr>
                <w:rFonts w:ascii="Calibri" w:hAnsi="Calibri"/>
                <w:b/>
                <w:bCs/>
                <w:color w:val="000000"/>
                <w:lang w:eastAsia="en-GB"/>
              </w:rPr>
            </w:pPr>
            <w:r>
              <w:rPr>
                <w:rFonts w:ascii="Calibri" w:hAnsi="Calibri"/>
                <w:b/>
                <w:bCs/>
                <w:color w:val="000000"/>
                <w:lang w:eastAsia="en-GB"/>
              </w:rPr>
              <w:t>7,284</w:t>
            </w:r>
          </w:p>
        </w:tc>
        <w:tc>
          <w:tcPr>
            <w:tcW w:w="5800" w:type="dxa"/>
            <w:tcBorders>
              <w:top w:val="nil"/>
              <w:left w:val="nil"/>
              <w:bottom w:val="single" w:sz="4" w:space="0" w:color="FFFFFF"/>
              <w:right w:val="single" w:sz="4" w:space="0" w:color="FFFFFF"/>
            </w:tcBorders>
            <w:shd w:val="clear" w:color="000000" w:fill="B8CCE4"/>
            <w:vAlign w:val="center"/>
            <w:hideMark/>
          </w:tcPr>
          <w:p w14:paraId="779B1325" w14:textId="77777777" w:rsidR="00B771FD" w:rsidRPr="00B771FD" w:rsidRDefault="00B771FD" w:rsidP="00B771FD">
            <w:pPr>
              <w:rPr>
                <w:rFonts w:ascii="Calibri" w:hAnsi="Calibri"/>
                <w:b/>
                <w:bCs/>
                <w:color w:val="000000"/>
                <w:lang w:eastAsia="en-GB"/>
              </w:rPr>
            </w:pPr>
            <w:r w:rsidRPr="00B771FD">
              <w:rPr>
                <w:rFonts w:ascii="Calibri" w:hAnsi="Calibri"/>
                <w:b/>
                <w:bCs/>
                <w:color w:val="000000"/>
                <w:lang w:eastAsia="en-GB"/>
              </w:rPr>
              <w:t xml:space="preserve">Net cash flows from Operating Activities </w:t>
            </w:r>
          </w:p>
        </w:tc>
        <w:tc>
          <w:tcPr>
            <w:tcW w:w="340" w:type="dxa"/>
            <w:tcBorders>
              <w:top w:val="nil"/>
              <w:left w:val="nil"/>
              <w:bottom w:val="single" w:sz="4" w:space="0" w:color="FFFFFF"/>
              <w:right w:val="single" w:sz="4" w:space="0" w:color="FFFFFF"/>
            </w:tcBorders>
            <w:shd w:val="clear" w:color="000000" w:fill="B8CCE4"/>
            <w:noWrap/>
            <w:vAlign w:val="center"/>
          </w:tcPr>
          <w:p w14:paraId="133A6B74" w14:textId="6D0D26AC" w:rsidR="00B771FD" w:rsidRPr="00CE72BD" w:rsidRDefault="00CE72BD" w:rsidP="008D2291">
            <w:pPr>
              <w:jc w:val="center"/>
              <w:rPr>
                <w:rFonts w:ascii="Calibri" w:hAnsi="Calibri"/>
                <w:bCs/>
                <w:color w:val="000000"/>
                <w:lang w:eastAsia="en-GB"/>
              </w:rPr>
            </w:pPr>
            <w:r w:rsidRPr="00CE72BD">
              <w:rPr>
                <w:rFonts w:ascii="Calibri" w:hAnsi="Calibri"/>
                <w:bCs/>
                <w:color w:val="000000"/>
                <w:lang w:eastAsia="en-GB"/>
              </w:rPr>
              <w:t>3</w:t>
            </w:r>
            <w:r w:rsidR="00805549">
              <w:rPr>
                <w:rFonts w:ascii="Calibri" w:hAnsi="Calibri"/>
                <w:bCs/>
                <w:color w:val="000000"/>
                <w:lang w:eastAsia="en-GB"/>
              </w:rPr>
              <w:t>5</w:t>
            </w:r>
          </w:p>
        </w:tc>
        <w:tc>
          <w:tcPr>
            <w:tcW w:w="1500" w:type="dxa"/>
            <w:tcBorders>
              <w:top w:val="nil"/>
              <w:left w:val="nil"/>
              <w:bottom w:val="single" w:sz="4" w:space="0" w:color="FFFFFF"/>
              <w:right w:val="single" w:sz="4" w:space="0" w:color="FFFFFF"/>
            </w:tcBorders>
            <w:shd w:val="clear" w:color="000000" w:fill="B8CCE4"/>
            <w:noWrap/>
            <w:vAlign w:val="center"/>
          </w:tcPr>
          <w:p w14:paraId="4339021B" w14:textId="4FD6DEC1" w:rsidR="00B771FD" w:rsidRPr="00B771FD" w:rsidRDefault="005031BB" w:rsidP="003B5315">
            <w:pPr>
              <w:jc w:val="right"/>
              <w:rPr>
                <w:rFonts w:ascii="Calibri" w:hAnsi="Calibri"/>
                <w:b/>
                <w:bCs/>
                <w:color w:val="000000"/>
                <w:lang w:eastAsia="en-GB"/>
              </w:rPr>
            </w:pPr>
            <w:r>
              <w:rPr>
                <w:rFonts w:ascii="Calibri" w:hAnsi="Calibri"/>
                <w:b/>
                <w:bCs/>
                <w:color w:val="000000"/>
                <w:lang w:eastAsia="en-GB"/>
              </w:rPr>
              <w:t>-5,506</w:t>
            </w:r>
          </w:p>
        </w:tc>
      </w:tr>
      <w:tr w:rsidR="00B771FD" w:rsidRPr="00B771FD" w14:paraId="0F1CB7AF"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14:paraId="4B89B73F" w14:textId="7A3EF41B" w:rsidR="00B771FD" w:rsidRPr="00B771FD" w:rsidRDefault="005078DE" w:rsidP="002D2006">
            <w:pPr>
              <w:jc w:val="right"/>
              <w:rPr>
                <w:rFonts w:ascii="Calibri" w:hAnsi="Calibri"/>
                <w:color w:val="000000"/>
                <w:lang w:eastAsia="en-GB"/>
              </w:rPr>
            </w:pPr>
            <w:r>
              <w:rPr>
                <w:rFonts w:ascii="Calibri" w:hAnsi="Calibri"/>
                <w:color w:val="000000"/>
                <w:lang w:eastAsia="en-GB"/>
              </w:rPr>
              <w:t>-</w:t>
            </w:r>
            <w:r w:rsidR="003F72FD">
              <w:rPr>
                <w:rFonts w:ascii="Calibri" w:hAnsi="Calibri"/>
                <w:color w:val="000000"/>
                <w:lang w:eastAsia="en-GB"/>
              </w:rPr>
              <w:t>4,</w:t>
            </w:r>
            <w:r w:rsidR="005538C0">
              <w:rPr>
                <w:rFonts w:ascii="Calibri" w:hAnsi="Calibri"/>
                <w:color w:val="000000"/>
                <w:lang w:eastAsia="en-GB"/>
              </w:rPr>
              <w:t>277</w:t>
            </w:r>
          </w:p>
        </w:tc>
        <w:tc>
          <w:tcPr>
            <w:tcW w:w="5800" w:type="dxa"/>
            <w:tcBorders>
              <w:top w:val="nil"/>
              <w:left w:val="nil"/>
              <w:bottom w:val="single" w:sz="4" w:space="0" w:color="FFFFFF"/>
              <w:right w:val="single" w:sz="4" w:space="0" w:color="FFFFFF"/>
            </w:tcBorders>
            <w:shd w:val="clear" w:color="000000" w:fill="DCE6F1"/>
            <w:vAlign w:val="center"/>
            <w:hideMark/>
          </w:tcPr>
          <w:p w14:paraId="7D47D741" w14:textId="77777777" w:rsidR="00B771FD" w:rsidRPr="00B771FD" w:rsidRDefault="00B771FD" w:rsidP="00B771FD">
            <w:pPr>
              <w:rPr>
                <w:rFonts w:ascii="Calibri" w:hAnsi="Calibri"/>
                <w:color w:val="000000"/>
                <w:lang w:eastAsia="en-GB"/>
              </w:rPr>
            </w:pPr>
            <w:r w:rsidRPr="00B771FD">
              <w:rPr>
                <w:rFonts w:ascii="Calibri" w:hAnsi="Calibri"/>
                <w:color w:val="000000"/>
                <w:lang w:eastAsia="en-GB"/>
              </w:rPr>
              <w:t xml:space="preserve">Investing Activities </w:t>
            </w:r>
          </w:p>
        </w:tc>
        <w:tc>
          <w:tcPr>
            <w:tcW w:w="340" w:type="dxa"/>
            <w:tcBorders>
              <w:top w:val="nil"/>
              <w:left w:val="nil"/>
              <w:bottom w:val="single" w:sz="4" w:space="0" w:color="FFFFFF"/>
              <w:right w:val="single" w:sz="4" w:space="0" w:color="FFFFFF"/>
            </w:tcBorders>
            <w:shd w:val="clear" w:color="000000" w:fill="DCE6F1"/>
            <w:noWrap/>
            <w:vAlign w:val="center"/>
          </w:tcPr>
          <w:p w14:paraId="4819E3FB" w14:textId="5BA8D231" w:rsidR="00B771FD" w:rsidRPr="00CE72BD" w:rsidRDefault="00CE72BD" w:rsidP="00436CCB">
            <w:pPr>
              <w:jc w:val="center"/>
              <w:rPr>
                <w:rFonts w:ascii="Calibri" w:hAnsi="Calibri"/>
                <w:color w:val="000000"/>
                <w:lang w:eastAsia="en-GB"/>
              </w:rPr>
            </w:pPr>
            <w:r w:rsidRPr="00CE72BD">
              <w:rPr>
                <w:rFonts w:ascii="Calibri" w:hAnsi="Calibri"/>
                <w:color w:val="000000"/>
                <w:lang w:eastAsia="en-GB"/>
              </w:rPr>
              <w:t>3</w:t>
            </w:r>
            <w:r w:rsidR="00805549">
              <w:rPr>
                <w:rFonts w:ascii="Calibri" w:hAnsi="Calibri"/>
                <w:color w:val="000000"/>
                <w:lang w:eastAsia="en-GB"/>
              </w:rPr>
              <w:t>6</w:t>
            </w:r>
          </w:p>
        </w:tc>
        <w:tc>
          <w:tcPr>
            <w:tcW w:w="1500" w:type="dxa"/>
            <w:tcBorders>
              <w:top w:val="nil"/>
              <w:left w:val="nil"/>
              <w:bottom w:val="single" w:sz="4" w:space="0" w:color="FFFFFF"/>
              <w:right w:val="single" w:sz="4" w:space="0" w:color="FFFFFF"/>
            </w:tcBorders>
            <w:shd w:val="clear" w:color="000000" w:fill="B8CCE4"/>
            <w:noWrap/>
            <w:vAlign w:val="center"/>
          </w:tcPr>
          <w:p w14:paraId="244BE855" w14:textId="4BEF9903" w:rsidR="00B771FD" w:rsidRPr="00B771FD" w:rsidRDefault="005031BB" w:rsidP="00C95B02">
            <w:pPr>
              <w:jc w:val="right"/>
              <w:rPr>
                <w:rFonts w:ascii="Calibri" w:hAnsi="Calibri"/>
                <w:color w:val="000000"/>
                <w:lang w:eastAsia="en-GB"/>
              </w:rPr>
            </w:pPr>
            <w:r>
              <w:rPr>
                <w:rFonts w:ascii="Calibri" w:hAnsi="Calibri"/>
                <w:color w:val="000000"/>
                <w:lang w:eastAsia="en-GB"/>
              </w:rPr>
              <w:t>2,17</w:t>
            </w:r>
            <w:r w:rsidR="00B81A4A">
              <w:rPr>
                <w:rFonts w:ascii="Calibri" w:hAnsi="Calibri"/>
                <w:color w:val="000000"/>
                <w:lang w:eastAsia="en-GB"/>
              </w:rPr>
              <w:t>2</w:t>
            </w:r>
          </w:p>
        </w:tc>
      </w:tr>
      <w:tr w:rsidR="00B771FD" w:rsidRPr="00B771FD" w14:paraId="4F971B18"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DCE6F1"/>
            <w:noWrap/>
            <w:vAlign w:val="center"/>
            <w:hideMark/>
          </w:tcPr>
          <w:p w14:paraId="5BBF6DE5" w14:textId="265E90AB" w:rsidR="00B771FD" w:rsidRPr="00B771FD" w:rsidRDefault="003F72FD" w:rsidP="002D2006">
            <w:pPr>
              <w:jc w:val="right"/>
              <w:rPr>
                <w:rFonts w:ascii="Calibri" w:hAnsi="Calibri"/>
                <w:color w:val="000000"/>
                <w:lang w:eastAsia="en-GB"/>
              </w:rPr>
            </w:pPr>
            <w:r>
              <w:rPr>
                <w:rFonts w:ascii="Calibri" w:hAnsi="Calibri"/>
                <w:color w:val="000000"/>
                <w:lang w:eastAsia="en-GB"/>
              </w:rPr>
              <w:t>-</w:t>
            </w:r>
            <w:r w:rsidR="005538C0">
              <w:rPr>
                <w:rFonts w:ascii="Calibri" w:hAnsi="Calibri"/>
                <w:color w:val="000000"/>
                <w:lang w:eastAsia="en-GB"/>
              </w:rPr>
              <w:t>853</w:t>
            </w:r>
          </w:p>
        </w:tc>
        <w:tc>
          <w:tcPr>
            <w:tcW w:w="5800" w:type="dxa"/>
            <w:tcBorders>
              <w:top w:val="nil"/>
              <w:left w:val="nil"/>
              <w:bottom w:val="single" w:sz="4" w:space="0" w:color="FFFFFF"/>
              <w:right w:val="single" w:sz="4" w:space="0" w:color="FFFFFF"/>
            </w:tcBorders>
            <w:shd w:val="clear" w:color="000000" w:fill="DCE6F1"/>
            <w:vAlign w:val="center"/>
            <w:hideMark/>
          </w:tcPr>
          <w:p w14:paraId="59E7C24E" w14:textId="77777777" w:rsidR="00B771FD" w:rsidRPr="00B771FD" w:rsidRDefault="00B771FD" w:rsidP="00B771FD">
            <w:pPr>
              <w:rPr>
                <w:rFonts w:ascii="Calibri" w:hAnsi="Calibri"/>
                <w:color w:val="000000"/>
                <w:lang w:eastAsia="en-GB"/>
              </w:rPr>
            </w:pPr>
            <w:r w:rsidRPr="00B771FD">
              <w:rPr>
                <w:rFonts w:ascii="Calibri" w:hAnsi="Calibri"/>
                <w:color w:val="000000"/>
                <w:lang w:eastAsia="en-GB"/>
              </w:rPr>
              <w:t xml:space="preserve">Financing Activities </w:t>
            </w:r>
          </w:p>
        </w:tc>
        <w:tc>
          <w:tcPr>
            <w:tcW w:w="340" w:type="dxa"/>
            <w:tcBorders>
              <w:top w:val="nil"/>
              <w:left w:val="nil"/>
              <w:bottom w:val="single" w:sz="4" w:space="0" w:color="FFFFFF"/>
              <w:right w:val="single" w:sz="4" w:space="0" w:color="FFFFFF"/>
            </w:tcBorders>
            <w:shd w:val="clear" w:color="000000" w:fill="DCE6F1"/>
            <w:noWrap/>
            <w:vAlign w:val="center"/>
          </w:tcPr>
          <w:p w14:paraId="2B161B8E" w14:textId="5BAEFB14" w:rsidR="00B771FD" w:rsidRPr="00CE72BD" w:rsidRDefault="00CE72BD" w:rsidP="00436CCB">
            <w:pPr>
              <w:jc w:val="center"/>
              <w:rPr>
                <w:rFonts w:ascii="Calibri" w:hAnsi="Calibri"/>
                <w:color w:val="000000"/>
                <w:lang w:eastAsia="en-GB"/>
              </w:rPr>
            </w:pPr>
            <w:r w:rsidRPr="00CE72BD">
              <w:rPr>
                <w:rFonts w:ascii="Calibri" w:hAnsi="Calibri"/>
                <w:color w:val="000000"/>
                <w:lang w:eastAsia="en-GB"/>
              </w:rPr>
              <w:t>3</w:t>
            </w:r>
            <w:r w:rsidR="00805549">
              <w:rPr>
                <w:rFonts w:ascii="Calibri" w:hAnsi="Calibri"/>
                <w:color w:val="000000"/>
                <w:lang w:eastAsia="en-GB"/>
              </w:rPr>
              <w:t>7</w:t>
            </w:r>
          </w:p>
        </w:tc>
        <w:tc>
          <w:tcPr>
            <w:tcW w:w="1500" w:type="dxa"/>
            <w:tcBorders>
              <w:top w:val="nil"/>
              <w:left w:val="nil"/>
              <w:bottom w:val="single" w:sz="4" w:space="0" w:color="FFFFFF"/>
              <w:right w:val="single" w:sz="4" w:space="0" w:color="FFFFFF"/>
            </w:tcBorders>
            <w:shd w:val="clear" w:color="000000" w:fill="B8CCE4"/>
            <w:noWrap/>
            <w:vAlign w:val="center"/>
          </w:tcPr>
          <w:p w14:paraId="0A2BDBAC" w14:textId="1086EE7A" w:rsidR="00B771FD" w:rsidRPr="00B771FD" w:rsidRDefault="005031BB" w:rsidP="00FB0E9D">
            <w:pPr>
              <w:jc w:val="right"/>
              <w:rPr>
                <w:rFonts w:ascii="Calibri" w:hAnsi="Calibri"/>
                <w:color w:val="000000"/>
                <w:lang w:eastAsia="en-GB"/>
              </w:rPr>
            </w:pPr>
            <w:r>
              <w:rPr>
                <w:rFonts w:ascii="Calibri" w:hAnsi="Calibri"/>
                <w:color w:val="000000"/>
                <w:lang w:eastAsia="en-GB"/>
              </w:rPr>
              <w:t>-15</w:t>
            </w:r>
            <w:r w:rsidR="00B81A4A">
              <w:rPr>
                <w:rFonts w:ascii="Calibri" w:hAnsi="Calibri"/>
                <w:color w:val="000000"/>
                <w:lang w:eastAsia="en-GB"/>
              </w:rPr>
              <w:t>2</w:t>
            </w:r>
          </w:p>
        </w:tc>
      </w:tr>
      <w:tr w:rsidR="00B771FD" w:rsidRPr="00B771FD" w14:paraId="62E99225"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B8CCE4"/>
            <w:noWrap/>
            <w:vAlign w:val="center"/>
            <w:hideMark/>
          </w:tcPr>
          <w:p w14:paraId="72F737BD" w14:textId="0D4A7D89" w:rsidR="00B771FD" w:rsidRPr="00B771FD" w:rsidRDefault="005538C0" w:rsidP="002D2006">
            <w:pPr>
              <w:jc w:val="right"/>
              <w:rPr>
                <w:rFonts w:ascii="Calibri" w:hAnsi="Calibri"/>
                <w:b/>
                <w:bCs/>
                <w:color w:val="000000"/>
                <w:lang w:eastAsia="en-GB"/>
              </w:rPr>
            </w:pPr>
            <w:r>
              <w:rPr>
                <w:rFonts w:ascii="Calibri" w:hAnsi="Calibri"/>
                <w:b/>
                <w:bCs/>
                <w:color w:val="000000"/>
                <w:lang w:eastAsia="en-GB"/>
              </w:rPr>
              <w:t>2,154</w:t>
            </w:r>
          </w:p>
        </w:tc>
        <w:tc>
          <w:tcPr>
            <w:tcW w:w="5800" w:type="dxa"/>
            <w:tcBorders>
              <w:top w:val="nil"/>
              <w:left w:val="nil"/>
              <w:bottom w:val="single" w:sz="4" w:space="0" w:color="FFFFFF"/>
              <w:right w:val="single" w:sz="4" w:space="0" w:color="FFFFFF"/>
            </w:tcBorders>
            <w:shd w:val="clear" w:color="000000" w:fill="B8CCE4"/>
            <w:vAlign w:val="center"/>
            <w:hideMark/>
          </w:tcPr>
          <w:p w14:paraId="11224D91" w14:textId="77777777" w:rsidR="00B771FD" w:rsidRPr="00B771FD" w:rsidRDefault="00B771FD" w:rsidP="00B771FD">
            <w:pPr>
              <w:rPr>
                <w:rFonts w:ascii="Calibri" w:hAnsi="Calibri"/>
                <w:b/>
                <w:bCs/>
                <w:color w:val="000000"/>
                <w:lang w:eastAsia="en-GB"/>
              </w:rPr>
            </w:pPr>
            <w:r w:rsidRPr="00B771FD">
              <w:rPr>
                <w:rFonts w:ascii="Calibri" w:hAnsi="Calibri"/>
                <w:b/>
                <w:bCs/>
                <w:color w:val="000000"/>
                <w:lang w:eastAsia="en-GB"/>
              </w:rPr>
              <w:t>Net increase or decrease (-) in cash and cash equivalents</w:t>
            </w:r>
          </w:p>
        </w:tc>
        <w:tc>
          <w:tcPr>
            <w:tcW w:w="340" w:type="dxa"/>
            <w:tcBorders>
              <w:top w:val="nil"/>
              <w:left w:val="nil"/>
              <w:bottom w:val="single" w:sz="4" w:space="0" w:color="FFFFFF"/>
              <w:right w:val="single" w:sz="4" w:space="0" w:color="FFFFFF"/>
            </w:tcBorders>
            <w:shd w:val="clear" w:color="000000" w:fill="B8CCE4"/>
            <w:noWrap/>
            <w:vAlign w:val="center"/>
          </w:tcPr>
          <w:p w14:paraId="6C06698C" w14:textId="77777777" w:rsidR="00B771FD" w:rsidRPr="00B771FD" w:rsidRDefault="00B771FD" w:rsidP="00B771FD">
            <w:pPr>
              <w:rPr>
                <w:rFonts w:ascii="Calibri" w:hAnsi="Calibri"/>
                <w:b/>
                <w:bCs/>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4D0C10B3" w14:textId="2E3D7AFC" w:rsidR="00B771FD" w:rsidRPr="00B771FD" w:rsidRDefault="005031BB" w:rsidP="00336728">
            <w:pPr>
              <w:jc w:val="right"/>
              <w:rPr>
                <w:rFonts w:ascii="Calibri" w:hAnsi="Calibri"/>
                <w:b/>
                <w:bCs/>
                <w:color w:val="000000"/>
                <w:lang w:eastAsia="en-GB"/>
              </w:rPr>
            </w:pPr>
            <w:r>
              <w:rPr>
                <w:rFonts w:ascii="Calibri" w:hAnsi="Calibri"/>
                <w:b/>
                <w:bCs/>
                <w:color w:val="000000"/>
                <w:lang w:eastAsia="en-GB"/>
              </w:rPr>
              <w:t>-3,486</w:t>
            </w:r>
          </w:p>
        </w:tc>
      </w:tr>
      <w:tr w:rsidR="00B771FD" w:rsidRPr="00B771FD" w14:paraId="758DCFF4"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B8CCE4"/>
            <w:noWrap/>
            <w:vAlign w:val="center"/>
            <w:hideMark/>
          </w:tcPr>
          <w:p w14:paraId="35987D98" w14:textId="615CDC66" w:rsidR="00B771FD" w:rsidRPr="00B771FD" w:rsidRDefault="005538C0" w:rsidP="002D2006">
            <w:pPr>
              <w:jc w:val="right"/>
              <w:rPr>
                <w:rFonts w:ascii="Calibri" w:hAnsi="Calibri"/>
                <w:b/>
                <w:bCs/>
                <w:color w:val="000000"/>
                <w:lang w:eastAsia="en-GB"/>
              </w:rPr>
            </w:pPr>
            <w:r>
              <w:rPr>
                <w:rFonts w:ascii="Calibri" w:hAnsi="Calibri"/>
                <w:b/>
                <w:bCs/>
                <w:color w:val="000000"/>
                <w:lang w:eastAsia="en-GB"/>
              </w:rPr>
              <w:t>3,601</w:t>
            </w:r>
          </w:p>
        </w:tc>
        <w:tc>
          <w:tcPr>
            <w:tcW w:w="5800" w:type="dxa"/>
            <w:tcBorders>
              <w:top w:val="nil"/>
              <w:left w:val="nil"/>
              <w:bottom w:val="single" w:sz="4" w:space="0" w:color="FFFFFF"/>
              <w:right w:val="single" w:sz="4" w:space="0" w:color="FFFFFF"/>
            </w:tcBorders>
            <w:shd w:val="clear" w:color="000000" w:fill="B8CCE4"/>
            <w:vAlign w:val="center"/>
            <w:hideMark/>
          </w:tcPr>
          <w:p w14:paraId="3616F621" w14:textId="77777777" w:rsidR="00B771FD" w:rsidRPr="00B771FD" w:rsidRDefault="00B771FD" w:rsidP="00B771FD">
            <w:pPr>
              <w:rPr>
                <w:rFonts w:ascii="Calibri" w:hAnsi="Calibri"/>
                <w:b/>
                <w:bCs/>
                <w:color w:val="000000"/>
                <w:lang w:eastAsia="en-GB"/>
              </w:rPr>
            </w:pPr>
            <w:r w:rsidRPr="00B771FD">
              <w:rPr>
                <w:rFonts w:ascii="Calibri" w:hAnsi="Calibri"/>
                <w:b/>
                <w:bCs/>
                <w:color w:val="000000"/>
                <w:lang w:eastAsia="en-GB"/>
              </w:rPr>
              <w:t>Cash and cash equivalents at the beginning of the reporting period</w:t>
            </w:r>
          </w:p>
        </w:tc>
        <w:tc>
          <w:tcPr>
            <w:tcW w:w="340" w:type="dxa"/>
            <w:tcBorders>
              <w:top w:val="nil"/>
              <w:left w:val="nil"/>
              <w:bottom w:val="single" w:sz="4" w:space="0" w:color="FFFFFF"/>
              <w:right w:val="single" w:sz="4" w:space="0" w:color="FFFFFF"/>
            </w:tcBorders>
            <w:shd w:val="clear" w:color="000000" w:fill="B8CCE4"/>
            <w:noWrap/>
            <w:vAlign w:val="center"/>
          </w:tcPr>
          <w:p w14:paraId="29ED1586" w14:textId="77777777" w:rsidR="00B771FD" w:rsidRPr="00B771FD" w:rsidRDefault="00B771FD" w:rsidP="00B771FD">
            <w:pPr>
              <w:rPr>
                <w:rFonts w:ascii="Calibri" w:hAnsi="Calibri"/>
                <w:b/>
                <w:bCs/>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075F7EBD" w14:textId="6CCD8E0D" w:rsidR="00B771FD" w:rsidRPr="00B771FD" w:rsidRDefault="005031BB" w:rsidP="00F17755">
            <w:pPr>
              <w:jc w:val="right"/>
              <w:rPr>
                <w:rFonts w:ascii="Calibri" w:hAnsi="Calibri"/>
                <w:b/>
                <w:bCs/>
                <w:color w:val="000000"/>
                <w:lang w:eastAsia="en-GB"/>
              </w:rPr>
            </w:pPr>
            <w:r>
              <w:rPr>
                <w:rFonts w:ascii="Calibri" w:hAnsi="Calibri"/>
                <w:b/>
                <w:bCs/>
                <w:color w:val="000000"/>
                <w:lang w:eastAsia="en-GB"/>
              </w:rPr>
              <w:t>5,755</w:t>
            </w:r>
          </w:p>
        </w:tc>
      </w:tr>
      <w:tr w:rsidR="00B771FD" w:rsidRPr="00B771FD" w14:paraId="660149E9" w14:textId="77777777" w:rsidTr="00E05DF5">
        <w:trPr>
          <w:trHeight w:val="300"/>
        </w:trPr>
        <w:tc>
          <w:tcPr>
            <w:tcW w:w="1500" w:type="dxa"/>
            <w:tcBorders>
              <w:top w:val="nil"/>
              <w:left w:val="single" w:sz="4" w:space="0" w:color="FFFFFF"/>
              <w:bottom w:val="single" w:sz="4" w:space="0" w:color="FFFFFF"/>
              <w:right w:val="single" w:sz="4" w:space="0" w:color="FFFFFF"/>
            </w:tcBorders>
            <w:shd w:val="clear" w:color="000000" w:fill="B8CCE4"/>
            <w:noWrap/>
            <w:vAlign w:val="center"/>
            <w:hideMark/>
          </w:tcPr>
          <w:p w14:paraId="5C6FC5CA" w14:textId="34FBA2B6" w:rsidR="00B771FD" w:rsidRPr="00B771FD" w:rsidRDefault="005538C0" w:rsidP="002D2006">
            <w:pPr>
              <w:jc w:val="right"/>
              <w:rPr>
                <w:rFonts w:ascii="Calibri" w:hAnsi="Calibri"/>
                <w:b/>
                <w:bCs/>
                <w:color w:val="000000"/>
                <w:lang w:eastAsia="en-GB"/>
              </w:rPr>
            </w:pPr>
            <w:r>
              <w:rPr>
                <w:rFonts w:ascii="Calibri" w:hAnsi="Calibri"/>
                <w:b/>
                <w:bCs/>
                <w:color w:val="000000"/>
                <w:lang w:eastAsia="en-GB"/>
              </w:rPr>
              <w:t>5,755</w:t>
            </w:r>
          </w:p>
        </w:tc>
        <w:tc>
          <w:tcPr>
            <w:tcW w:w="5800" w:type="dxa"/>
            <w:tcBorders>
              <w:top w:val="nil"/>
              <w:left w:val="nil"/>
              <w:bottom w:val="single" w:sz="4" w:space="0" w:color="FFFFFF"/>
              <w:right w:val="single" w:sz="4" w:space="0" w:color="FFFFFF"/>
            </w:tcBorders>
            <w:shd w:val="clear" w:color="000000" w:fill="B8CCE4"/>
            <w:vAlign w:val="center"/>
            <w:hideMark/>
          </w:tcPr>
          <w:p w14:paraId="4703C3DA" w14:textId="77777777" w:rsidR="00B771FD" w:rsidRPr="00B771FD" w:rsidRDefault="00B771FD" w:rsidP="00B771FD">
            <w:pPr>
              <w:rPr>
                <w:rFonts w:ascii="Calibri" w:hAnsi="Calibri"/>
                <w:b/>
                <w:bCs/>
                <w:color w:val="000000"/>
                <w:lang w:eastAsia="en-GB"/>
              </w:rPr>
            </w:pPr>
            <w:r w:rsidRPr="00B771FD">
              <w:rPr>
                <w:rFonts w:ascii="Calibri" w:hAnsi="Calibri"/>
                <w:b/>
                <w:bCs/>
                <w:color w:val="000000"/>
                <w:lang w:eastAsia="en-GB"/>
              </w:rPr>
              <w:t>Cash and cash equivalents at the end of the reporting period</w:t>
            </w:r>
          </w:p>
        </w:tc>
        <w:tc>
          <w:tcPr>
            <w:tcW w:w="340" w:type="dxa"/>
            <w:tcBorders>
              <w:top w:val="nil"/>
              <w:left w:val="nil"/>
              <w:bottom w:val="single" w:sz="4" w:space="0" w:color="FFFFFF"/>
              <w:right w:val="single" w:sz="4" w:space="0" w:color="FFFFFF"/>
            </w:tcBorders>
            <w:shd w:val="clear" w:color="000000" w:fill="B8CCE4"/>
            <w:noWrap/>
            <w:vAlign w:val="center"/>
          </w:tcPr>
          <w:p w14:paraId="767D6A7E" w14:textId="77777777" w:rsidR="00B771FD" w:rsidRPr="00B771FD" w:rsidRDefault="00B771FD" w:rsidP="00B771FD">
            <w:pPr>
              <w:jc w:val="right"/>
              <w:rPr>
                <w:rFonts w:ascii="Calibri" w:hAnsi="Calibri"/>
                <w:color w:val="000000"/>
                <w:lang w:eastAsia="en-GB"/>
              </w:rPr>
            </w:pPr>
          </w:p>
        </w:tc>
        <w:tc>
          <w:tcPr>
            <w:tcW w:w="1500" w:type="dxa"/>
            <w:tcBorders>
              <w:top w:val="nil"/>
              <w:left w:val="nil"/>
              <w:bottom w:val="single" w:sz="4" w:space="0" w:color="FFFFFF"/>
              <w:right w:val="single" w:sz="4" w:space="0" w:color="FFFFFF"/>
            </w:tcBorders>
            <w:shd w:val="clear" w:color="000000" w:fill="B8CCE4"/>
            <w:noWrap/>
            <w:vAlign w:val="center"/>
          </w:tcPr>
          <w:p w14:paraId="446B5DFB" w14:textId="57DE918C" w:rsidR="008E2A97" w:rsidRPr="00B771FD" w:rsidRDefault="005031BB" w:rsidP="008E2A97">
            <w:pPr>
              <w:jc w:val="right"/>
              <w:rPr>
                <w:rFonts w:ascii="Calibri" w:hAnsi="Calibri"/>
                <w:b/>
                <w:bCs/>
                <w:color w:val="000000"/>
                <w:lang w:eastAsia="en-GB"/>
              </w:rPr>
            </w:pPr>
            <w:r>
              <w:rPr>
                <w:rFonts w:ascii="Calibri" w:hAnsi="Calibri"/>
                <w:b/>
                <w:bCs/>
                <w:color w:val="000000"/>
                <w:lang w:eastAsia="en-GB"/>
              </w:rPr>
              <w:t>2,269</w:t>
            </w:r>
          </w:p>
        </w:tc>
      </w:tr>
    </w:tbl>
    <w:p w14:paraId="5A7D66C7" w14:textId="77777777" w:rsidR="008B325D" w:rsidRDefault="008B325D" w:rsidP="0084582F">
      <w:pPr>
        <w:widowControl w:val="0"/>
        <w:tabs>
          <w:tab w:val="left" w:pos="720"/>
          <w:tab w:val="left" w:pos="7200"/>
          <w:tab w:val="left" w:pos="8640"/>
        </w:tabs>
        <w:rPr>
          <w:rFonts w:ascii="Arial" w:hAnsi="Arial" w:cs="Arial"/>
          <w:b/>
        </w:rPr>
      </w:pPr>
    </w:p>
    <w:p w14:paraId="17DCD928" w14:textId="77777777" w:rsidR="008B325D" w:rsidRDefault="008B325D" w:rsidP="0084582F">
      <w:pPr>
        <w:widowControl w:val="0"/>
        <w:tabs>
          <w:tab w:val="left" w:pos="720"/>
          <w:tab w:val="left" w:pos="7200"/>
          <w:tab w:val="left" w:pos="8640"/>
        </w:tabs>
        <w:rPr>
          <w:rFonts w:ascii="Arial" w:hAnsi="Arial" w:cs="Arial"/>
          <w:b/>
        </w:rPr>
      </w:pPr>
    </w:p>
    <w:p w14:paraId="0E83867C" w14:textId="77777777" w:rsidR="008B325D" w:rsidRDefault="008B325D" w:rsidP="0084582F">
      <w:pPr>
        <w:widowControl w:val="0"/>
        <w:tabs>
          <w:tab w:val="left" w:pos="720"/>
          <w:tab w:val="left" w:pos="7200"/>
          <w:tab w:val="left" w:pos="8640"/>
        </w:tabs>
        <w:rPr>
          <w:rFonts w:ascii="Arial" w:hAnsi="Arial" w:cs="Arial"/>
          <w:b/>
        </w:rPr>
      </w:pPr>
    </w:p>
    <w:p w14:paraId="66CB0A4D" w14:textId="77777777" w:rsidR="008B325D" w:rsidRDefault="008B325D" w:rsidP="0084582F">
      <w:pPr>
        <w:widowControl w:val="0"/>
        <w:tabs>
          <w:tab w:val="left" w:pos="720"/>
          <w:tab w:val="left" w:pos="7200"/>
          <w:tab w:val="left" w:pos="8640"/>
        </w:tabs>
        <w:rPr>
          <w:rFonts w:ascii="Arial" w:hAnsi="Arial" w:cs="Arial"/>
          <w:b/>
        </w:rPr>
      </w:pPr>
    </w:p>
    <w:p w14:paraId="16572236" w14:textId="77777777" w:rsidR="008B325D" w:rsidRDefault="008B325D" w:rsidP="0084582F">
      <w:pPr>
        <w:widowControl w:val="0"/>
        <w:tabs>
          <w:tab w:val="left" w:pos="720"/>
          <w:tab w:val="left" w:pos="7200"/>
          <w:tab w:val="left" w:pos="8640"/>
        </w:tabs>
        <w:rPr>
          <w:rFonts w:ascii="Arial" w:hAnsi="Arial" w:cs="Arial"/>
          <w:b/>
        </w:rPr>
      </w:pPr>
    </w:p>
    <w:p w14:paraId="27C83D39" w14:textId="77777777" w:rsidR="008B325D" w:rsidRDefault="008B325D" w:rsidP="0084582F">
      <w:pPr>
        <w:widowControl w:val="0"/>
        <w:tabs>
          <w:tab w:val="left" w:pos="720"/>
          <w:tab w:val="left" w:pos="7200"/>
          <w:tab w:val="left" w:pos="8640"/>
        </w:tabs>
        <w:rPr>
          <w:rFonts w:ascii="Arial" w:hAnsi="Arial" w:cs="Arial"/>
          <w:b/>
        </w:rPr>
      </w:pPr>
    </w:p>
    <w:p w14:paraId="47E171BF" w14:textId="77777777" w:rsidR="008B325D" w:rsidRDefault="008B325D" w:rsidP="0084582F">
      <w:pPr>
        <w:widowControl w:val="0"/>
        <w:tabs>
          <w:tab w:val="left" w:pos="720"/>
          <w:tab w:val="left" w:pos="7200"/>
          <w:tab w:val="left" w:pos="8640"/>
        </w:tabs>
        <w:rPr>
          <w:rFonts w:ascii="Arial" w:hAnsi="Arial" w:cs="Arial"/>
          <w:b/>
        </w:rPr>
      </w:pPr>
    </w:p>
    <w:p w14:paraId="2ED59583" w14:textId="77777777" w:rsidR="008B325D" w:rsidRDefault="008B325D" w:rsidP="0084582F">
      <w:pPr>
        <w:widowControl w:val="0"/>
        <w:tabs>
          <w:tab w:val="left" w:pos="720"/>
          <w:tab w:val="left" w:pos="7200"/>
          <w:tab w:val="left" w:pos="8640"/>
        </w:tabs>
        <w:rPr>
          <w:rFonts w:ascii="Arial" w:hAnsi="Arial" w:cs="Arial"/>
          <w:b/>
        </w:rPr>
      </w:pPr>
    </w:p>
    <w:p w14:paraId="52D5965C" w14:textId="77777777" w:rsidR="008B325D" w:rsidRDefault="008B325D" w:rsidP="0084582F">
      <w:pPr>
        <w:widowControl w:val="0"/>
        <w:tabs>
          <w:tab w:val="left" w:pos="720"/>
          <w:tab w:val="left" w:pos="7200"/>
          <w:tab w:val="left" w:pos="8640"/>
        </w:tabs>
        <w:rPr>
          <w:rFonts w:ascii="Arial" w:hAnsi="Arial" w:cs="Arial"/>
          <w:b/>
        </w:rPr>
      </w:pPr>
    </w:p>
    <w:p w14:paraId="66F6241B" w14:textId="77777777" w:rsidR="008B325D" w:rsidRDefault="008B325D" w:rsidP="0084582F">
      <w:pPr>
        <w:widowControl w:val="0"/>
        <w:tabs>
          <w:tab w:val="left" w:pos="720"/>
          <w:tab w:val="left" w:pos="7200"/>
          <w:tab w:val="left" w:pos="8640"/>
        </w:tabs>
        <w:rPr>
          <w:rFonts w:ascii="Arial" w:hAnsi="Arial" w:cs="Arial"/>
          <w:b/>
        </w:rPr>
      </w:pPr>
    </w:p>
    <w:p w14:paraId="0BD4141A" w14:textId="77777777" w:rsidR="008B325D" w:rsidRDefault="008B325D" w:rsidP="0084582F">
      <w:pPr>
        <w:widowControl w:val="0"/>
        <w:tabs>
          <w:tab w:val="left" w:pos="720"/>
          <w:tab w:val="left" w:pos="7200"/>
          <w:tab w:val="left" w:pos="8640"/>
        </w:tabs>
        <w:rPr>
          <w:rFonts w:ascii="Arial" w:hAnsi="Arial" w:cs="Arial"/>
          <w:b/>
        </w:rPr>
      </w:pPr>
    </w:p>
    <w:p w14:paraId="6213D953" w14:textId="77777777" w:rsidR="008B325D" w:rsidRDefault="008B325D" w:rsidP="0084582F">
      <w:pPr>
        <w:widowControl w:val="0"/>
        <w:tabs>
          <w:tab w:val="left" w:pos="720"/>
          <w:tab w:val="left" w:pos="7200"/>
          <w:tab w:val="left" w:pos="8640"/>
        </w:tabs>
        <w:rPr>
          <w:rFonts w:ascii="Arial" w:hAnsi="Arial" w:cs="Arial"/>
          <w:b/>
        </w:rPr>
      </w:pPr>
    </w:p>
    <w:p w14:paraId="2E85219E" w14:textId="77777777" w:rsidR="008B325D" w:rsidRDefault="008B325D" w:rsidP="0084582F">
      <w:pPr>
        <w:widowControl w:val="0"/>
        <w:tabs>
          <w:tab w:val="left" w:pos="720"/>
          <w:tab w:val="left" w:pos="7200"/>
          <w:tab w:val="left" w:pos="8640"/>
        </w:tabs>
        <w:rPr>
          <w:rFonts w:ascii="Arial" w:hAnsi="Arial" w:cs="Arial"/>
          <w:b/>
        </w:rPr>
      </w:pPr>
    </w:p>
    <w:p w14:paraId="4467636B" w14:textId="606514A9" w:rsidR="008B325D" w:rsidRDefault="008B325D" w:rsidP="0084582F">
      <w:pPr>
        <w:widowControl w:val="0"/>
        <w:tabs>
          <w:tab w:val="left" w:pos="720"/>
          <w:tab w:val="left" w:pos="7200"/>
          <w:tab w:val="left" w:pos="8640"/>
        </w:tabs>
        <w:rPr>
          <w:rFonts w:ascii="Arial" w:hAnsi="Arial" w:cs="Arial"/>
          <w:b/>
        </w:rPr>
      </w:pPr>
    </w:p>
    <w:p w14:paraId="20D67B93" w14:textId="5F4F8A9F" w:rsidR="00D83E40" w:rsidRDefault="00D83E40" w:rsidP="0084582F">
      <w:pPr>
        <w:widowControl w:val="0"/>
        <w:tabs>
          <w:tab w:val="left" w:pos="720"/>
          <w:tab w:val="left" w:pos="7200"/>
          <w:tab w:val="left" w:pos="8640"/>
        </w:tabs>
        <w:rPr>
          <w:rFonts w:ascii="Arial" w:hAnsi="Arial" w:cs="Arial"/>
          <w:b/>
        </w:rPr>
      </w:pPr>
    </w:p>
    <w:p w14:paraId="0985D5E6" w14:textId="6E6B8DC0" w:rsidR="00D83E40" w:rsidRDefault="00D83E40" w:rsidP="0084582F">
      <w:pPr>
        <w:widowControl w:val="0"/>
        <w:tabs>
          <w:tab w:val="left" w:pos="720"/>
          <w:tab w:val="left" w:pos="7200"/>
          <w:tab w:val="left" w:pos="8640"/>
        </w:tabs>
        <w:rPr>
          <w:rFonts w:ascii="Arial" w:hAnsi="Arial" w:cs="Arial"/>
          <w:b/>
        </w:rPr>
      </w:pPr>
    </w:p>
    <w:p w14:paraId="25C63DA9" w14:textId="78F2EAB6" w:rsidR="008B325D" w:rsidRDefault="008B325D" w:rsidP="0084582F">
      <w:pPr>
        <w:widowControl w:val="0"/>
        <w:tabs>
          <w:tab w:val="left" w:pos="720"/>
          <w:tab w:val="left" w:pos="7200"/>
          <w:tab w:val="left" w:pos="8640"/>
        </w:tabs>
        <w:rPr>
          <w:rFonts w:ascii="Arial" w:hAnsi="Arial" w:cs="Arial"/>
          <w:b/>
        </w:rPr>
      </w:pPr>
    </w:p>
    <w:p w14:paraId="1A234C4B" w14:textId="77777777" w:rsidR="00D83E40" w:rsidRDefault="00D83E40" w:rsidP="0084582F">
      <w:pPr>
        <w:widowControl w:val="0"/>
        <w:tabs>
          <w:tab w:val="left" w:pos="720"/>
          <w:tab w:val="left" w:pos="7200"/>
          <w:tab w:val="left" w:pos="8640"/>
        </w:tabs>
        <w:rPr>
          <w:rFonts w:ascii="Arial" w:hAnsi="Arial" w:cs="Arial"/>
          <w:b/>
        </w:rPr>
      </w:pPr>
    </w:p>
    <w:p w14:paraId="41383FFB" w14:textId="77777777" w:rsidR="008B325D" w:rsidRDefault="008B325D" w:rsidP="0084582F">
      <w:pPr>
        <w:widowControl w:val="0"/>
        <w:tabs>
          <w:tab w:val="left" w:pos="720"/>
          <w:tab w:val="left" w:pos="7200"/>
          <w:tab w:val="left" w:pos="8640"/>
        </w:tabs>
        <w:rPr>
          <w:rFonts w:ascii="Arial" w:hAnsi="Arial" w:cs="Arial"/>
          <w:b/>
        </w:rPr>
      </w:pPr>
    </w:p>
    <w:p w14:paraId="25FB53E1" w14:textId="77777777" w:rsidR="00180FBA" w:rsidRDefault="00180FBA" w:rsidP="0084582F">
      <w:pPr>
        <w:widowControl w:val="0"/>
        <w:tabs>
          <w:tab w:val="left" w:pos="720"/>
          <w:tab w:val="left" w:pos="7200"/>
          <w:tab w:val="left" w:pos="8640"/>
        </w:tabs>
        <w:rPr>
          <w:rFonts w:ascii="Arial" w:hAnsi="Arial" w:cs="Arial"/>
          <w:b/>
        </w:rPr>
      </w:pPr>
    </w:p>
    <w:p w14:paraId="2F90BE8D" w14:textId="77777777" w:rsidR="004B7E57" w:rsidRDefault="004B7E57" w:rsidP="00704A70">
      <w:pPr>
        <w:pStyle w:val="Heading1"/>
      </w:pPr>
      <w:bookmarkStart w:id="1" w:name="_Hlk107488509"/>
      <w:r>
        <w:lastRenderedPageBreak/>
        <w:t>Notes to the Financial Statements</w:t>
      </w:r>
    </w:p>
    <w:p w14:paraId="5EEAFD17" w14:textId="77777777" w:rsidR="004B7E57" w:rsidRDefault="004B7E57" w:rsidP="0084582F">
      <w:pPr>
        <w:widowControl w:val="0"/>
        <w:tabs>
          <w:tab w:val="left" w:pos="720"/>
          <w:tab w:val="left" w:pos="7200"/>
          <w:tab w:val="left" w:pos="8640"/>
        </w:tabs>
        <w:rPr>
          <w:rFonts w:asciiTheme="minorHAnsi" w:hAnsiTheme="minorHAnsi" w:cs="Arial"/>
          <w:b/>
          <w:sz w:val="28"/>
          <w:szCs w:val="28"/>
        </w:rPr>
      </w:pPr>
    </w:p>
    <w:tbl>
      <w:tblPr>
        <w:tblW w:w="10020" w:type="dxa"/>
        <w:tblInd w:w="93" w:type="dxa"/>
        <w:tblBorders>
          <w:top w:val="single" w:sz="4" w:space="0" w:color="FFFFFF"/>
          <w:right w:val="single" w:sz="4" w:space="0" w:color="FFFFFF"/>
          <w:insideH w:val="single" w:sz="4" w:space="0" w:color="FFFFFF" w:themeColor="background1"/>
          <w:insideV w:val="single" w:sz="4" w:space="0" w:color="FFFFFF" w:themeColor="background1"/>
        </w:tblBorders>
        <w:tblLook w:val="04A0" w:firstRow="1" w:lastRow="0" w:firstColumn="1" w:lastColumn="0" w:noHBand="0" w:noVBand="1"/>
        <w:tblCaption w:val="Notes to the financial statements"/>
        <w:tblDescription w:val="Contents lists for the notes to the financial statements"/>
      </w:tblPr>
      <w:tblGrid>
        <w:gridCol w:w="1008"/>
        <w:gridCol w:w="8221"/>
        <w:gridCol w:w="791"/>
      </w:tblGrid>
      <w:tr w:rsidR="004B7E57" w:rsidRPr="004B7E57" w14:paraId="76510633" w14:textId="77777777" w:rsidTr="00F367A2">
        <w:trPr>
          <w:cantSplit/>
          <w:trHeight w:val="300"/>
          <w:tblHeader/>
        </w:trPr>
        <w:tc>
          <w:tcPr>
            <w:tcW w:w="1008" w:type="dxa"/>
            <w:shd w:val="clear" w:color="000000" w:fill="DA9694"/>
            <w:noWrap/>
            <w:vAlign w:val="center"/>
            <w:hideMark/>
          </w:tcPr>
          <w:p w14:paraId="77FC3B56" w14:textId="77777777"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Note No</w:t>
            </w:r>
          </w:p>
        </w:tc>
        <w:tc>
          <w:tcPr>
            <w:tcW w:w="8221" w:type="dxa"/>
            <w:shd w:val="clear" w:color="000000" w:fill="DA9694"/>
            <w:noWrap/>
            <w:vAlign w:val="center"/>
            <w:hideMark/>
          </w:tcPr>
          <w:p w14:paraId="227D463C"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Note</w:t>
            </w:r>
          </w:p>
        </w:tc>
        <w:tc>
          <w:tcPr>
            <w:tcW w:w="791" w:type="dxa"/>
            <w:shd w:val="clear" w:color="000000" w:fill="DA9694"/>
            <w:noWrap/>
            <w:vAlign w:val="center"/>
            <w:hideMark/>
          </w:tcPr>
          <w:p w14:paraId="3AFC262B" w14:textId="77777777"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Page</w:t>
            </w:r>
          </w:p>
        </w:tc>
      </w:tr>
      <w:tr w:rsidR="00761172" w:rsidRPr="004B7E57" w14:paraId="1A56C618" w14:textId="77777777" w:rsidTr="003738A6">
        <w:trPr>
          <w:trHeight w:val="300"/>
        </w:trPr>
        <w:tc>
          <w:tcPr>
            <w:tcW w:w="1008" w:type="dxa"/>
            <w:shd w:val="clear" w:color="000000" w:fill="F2DCDB"/>
            <w:noWrap/>
            <w:vAlign w:val="center"/>
          </w:tcPr>
          <w:p w14:paraId="1D67D6C7" w14:textId="77777777" w:rsidR="00761172" w:rsidRPr="004B7E57" w:rsidRDefault="00761172" w:rsidP="00761172">
            <w:pPr>
              <w:jc w:val="center"/>
              <w:rPr>
                <w:rFonts w:ascii="Calibri" w:hAnsi="Calibri"/>
                <w:color w:val="000000"/>
                <w:sz w:val="22"/>
                <w:szCs w:val="22"/>
                <w:lang w:eastAsia="en-GB"/>
              </w:rPr>
            </w:pPr>
            <w:r>
              <w:rPr>
                <w:rFonts w:ascii="Calibri" w:hAnsi="Calibri"/>
                <w:color w:val="000000"/>
                <w:sz w:val="22"/>
                <w:szCs w:val="22"/>
                <w:lang w:eastAsia="en-GB"/>
              </w:rPr>
              <w:t>1</w:t>
            </w:r>
          </w:p>
        </w:tc>
        <w:tc>
          <w:tcPr>
            <w:tcW w:w="8221" w:type="dxa"/>
            <w:shd w:val="clear" w:color="000000" w:fill="F2DCDB"/>
            <w:noWrap/>
            <w:vAlign w:val="center"/>
          </w:tcPr>
          <w:p w14:paraId="33A75AB3" w14:textId="77777777" w:rsidR="00761172" w:rsidRPr="004B7E57" w:rsidRDefault="00761172" w:rsidP="004B7E57">
            <w:pPr>
              <w:rPr>
                <w:rFonts w:ascii="Calibri" w:hAnsi="Calibri"/>
                <w:color w:val="000000"/>
                <w:sz w:val="22"/>
                <w:szCs w:val="22"/>
                <w:lang w:eastAsia="en-GB"/>
              </w:rPr>
            </w:pPr>
            <w:r>
              <w:rPr>
                <w:rFonts w:ascii="Calibri" w:hAnsi="Calibri"/>
                <w:color w:val="000000"/>
                <w:sz w:val="22"/>
                <w:szCs w:val="22"/>
                <w:lang w:eastAsia="en-GB"/>
              </w:rPr>
              <w:t>Expenditure and Funding Analysis</w:t>
            </w:r>
          </w:p>
        </w:tc>
        <w:tc>
          <w:tcPr>
            <w:tcW w:w="791" w:type="dxa"/>
            <w:shd w:val="clear" w:color="000000" w:fill="F2DCDB"/>
            <w:noWrap/>
            <w:vAlign w:val="center"/>
          </w:tcPr>
          <w:p w14:paraId="364F46AA" w14:textId="65C749BF" w:rsidR="00761172" w:rsidRPr="004B7E57" w:rsidRDefault="000F79A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1E6E45">
              <w:rPr>
                <w:rFonts w:ascii="Calibri" w:hAnsi="Calibri"/>
                <w:color w:val="000000"/>
                <w:sz w:val="22"/>
                <w:szCs w:val="22"/>
                <w:lang w:eastAsia="en-GB"/>
              </w:rPr>
              <w:t>0</w:t>
            </w:r>
          </w:p>
        </w:tc>
      </w:tr>
      <w:tr w:rsidR="00B84F3B" w:rsidRPr="004B7E57" w14:paraId="6E5F65BF" w14:textId="77777777" w:rsidTr="003738A6">
        <w:trPr>
          <w:trHeight w:val="300"/>
        </w:trPr>
        <w:tc>
          <w:tcPr>
            <w:tcW w:w="1008" w:type="dxa"/>
            <w:shd w:val="clear" w:color="000000" w:fill="F2DCDB"/>
            <w:noWrap/>
            <w:vAlign w:val="center"/>
          </w:tcPr>
          <w:p w14:paraId="0DFA547F" w14:textId="77777777" w:rsidR="00B84F3B" w:rsidRDefault="00B84F3B" w:rsidP="00B84F3B">
            <w:pPr>
              <w:jc w:val="center"/>
              <w:rPr>
                <w:rFonts w:ascii="Calibri" w:hAnsi="Calibri"/>
                <w:color w:val="000000"/>
                <w:sz w:val="22"/>
                <w:szCs w:val="22"/>
                <w:lang w:eastAsia="en-GB"/>
              </w:rPr>
            </w:pPr>
            <w:r>
              <w:rPr>
                <w:rFonts w:ascii="Calibri" w:hAnsi="Calibri"/>
                <w:color w:val="000000"/>
                <w:sz w:val="22"/>
                <w:szCs w:val="22"/>
                <w:lang w:eastAsia="en-GB"/>
              </w:rPr>
              <w:t>2</w:t>
            </w:r>
          </w:p>
        </w:tc>
        <w:tc>
          <w:tcPr>
            <w:tcW w:w="8221" w:type="dxa"/>
            <w:shd w:val="clear" w:color="000000" w:fill="F2DCDB"/>
            <w:noWrap/>
            <w:vAlign w:val="center"/>
          </w:tcPr>
          <w:p w14:paraId="57885471" w14:textId="63405C32" w:rsidR="00B84F3B" w:rsidRPr="004B7E57" w:rsidRDefault="00B84F3B" w:rsidP="004B7E57">
            <w:pPr>
              <w:rPr>
                <w:rFonts w:ascii="Calibri" w:hAnsi="Calibri"/>
                <w:color w:val="000000"/>
                <w:sz w:val="22"/>
                <w:szCs w:val="22"/>
                <w:lang w:eastAsia="en-GB"/>
              </w:rPr>
            </w:pPr>
            <w:r>
              <w:rPr>
                <w:rFonts w:ascii="Calibri" w:hAnsi="Calibri"/>
                <w:color w:val="000000"/>
                <w:sz w:val="22"/>
                <w:szCs w:val="22"/>
                <w:lang w:eastAsia="en-GB"/>
              </w:rPr>
              <w:t xml:space="preserve">Note to the Expenditure </w:t>
            </w:r>
            <w:r w:rsidR="00704A70">
              <w:rPr>
                <w:rFonts w:ascii="Calibri" w:hAnsi="Calibri"/>
                <w:color w:val="000000"/>
                <w:sz w:val="22"/>
                <w:szCs w:val="22"/>
                <w:lang w:eastAsia="en-GB"/>
              </w:rPr>
              <w:t>and</w:t>
            </w:r>
            <w:r>
              <w:rPr>
                <w:rFonts w:ascii="Calibri" w:hAnsi="Calibri"/>
                <w:color w:val="000000"/>
                <w:sz w:val="22"/>
                <w:szCs w:val="22"/>
                <w:lang w:eastAsia="en-GB"/>
              </w:rPr>
              <w:t xml:space="preserve"> Funding Analysis</w:t>
            </w:r>
          </w:p>
        </w:tc>
        <w:tc>
          <w:tcPr>
            <w:tcW w:w="791" w:type="dxa"/>
            <w:shd w:val="clear" w:color="000000" w:fill="F2DCDB"/>
            <w:noWrap/>
            <w:vAlign w:val="center"/>
          </w:tcPr>
          <w:p w14:paraId="241C57C2" w14:textId="25624740" w:rsidR="00B84F3B" w:rsidRPr="004B7E57" w:rsidRDefault="000F79A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1E6E45">
              <w:rPr>
                <w:rFonts w:ascii="Calibri" w:hAnsi="Calibri"/>
                <w:color w:val="000000"/>
                <w:sz w:val="22"/>
                <w:szCs w:val="22"/>
                <w:lang w:eastAsia="en-GB"/>
              </w:rPr>
              <w:t>1</w:t>
            </w:r>
          </w:p>
        </w:tc>
      </w:tr>
      <w:tr w:rsidR="00B84F3B" w:rsidRPr="004B7E57" w14:paraId="19774D4D" w14:textId="77777777" w:rsidTr="003738A6">
        <w:trPr>
          <w:trHeight w:val="300"/>
        </w:trPr>
        <w:tc>
          <w:tcPr>
            <w:tcW w:w="1008" w:type="dxa"/>
            <w:shd w:val="clear" w:color="000000" w:fill="F2DCDB"/>
            <w:noWrap/>
            <w:vAlign w:val="center"/>
          </w:tcPr>
          <w:p w14:paraId="5CCF3A09" w14:textId="77777777" w:rsidR="00B84F3B"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3</w:t>
            </w:r>
          </w:p>
        </w:tc>
        <w:tc>
          <w:tcPr>
            <w:tcW w:w="8221" w:type="dxa"/>
            <w:shd w:val="clear" w:color="000000" w:fill="F2DCDB"/>
            <w:noWrap/>
            <w:vAlign w:val="center"/>
          </w:tcPr>
          <w:p w14:paraId="14F2499B" w14:textId="77777777" w:rsidR="00B84F3B" w:rsidRPr="004B7E57" w:rsidRDefault="00B84F3B" w:rsidP="004B7E57">
            <w:pPr>
              <w:rPr>
                <w:rFonts w:ascii="Calibri" w:hAnsi="Calibri"/>
                <w:color w:val="000000"/>
                <w:sz w:val="22"/>
                <w:szCs w:val="22"/>
                <w:lang w:eastAsia="en-GB"/>
              </w:rPr>
            </w:pPr>
            <w:r>
              <w:rPr>
                <w:rFonts w:ascii="Calibri" w:hAnsi="Calibri"/>
                <w:color w:val="000000"/>
                <w:sz w:val="22"/>
                <w:szCs w:val="22"/>
                <w:lang w:eastAsia="en-GB"/>
              </w:rPr>
              <w:t>Segmental Income</w:t>
            </w:r>
          </w:p>
        </w:tc>
        <w:tc>
          <w:tcPr>
            <w:tcW w:w="791" w:type="dxa"/>
            <w:shd w:val="clear" w:color="000000" w:fill="F2DCDB"/>
            <w:noWrap/>
            <w:vAlign w:val="center"/>
          </w:tcPr>
          <w:p w14:paraId="2DFE8D16" w14:textId="23C6A740" w:rsidR="00B84F3B" w:rsidRPr="004B7E57" w:rsidRDefault="00057C83"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1E6E45">
              <w:rPr>
                <w:rFonts w:ascii="Calibri" w:hAnsi="Calibri"/>
                <w:color w:val="000000"/>
                <w:sz w:val="22"/>
                <w:szCs w:val="22"/>
                <w:lang w:eastAsia="en-GB"/>
              </w:rPr>
              <w:t>2</w:t>
            </w:r>
          </w:p>
        </w:tc>
      </w:tr>
      <w:tr w:rsidR="00B84F3B" w:rsidRPr="004B7E57" w14:paraId="200B9140" w14:textId="77777777" w:rsidTr="003738A6">
        <w:trPr>
          <w:trHeight w:val="300"/>
        </w:trPr>
        <w:tc>
          <w:tcPr>
            <w:tcW w:w="1008" w:type="dxa"/>
            <w:shd w:val="clear" w:color="000000" w:fill="F2DCDB"/>
            <w:noWrap/>
            <w:vAlign w:val="center"/>
          </w:tcPr>
          <w:p w14:paraId="10DD4151" w14:textId="77777777" w:rsidR="00B84F3B"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4</w:t>
            </w:r>
          </w:p>
        </w:tc>
        <w:tc>
          <w:tcPr>
            <w:tcW w:w="8221" w:type="dxa"/>
            <w:shd w:val="clear" w:color="000000" w:fill="F2DCDB"/>
            <w:noWrap/>
            <w:vAlign w:val="center"/>
          </w:tcPr>
          <w:p w14:paraId="131F78B3" w14:textId="77777777" w:rsidR="00B84F3B" w:rsidRPr="004B7E57" w:rsidRDefault="00B84F3B" w:rsidP="004B7E57">
            <w:pPr>
              <w:rPr>
                <w:rFonts w:ascii="Calibri" w:hAnsi="Calibri"/>
                <w:color w:val="000000"/>
                <w:sz w:val="22"/>
                <w:szCs w:val="22"/>
                <w:lang w:eastAsia="en-GB"/>
              </w:rPr>
            </w:pPr>
            <w:r>
              <w:rPr>
                <w:rFonts w:ascii="Calibri" w:hAnsi="Calibri"/>
                <w:color w:val="000000"/>
                <w:sz w:val="22"/>
                <w:szCs w:val="22"/>
                <w:lang w:eastAsia="en-GB"/>
              </w:rPr>
              <w:t>Expenditure and Income Analysed by Nature</w:t>
            </w:r>
          </w:p>
        </w:tc>
        <w:tc>
          <w:tcPr>
            <w:tcW w:w="791" w:type="dxa"/>
            <w:shd w:val="clear" w:color="000000" w:fill="F2DCDB"/>
            <w:noWrap/>
            <w:vAlign w:val="center"/>
          </w:tcPr>
          <w:p w14:paraId="39662E50" w14:textId="1F6F9978" w:rsidR="00B84F3B" w:rsidRPr="004B7E57" w:rsidRDefault="00057C83"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1E6E45">
              <w:rPr>
                <w:rFonts w:ascii="Calibri" w:hAnsi="Calibri"/>
                <w:color w:val="000000"/>
                <w:sz w:val="22"/>
                <w:szCs w:val="22"/>
                <w:lang w:eastAsia="en-GB"/>
              </w:rPr>
              <w:t>2</w:t>
            </w:r>
          </w:p>
        </w:tc>
      </w:tr>
      <w:tr w:rsidR="004B7E57" w:rsidRPr="004B7E57" w14:paraId="16F29CE3" w14:textId="77777777" w:rsidTr="003738A6">
        <w:trPr>
          <w:trHeight w:val="300"/>
        </w:trPr>
        <w:tc>
          <w:tcPr>
            <w:tcW w:w="1008" w:type="dxa"/>
            <w:shd w:val="clear" w:color="000000" w:fill="F2DCDB"/>
            <w:noWrap/>
            <w:vAlign w:val="center"/>
          </w:tcPr>
          <w:p w14:paraId="44FA9D53" w14:textId="0ABD63F9" w:rsidR="004B7E57" w:rsidRPr="004B7E57"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5</w:t>
            </w:r>
          </w:p>
        </w:tc>
        <w:tc>
          <w:tcPr>
            <w:tcW w:w="8221" w:type="dxa"/>
            <w:shd w:val="clear" w:color="000000" w:fill="F2DCDB"/>
            <w:noWrap/>
            <w:vAlign w:val="center"/>
            <w:hideMark/>
          </w:tcPr>
          <w:p w14:paraId="5D7253F7"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Other Operating Expenditure</w:t>
            </w:r>
          </w:p>
        </w:tc>
        <w:tc>
          <w:tcPr>
            <w:tcW w:w="791" w:type="dxa"/>
            <w:shd w:val="clear" w:color="000000" w:fill="F2DCDB"/>
            <w:noWrap/>
            <w:vAlign w:val="center"/>
            <w:hideMark/>
          </w:tcPr>
          <w:p w14:paraId="060C0A45" w14:textId="4188E13F" w:rsidR="004B7E57" w:rsidRPr="004B7E57" w:rsidRDefault="004B7E57" w:rsidP="006721C5">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3</w:t>
            </w:r>
          </w:p>
        </w:tc>
      </w:tr>
      <w:tr w:rsidR="004B7E57" w:rsidRPr="004B7E57" w14:paraId="756F4521" w14:textId="77777777" w:rsidTr="003738A6">
        <w:trPr>
          <w:trHeight w:val="300"/>
        </w:trPr>
        <w:tc>
          <w:tcPr>
            <w:tcW w:w="1008" w:type="dxa"/>
            <w:shd w:val="clear" w:color="000000" w:fill="F2DCDB"/>
            <w:noWrap/>
            <w:vAlign w:val="center"/>
          </w:tcPr>
          <w:p w14:paraId="74795D32" w14:textId="608485B1" w:rsidR="004B7E57" w:rsidRPr="004B7E57"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6</w:t>
            </w:r>
          </w:p>
        </w:tc>
        <w:tc>
          <w:tcPr>
            <w:tcW w:w="8221" w:type="dxa"/>
            <w:shd w:val="clear" w:color="000000" w:fill="F2DCDB"/>
            <w:noWrap/>
            <w:vAlign w:val="center"/>
            <w:hideMark/>
          </w:tcPr>
          <w:p w14:paraId="6EF931DC" w14:textId="6204E15A"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Financing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Investment Income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Expenditure</w:t>
            </w:r>
          </w:p>
        </w:tc>
        <w:tc>
          <w:tcPr>
            <w:tcW w:w="791" w:type="dxa"/>
            <w:shd w:val="clear" w:color="000000" w:fill="F2DCDB"/>
            <w:noWrap/>
            <w:vAlign w:val="center"/>
            <w:hideMark/>
          </w:tcPr>
          <w:p w14:paraId="68FAB7EF" w14:textId="24BEC621"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3</w:t>
            </w:r>
          </w:p>
        </w:tc>
      </w:tr>
      <w:tr w:rsidR="004B7E57" w:rsidRPr="004B7E57" w14:paraId="6EE79F65" w14:textId="77777777" w:rsidTr="003738A6">
        <w:trPr>
          <w:trHeight w:val="300"/>
        </w:trPr>
        <w:tc>
          <w:tcPr>
            <w:tcW w:w="1008" w:type="dxa"/>
            <w:shd w:val="clear" w:color="000000" w:fill="F2DCDB"/>
            <w:noWrap/>
            <w:vAlign w:val="center"/>
          </w:tcPr>
          <w:p w14:paraId="48BC061D" w14:textId="226E1050" w:rsidR="004B7E57" w:rsidRPr="004B7E57"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7</w:t>
            </w:r>
          </w:p>
        </w:tc>
        <w:tc>
          <w:tcPr>
            <w:tcW w:w="8221" w:type="dxa"/>
            <w:shd w:val="clear" w:color="000000" w:fill="F2DCDB"/>
            <w:noWrap/>
            <w:vAlign w:val="center"/>
            <w:hideMark/>
          </w:tcPr>
          <w:p w14:paraId="70435B93" w14:textId="4CB5B170"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Taxation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Non-Specific Grant Income</w:t>
            </w:r>
          </w:p>
        </w:tc>
        <w:tc>
          <w:tcPr>
            <w:tcW w:w="791" w:type="dxa"/>
            <w:shd w:val="clear" w:color="000000" w:fill="F2DCDB"/>
            <w:noWrap/>
            <w:vAlign w:val="center"/>
            <w:hideMark/>
          </w:tcPr>
          <w:p w14:paraId="631D1CD2" w14:textId="7E8C44E7"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3</w:t>
            </w:r>
          </w:p>
        </w:tc>
      </w:tr>
      <w:tr w:rsidR="004B7E57" w:rsidRPr="004B7E57" w14:paraId="1733EA42" w14:textId="77777777" w:rsidTr="003738A6">
        <w:trPr>
          <w:trHeight w:val="300"/>
        </w:trPr>
        <w:tc>
          <w:tcPr>
            <w:tcW w:w="1008" w:type="dxa"/>
            <w:shd w:val="clear" w:color="000000" w:fill="F2DCDB"/>
            <w:noWrap/>
            <w:vAlign w:val="center"/>
          </w:tcPr>
          <w:p w14:paraId="46DAD03D" w14:textId="6E2DF03A" w:rsidR="004B7E57" w:rsidRPr="004B7E57"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8</w:t>
            </w:r>
          </w:p>
        </w:tc>
        <w:tc>
          <w:tcPr>
            <w:tcW w:w="8221" w:type="dxa"/>
            <w:shd w:val="clear" w:color="000000" w:fill="F2DCDB"/>
            <w:noWrap/>
            <w:vAlign w:val="center"/>
            <w:hideMark/>
          </w:tcPr>
          <w:p w14:paraId="53739963"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Grant Income</w:t>
            </w:r>
          </w:p>
        </w:tc>
        <w:tc>
          <w:tcPr>
            <w:tcW w:w="791" w:type="dxa"/>
            <w:shd w:val="clear" w:color="000000" w:fill="F2DCDB"/>
            <w:noWrap/>
            <w:vAlign w:val="center"/>
            <w:hideMark/>
          </w:tcPr>
          <w:p w14:paraId="14D05404" w14:textId="32C8655A"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3</w:t>
            </w:r>
          </w:p>
        </w:tc>
      </w:tr>
      <w:tr w:rsidR="004B7E57" w:rsidRPr="004B7E57" w14:paraId="0FCDFDE0" w14:textId="77777777" w:rsidTr="003738A6">
        <w:trPr>
          <w:trHeight w:val="300"/>
        </w:trPr>
        <w:tc>
          <w:tcPr>
            <w:tcW w:w="1008" w:type="dxa"/>
            <w:shd w:val="clear" w:color="000000" w:fill="F2DCDB"/>
            <w:noWrap/>
            <w:vAlign w:val="center"/>
          </w:tcPr>
          <w:p w14:paraId="3DAEA06C" w14:textId="67230675" w:rsidR="004B7E57" w:rsidRPr="004B7E57" w:rsidRDefault="00397E37" w:rsidP="0051151D">
            <w:pPr>
              <w:jc w:val="center"/>
              <w:rPr>
                <w:rFonts w:ascii="Calibri" w:hAnsi="Calibri"/>
                <w:color w:val="000000"/>
                <w:sz w:val="22"/>
                <w:szCs w:val="22"/>
                <w:lang w:eastAsia="en-GB"/>
              </w:rPr>
            </w:pPr>
            <w:r>
              <w:rPr>
                <w:rFonts w:ascii="Calibri" w:hAnsi="Calibri"/>
                <w:color w:val="000000"/>
                <w:sz w:val="22"/>
                <w:szCs w:val="22"/>
                <w:lang w:eastAsia="en-GB"/>
              </w:rPr>
              <w:t>9</w:t>
            </w:r>
          </w:p>
        </w:tc>
        <w:tc>
          <w:tcPr>
            <w:tcW w:w="8221" w:type="dxa"/>
            <w:shd w:val="clear" w:color="000000" w:fill="F2DCDB"/>
            <w:noWrap/>
            <w:vAlign w:val="center"/>
            <w:hideMark/>
          </w:tcPr>
          <w:p w14:paraId="6F4D1CC8"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Members Allowances</w:t>
            </w:r>
          </w:p>
        </w:tc>
        <w:tc>
          <w:tcPr>
            <w:tcW w:w="791" w:type="dxa"/>
            <w:shd w:val="clear" w:color="000000" w:fill="F2DCDB"/>
            <w:noWrap/>
            <w:vAlign w:val="center"/>
            <w:hideMark/>
          </w:tcPr>
          <w:p w14:paraId="7C5624C8" w14:textId="08C68B4D"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5</w:t>
            </w:r>
          </w:p>
        </w:tc>
      </w:tr>
      <w:tr w:rsidR="004B7E57" w:rsidRPr="004B7E57" w14:paraId="6DE32073" w14:textId="77777777" w:rsidTr="003738A6">
        <w:trPr>
          <w:trHeight w:val="300"/>
        </w:trPr>
        <w:tc>
          <w:tcPr>
            <w:tcW w:w="1008" w:type="dxa"/>
            <w:shd w:val="clear" w:color="000000" w:fill="F2DCDB"/>
            <w:noWrap/>
            <w:vAlign w:val="center"/>
          </w:tcPr>
          <w:p w14:paraId="6C913F88" w14:textId="70AB3F5B"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0</w:t>
            </w:r>
          </w:p>
        </w:tc>
        <w:tc>
          <w:tcPr>
            <w:tcW w:w="8221" w:type="dxa"/>
            <w:shd w:val="clear" w:color="000000" w:fill="F2DCDB"/>
            <w:noWrap/>
            <w:vAlign w:val="center"/>
            <w:hideMark/>
          </w:tcPr>
          <w:p w14:paraId="1B3F3759" w14:textId="77777777" w:rsidR="004B7E57" w:rsidRPr="004B7E57" w:rsidRDefault="004B7E57" w:rsidP="00ED6507">
            <w:pPr>
              <w:rPr>
                <w:rFonts w:ascii="Calibri" w:hAnsi="Calibri"/>
                <w:color w:val="000000"/>
                <w:sz w:val="22"/>
                <w:szCs w:val="22"/>
                <w:lang w:eastAsia="en-GB"/>
              </w:rPr>
            </w:pPr>
            <w:r w:rsidRPr="004B7E57">
              <w:rPr>
                <w:rFonts w:ascii="Calibri" w:hAnsi="Calibri"/>
                <w:color w:val="000000"/>
                <w:sz w:val="22"/>
                <w:szCs w:val="22"/>
                <w:lang w:eastAsia="en-GB"/>
              </w:rPr>
              <w:t>Officers Re</w:t>
            </w:r>
            <w:r w:rsidR="00ED6507">
              <w:rPr>
                <w:rFonts w:ascii="Calibri" w:hAnsi="Calibri"/>
                <w:color w:val="000000"/>
                <w:sz w:val="22"/>
                <w:szCs w:val="22"/>
                <w:lang w:eastAsia="en-GB"/>
              </w:rPr>
              <w:t>m</w:t>
            </w:r>
            <w:r w:rsidRPr="004B7E57">
              <w:rPr>
                <w:rFonts w:ascii="Calibri" w:hAnsi="Calibri"/>
                <w:color w:val="000000"/>
                <w:sz w:val="22"/>
                <w:szCs w:val="22"/>
                <w:lang w:eastAsia="en-GB"/>
              </w:rPr>
              <w:t>u</w:t>
            </w:r>
            <w:r w:rsidR="00ED6507">
              <w:rPr>
                <w:rFonts w:ascii="Calibri" w:hAnsi="Calibri"/>
                <w:color w:val="000000"/>
                <w:sz w:val="22"/>
                <w:szCs w:val="22"/>
                <w:lang w:eastAsia="en-GB"/>
              </w:rPr>
              <w:t>n</w:t>
            </w:r>
            <w:r w:rsidRPr="004B7E57">
              <w:rPr>
                <w:rFonts w:ascii="Calibri" w:hAnsi="Calibri"/>
                <w:color w:val="000000"/>
                <w:sz w:val="22"/>
                <w:szCs w:val="22"/>
                <w:lang w:eastAsia="en-GB"/>
              </w:rPr>
              <w:t>eration</w:t>
            </w:r>
          </w:p>
        </w:tc>
        <w:tc>
          <w:tcPr>
            <w:tcW w:w="791" w:type="dxa"/>
            <w:shd w:val="clear" w:color="000000" w:fill="F2DCDB"/>
            <w:noWrap/>
            <w:vAlign w:val="center"/>
            <w:hideMark/>
          </w:tcPr>
          <w:p w14:paraId="633B1D62" w14:textId="04E04687"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94158B">
              <w:rPr>
                <w:rFonts w:ascii="Calibri" w:hAnsi="Calibri"/>
                <w:color w:val="000000"/>
                <w:sz w:val="22"/>
                <w:szCs w:val="22"/>
                <w:lang w:eastAsia="en-GB"/>
              </w:rPr>
              <w:t>6</w:t>
            </w:r>
          </w:p>
        </w:tc>
      </w:tr>
      <w:tr w:rsidR="004B7E57" w:rsidRPr="004B7E57" w14:paraId="17858FD9" w14:textId="77777777" w:rsidTr="003738A6">
        <w:trPr>
          <w:trHeight w:val="300"/>
        </w:trPr>
        <w:tc>
          <w:tcPr>
            <w:tcW w:w="1008" w:type="dxa"/>
            <w:shd w:val="clear" w:color="000000" w:fill="F2DCDB"/>
            <w:noWrap/>
            <w:vAlign w:val="center"/>
          </w:tcPr>
          <w:p w14:paraId="3D60D28A" w14:textId="03D17FA4"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1</w:t>
            </w:r>
          </w:p>
        </w:tc>
        <w:tc>
          <w:tcPr>
            <w:tcW w:w="8221" w:type="dxa"/>
            <w:shd w:val="clear" w:color="000000" w:fill="F2DCDB"/>
            <w:noWrap/>
            <w:vAlign w:val="center"/>
            <w:hideMark/>
          </w:tcPr>
          <w:p w14:paraId="4679CE3A"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Exit Packages</w:t>
            </w:r>
          </w:p>
        </w:tc>
        <w:tc>
          <w:tcPr>
            <w:tcW w:w="791" w:type="dxa"/>
            <w:shd w:val="clear" w:color="000000" w:fill="F2DCDB"/>
            <w:noWrap/>
            <w:vAlign w:val="center"/>
            <w:hideMark/>
          </w:tcPr>
          <w:p w14:paraId="49E95598" w14:textId="7A0DD90C"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94158B">
              <w:rPr>
                <w:rFonts w:ascii="Calibri" w:hAnsi="Calibri"/>
                <w:color w:val="000000"/>
                <w:sz w:val="22"/>
                <w:szCs w:val="22"/>
                <w:lang w:eastAsia="en-GB"/>
              </w:rPr>
              <w:t>7</w:t>
            </w:r>
          </w:p>
        </w:tc>
      </w:tr>
      <w:tr w:rsidR="008917BB" w:rsidRPr="004B7E57" w14:paraId="00A531CA" w14:textId="77777777" w:rsidTr="003738A6">
        <w:trPr>
          <w:trHeight w:val="300"/>
        </w:trPr>
        <w:tc>
          <w:tcPr>
            <w:tcW w:w="1008" w:type="dxa"/>
            <w:shd w:val="clear" w:color="000000" w:fill="F2DCDB"/>
            <w:noWrap/>
            <w:vAlign w:val="center"/>
          </w:tcPr>
          <w:p w14:paraId="79EC3352" w14:textId="3BF3B1EA" w:rsidR="008917BB"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2</w:t>
            </w:r>
          </w:p>
        </w:tc>
        <w:tc>
          <w:tcPr>
            <w:tcW w:w="8221" w:type="dxa"/>
            <w:shd w:val="clear" w:color="000000" w:fill="F2DCDB"/>
            <w:noWrap/>
            <w:vAlign w:val="center"/>
          </w:tcPr>
          <w:p w14:paraId="7579D988" w14:textId="77777777" w:rsidR="008917BB" w:rsidRPr="004B7E57" w:rsidRDefault="008917BB" w:rsidP="004B7E57">
            <w:pPr>
              <w:rPr>
                <w:rFonts w:ascii="Calibri" w:hAnsi="Calibri"/>
                <w:color w:val="000000"/>
                <w:sz w:val="22"/>
                <w:szCs w:val="22"/>
                <w:lang w:eastAsia="en-GB"/>
              </w:rPr>
            </w:pPr>
            <w:r>
              <w:rPr>
                <w:rFonts w:ascii="Calibri" w:hAnsi="Calibri"/>
                <w:color w:val="000000"/>
                <w:sz w:val="22"/>
                <w:szCs w:val="22"/>
                <w:lang w:eastAsia="en-GB"/>
              </w:rPr>
              <w:t>Termination Benefits</w:t>
            </w:r>
          </w:p>
        </w:tc>
        <w:tc>
          <w:tcPr>
            <w:tcW w:w="791" w:type="dxa"/>
            <w:shd w:val="clear" w:color="000000" w:fill="F2DCDB"/>
            <w:noWrap/>
            <w:vAlign w:val="center"/>
          </w:tcPr>
          <w:p w14:paraId="5E9B2347" w14:textId="014E45B9" w:rsidR="00057C83" w:rsidRPr="004B7E57" w:rsidRDefault="00D8585A" w:rsidP="00D8585A">
            <w:pPr>
              <w:jc w:val="center"/>
              <w:rPr>
                <w:rFonts w:ascii="Calibri" w:hAnsi="Calibri"/>
                <w:color w:val="000000"/>
                <w:sz w:val="22"/>
                <w:szCs w:val="22"/>
                <w:lang w:eastAsia="en-GB"/>
              </w:rPr>
            </w:pPr>
            <w:r>
              <w:rPr>
                <w:rFonts w:ascii="Calibri" w:hAnsi="Calibri"/>
                <w:color w:val="000000"/>
                <w:sz w:val="22"/>
                <w:szCs w:val="22"/>
                <w:lang w:eastAsia="en-GB"/>
              </w:rPr>
              <w:t xml:space="preserve"> </w:t>
            </w:r>
            <w:r w:rsidR="00057C83">
              <w:rPr>
                <w:rFonts w:ascii="Calibri" w:hAnsi="Calibri"/>
                <w:color w:val="000000"/>
                <w:sz w:val="22"/>
                <w:szCs w:val="22"/>
                <w:lang w:eastAsia="en-GB"/>
              </w:rPr>
              <w:t>1</w:t>
            </w:r>
            <w:r w:rsidR="001E6E45">
              <w:rPr>
                <w:rFonts w:ascii="Calibri" w:hAnsi="Calibri"/>
                <w:color w:val="000000"/>
                <w:sz w:val="22"/>
                <w:szCs w:val="22"/>
                <w:lang w:eastAsia="en-GB"/>
              </w:rPr>
              <w:t>7</w:t>
            </w:r>
          </w:p>
        </w:tc>
      </w:tr>
      <w:tr w:rsidR="004B7E57" w:rsidRPr="004B7E57" w14:paraId="3A794926" w14:textId="77777777" w:rsidTr="003738A6">
        <w:trPr>
          <w:trHeight w:val="300"/>
        </w:trPr>
        <w:tc>
          <w:tcPr>
            <w:tcW w:w="1008" w:type="dxa"/>
            <w:shd w:val="clear" w:color="000000" w:fill="F2DCDB"/>
            <w:noWrap/>
            <w:vAlign w:val="center"/>
          </w:tcPr>
          <w:p w14:paraId="5C73C170" w14:textId="387762B7"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3</w:t>
            </w:r>
          </w:p>
        </w:tc>
        <w:tc>
          <w:tcPr>
            <w:tcW w:w="8221" w:type="dxa"/>
            <w:shd w:val="clear" w:color="000000" w:fill="F2DCDB"/>
            <w:noWrap/>
            <w:vAlign w:val="center"/>
            <w:hideMark/>
          </w:tcPr>
          <w:p w14:paraId="5FD0C239"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External Audit Costs</w:t>
            </w:r>
          </w:p>
        </w:tc>
        <w:tc>
          <w:tcPr>
            <w:tcW w:w="791" w:type="dxa"/>
            <w:shd w:val="clear" w:color="000000" w:fill="F2DCDB"/>
            <w:noWrap/>
            <w:vAlign w:val="center"/>
            <w:hideMark/>
          </w:tcPr>
          <w:p w14:paraId="66B7F685" w14:textId="448E0560" w:rsidR="004B7E57" w:rsidRPr="004B7E57" w:rsidRDefault="004B7E57" w:rsidP="00AD79D8">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1E6E45">
              <w:rPr>
                <w:rFonts w:ascii="Calibri" w:hAnsi="Calibri"/>
                <w:color w:val="000000"/>
                <w:sz w:val="22"/>
                <w:szCs w:val="22"/>
                <w:lang w:eastAsia="en-GB"/>
              </w:rPr>
              <w:t>7</w:t>
            </w:r>
          </w:p>
        </w:tc>
      </w:tr>
      <w:tr w:rsidR="004B7E57" w:rsidRPr="004B7E57" w14:paraId="4BFF6EAD" w14:textId="77777777" w:rsidTr="003738A6">
        <w:trPr>
          <w:trHeight w:val="300"/>
        </w:trPr>
        <w:tc>
          <w:tcPr>
            <w:tcW w:w="1008" w:type="dxa"/>
            <w:shd w:val="clear" w:color="000000" w:fill="F2DCDB"/>
            <w:noWrap/>
            <w:vAlign w:val="center"/>
          </w:tcPr>
          <w:p w14:paraId="59F801CF" w14:textId="4D41B843"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4</w:t>
            </w:r>
          </w:p>
        </w:tc>
        <w:tc>
          <w:tcPr>
            <w:tcW w:w="8221" w:type="dxa"/>
            <w:shd w:val="clear" w:color="000000" w:fill="F2DCDB"/>
            <w:noWrap/>
            <w:vAlign w:val="center"/>
            <w:hideMark/>
          </w:tcPr>
          <w:p w14:paraId="1A6A3539"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Related Parties</w:t>
            </w:r>
          </w:p>
        </w:tc>
        <w:tc>
          <w:tcPr>
            <w:tcW w:w="791" w:type="dxa"/>
            <w:shd w:val="clear" w:color="000000" w:fill="F2DCDB"/>
            <w:noWrap/>
            <w:vAlign w:val="center"/>
            <w:hideMark/>
          </w:tcPr>
          <w:p w14:paraId="77888912" w14:textId="15F04DB9"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1</w:t>
            </w:r>
            <w:r w:rsidR="0094158B">
              <w:rPr>
                <w:rFonts w:ascii="Calibri" w:hAnsi="Calibri"/>
                <w:color w:val="000000"/>
                <w:sz w:val="22"/>
                <w:szCs w:val="22"/>
                <w:lang w:eastAsia="en-GB"/>
              </w:rPr>
              <w:t>7</w:t>
            </w:r>
          </w:p>
        </w:tc>
      </w:tr>
      <w:tr w:rsidR="004B7E57" w:rsidRPr="004B7E57" w14:paraId="00655794" w14:textId="77777777" w:rsidTr="003738A6">
        <w:trPr>
          <w:trHeight w:val="300"/>
        </w:trPr>
        <w:tc>
          <w:tcPr>
            <w:tcW w:w="1008" w:type="dxa"/>
            <w:shd w:val="clear" w:color="000000" w:fill="F2DCDB"/>
            <w:noWrap/>
            <w:vAlign w:val="center"/>
          </w:tcPr>
          <w:p w14:paraId="2145B57F" w14:textId="5E9A7737"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5</w:t>
            </w:r>
          </w:p>
        </w:tc>
        <w:tc>
          <w:tcPr>
            <w:tcW w:w="8221" w:type="dxa"/>
            <w:shd w:val="clear" w:color="000000" w:fill="F2DCDB"/>
            <w:noWrap/>
            <w:vAlign w:val="center"/>
            <w:hideMark/>
          </w:tcPr>
          <w:p w14:paraId="0A508A07"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Adjustments between Accounting Basis and Funding Basis Under Regulations</w:t>
            </w:r>
          </w:p>
        </w:tc>
        <w:tc>
          <w:tcPr>
            <w:tcW w:w="791" w:type="dxa"/>
            <w:shd w:val="clear" w:color="000000" w:fill="F2DCDB"/>
            <w:noWrap/>
            <w:vAlign w:val="center"/>
            <w:hideMark/>
          </w:tcPr>
          <w:p w14:paraId="4ECBED8F" w14:textId="63C7DE5F"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1E6E45">
              <w:rPr>
                <w:rFonts w:ascii="Calibri" w:hAnsi="Calibri"/>
                <w:color w:val="000000"/>
                <w:sz w:val="22"/>
                <w:szCs w:val="22"/>
                <w:lang w:eastAsia="en-GB"/>
              </w:rPr>
              <w:t>19</w:t>
            </w:r>
          </w:p>
        </w:tc>
      </w:tr>
      <w:tr w:rsidR="004B7E57" w:rsidRPr="004B7E57" w14:paraId="7E2A0664" w14:textId="77777777" w:rsidTr="003738A6">
        <w:trPr>
          <w:trHeight w:val="300"/>
        </w:trPr>
        <w:tc>
          <w:tcPr>
            <w:tcW w:w="1008" w:type="dxa"/>
            <w:shd w:val="clear" w:color="000000" w:fill="F2DCDB"/>
            <w:noWrap/>
            <w:vAlign w:val="center"/>
          </w:tcPr>
          <w:p w14:paraId="4ADD66F6" w14:textId="45F0757E"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6</w:t>
            </w:r>
          </w:p>
        </w:tc>
        <w:tc>
          <w:tcPr>
            <w:tcW w:w="8221" w:type="dxa"/>
            <w:shd w:val="clear" w:color="000000" w:fill="F2DCDB"/>
            <w:noWrap/>
            <w:vAlign w:val="center"/>
            <w:hideMark/>
          </w:tcPr>
          <w:p w14:paraId="2AC3CCED"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Earmarked Reserves</w:t>
            </w:r>
          </w:p>
        </w:tc>
        <w:tc>
          <w:tcPr>
            <w:tcW w:w="791" w:type="dxa"/>
            <w:shd w:val="clear" w:color="000000" w:fill="F2DCDB"/>
            <w:noWrap/>
            <w:vAlign w:val="center"/>
            <w:hideMark/>
          </w:tcPr>
          <w:p w14:paraId="349974FE" w14:textId="03DA456C" w:rsidR="004B7E57" w:rsidRPr="004B7E57" w:rsidRDefault="004B7E57" w:rsidP="00C04B64">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925E8F">
              <w:rPr>
                <w:rFonts w:ascii="Calibri" w:hAnsi="Calibri"/>
                <w:color w:val="000000"/>
                <w:sz w:val="22"/>
                <w:szCs w:val="22"/>
                <w:lang w:eastAsia="en-GB"/>
              </w:rPr>
              <w:t>2</w:t>
            </w:r>
            <w:r w:rsidR="001E6E45">
              <w:rPr>
                <w:rFonts w:ascii="Calibri" w:hAnsi="Calibri"/>
                <w:color w:val="000000"/>
                <w:sz w:val="22"/>
                <w:szCs w:val="22"/>
                <w:lang w:eastAsia="en-GB"/>
              </w:rPr>
              <w:t>2</w:t>
            </w:r>
          </w:p>
        </w:tc>
      </w:tr>
      <w:tr w:rsidR="004B7E57" w:rsidRPr="004B7E57" w14:paraId="5A074242" w14:textId="77777777" w:rsidTr="003738A6">
        <w:trPr>
          <w:trHeight w:val="300"/>
        </w:trPr>
        <w:tc>
          <w:tcPr>
            <w:tcW w:w="1008" w:type="dxa"/>
            <w:shd w:val="clear" w:color="000000" w:fill="F2DCDB"/>
            <w:noWrap/>
            <w:vAlign w:val="center"/>
          </w:tcPr>
          <w:p w14:paraId="2D442D87" w14:textId="48C2869F"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7</w:t>
            </w:r>
          </w:p>
        </w:tc>
        <w:tc>
          <w:tcPr>
            <w:tcW w:w="8221" w:type="dxa"/>
            <w:shd w:val="clear" w:color="000000" w:fill="F2DCDB"/>
            <w:noWrap/>
            <w:vAlign w:val="center"/>
            <w:hideMark/>
          </w:tcPr>
          <w:p w14:paraId="2B936FFB"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Unusable Reserves</w:t>
            </w:r>
          </w:p>
        </w:tc>
        <w:tc>
          <w:tcPr>
            <w:tcW w:w="791" w:type="dxa"/>
            <w:shd w:val="clear" w:color="000000" w:fill="F2DCDB"/>
            <w:noWrap/>
            <w:vAlign w:val="center"/>
            <w:hideMark/>
          </w:tcPr>
          <w:p w14:paraId="523BC527" w14:textId="6221FA34"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2</w:t>
            </w:r>
            <w:r w:rsidR="001E6E45">
              <w:rPr>
                <w:rFonts w:ascii="Calibri" w:hAnsi="Calibri"/>
                <w:color w:val="000000"/>
                <w:sz w:val="22"/>
                <w:szCs w:val="22"/>
                <w:lang w:eastAsia="en-GB"/>
              </w:rPr>
              <w:t>5</w:t>
            </w:r>
          </w:p>
        </w:tc>
      </w:tr>
      <w:tr w:rsidR="004B7E57" w:rsidRPr="004B7E57" w14:paraId="5B2F67A4" w14:textId="77777777" w:rsidTr="003738A6">
        <w:trPr>
          <w:trHeight w:val="300"/>
        </w:trPr>
        <w:tc>
          <w:tcPr>
            <w:tcW w:w="1008" w:type="dxa"/>
            <w:shd w:val="clear" w:color="000000" w:fill="F2DCDB"/>
            <w:noWrap/>
            <w:vAlign w:val="center"/>
          </w:tcPr>
          <w:p w14:paraId="6385B6B1" w14:textId="7D5B12FB"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1</w:t>
            </w:r>
            <w:r w:rsidR="00397E37">
              <w:rPr>
                <w:rFonts w:ascii="Calibri" w:hAnsi="Calibri"/>
                <w:color w:val="000000"/>
                <w:sz w:val="22"/>
                <w:szCs w:val="22"/>
                <w:lang w:eastAsia="en-GB"/>
              </w:rPr>
              <w:t>8</w:t>
            </w:r>
          </w:p>
        </w:tc>
        <w:tc>
          <w:tcPr>
            <w:tcW w:w="8221" w:type="dxa"/>
            <w:shd w:val="clear" w:color="000000" w:fill="F2DCDB"/>
            <w:noWrap/>
            <w:vAlign w:val="center"/>
            <w:hideMark/>
          </w:tcPr>
          <w:p w14:paraId="1BBE808A" w14:textId="4B53BC8A"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Property, Plant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Equipment</w:t>
            </w:r>
          </w:p>
        </w:tc>
        <w:tc>
          <w:tcPr>
            <w:tcW w:w="791" w:type="dxa"/>
            <w:shd w:val="clear" w:color="000000" w:fill="F2DCDB"/>
            <w:noWrap/>
            <w:vAlign w:val="center"/>
            <w:hideMark/>
          </w:tcPr>
          <w:p w14:paraId="7655F89C" w14:textId="2EA0C32B"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3</w:t>
            </w:r>
            <w:r w:rsidR="001E6E45">
              <w:rPr>
                <w:rFonts w:ascii="Calibri" w:hAnsi="Calibri"/>
                <w:color w:val="000000"/>
                <w:sz w:val="22"/>
                <w:szCs w:val="22"/>
                <w:lang w:eastAsia="en-GB"/>
              </w:rPr>
              <w:t>0</w:t>
            </w:r>
          </w:p>
        </w:tc>
      </w:tr>
      <w:tr w:rsidR="004B7E57" w:rsidRPr="004B7E57" w14:paraId="4682EEFB" w14:textId="77777777" w:rsidTr="003738A6">
        <w:trPr>
          <w:trHeight w:val="300"/>
        </w:trPr>
        <w:tc>
          <w:tcPr>
            <w:tcW w:w="1008" w:type="dxa"/>
            <w:shd w:val="clear" w:color="000000" w:fill="F2DCDB"/>
            <w:noWrap/>
            <w:vAlign w:val="center"/>
          </w:tcPr>
          <w:p w14:paraId="44A7D8DE" w14:textId="37E75014" w:rsidR="004B7E57" w:rsidRPr="004B7E57"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19</w:t>
            </w:r>
          </w:p>
        </w:tc>
        <w:tc>
          <w:tcPr>
            <w:tcW w:w="8221" w:type="dxa"/>
            <w:shd w:val="clear" w:color="000000" w:fill="F2DCDB"/>
            <w:noWrap/>
            <w:vAlign w:val="center"/>
            <w:hideMark/>
          </w:tcPr>
          <w:p w14:paraId="763791C4"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Heritage Assets</w:t>
            </w:r>
          </w:p>
        </w:tc>
        <w:tc>
          <w:tcPr>
            <w:tcW w:w="791" w:type="dxa"/>
            <w:shd w:val="clear" w:color="000000" w:fill="F2DCDB"/>
            <w:noWrap/>
            <w:vAlign w:val="center"/>
            <w:hideMark/>
          </w:tcPr>
          <w:p w14:paraId="4CDFF33B" w14:textId="17FCD456"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3</w:t>
            </w:r>
            <w:r w:rsidR="001E6E45">
              <w:rPr>
                <w:rFonts w:ascii="Calibri" w:hAnsi="Calibri"/>
                <w:color w:val="000000"/>
                <w:sz w:val="22"/>
                <w:szCs w:val="22"/>
                <w:lang w:eastAsia="en-GB"/>
              </w:rPr>
              <w:t>4</w:t>
            </w:r>
          </w:p>
        </w:tc>
      </w:tr>
      <w:tr w:rsidR="004B7E57" w:rsidRPr="004B7E57" w14:paraId="68FCD817" w14:textId="77777777" w:rsidTr="003738A6">
        <w:trPr>
          <w:trHeight w:val="300"/>
        </w:trPr>
        <w:tc>
          <w:tcPr>
            <w:tcW w:w="1008" w:type="dxa"/>
            <w:shd w:val="clear" w:color="000000" w:fill="F2DCDB"/>
            <w:noWrap/>
            <w:vAlign w:val="center"/>
          </w:tcPr>
          <w:p w14:paraId="2816F724" w14:textId="5E33D26F"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0</w:t>
            </w:r>
          </w:p>
        </w:tc>
        <w:tc>
          <w:tcPr>
            <w:tcW w:w="8221" w:type="dxa"/>
            <w:shd w:val="clear" w:color="000000" w:fill="F2DCDB"/>
            <w:noWrap/>
            <w:vAlign w:val="center"/>
            <w:hideMark/>
          </w:tcPr>
          <w:p w14:paraId="1413DF65"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Investment Properties</w:t>
            </w:r>
          </w:p>
        </w:tc>
        <w:tc>
          <w:tcPr>
            <w:tcW w:w="791" w:type="dxa"/>
            <w:shd w:val="clear" w:color="000000" w:fill="F2DCDB"/>
            <w:noWrap/>
            <w:vAlign w:val="center"/>
            <w:hideMark/>
          </w:tcPr>
          <w:p w14:paraId="596DEBD3" w14:textId="68C721A3"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3</w:t>
            </w:r>
            <w:r w:rsidR="001E6E45">
              <w:rPr>
                <w:rFonts w:ascii="Calibri" w:hAnsi="Calibri"/>
                <w:color w:val="000000"/>
                <w:sz w:val="22"/>
                <w:szCs w:val="22"/>
                <w:lang w:eastAsia="en-GB"/>
              </w:rPr>
              <w:t>4</w:t>
            </w:r>
          </w:p>
        </w:tc>
      </w:tr>
      <w:tr w:rsidR="004B7E57" w:rsidRPr="004B7E57" w14:paraId="453AA984" w14:textId="77777777" w:rsidTr="003738A6">
        <w:trPr>
          <w:trHeight w:val="300"/>
        </w:trPr>
        <w:tc>
          <w:tcPr>
            <w:tcW w:w="1008" w:type="dxa"/>
            <w:shd w:val="clear" w:color="000000" w:fill="F2DCDB"/>
            <w:noWrap/>
            <w:vAlign w:val="center"/>
          </w:tcPr>
          <w:p w14:paraId="46FACD69" w14:textId="3CA7827D"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1</w:t>
            </w:r>
          </w:p>
        </w:tc>
        <w:tc>
          <w:tcPr>
            <w:tcW w:w="8221" w:type="dxa"/>
            <w:shd w:val="clear" w:color="000000" w:fill="F2DCDB"/>
            <w:noWrap/>
            <w:vAlign w:val="center"/>
            <w:hideMark/>
          </w:tcPr>
          <w:p w14:paraId="1EA713EE"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Inta</w:t>
            </w:r>
            <w:r>
              <w:rPr>
                <w:rFonts w:ascii="Calibri" w:hAnsi="Calibri"/>
                <w:color w:val="000000"/>
                <w:sz w:val="22"/>
                <w:szCs w:val="22"/>
                <w:lang w:eastAsia="en-GB"/>
              </w:rPr>
              <w:t>n</w:t>
            </w:r>
            <w:r w:rsidRPr="004B7E57">
              <w:rPr>
                <w:rFonts w:ascii="Calibri" w:hAnsi="Calibri"/>
                <w:color w:val="000000"/>
                <w:sz w:val="22"/>
                <w:szCs w:val="22"/>
                <w:lang w:eastAsia="en-GB"/>
              </w:rPr>
              <w:t>gible Assets</w:t>
            </w:r>
          </w:p>
        </w:tc>
        <w:tc>
          <w:tcPr>
            <w:tcW w:w="791" w:type="dxa"/>
            <w:shd w:val="clear" w:color="000000" w:fill="F2DCDB"/>
            <w:noWrap/>
            <w:vAlign w:val="center"/>
            <w:hideMark/>
          </w:tcPr>
          <w:p w14:paraId="0AB462B0" w14:textId="68270FC1"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3</w:t>
            </w:r>
            <w:r w:rsidR="001E6E45">
              <w:rPr>
                <w:rFonts w:ascii="Calibri" w:hAnsi="Calibri"/>
                <w:color w:val="000000"/>
                <w:sz w:val="22"/>
                <w:szCs w:val="22"/>
                <w:lang w:eastAsia="en-GB"/>
              </w:rPr>
              <w:t>6</w:t>
            </w:r>
          </w:p>
        </w:tc>
      </w:tr>
      <w:tr w:rsidR="004B7E57" w:rsidRPr="004B7E57" w14:paraId="3A98A8EC" w14:textId="77777777" w:rsidTr="003738A6">
        <w:trPr>
          <w:trHeight w:val="300"/>
        </w:trPr>
        <w:tc>
          <w:tcPr>
            <w:tcW w:w="1008" w:type="dxa"/>
            <w:shd w:val="clear" w:color="000000" w:fill="F2DCDB"/>
            <w:noWrap/>
            <w:vAlign w:val="center"/>
          </w:tcPr>
          <w:p w14:paraId="768613E7" w14:textId="5854F80A"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2</w:t>
            </w:r>
          </w:p>
        </w:tc>
        <w:tc>
          <w:tcPr>
            <w:tcW w:w="8221" w:type="dxa"/>
            <w:shd w:val="clear" w:color="000000" w:fill="F2DCDB"/>
            <w:noWrap/>
            <w:vAlign w:val="center"/>
            <w:hideMark/>
          </w:tcPr>
          <w:p w14:paraId="10B674CA"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Financial Instruments</w:t>
            </w:r>
          </w:p>
        </w:tc>
        <w:tc>
          <w:tcPr>
            <w:tcW w:w="791" w:type="dxa"/>
            <w:shd w:val="clear" w:color="000000" w:fill="F2DCDB"/>
            <w:noWrap/>
            <w:vAlign w:val="center"/>
            <w:hideMark/>
          </w:tcPr>
          <w:p w14:paraId="42AB2434" w14:textId="7D61D764"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3</w:t>
            </w:r>
            <w:r w:rsidR="001E6E45">
              <w:rPr>
                <w:rFonts w:ascii="Calibri" w:hAnsi="Calibri"/>
                <w:color w:val="000000"/>
                <w:sz w:val="22"/>
                <w:szCs w:val="22"/>
                <w:lang w:eastAsia="en-GB"/>
              </w:rPr>
              <w:t>8</w:t>
            </w:r>
          </w:p>
        </w:tc>
      </w:tr>
      <w:tr w:rsidR="004B7E57" w:rsidRPr="004B7E57" w14:paraId="6FA4D981" w14:textId="77777777" w:rsidTr="003738A6">
        <w:trPr>
          <w:trHeight w:val="300"/>
        </w:trPr>
        <w:tc>
          <w:tcPr>
            <w:tcW w:w="1008" w:type="dxa"/>
            <w:shd w:val="clear" w:color="000000" w:fill="F2DCDB"/>
            <w:noWrap/>
            <w:vAlign w:val="center"/>
          </w:tcPr>
          <w:p w14:paraId="0D952AE6" w14:textId="3D569873"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3</w:t>
            </w:r>
          </w:p>
        </w:tc>
        <w:tc>
          <w:tcPr>
            <w:tcW w:w="8221" w:type="dxa"/>
            <w:shd w:val="clear" w:color="000000" w:fill="F2DCDB"/>
            <w:noWrap/>
            <w:vAlign w:val="center"/>
            <w:hideMark/>
          </w:tcPr>
          <w:p w14:paraId="2E9B5FC5" w14:textId="29A75822"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Nature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Extent of Risks Arising from Financial Instruments</w:t>
            </w:r>
          </w:p>
        </w:tc>
        <w:tc>
          <w:tcPr>
            <w:tcW w:w="791" w:type="dxa"/>
            <w:shd w:val="clear" w:color="000000" w:fill="F2DCDB"/>
            <w:noWrap/>
            <w:vAlign w:val="center"/>
            <w:hideMark/>
          </w:tcPr>
          <w:p w14:paraId="19B5D479" w14:textId="506B4F97"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925E8F">
              <w:rPr>
                <w:rFonts w:ascii="Calibri" w:hAnsi="Calibri"/>
                <w:color w:val="000000"/>
                <w:sz w:val="22"/>
                <w:szCs w:val="22"/>
                <w:lang w:eastAsia="en-GB"/>
              </w:rPr>
              <w:t>4</w:t>
            </w:r>
            <w:r w:rsidR="00DB7682">
              <w:rPr>
                <w:rFonts w:ascii="Calibri" w:hAnsi="Calibri"/>
                <w:color w:val="000000"/>
                <w:sz w:val="22"/>
                <w:szCs w:val="22"/>
                <w:lang w:eastAsia="en-GB"/>
              </w:rPr>
              <w:t>3</w:t>
            </w:r>
          </w:p>
        </w:tc>
      </w:tr>
      <w:tr w:rsidR="004B7E57" w:rsidRPr="004B7E57" w14:paraId="5BACBC94" w14:textId="77777777" w:rsidTr="003738A6">
        <w:trPr>
          <w:trHeight w:val="300"/>
        </w:trPr>
        <w:tc>
          <w:tcPr>
            <w:tcW w:w="1008" w:type="dxa"/>
            <w:shd w:val="clear" w:color="000000" w:fill="F2DCDB"/>
            <w:noWrap/>
            <w:vAlign w:val="center"/>
          </w:tcPr>
          <w:p w14:paraId="223928DE" w14:textId="4A6D6B05"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4</w:t>
            </w:r>
          </w:p>
        </w:tc>
        <w:tc>
          <w:tcPr>
            <w:tcW w:w="8221" w:type="dxa"/>
            <w:shd w:val="clear" w:color="000000" w:fill="F2DCDB"/>
            <w:noWrap/>
            <w:vAlign w:val="center"/>
            <w:hideMark/>
          </w:tcPr>
          <w:p w14:paraId="05E1A1FF" w14:textId="7FB68FF0"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Capital Expenditure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Capital Financing</w:t>
            </w:r>
          </w:p>
        </w:tc>
        <w:tc>
          <w:tcPr>
            <w:tcW w:w="791" w:type="dxa"/>
            <w:shd w:val="clear" w:color="000000" w:fill="F2DCDB"/>
            <w:noWrap/>
            <w:vAlign w:val="center"/>
            <w:hideMark/>
          </w:tcPr>
          <w:p w14:paraId="3C1062D8" w14:textId="09113EF8"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57C83">
              <w:rPr>
                <w:rFonts w:ascii="Calibri" w:hAnsi="Calibri"/>
                <w:color w:val="000000"/>
                <w:sz w:val="22"/>
                <w:szCs w:val="22"/>
                <w:lang w:eastAsia="en-GB"/>
              </w:rPr>
              <w:t>4</w:t>
            </w:r>
            <w:r w:rsidR="00DB7682">
              <w:rPr>
                <w:rFonts w:ascii="Calibri" w:hAnsi="Calibri"/>
                <w:color w:val="000000"/>
                <w:sz w:val="22"/>
                <w:szCs w:val="22"/>
                <w:lang w:eastAsia="en-GB"/>
              </w:rPr>
              <w:t>8</w:t>
            </w:r>
          </w:p>
        </w:tc>
      </w:tr>
      <w:tr w:rsidR="004B7E57" w:rsidRPr="004B7E57" w14:paraId="5835D155" w14:textId="77777777" w:rsidTr="003738A6">
        <w:trPr>
          <w:trHeight w:val="300"/>
        </w:trPr>
        <w:tc>
          <w:tcPr>
            <w:tcW w:w="1008" w:type="dxa"/>
            <w:shd w:val="clear" w:color="000000" w:fill="F2DCDB"/>
            <w:noWrap/>
            <w:vAlign w:val="center"/>
          </w:tcPr>
          <w:p w14:paraId="0CCB57E1" w14:textId="323F41F9"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5</w:t>
            </w:r>
          </w:p>
        </w:tc>
        <w:tc>
          <w:tcPr>
            <w:tcW w:w="8221" w:type="dxa"/>
            <w:shd w:val="clear" w:color="000000" w:fill="F2DCDB"/>
            <w:noWrap/>
            <w:vAlign w:val="center"/>
            <w:hideMark/>
          </w:tcPr>
          <w:p w14:paraId="6FF70B9B"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Leases</w:t>
            </w:r>
          </w:p>
        </w:tc>
        <w:tc>
          <w:tcPr>
            <w:tcW w:w="791" w:type="dxa"/>
            <w:shd w:val="clear" w:color="000000" w:fill="F2DCDB"/>
            <w:noWrap/>
            <w:vAlign w:val="center"/>
            <w:hideMark/>
          </w:tcPr>
          <w:p w14:paraId="73853457" w14:textId="6738EDCD"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1E6E45">
              <w:rPr>
                <w:rFonts w:ascii="Calibri" w:hAnsi="Calibri"/>
                <w:color w:val="000000"/>
                <w:sz w:val="22"/>
                <w:szCs w:val="22"/>
                <w:lang w:eastAsia="en-GB"/>
              </w:rPr>
              <w:t>48</w:t>
            </w:r>
          </w:p>
        </w:tc>
      </w:tr>
      <w:tr w:rsidR="004B7E57" w:rsidRPr="004B7E57" w14:paraId="0CF65DAF" w14:textId="77777777" w:rsidTr="003738A6">
        <w:trPr>
          <w:trHeight w:val="300"/>
        </w:trPr>
        <w:tc>
          <w:tcPr>
            <w:tcW w:w="1008" w:type="dxa"/>
            <w:shd w:val="clear" w:color="000000" w:fill="F2DCDB"/>
            <w:noWrap/>
            <w:vAlign w:val="center"/>
          </w:tcPr>
          <w:p w14:paraId="23ACA118" w14:textId="7C663BE7"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6</w:t>
            </w:r>
          </w:p>
        </w:tc>
        <w:tc>
          <w:tcPr>
            <w:tcW w:w="8221" w:type="dxa"/>
            <w:shd w:val="clear" w:color="000000" w:fill="F2DCDB"/>
            <w:noWrap/>
            <w:vAlign w:val="center"/>
            <w:hideMark/>
          </w:tcPr>
          <w:p w14:paraId="30ACC8D2"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Impairment Losses</w:t>
            </w:r>
          </w:p>
        </w:tc>
        <w:tc>
          <w:tcPr>
            <w:tcW w:w="791" w:type="dxa"/>
            <w:shd w:val="clear" w:color="000000" w:fill="F2DCDB"/>
            <w:noWrap/>
            <w:vAlign w:val="center"/>
            <w:hideMark/>
          </w:tcPr>
          <w:p w14:paraId="6FA0F57B" w14:textId="003DB41E" w:rsidR="004B7E57" w:rsidRPr="004B7E57" w:rsidRDefault="004B7E57" w:rsidP="009339FB">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5</w:t>
            </w:r>
            <w:r w:rsidR="00DB7682">
              <w:rPr>
                <w:rFonts w:ascii="Calibri" w:hAnsi="Calibri"/>
                <w:color w:val="000000"/>
                <w:sz w:val="22"/>
                <w:szCs w:val="22"/>
                <w:lang w:eastAsia="en-GB"/>
              </w:rPr>
              <w:t>1</w:t>
            </w:r>
          </w:p>
        </w:tc>
      </w:tr>
      <w:tr w:rsidR="004B7E57" w:rsidRPr="004B7E57" w14:paraId="47BD8D5B" w14:textId="77777777" w:rsidTr="003738A6">
        <w:trPr>
          <w:trHeight w:val="300"/>
        </w:trPr>
        <w:tc>
          <w:tcPr>
            <w:tcW w:w="1008" w:type="dxa"/>
            <w:shd w:val="clear" w:color="000000" w:fill="F2DCDB"/>
            <w:noWrap/>
            <w:vAlign w:val="center"/>
          </w:tcPr>
          <w:p w14:paraId="6274A890" w14:textId="6B55129B" w:rsidR="004B7E57" w:rsidRPr="004B7E57" w:rsidRDefault="00B84F3B"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7</w:t>
            </w:r>
          </w:p>
        </w:tc>
        <w:tc>
          <w:tcPr>
            <w:tcW w:w="8221" w:type="dxa"/>
            <w:shd w:val="clear" w:color="000000" w:fill="F2DCDB"/>
            <w:noWrap/>
            <w:vAlign w:val="center"/>
            <w:hideMark/>
          </w:tcPr>
          <w:p w14:paraId="307379AD"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Assets Held for Sale</w:t>
            </w:r>
          </w:p>
        </w:tc>
        <w:tc>
          <w:tcPr>
            <w:tcW w:w="791" w:type="dxa"/>
            <w:shd w:val="clear" w:color="000000" w:fill="F2DCDB"/>
            <w:noWrap/>
            <w:vAlign w:val="center"/>
            <w:hideMark/>
          </w:tcPr>
          <w:p w14:paraId="590FA1C3" w14:textId="08676F31"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5</w:t>
            </w:r>
            <w:r w:rsidR="00DB7682">
              <w:rPr>
                <w:rFonts w:ascii="Calibri" w:hAnsi="Calibri"/>
                <w:color w:val="000000"/>
                <w:sz w:val="22"/>
                <w:szCs w:val="22"/>
                <w:lang w:eastAsia="en-GB"/>
              </w:rPr>
              <w:t>1</w:t>
            </w:r>
          </w:p>
        </w:tc>
      </w:tr>
      <w:tr w:rsidR="004B7E57" w:rsidRPr="004B7E57" w14:paraId="462B8950" w14:textId="77777777" w:rsidTr="003738A6">
        <w:trPr>
          <w:trHeight w:val="300"/>
        </w:trPr>
        <w:tc>
          <w:tcPr>
            <w:tcW w:w="1008" w:type="dxa"/>
            <w:shd w:val="clear" w:color="000000" w:fill="F2DCDB"/>
            <w:noWrap/>
            <w:vAlign w:val="center"/>
          </w:tcPr>
          <w:p w14:paraId="4DE4BBE4" w14:textId="7F8F69D1" w:rsidR="004B7E57" w:rsidRPr="004B7E57" w:rsidRDefault="00D74C07" w:rsidP="004B7E57">
            <w:pPr>
              <w:jc w:val="center"/>
              <w:rPr>
                <w:rFonts w:ascii="Calibri" w:hAnsi="Calibri"/>
                <w:color w:val="000000"/>
                <w:sz w:val="22"/>
                <w:szCs w:val="22"/>
                <w:lang w:eastAsia="en-GB"/>
              </w:rPr>
            </w:pPr>
            <w:r>
              <w:rPr>
                <w:rFonts w:ascii="Calibri" w:hAnsi="Calibri"/>
                <w:color w:val="000000"/>
                <w:sz w:val="22"/>
                <w:szCs w:val="22"/>
                <w:lang w:eastAsia="en-GB"/>
              </w:rPr>
              <w:t>2</w:t>
            </w:r>
            <w:r w:rsidR="00397E37">
              <w:rPr>
                <w:rFonts w:ascii="Calibri" w:hAnsi="Calibri"/>
                <w:color w:val="000000"/>
                <w:sz w:val="22"/>
                <w:szCs w:val="22"/>
                <w:lang w:eastAsia="en-GB"/>
              </w:rPr>
              <w:t>8</w:t>
            </w:r>
          </w:p>
        </w:tc>
        <w:tc>
          <w:tcPr>
            <w:tcW w:w="8221" w:type="dxa"/>
            <w:shd w:val="clear" w:color="000000" w:fill="F2DCDB"/>
            <w:noWrap/>
            <w:vAlign w:val="center"/>
            <w:hideMark/>
          </w:tcPr>
          <w:p w14:paraId="5B08FFE1"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Receivables</w:t>
            </w:r>
          </w:p>
        </w:tc>
        <w:tc>
          <w:tcPr>
            <w:tcW w:w="791" w:type="dxa"/>
            <w:shd w:val="clear" w:color="000000" w:fill="F2DCDB"/>
            <w:noWrap/>
            <w:vAlign w:val="center"/>
            <w:hideMark/>
          </w:tcPr>
          <w:p w14:paraId="034D43B8" w14:textId="2E0B7003"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5</w:t>
            </w:r>
            <w:r w:rsidR="001E6E45">
              <w:rPr>
                <w:rFonts w:ascii="Calibri" w:hAnsi="Calibri"/>
                <w:color w:val="000000"/>
                <w:sz w:val="22"/>
                <w:szCs w:val="22"/>
                <w:lang w:eastAsia="en-GB"/>
              </w:rPr>
              <w:t>1</w:t>
            </w:r>
          </w:p>
        </w:tc>
      </w:tr>
      <w:tr w:rsidR="002D2006" w:rsidRPr="004B7E57" w14:paraId="4E2C198E" w14:textId="77777777" w:rsidTr="003738A6">
        <w:trPr>
          <w:trHeight w:val="300"/>
        </w:trPr>
        <w:tc>
          <w:tcPr>
            <w:tcW w:w="1008" w:type="dxa"/>
            <w:shd w:val="clear" w:color="000000" w:fill="F2DCDB"/>
            <w:noWrap/>
            <w:vAlign w:val="center"/>
          </w:tcPr>
          <w:p w14:paraId="0F3FA6FF" w14:textId="31BD8321" w:rsidR="002D2006" w:rsidRDefault="00397E37" w:rsidP="004B7E57">
            <w:pPr>
              <w:jc w:val="center"/>
              <w:rPr>
                <w:rFonts w:ascii="Calibri" w:hAnsi="Calibri"/>
                <w:color w:val="000000"/>
                <w:sz w:val="22"/>
                <w:szCs w:val="22"/>
                <w:lang w:eastAsia="en-GB"/>
              </w:rPr>
            </w:pPr>
            <w:r>
              <w:rPr>
                <w:rFonts w:ascii="Calibri" w:hAnsi="Calibri"/>
                <w:color w:val="000000"/>
                <w:sz w:val="22"/>
                <w:szCs w:val="22"/>
                <w:lang w:eastAsia="en-GB"/>
              </w:rPr>
              <w:t>29</w:t>
            </w:r>
          </w:p>
        </w:tc>
        <w:tc>
          <w:tcPr>
            <w:tcW w:w="8221" w:type="dxa"/>
            <w:shd w:val="clear" w:color="000000" w:fill="F2DCDB"/>
            <w:noWrap/>
            <w:vAlign w:val="center"/>
          </w:tcPr>
          <w:p w14:paraId="17F64275" w14:textId="77777777" w:rsidR="002D2006" w:rsidRPr="004B7E57" w:rsidRDefault="002D2006" w:rsidP="004B7E57">
            <w:pPr>
              <w:rPr>
                <w:rFonts w:ascii="Calibri" w:hAnsi="Calibri"/>
                <w:color w:val="000000"/>
                <w:sz w:val="22"/>
                <w:szCs w:val="22"/>
                <w:lang w:eastAsia="en-GB"/>
              </w:rPr>
            </w:pPr>
            <w:r>
              <w:rPr>
                <w:rFonts w:ascii="Calibri" w:hAnsi="Calibri"/>
                <w:color w:val="000000"/>
                <w:sz w:val="22"/>
                <w:szCs w:val="22"/>
                <w:lang w:eastAsia="en-GB"/>
              </w:rPr>
              <w:t>Debtors for Local Taxation</w:t>
            </w:r>
          </w:p>
        </w:tc>
        <w:tc>
          <w:tcPr>
            <w:tcW w:w="791" w:type="dxa"/>
            <w:shd w:val="clear" w:color="000000" w:fill="F2DCDB"/>
            <w:noWrap/>
            <w:vAlign w:val="center"/>
          </w:tcPr>
          <w:p w14:paraId="5D60305C" w14:textId="10B8CAFB" w:rsidR="002D2006" w:rsidRPr="004B7E57" w:rsidRDefault="00D8585A" w:rsidP="00CE72BD">
            <w:pPr>
              <w:jc w:val="center"/>
              <w:rPr>
                <w:rFonts w:ascii="Calibri" w:hAnsi="Calibri"/>
                <w:color w:val="000000"/>
                <w:sz w:val="22"/>
                <w:szCs w:val="22"/>
                <w:lang w:eastAsia="en-GB"/>
              </w:rPr>
            </w:pPr>
            <w:r>
              <w:rPr>
                <w:rFonts w:ascii="Calibri" w:hAnsi="Calibri"/>
                <w:color w:val="000000"/>
                <w:sz w:val="22"/>
                <w:szCs w:val="22"/>
                <w:lang w:eastAsia="en-GB"/>
              </w:rPr>
              <w:t xml:space="preserve"> </w:t>
            </w:r>
            <w:r w:rsidR="000F79AB">
              <w:rPr>
                <w:rFonts w:ascii="Calibri" w:hAnsi="Calibri"/>
                <w:color w:val="000000"/>
                <w:sz w:val="22"/>
                <w:szCs w:val="22"/>
                <w:lang w:eastAsia="en-GB"/>
              </w:rPr>
              <w:t>5</w:t>
            </w:r>
            <w:r w:rsidR="001E6E45">
              <w:rPr>
                <w:rFonts w:ascii="Calibri" w:hAnsi="Calibri"/>
                <w:color w:val="000000"/>
                <w:sz w:val="22"/>
                <w:szCs w:val="22"/>
                <w:lang w:eastAsia="en-GB"/>
              </w:rPr>
              <w:t>1</w:t>
            </w:r>
          </w:p>
        </w:tc>
      </w:tr>
      <w:tr w:rsidR="004B7E57" w:rsidRPr="004B7E57" w14:paraId="2CB6A865" w14:textId="77777777" w:rsidTr="003738A6">
        <w:trPr>
          <w:trHeight w:val="300"/>
        </w:trPr>
        <w:tc>
          <w:tcPr>
            <w:tcW w:w="1008" w:type="dxa"/>
            <w:shd w:val="clear" w:color="000000" w:fill="F2DCDB"/>
            <w:noWrap/>
            <w:vAlign w:val="center"/>
          </w:tcPr>
          <w:p w14:paraId="0CDD3827" w14:textId="7E3F0441" w:rsidR="004B7E57" w:rsidRPr="004B7E57" w:rsidRDefault="00B84F3B" w:rsidP="00AE6C38">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0</w:t>
            </w:r>
          </w:p>
        </w:tc>
        <w:tc>
          <w:tcPr>
            <w:tcW w:w="8221" w:type="dxa"/>
            <w:shd w:val="clear" w:color="000000" w:fill="F2DCDB"/>
            <w:noWrap/>
            <w:vAlign w:val="center"/>
            <w:hideMark/>
          </w:tcPr>
          <w:p w14:paraId="1DBFE24C" w14:textId="0116BD75"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Cash </w:t>
            </w:r>
            <w:r w:rsidR="00704A70">
              <w:rPr>
                <w:rFonts w:ascii="Calibri" w:hAnsi="Calibri"/>
                <w:color w:val="000000"/>
                <w:sz w:val="22"/>
                <w:szCs w:val="22"/>
                <w:lang w:eastAsia="en-GB"/>
              </w:rPr>
              <w:t>and</w:t>
            </w:r>
            <w:r w:rsidRPr="004B7E57">
              <w:rPr>
                <w:rFonts w:ascii="Calibri" w:hAnsi="Calibri"/>
                <w:color w:val="000000"/>
                <w:sz w:val="22"/>
                <w:szCs w:val="22"/>
                <w:lang w:eastAsia="en-GB"/>
              </w:rPr>
              <w:t xml:space="preserve"> Cash Equivalents</w:t>
            </w:r>
          </w:p>
        </w:tc>
        <w:tc>
          <w:tcPr>
            <w:tcW w:w="791" w:type="dxa"/>
            <w:shd w:val="clear" w:color="000000" w:fill="F2DCDB"/>
            <w:noWrap/>
            <w:vAlign w:val="center"/>
            <w:hideMark/>
          </w:tcPr>
          <w:p w14:paraId="655944F0" w14:textId="2FB237EB" w:rsidR="004B7E57" w:rsidRPr="004B7E57" w:rsidRDefault="004B7E57" w:rsidP="00FA2566">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5</w:t>
            </w:r>
            <w:r w:rsidR="00DB7682">
              <w:rPr>
                <w:rFonts w:ascii="Calibri" w:hAnsi="Calibri"/>
                <w:color w:val="000000"/>
                <w:sz w:val="22"/>
                <w:szCs w:val="22"/>
                <w:lang w:eastAsia="en-GB"/>
              </w:rPr>
              <w:t>2</w:t>
            </w:r>
          </w:p>
        </w:tc>
      </w:tr>
      <w:tr w:rsidR="004B7E57" w:rsidRPr="004B7E57" w14:paraId="15CCB074" w14:textId="77777777" w:rsidTr="003738A6">
        <w:trPr>
          <w:trHeight w:val="300"/>
        </w:trPr>
        <w:tc>
          <w:tcPr>
            <w:tcW w:w="1008" w:type="dxa"/>
            <w:shd w:val="clear" w:color="000000" w:fill="F2DCDB"/>
            <w:noWrap/>
            <w:vAlign w:val="center"/>
          </w:tcPr>
          <w:p w14:paraId="7666F22C" w14:textId="55E3D5C4" w:rsidR="004B7E57" w:rsidRPr="004B7E57" w:rsidRDefault="00B84F3B" w:rsidP="00AF2584">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1</w:t>
            </w:r>
          </w:p>
        </w:tc>
        <w:tc>
          <w:tcPr>
            <w:tcW w:w="8221" w:type="dxa"/>
            <w:shd w:val="clear" w:color="000000" w:fill="F2DCDB"/>
            <w:noWrap/>
            <w:vAlign w:val="center"/>
            <w:hideMark/>
          </w:tcPr>
          <w:p w14:paraId="666566C3"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Payables</w:t>
            </w:r>
          </w:p>
        </w:tc>
        <w:tc>
          <w:tcPr>
            <w:tcW w:w="791" w:type="dxa"/>
            <w:shd w:val="clear" w:color="000000" w:fill="F2DCDB"/>
            <w:noWrap/>
            <w:vAlign w:val="center"/>
            <w:hideMark/>
          </w:tcPr>
          <w:p w14:paraId="5B242C84" w14:textId="2A6BB562" w:rsidR="004B7E57" w:rsidRPr="004B7E57" w:rsidRDefault="004B7E57" w:rsidP="009339FB">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5</w:t>
            </w:r>
            <w:r w:rsidR="00DB7682">
              <w:rPr>
                <w:rFonts w:ascii="Calibri" w:hAnsi="Calibri"/>
                <w:color w:val="000000"/>
                <w:sz w:val="22"/>
                <w:szCs w:val="22"/>
                <w:lang w:eastAsia="en-GB"/>
              </w:rPr>
              <w:t>2</w:t>
            </w:r>
          </w:p>
        </w:tc>
      </w:tr>
      <w:tr w:rsidR="004B7E57" w:rsidRPr="004B7E57" w14:paraId="592F4962" w14:textId="77777777" w:rsidTr="003738A6">
        <w:trPr>
          <w:trHeight w:val="300"/>
        </w:trPr>
        <w:tc>
          <w:tcPr>
            <w:tcW w:w="1008" w:type="dxa"/>
            <w:shd w:val="clear" w:color="000000" w:fill="F2DCDB"/>
            <w:noWrap/>
            <w:vAlign w:val="center"/>
          </w:tcPr>
          <w:p w14:paraId="689A0637" w14:textId="717BF8C1" w:rsidR="004B7E57" w:rsidRPr="004B7E57" w:rsidRDefault="00B84F3B" w:rsidP="00D74C07">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2</w:t>
            </w:r>
          </w:p>
        </w:tc>
        <w:tc>
          <w:tcPr>
            <w:tcW w:w="8221" w:type="dxa"/>
            <w:shd w:val="clear" w:color="000000" w:fill="F2DCDB"/>
            <w:noWrap/>
            <w:vAlign w:val="center"/>
            <w:hideMark/>
          </w:tcPr>
          <w:p w14:paraId="77ED4F08"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Provisions</w:t>
            </w:r>
          </w:p>
        </w:tc>
        <w:tc>
          <w:tcPr>
            <w:tcW w:w="791" w:type="dxa"/>
            <w:shd w:val="clear" w:color="000000" w:fill="F2DCDB"/>
            <w:noWrap/>
            <w:vAlign w:val="center"/>
            <w:hideMark/>
          </w:tcPr>
          <w:p w14:paraId="65FDEB0D" w14:textId="5A1D829F"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925E8F">
              <w:rPr>
                <w:rFonts w:ascii="Calibri" w:hAnsi="Calibri"/>
                <w:color w:val="000000"/>
                <w:sz w:val="22"/>
                <w:szCs w:val="22"/>
                <w:lang w:eastAsia="en-GB"/>
              </w:rPr>
              <w:t>5</w:t>
            </w:r>
            <w:r w:rsidR="001E6E45">
              <w:rPr>
                <w:rFonts w:ascii="Calibri" w:hAnsi="Calibri"/>
                <w:color w:val="000000"/>
                <w:sz w:val="22"/>
                <w:szCs w:val="22"/>
                <w:lang w:eastAsia="en-GB"/>
              </w:rPr>
              <w:t>2</w:t>
            </w:r>
          </w:p>
        </w:tc>
      </w:tr>
      <w:tr w:rsidR="004B7E57" w:rsidRPr="004B7E57" w14:paraId="726CA445" w14:textId="77777777" w:rsidTr="003738A6">
        <w:trPr>
          <w:trHeight w:val="300"/>
        </w:trPr>
        <w:tc>
          <w:tcPr>
            <w:tcW w:w="1008" w:type="dxa"/>
            <w:shd w:val="clear" w:color="000000" w:fill="F2DCDB"/>
            <w:noWrap/>
            <w:vAlign w:val="center"/>
          </w:tcPr>
          <w:p w14:paraId="061F1184" w14:textId="3D89F4E5" w:rsidR="004B7E57" w:rsidRPr="004B7E57" w:rsidRDefault="00D74C07" w:rsidP="004B7E57">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3</w:t>
            </w:r>
          </w:p>
        </w:tc>
        <w:tc>
          <w:tcPr>
            <w:tcW w:w="8221" w:type="dxa"/>
            <w:shd w:val="clear" w:color="000000" w:fill="F2DCDB"/>
            <w:noWrap/>
            <w:vAlign w:val="center"/>
            <w:hideMark/>
          </w:tcPr>
          <w:p w14:paraId="70EFB16B" w14:textId="179B76A5"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 xml:space="preserve">Contingent </w:t>
            </w:r>
            <w:r w:rsidR="008138F0">
              <w:rPr>
                <w:rFonts w:ascii="Calibri" w:hAnsi="Calibri"/>
                <w:color w:val="000000"/>
                <w:sz w:val="22"/>
                <w:szCs w:val="22"/>
                <w:lang w:eastAsia="en-GB"/>
              </w:rPr>
              <w:t>Assets</w:t>
            </w:r>
            <w:r w:rsidR="008311CD">
              <w:rPr>
                <w:rFonts w:ascii="Calibri" w:hAnsi="Calibri"/>
                <w:color w:val="000000"/>
                <w:sz w:val="22"/>
                <w:szCs w:val="22"/>
                <w:lang w:eastAsia="en-GB"/>
              </w:rPr>
              <w:t xml:space="preserve"> </w:t>
            </w:r>
            <w:r w:rsidR="00704A70">
              <w:rPr>
                <w:rFonts w:ascii="Calibri" w:hAnsi="Calibri"/>
                <w:color w:val="000000"/>
                <w:sz w:val="22"/>
                <w:szCs w:val="22"/>
                <w:lang w:eastAsia="en-GB"/>
              </w:rPr>
              <w:t>and</w:t>
            </w:r>
            <w:r w:rsidR="008311CD">
              <w:rPr>
                <w:rFonts w:ascii="Calibri" w:hAnsi="Calibri"/>
                <w:color w:val="000000"/>
                <w:sz w:val="22"/>
                <w:szCs w:val="22"/>
                <w:lang w:eastAsia="en-GB"/>
              </w:rPr>
              <w:t xml:space="preserve"> Liabilities</w:t>
            </w:r>
          </w:p>
        </w:tc>
        <w:tc>
          <w:tcPr>
            <w:tcW w:w="791" w:type="dxa"/>
            <w:shd w:val="clear" w:color="000000" w:fill="F2DCDB"/>
            <w:noWrap/>
            <w:vAlign w:val="center"/>
            <w:hideMark/>
          </w:tcPr>
          <w:p w14:paraId="3676461D" w14:textId="664DDDC0"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925E8F">
              <w:rPr>
                <w:rFonts w:ascii="Calibri" w:hAnsi="Calibri"/>
                <w:color w:val="000000"/>
                <w:sz w:val="22"/>
                <w:szCs w:val="22"/>
                <w:lang w:eastAsia="en-GB"/>
              </w:rPr>
              <w:t>5</w:t>
            </w:r>
            <w:r w:rsidR="00DB7682">
              <w:rPr>
                <w:rFonts w:ascii="Calibri" w:hAnsi="Calibri"/>
                <w:color w:val="000000"/>
                <w:sz w:val="22"/>
                <w:szCs w:val="22"/>
                <w:lang w:eastAsia="en-GB"/>
              </w:rPr>
              <w:t>3</w:t>
            </w:r>
          </w:p>
        </w:tc>
      </w:tr>
      <w:tr w:rsidR="004B7E57" w:rsidRPr="004B7E57" w14:paraId="30C2700B" w14:textId="77777777" w:rsidTr="003738A6">
        <w:trPr>
          <w:trHeight w:val="300"/>
        </w:trPr>
        <w:tc>
          <w:tcPr>
            <w:tcW w:w="1008" w:type="dxa"/>
            <w:shd w:val="clear" w:color="000000" w:fill="F2DCDB"/>
            <w:noWrap/>
            <w:vAlign w:val="center"/>
          </w:tcPr>
          <w:p w14:paraId="4CE6CDD2" w14:textId="1CDE36A6" w:rsidR="00E252DB" w:rsidRPr="004B7E57" w:rsidRDefault="00B84F3B" w:rsidP="009339FB">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4</w:t>
            </w:r>
          </w:p>
        </w:tc>
        <w:tc>
          <w:tcPr>
            <w:tcW w:w="8221" w:type="dxa"/>
            <w:shd w:val="clear" w:color="000000" w:fill="F2DCDB"/>
            <w:noWrap/>
            <w:vAlign w:val="center"/>
            <w:hideMark/>
          </w:tcPr>
          <w:p w14:paraId="4D72DAB6"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Defined Benefit Pension Schemes</w:t>
            </w:r>
          </w:p>
        </w:tc>
        <w:tc>
          <w:tcPr>
            <w:tcW w:w="791" w:type="dxa"/>
            <w:shd w:val="clear" w:color="000000" w:fill="F2DCDB"/>
            <w:noWrap/>
            <w:vAlign w:val="center"/>
            <w:hideMark/>
          </w:tcPr>
          <w:p w14:paraId="4A3D67C3" w14:textId="5BAE88E4" w:rsidR="004B7E57" w:rsidRPr="004B7E57" w:rsidRDefault="004B7E57" w:rsidP="009339FB">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925E8F">
              <w:rPr>
                <w:rFonts w:ascii="Calibri" w:hAnsi="Calibri"/>
                <w:color w:val="000000"/>
                <w:sz w:val="22"/>
                <w:szCs w:val="22"/>
                <w:lang w:eastAsia="en-GB"/>
              </w:rPr>
              <w:t>5</w:t>
            </w:r>
            <w:r w:rsidR="00DB7682">
              <w:rPr>
                <w:rFonts w:ascii="Calibri" w:hAnsi="Calibri"/>
                <w:color w:val="000000"/>
                <w:sz w:val="22"/>
                <w:szCs w:val="22"/>
                <w:lang w:eastAsia="en-GB"/>
              </w:rPr>
              <w:t>3</w:t>
            </w:r>
          </w:p>
        </w:tc>
      </w:tr>
      <w:tr w:rsidR="004B7E57" w:rsidRPr="004B7E57" w14:paraId="5614CEBE" w14:textId="77777777" w:rsidTr="003738A6">
        <w:trPr>
          <w:trHeight w:val="300"/>
        </w:trPr>
        <w:tc>
          <w:tcPr>
            <w:tcW w:w="1008" w:type="dxa"/>
            <w:shd w:val="clear" w:color="000000" w:fill="F2DCDB"/>
            <w:noWrap/>
            <w:vAlign w:val="center"/>
          </w:tcPr>
          <w:p w14:paraId="2E51256C" w14:textId="1782AFC3" w:rsidR="004B7E57" w:rsidRPr="004B7E57" w:rsidRDefault="00B84F3B" w:rsidP="009339FB">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5</w:t>
            </w:r>
          </w:p>
        </w:tc>
        <w:tc>
          <w:tcPr>
            <w:tcW w:w="8221" w:type="dxa"/>
            <w:shd w:val="clear" w:color="000000" w:fill="F2DCDB"/>
            <w:noWrap/>
            <w:vAlign w:val="center"/>
            <w:hideMark/>
          </w:tcPr>
          <w:p w14:paraId="7A156863"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Cashflow Statement - Operating Activities</w:t>
            </w:r>
          </w:p>
        </w:tc>
        <w:tc>
          <w:tcPr>
            <w:tcW w:w="791" w:type="dxa"/>
            <w:shd w:val="clear" w:color="000000" w:fill="F2DCDB"/>
            <w:noWrap/>
            <w:vAlign w:val="center"/>
            <w:hideMark/>
          </w:tcPr>
          <w:p w14:paraId="22529B19" w14:textId="22A86F55" w:rsidR="004B7E57" w:rsidRPr="004B7E57" w:rsidRDefault="004B7E57" w:rsidP="007F4B0E">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1E6E45">
              <w:rPr>
                <w:rFonts w:ascii="Calibri" w:hAnsi="Calibri"/>
                <w:color w:val="000000"/>
                <w:sz w:val="22"/>
                <w:szCs w:val="22"/>
                <w:lang w:eastAsia="en-GB"/>
              </w:rPr>
              <w:t>59</w:t>
            </w:r>
          </w:p>
        </w:tc>
      </w:tr>
      <w:tr w:rsidR="004B7E57" w:rsidRPr="004B7E57" w14:paraId="311DCE42" w14:textId="77777777" w:rsidTr="003738A6">
        <w:trPr>
          <w:trHeight w:val="300"/>
        </w:trPr>
        <w:tc>
          <w:tcPr>
            <w:tcW w:w="1008" w:type="dxa"/>
            <w:shd w:val="clear" w:color="000000" w:fill="F2DCDB"/>
            <w:noWrap/>
            <w:vAlign w:val="center"/>
          </w:tcPr>
          <w:p w14:paraId="774C45DB" w14:textId="336DB6A2" w:rsidR="004B7E57" w:rsidRPr="004B7E57" w:rsidRDefault="00B84F3B" w:rsidP="009339FB">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6</w:t>
            </w:r>
          </w:p>
        </w:tc>
        <w:tc>
          <w:tcPr>
            <w:tcW w:w="8221" w:type="dxa"/>
            <w:shd w:val="clear" w:color="000000" w:fill="F2DCDB"/>
            <w:noWrap/>
            <w:vAlign w:val="center"/>
            <w:hideMark/>
          </w:tcPr>
          <w:p w14:paraId="4420E5E8"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Cashflow Statement - Investing Activities</w:t>
            </w:r>
          </w:p>
        </w:tc>
        <w:tc>
          <w:tcPr>
            <w:tcW w:w="791" w:type="dxa"/>
            <w:shd w:val="clear" w:color="000000" w:fill="F2DCDB"/>
            <w:noWrap/>
            <w:vAlign w:val="center"/>
            <w:hideMark/>
          </w:tcPr>
          <w:p w14:paraId="3D20DF28" w14:textId="1E800553" w:rsidR="004B7E57" w:rsidRPr="004B7E57" w:rsidRDefault="004B7E57" w:rsidP="004B7E5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6</w:t>
            </w:r>
            <w:r w:rsidR="001E6E45">
              <w:rPr>
                <w:rFonts w:ascii="Calibri" w:hAnsi="Calibri"/>
                <w:color w:val="000000"/>
                <w:sz w:val="22"/>
                <w:szCs w:val="22"/>
                <w:lang w:eastAsia="en-GB"/>
              </w:rPr>
              <w:t>0</w:t>
            </w:r>
          </w:p>
        </w:tc>
      </w:tr>
      <w:tr w:rsidR="004B7E57" w:rsidRPr="004B7E57" w14:paraId="386466AF" w14:textId="77777777" w:rsidTr="003738A6">
        <w:trPr>
          <w:trHeight w:val="300"/>
        </w:trPr>
        <w:tc>
          <w:tcPr>
            <w:tcW w:w="1008" w:type="dxa"/>
            <w:shd w:val="clear" w:color="000000" w:fill="F2DCDB"/>
            <w:noWrap/>
            <w:vAlign w:val="center"/>
          </w:tcPr>
          <w:p w14:paraId="5F7E93D0" w14:textId="0361CFFF" w:rsidR="004B7E57" w:rsidRPr="004B7E57" w:rsidRDefault="00B84F3B" w:rsidP="009339FB">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7</w:t>
            </w:r>
          </w:p>
        </w:tc>
        <w:tc>
          <w:tcPr>
            <w:tcW w:w="8221" w:type="dxa"/>
            <w:shd w:val="clear" w:color="000000" w:fill="F2DCDB"/>
            <w:noWrap/>
            <w:vAlign w:val="center"/>
            <w:hideMark/>
          </w:tcPr>
          <w:p w14:paraId="15F98A9A"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Cashflow Statement - Financing Activities</w:t>
            </w:r>
          </w:p>
        </w:tc>
        <w:tc>
          <w:tcPr>
            <w:tcW w:w="791" w:type="dxa"/>
            <w:shd w:val="clear" w:color="000000" w:fill="F2DCDB"/>
            <w:noWrap/>
            <w:vAlign w:val="center"/>
            <w:hideMark/>
          </w:tcPr>
          <w:p w14:paraId="2146E8F9" w14:textId="60293099"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6</w:t>
            </w:r>
            <w:r w:rsidR="001E6E45">
              <w:rPr>
                <w:rFonts w:ascii="Calibri" w:hAnsi="Calibri"/>
                <w:color w:val="000000"/>
                <w:sz w:val="22"/>
                <w:szCs w:val="22"/>
                <w:lang w:eastAsia="en-GB"/>
              </w:rPr>
              <w:t>0</w:t>
            </w:r>
          </w:p>
        </w:tc>
      </w:tr>
      <w:tr w:rsidR="002D2006" w:rsidRPr="004B7E57" w14:paraId="20758C4B" w14:textId="77777777" w:rsidTr="003738A6">
        <w:trPr>
          <w:trHeight w:val="300"/>
        </w:trPr>
        <w:tc>
          <w:tcPr>
            <w:tcW w:w="1008" w:type="dxa"/>
            <w:shd w:val="clear" w:color="000000" w:fill="F2DCDB"/>
            <w:noWrap/>
            <w:vAlign w:val="center"/>
          </w:tcPr>
          <w:p w14:paraId="7EC41353" w14:textId="22C57D59" w:rsidR="002D2006" w:rsidRDefault="00D74C07" w:rsidP="005D1F24">
            <w:pPr>
              <w:jc w:val="center"/>
              <w:rPr>
                <w:rFonts w:ascii="Calibri" w:hAnsi="Calibri"/>
                <w:color w:val="000000"/>
                <w:sz w:val="22"/>
                <w:szCs w:val="22"/>
                <w:lang w:eastAsia="en-GB"/>
              </w:rPr>
            </w:pPr>
            <w:r>
              <w:rPr>
                <w:rFonts w:ascii="Calibri" w:hAnsi="Calibri"/>
                <w:color w:val="000000"/>
                <w:sz w:val="22"/>
                <w:szCs w:val="22"/>
                <w:lang w:eastAsia="en-GB"/>
              </w:rPr>
              <w:t>3</w:t>
            </w:r>
            <w:r w:rsidR="00397E37">
              <w:rPr>
                <w:rFonts w:ascii="Calibri" w:hAnsi="Calibri"/>
                <w:color w:val="000000"/>
                <w:sz w:val="22"/>
                <w:szCs w:val="22"/>
                <w:lang w:eastAsia="en-GB"/>
              </w:rPr>
              <w:t>8</w:t>
            </w:r>
          </w:p>
        </w:tc>
        <w:tc>
          <w:tcPr>
            <w:tcW w:w="8221" w:type="dxa"/>
            <w:shd w:val="clear" w:color="000000" w:fill="F2DCDB"/>
            <w:noWrap/>
            <w:vAlign w:val="center"/>
          </w:tcPr>
          <w:p w14:paraId="4326497E" w14:textId="77777777" w:rsidR="002D2006" w:rsidRPr="004B7E57" w:rsidRDefault="002D2006" w:rsidP="004B7E57">
            <w:pPr>
              <w:rPr>
                <w:rFonts w:ascii="Calibri" w:hAnsi="Calibri"/>
                <w:color w:val="000000"/>
                <w:sz w:val="22"/>
                <w:szCs w:val="22"/>
                <w:lang w:eastAsia="en-GB"/>
              </w:rPr>
            </w:pPr>
            <w:r>
              <w:rPr>
                <w:rFonts w:ascii="Calibri" w:hAnsi="Calibri"/>
                <w:color w:val="000000"/>
                <w:sz w:val="22"/>
                <w:szCs w:val="22"/>
                <w:lang w:eastAsia="en-GB"/>
              </w:rPr>
              <w:t>Reconciliation of Liabilities Arising from Financing Activities</w:t>
            </w:r>
          </w:p>
        </w:tc>
        <w:tc>
          <w:tcPr>
            <w:tcW w:w="791" w:type="dxa"/>
            <w:shd w:val="clear" w:color="000000" w:fill="F2DCDB"/>
            <w:noWrap/>
            <w:vAlign w:val="center"/>
          </w:tcPr>
          <w:p w14:paraId="2EDE47CF" w14:textId="018C4378" w:rsidR="00AE6C38" w:rsidRPr="004B7E57" w:rsidRDefault="00D8585A" w:rsidP="00AE6C38">
            <w:pPr>
              <w:jc w:val="center"/>
              <w:rPr>
                <w:rFonts w:ascii="Calibri" w:hAnsi="Calibri"/>
                <w:color w:val="000000"/>
                <w:sz w:val="22"/>
                <w:szCs w:val="22"/>
                <w:lang w:eastAsia="en-GB"/>
              </w:rPr>
            </w:pPr>
            <w:r>
              <w:rPr>
                <w:rFonts w:ascii="Calibri" w:hAnsi="Calibri"/>
                <w:color w:val="000000"/>
                <w:sz w:val="22"/>
                <w:szCs w:val="22"/>
                <w:lang w:eastAsia="en-GB"/>
              </w:rPr>
              <w:t xml:space="preserve"> </w:t>
            </w:r>
            <w:r w:rsidR="000F79AB">
              <w:rPr>
                <w:rFonts w:ascii="Calibri" w:hAnsi="Calibri"/>
                <w:color w:val="000000"/>
                <w:sz w:val="22"/>
                <w:szCs w:val="22"/>
                <w:lang w:eastAsia="en-GB"/>
              </w:rPr>
              <w:t>6</w:t>
            </w:r>
            <w:r w:rsidR="001E6E45">
              <w:rPr>
                <w:rFonts w:ascii="Calibri" w:hAnsi="Calibri"/>
                <w:color w:val="000000"/>
                <w:sz w:val="22"/>
                <w:szCs w:val="22"/>
                <w:lang w:eastAsia="en-GB"/>
              </w:rPr>
              <w:t>0</w:t>
            </w:r>
          </w:p>
        </w:tc>
      </w:tr>
      <w:tr w:rsidR="004B7E57" w:rsidRPr="004B7E57" w14:paraId="66A0295E" w14:textId="77777777" w:rsidTr="003738A6">
        <w:trPr>
          <w:trHeight w:val="300"/>
        </w:trPr>
        <w:tc>
          <w:tcPr>
            <w:tcW w:w="1008" w:type="dxa"/>
            <w:shd w:val="clear" w:color="000000" w:fill="F2DCDB"/>
            <w:noWrap/>
            <w:vAlign w:val="center"/>
          </w:tcPr>
          <w:p w14:paraId="5893E6A5" w14:textId="7BD3CCAA" w:rsidR="004B7E57" w:rsidRPr="004B7E57" w:rsidRDefault="00397E37" w:rsidP="005D1F24">
            <w:pPr>
              <w:jc w:val="center"/>
              <w:rPr>
                <w:rFonts w:ascii="Calibri" w:hAnsi="Calibri"/>
                <w:color w:val="000000"/>
                <w:sz w:val="22"/>
                <w:szCs w:val="22"/>
                <w:lang w:eastAsia="en-GB"/>
              </w:rPr>
            </w:pPr>
            <w:r>
              <w:rPr>
                <w:rFonts w:ascii="Calibri" w:hAnsi="Calibri"/>
                <w:color w:val="000000"/>
                <w:sz w:val="22"/>
                <w:szCs w:val="22"/>
                <w:lang w:eastAsia="en-GB"/>
              </w:rPr>
              <w:t>39</w:t>
            </w:r>
          </w:p>
        </w:tc>
        <w:tc>
          <w:tcPr>
            <w:tcW w:w="8221" w:type="dxa"/>
            <w:shd w:val="clear" w:color="000000" w:fill="F2DCDB"/>
            <w:noWrap/>
            <w:vAlign w:val="center"/>
            <w:hideMark/>
          </w:tcPr>
          <w:p w14:paraId="3D043A22"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Accounting Policies</w:t>
            </w:r>
          </w:p>
        </w:tc>
        <w:tc>
          <w:tcPr>
            <w:tcW w:w="791" w:type="dxa"/>
            <w:shd w:val="clear" w:color="000000" w:fill="F2DCDB"/>
            <w:noWrap/>
            <w:vAlign w:val="center"/>
            <w:hideMark/>
          </w:tcPr>
          <w:p w14:paraId="6636FD4C" w14:textId="42F7E709" w:rsidR="004B7E57" w:rsidRPr="004B7E57" w:rsidRDefault="004B7E57" w:rsidP="00C72047">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6</w:t>
            </w:r>
            <w:r w:rsidR="001E6E45">
              <w:rPr>
                <w:rFonts w:ascii="Calibri" w:hAnsi="Calibri"/>
                <w:color w:val="000000"/>
                <w:sz w:val="22"/>
                <w:szCs w:val="22"/>
                <w:lang w:eastAsia="en-GB"/>
              </w:rPr>
              <w:t>1</w:t>
            </w:r>
          </w:p>
        </w:tc>
      </w:tr>
      <w:tr w:rsidR="004B7E57" w:rsidRPr="004B7E57" w14:paraId="2AECC6FA" w14:textId="77777777" w:rsidTr="003738A6">
        <w:trPr>
          <w:trHeight w:val="300"/>
        </w:trPr>
        <w:tc>
          <w:tcPr>
            <w:tcW w:w="1008" w:type="dxa"/>
            <w:shd w:val="clear" w:color="000000" w:fill="F2DCDB"/>
            <w:noWrap/>
            <w:vAlign w:val="center"/>
          </w:tcPr>
          <w:p w14:paraId="295FF668" w14:textId="668778D4" w:rsidR="004B7E57" w:rsidRPr="004B7E57" w:rsidRDefault="00AE6C38" w:rsidP="004B7E57">
            <w:pPr>
              <w:jc w:val="center"/>
              <w:rPr>
                <w:rFonts w:ascii="Calibri" w:hAnsi="Calibri"/>
                <w:color w:val="000000"/>
                <w:sz w:val="22"/>
                <w:szCs w:val="22"/>
                <w:lang w:eastAsia="en-GB"/>
              </w:rPr>
            </w:pPr>
            <w:r>
              <w:rPr>
                <w:rFonts w:ascii="Calibri" w:hAnsi="Calibri"/>
                <w:color w:val="000000"/>
                <w:sz w:val="22"/>
                <w:szCs w:val="22"/>
                <w:lang w:eastAsia="en-GB"/>
              </w:rPr>
              <w:t>4</w:t>
            </w:r>
            <w:r w:rsidR="00397E37">
              <w:rPr>
                <w:rFonts w:ascii="Calibri" w:hAnsi="Calibri"/>
                <w:color w:val="000000"/>
                <w:sz w:val="22"/>
                <w:szCs w:val="22"/>
                <w:lang w:eastAsia="en-GB"/>
              </w:rPr>
              <w:t>0</w:t>
            </w:r>
          </w:p>
        </w:tc>
        <w:tc>
          <w:tcPr>
            <w:tcW w:w="8221" w:type="dxa"/>
            <w:shd w:val="clear" w:color="000000" w:fill="F2DCDB"/>
            <w:noWrap/>
            <w:vAlign w:val="center"/>
            <w:hideMark/>
          </w:tcPr>
          <w:p w14:paraId="617CC5E7"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Critical Judgements in Applying Accounting Policies</w:t>
            </w:r>
          </w:p>
        </w:tc>
        <w:tc>
          <w:tcPr>
            <w:tcW w:w="791" w:type="dxa"/>
            <w:shd w:val="clear" w:color="000000" w:fill="F2DCDB"/>
            <w:noWrap/>
            <w:vAlign w:val="center"/>
            <w:hideMark/>
          </w:tcPr>
          <w:p w14:paraId="0AC10BC2" w14:textId="428049CD"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7</w:t>
            </w:r>
            <w:r w:rsidR="001E6E45">
              <w:rPr>
                <w:rFonts w:ascii="Calibri" w:hAnsi="Calibri"/>
                <w:color w:val="000000"/>
                <w:sz w:val="22"/>
                <w:szCs w:val="22"/>
                <w:lang w:eastAsia="en-GB"/>
              </w:rPr>
              <w:t>0</w:t>
            </w:r>
          </w:p>
        </w:tc>
      </w:tr>
      <w:tr w:rsidR="004B7E57" w:rsidRPr="004B7E57" w14:paraId="1A55FCDE" w14:textId="77777777" w:rsidTr="003738A6">
        <w:trPr>
          <w:trHeight w:val="300"/>
        </w:trPr>
        <w:tc>
          <w:tcPr>
            <w:tcW w:w="1008" w:type="dxa"/>
            <w:shd w:val="clear" w:color="000000" w:fill="F2DCDB"/>
            <w:noWrap/>
            <w:vAlign w:val="center"/>
          </w:tcPr>
          <w:p w14:paraId="589A32D2" w14:textId="13F13679" w:rsidR="004B7E57" w:rsidRPr="004B7E57" w:rsidRDefault="00B84F3B" w:rsidP="005D1F24">
            <w:pPr>
              <w:jc w:val="center"/>
              <w:rPr>
                <w:rFonts w:ascii="Calibri" w:hAnsi="Calibri"/>
                <w:color w:val="000000"/>
                <w:sz w:val="22"/>
                <w:szCs w:val="22"/>
                <w:lang w:eastAsia="en-GB"/>
              </w:rPr>
            </w:pPr>
            <w:r>
              <w:rPr>
                <w:rFonts w:ascii="Calibri" w:hAnsi="Calibri"/>
                <w:color w:val="000000"/>
                <w:sz w:val="22"/>
                <w:szCs w:val="22"/>
                <w:lang w:eastAsia="en-GB"/>
              </w:rPr>
              <w:t>4</w:t>
            </w:r>
            <w:r w:rsidR="00397E37">
              <w:rPr>
                <w:rFonts w:ascii="Calibri" w:hAnsi="Calibri"/>
                <w:color w:val="000000"/>
                <w:sz w:val="22"/>
                <w:szCs w:val="22"/>
                <w:lang w:eastAsia="en-GB"/>
              </w:rPr>
              <w:t>1</w:t>
            </w:r>
          </w:p>
        </w:tc>
        <w:tc>
          <w:tcPr>
            <w:tcW w:w="8221" w:type="dxa"/>
            <w:shd w:val="clear" w:color="000000" w:fill="F2DCDB"/>
            <w:noWrap/>
            <w:vAlign w:val="center"/>
            <w:hideMark/>
          </w:tcPr>
          <w:p w14:paraId="2E9C7F80" w14:textId="77777777" w:rsidR="004B7E57" w:rsidRPr="004B7E57" w:rsidRDefault="004B7E57" w:rsidP="004B7E57">
            <w:pPr>
              <w:rPr>
                <w:rFonts w:ascii="Calibri" w:hAnsi="Calibri"/>
                <w:color w:val="000000"/>
                <w:sz w:val="22"/>
                <w:szCs w:val="22"/>
                <w:lang w:eastAsia="en-GB"/>
              </w:rPr>
            </w:pPr>
            <w:r w:rsidRPr="004B7E57">
              <w:rPr>
                <w:rFonts w:ascii="Calibri" w:hAnsi="Calibri"/>
                <w:color w:val="000000"/>
                <w:sz w:val="22"/>
                <w:szCs w:val="22"/>
                <w:lang w:eastAsia="en-GB"/>
              </w:rPr>
              <w:t>Assumptions made about the Future and Other Major Sources of Estimation Uncertainty</w:t>
            </w:r>
          </w:p>
        </w:tc>
        <w:tc>
          <w:tcPr>
            <w:tcW w:w="791" w:type="dxa"/>
            <w:shd w:val="clear" w:color="000000" w:fill="F2DCDB"/>
            <w:noWrap/>
            <w:vAlign w:val="center"/>
            <w:hideMark/>
          </w:tcPr>
          <w:p w14:paraId="44D429D7" w14:textId="34E24961" w:rsidR="004B7E57" w:rsidRPr="004B7E57" w:rsidRDefault="004B7E57" w:rsidP="00CE72BD">
            <w:pPr>
              <w:jc w:val="center"/>
              <w:rPr>
                <w:rFonts w:ascii="Calibri" w:hAnsi="Calibri"/>
                <w:color w:val="000000"/>
                <w:sz w:val="22"/>
                <w:szCs w:val="22"/>
                <w:lang w:eastAsia="en-GB"/>
              </w:rPr>
            </w:pPr>
            <w:r w:rsidRPr="004B7E57">
              <w:rPr>
                <w:rFonts w:ascii="Calibri" w:hAnsi="Calibri"/>
                <w:color w:val="000000"/>
                <w:sz w:val="22"/>
                <w:szCs w:val="22"/>
                <w:lang w:eastAsia="en-GB"/>
              </w:rPr>
              <w:t> </w:t>
            </w:r>
            <w:r w:rsidR="000F79AB">
              <w:rPr>
                <w:rFonts w:ascii="Calibri" w:hAnsi="Calibri"/>
                <w:color w:val="000000"/>
                <w:sz w:val="22"/>
                <w:szCs w:val="22"/>
                <w:lang w:eastAsia="en-GB"/>
              </w:rPr>
              <w:t>7</w:t>
            </w:r>
            <w:r w:rsidR="003C10AC">
              <w:rPr>
                <w:rFonts w:ascii="Calibri" w:hAnsi="Calibri"/>
                <w:color w:val="000000"/>
                <w:sz w:val="22"/>
                <w:szCs w:val="22"/>
                <w:lang w:eastAsia="en-GB"/>
              </w:rPr>
              <w:t>1</w:t>
            </w:r>
          </w:p>
        </w:tc>
      </w:tr>
      <w:bookmarkEnd w:id="1"/>
    </w:tbl>
    <w:p w14:paraId="6FD2895E" w14:textId="77777777" w:rsidR="003603D6" w:rsidRDefault="003603D6" w:rsidP="00761172">
      <w:pPr>
        <w:widowControl w:val="0"/>
        <w:tabs>
          <w:tab w:val="left" w:pos="720"/>
          <w:tab w:val="left" w:pos="7200"/>
          <w:tab w:val="left" w:pos="8640"/>
        </w:tabs>
        <w:rPr>
          <w:rFonts w:asciiTheme="minorHAnsi" w:hAnsiTheme="minorHAnsi" w:cs="Arial"/>
          <w:b/>
          <w:sz w:val="28"/>
          <w:szCs w:val="28"/>
        </w:rPr>
      </w:pPr>
    </w:p>
    <w:p w14:paraId="7AECC83E" w14:textId="6338A9B1" w:rsidR="00761172" w:rsidRDefault="0060378A" w:rsidP="00704A70">
      <w:pPr>
        <w:pStyle w:val="Heading2"/>
      </w:pPr>
      <w:r>
        <w:lastRenderedPageBreak/>
        <w:t>1</w:t>
      </w:r>
      <w:r w:rsidR="00652B18">
        <w:tab/>
      </w:r>
      <w:r w:rsidR="00761172">
        <w:t xml:space="preserve">Expenditure </w:t>
      </w:r>
      <w:r w:rsidR="00704A70">
        <w:t>and</w:t>
      </w:r>
      <w:r w:rsidR="00761172">
        <w:t xml:space="preserve"> Funding Analysis</w:t>
      </w:r>
    </w:p>
    <w:p w14:paraId="68CADE58" w14:textId="77777777" w:rsidR="00761172" w:rsidRDefault="00761172" w:rsidP="00761172">
      <w:pPr>
        <w:widowControl w:val="0"/>
        <w:tabs>
          <w:tab w:val="left" w:pos="720"/>
          <w:tab w:val="left" w:pos="7200"/>
          <w:tab w:val="left" w:pos="8640"/>
        </w:tabs>
        <w:rPr>
          <w:rFonts w:asciiTheme="minorHAnsi" w:hAnsiTheme="minorHAnsi" w:cs="Arial"/>
          <w:b/>
          <w:sz w:val="28"/>
          <w:szCs w:val="28"/>
        </w:rPr>
      </w:pPr>
    </w:p>
    <w:p w14:paraId="49C0BE7E" w14:textId="0A034E0A" w:rsidR="00761172" w:rsidRPr="00FF0B09" w:rsidRDefault="00761172" w:rsidP="00761172">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 xml:space="preserve">The Expenditure </w:t>
      </w:r>
      <w:r w:rsidR="00704A70">
        <w:rPr>
          <w:rFonts w:asciiTheme="minorHAnsi" w:hAnsiTheme="minorHAnsi" w:cs="Arial"/>
          <w:sz w:val="22"/>
          <w:szCs w:val="22"/>
        </w:rPr>
        <w:t>and</w:t>
      </w:r>
      <w:r>
        <w:rPr>
          <w:rFonts w:asciiTheme="minorHAnsi" w:hAnsiTheme="minorHAnsi" w:cs="Arial"/>
          <w:sz w:val="22"/>
          <w:szCs w:val="22"/>
        </w:rPr>
        <w:t xml:space="preserve"> Funding Analysis</w:t>
      </w:r>
      <w:r w:rsidR="000A65B9">
        <w:rPr>
          <w:rFonts w:asciiTheme="minorHAnsi" w:hAnsiTheme="minorHAnsi" w:cs="Arial"/>
          <w:sz w:val="22"/>
          <w:szCs w:val="22"/>
        </w:rPr>
        <w:t xml:space="preserve"> shows how annual expenditure </w:t>
      </w:r>
      <w:r w:rsidR="004226ED">
        <w:rPr>
          <w:rFonts w:asciiTheme="minorHAnsi" w:hAnsiTheme="minorHAnsi" w:cs="Arial"/>
          <w:sz w:val="22"/>
          <w:szCs w:val="22"/>
        </w:rPr>
        <w:t xml:space="preserve">is used and funded from </w:t>
      </w:r>
      <w:r w:rsidR="00E950A0">
        <w:rPr>
          <w:rFonts w:asciiTheme="minorHAnsi" w:hAnsiTheme="minorHAnsi" w:cs="Arial"/>
          <w:sz w:val="22"/>
          <w:szCs w:val="22"/>
        </w:rPr>
        <w:t>resources (</w:t>
      </w:r>
      <w:r w:rsidR="00120BFE">
        <w:rPr>
          <w:rFonts w:asciiTheme="minorHAnsi" w:hAnsiTheme="minorHAnsi" w:cs="Arial"/>
          <w:sz w:val="22"/>
          <w:szCs w:val="22"/>
        </w:rPr>
        <w:t>for example,</w:t>
      </w:r>
      <w:r>
        <w:rPr>
          <w:rFonts w:asciiTheme="minorHAnsi" w:hAnsiTheme="minorHAnsi" w:cs="Arial"/>
          <w:sz w:val="22"/>
          <w:szCs w:val="22"/>
        </w:rPr>
        <w:t xml:space="preserve"> government grants, rents, council tax and business rates) </w:t>
      </w:r>
      <w:r w:rsidR="004226ED">
        <w:rPr>
          <w:rFonts w:asciiTheme="minorHAnsi" w:hAnsiTheme="minorHAnsi" w:cs="Arial"/>
          <w:sz w:val="22"/>
          <w:szCs w:val="22"/>
        </w:rPr>
        <w:t xml:space="preserve">by Local Authorities </w:t>
      </w:r>
      <w:r>
        <w:rPr>
          <w:rFonts w:asciiTheme="minorHAnsi" w:hAnsiTheme="minorHAnsi" w:cs="Arial"/>
          <w:sz w:val="22"/>
          <w:szCs w:val="22"/>
        </w:rPr>
        <w:t>in comparison with those resources consumed or earned by authorities in accordance with generally ac</w:t>
      </w:r>
      <w:r w:rsidR="004226ED">
        <w:rPr>
          <w:rFonts w:asciiTheme="minorHAnsi" w:hAnsiTheme="minorHAnsi" w:cs="Arial"/>
          <w:sz w:val="22"/>
          <w:szCs w:val="22"/>
        </w:rPr>
        <w:t>cepted accounting practices.  It shows</w:t>
      </w:r>
      <w:r>
        <w:rPr>
          <w:rFonts w:asciiTheme="minorHAnsi" w:hAnsiTheme="minorHAnsi" w:cs="Arial"/>
          <w:sz w:val="22"/>
          <w:szCs w:val="22"/>
        </w:rPr>
        <w:t xml:space="preserve"> how this expenditure is allocated for decision making</w:t>
      </w:r>
      <w:r w:rsidR="00F17755">
        <w:rPr>
          <w:rFonts w:asciiTheme="minorHAnsi" w:hAnsiTheme="minorHAnsi" w:cs="Arial"/>
          <w:sz w:val="22"/>
          <w:szCs w:val="22"/>
        </w:rPr>
        <w:t xml:space="preserve"> purposes between the Council Priority’s</w:t>
      </w:r>
      <w:r>
        <w:rPr>
          <w:rFonts w:asciiTheme="minorHAnsi" w:hAnsiTheme="minorHAnsi" w:cs="Arial"/>
          <w:sz w:val="22"/>
          <w:szCs w:val="22"/>
        </w:rPr>
        <w:t xml:space="preserve"> services.  Income and expenditure accounted for under generally accepted accounting practices is presented more fully in the Comprehensive Income </w:t>
      </w:r>
      <w:r w:rsidR="00704A70">
        <w:rPr>
          <w:rFonts w:asciiTheme="minorHAnsi" w:hAnsiTheme="minorHAnsi" w:cs="Arial"/>
          <w:sz w:val="22"/>
          <w:szCs w:val="22"/>
        </w:rPr>
        <w:t>and</w:t>
      </w:r>
      <w:r>
        <w:rPr>
          <w:rFonts w:asciiTheme="minorHAnsi" w:hAnsiTheme="minorHAnsi" w:cs="Arial"/>
          <w:sz w:val="22"/>
          <w:szCs w:val="22"/>
        </w:rPr>
        <w:t xml:space="preserve"> Expenditure Statement</w:t>
      </w:r>
      <w:r w:rsidR="004226ED">
        <w:rPr>
          <w:rFonts w:asciiTheme="minorHAnsi" w:hAnsiTheme="minorHAnsi" w:cs="Arial"/>
          <w:sz w:val="22"/>
          <w:szCs w:val="22"/>
        </w:rPr>
        <w:t xml:space="preserve"> (CIES)</w:t>
      </w:r>
      <w:r>
        <w:rPr>
          <w:rFonts w:asciiTheme="minorHAnsi" w:hAnsiTheme="minorHAnsi" w:cs="Arial"/>
          <w:sz w:val="22"/>
          <w:szCs w:val="22"/>
        </w:rPr>
        <w:t>.</w:t>
      </w:r>
    </w:p>
    <w:p w14:paraId="0258D087" w14:textId="77777777" w:rsidR="00761172" w:rsidRDefault="00761172" w:rsidP="00761172">
      <w:pPr>
        <w:widowControl w:val="0"/>
        <w:tabs>
          <w:tab w:val="left" w:pos="720"/>
          <w:tab w:val="left" w:pos="7200"/>
          <w:tab w:val="left" w:pos="8640"/>
        </w:tabs>
        <w:rPr>
          <w:rFonts w:ascii="Arial" w:hAnsi="Arial" w:cs="Arial"/>
          <w:b/>
        </w:rPr>
      </w:pPr>
    </w:p>
    <w:p w14:paraId="24447BF9" w14:textId="77777777" w:rsidR="00761172" w:rsidRDefault="00761172" w:rsidP="00761172">
      <w:pPr>
        <w:widowControl w:val="0"/>
        <w:tabs>
          <w:tab w:val="left" w:pos="720"/>
          <w:tab w:val="left" w:pos="7200"/>
          <w:tab w:val="left" w:pos="8640"/>
        </w:tabs>
        <w:rPr>
          <w:rFonts w:ascii="Arial" w:hAnsi="Arial" w:cs="Arial"/>
          <w:b/>
        </w:rPr>
      </w:pPr>
    </w:p>
    <w:tbl>
      <w:tblPr>
        <w:tblW w:w="10363" w:type="dxa"/>
        <w:tblInd w:w="93" w:type="dxa"/>
        <w:tblLayout w:type="fixed"/>
        <w:tblLook w:val="04A0" w:firstRow="1" w:lastRow="0" w:firstColumn="1" w:lastColumn="0" w:noHBand="0" w:noVBand="1"/>
        <w:tblCaption w:val="Expenditure and funding analysis"/>
        <w:tblDescription w:val="Expenditure and funding analysis for 2022-2023 also showing 2021-2022 comparatives"/>
      </w:tblPr>
      <w:tblGrid>
        <w:gridCol w:w="865"/>
        <w:gridCol w:w="991"/>
        <w:gridCol w:w="740"/>
        <w:gridCol w:w="4747"/>
        <w:gridCol w:w="236"/>
        <w:gridCol w:w="941"/>
        <w:gridCol w:w="916"/>
        <w:gridCol w:w="927"/>
      </w:tblGrid>
      <w:tr w:rsidR="004E213E" w:rsidRPr="00C32556" w14:paraId="3490E159" w14:textId="77777777" w:rsidTr="002C2D15">
        <w:trPr>
          <w:cantSplit/>
          <w:trHeight w:val="300"/>
          <w:tblHeader/>
        </w:trPr>
        <w:tc>
          <w:tcPr>
            <w:tcW w:w="865" w:type="dxa"/>
            <w:tcBorders>
              <w:top w:val="single" w:sz="4" w:space="0" w:color="FFFFFF"/>
              <w:left w:val="single" w:sz="4" w:space="0" w:color="FFFFFF"/>
              <w:bottom w:val="single" w:sz="4" w:space="0" w:color="FFFFFF"/>
            </w:tcBorders>
            <w:shd w:val="clear" w:color="000000" w:fill="C4D79B"/>
            <w:noWrap/>
            <w:vAlign w:val="bottom"/>
            <w:hideMark/>
          </w:tcPr>
          <w:p w14:paraId="4EA82DCB" w14:textId="45D1BFAF" w:rsidR="004E213E" w:rsidRPr="00C32556" w:rsidRDefault="004E213E" w:rsidP="0066789A">
            <w:pPr>
              <w:jc w:val="center"/>
              <w:rPr>
                <w:rFonts w:ascii="Calibri" w:hAnsi="Calibri"/>
                <w:color w:val="000000"/>
                <w:lang w:eastAsia="en-GB"/>
              </w:rPr>
            </w:pPr>
          </w:p>
        </w:tc>
        <w:tc>
          <w:tcPr>
            <w:tcW w:w="991" w:type="dxa"/>
            <w:tcBorders>
              <w:top w:val="single" w:sz="4" w:space="0" w:color="FFFFFF" w:themeColor="background1"/>
              <w:bottom w:val="single" w:sz="4" w:space="0" w:color="FFFFFF" w:themeColor="background1"/>
            </w:tcBorders>
            <w:shd w:val="clear" w:color="000000" w:fill="C4D79B"/>
            <w:vAlign w:val="bottom"/>
          </w:tcPr>
          <w:p w14:paraId="24F1A2B5" w14:textId="260611A4" w:rsidR="004E213E" w:rsidRPr="00C32556" w:rsidRDefault="004E213E" w:rsidP="0066789A">
            <w:pPr>
              <w:jc w:val="center"/>
              <w:rPr>
                <w:rFonts w:ascii="Calibri" w:hAnsi="Calibri"/>
                <w:color w:val="000000"/>
                <w:lang w:eastAsia="en-GB"/>
              </w:rPr>
            </w:pPr>
            <w:r w:rsidRPr="00C32556">
              <w:rPr>
                <w:rFonts w:ascii="Calibri" w:hAnsi="Calibri"/>
                <w:color w:val="000000"/>
                <w:lang w:eastAsia="en-GB"/>
              </w:rPr>
              <w:t>20</w:t>
            </w:r>
            <w:r w:rsidR="002C2D15">
              <w:rPr>
                <w:rFonts w:ascii="Calibri" w:hAnsi="Calibri"/>
                <w:color w:val="000000"/>
                <w:lang w:eastAsia="en-GB"/>
              </w:rPr>
              <w:t>2</w:t>
            </w:r>
            <w:r w:rsidR="00F57FC0">
              <w:rPr>
                <w:rFonts w:ascii="Calibri" w:hAnsi="Calibri"/>
                <w:color w:val="000000"/>
                <w:lang w:eastAsia="en-GB"/>
              </w:rPr>
              <w:t>1</w:t>
            </w:r>
            <w:r>
              <w:rPr>
                <w:rFonts w:ascii="Calibri" w:hAnsi="Calibri"/>
                <w:color w:val="000000"/>
                <w:lang w:eastAsia="en-GB"/>
              </w:rPr>
              <w:t>-2</w:t>
            </w:r>
            <w:r w:rsidR="00F57FC0">
              <w:rPr>
                <w:rFonts w:ascii="Calibri" w:hAnsi="Calibri"/>
                <w:color w:val="000000"/>
                <w:lang w:eastAsia="en-GB"/>
              </w:rPr>
              <w:t>2</w:t>
            </w:r>
          </w:p>
        </w:tc>
        <w:tc>
          <w:tcPr>
            <w:tcW w:w="740" w:type="dxa"/>
            <w:tcBorders>
              <w:top w:val="single" w:sz="4" w:space="0" w:color="FFFFFF"/>
              <w:left w:val="nil"/>
              <w:bottom w:val="single" w:sz="4" w:space="0" w:color="FFFFFF"/>
              <w:right w:val="single" w:sz="4" w:space="0" w:color="FFFFFF"/>
            </w:tcBorders>
            <w:shd w:val="clear" w:color="000000" w:fill="C4D79B"/>
            <w:vAlign w:val="bottom"/>
          </w:tcPr>
          <w:p w14:paraId="7254CA63" w14:textId="6773559C" w:rsidR="004E213E" w:rsidRPr="00C32556" w:rsidRDefault="004E213E" w:rsidP="0066789A">
            <w:pPr>
              <w:jc w:val="center"/>
              <w:rPr>
                <w:rFonts w:ascii="Calibri" w:hAnsi="Calibri"/>
                <w:color w:val="000000"/>
                <w:lang w:eastAsia="en-GB"/>
              </w:rPr>
            </w:pPr>
          </w:p>
        </w:tc>
        <w:tc>
          <w:tcPr>
            <w:tcW w:w="4747" w:type="dxa"/>
            <w:tcBorders>
              <w:top w:val="nil"/>
              <w:left w:val="nil"/>
              <w:bottom w:val="nil"/>
              <w:right w:val="nil"/>
            </w:tcBorders>
            <w:shd w:val="clear" w:color="000000" w:fill="C4D79B"/>
            <w:noWrap/>
            <w:vAlign w:val="bottom"/>
            <w:hideMark/>
          </w:tcPr>
          <w:p w14:paraId="39E51B05" w14:textId="77777777" w:rsidR="004E213E" w:rsidRPr="00C32556" w:rsidRDefault="004E213E" w:rsidP="00C32556">
            <w:pPr>
              <w:rPr>
                <w:rFonts w:ascii="Calibri" w:hAnsi="Calibri"/>
                <w:color w:val="000000"/>
                <w:lang w:eastAsia="en-GB"/>
              </w:rPr>
            </w:pPr>
            <w:r w:rsidRPr="00C32556">
              <w:rPr>
                <w:rFonts w:ascii="Calibri" w:hAnsi="Calibri"/>
                <w:color w:val="000000"/>
                <w:lang w:eastAsia="en-GB"/>
              </w:rPr>
              <w:t> </w:t>
            </w:r>
          </w:p>
        </w:tc>
        <w:tc>
          <w:tcPr>
            <w:tcW w:w="236" w:type="dxa"/>
            <w:tcBorders>
              <w:top w:val="nil"/>
              <w:left w:val="nil"/>
              <w:bottom w:val="nil"/>
              <w:right w:val="single" w:sz="4" w:space="0" w:color="FFFFFF"/>
            </w:tcBorders>
            <w:shd w:val="clear" w:color="000000" w:fill="C4D79B"/>
            <w:noWrap/>
            <w:vAlign w:val="bottom"/>
            <w:hideMark/>
          </w:tcPr>
          <w:p w14:paraId="254A6DC1" w14:textId="77777777" w:rsidR="004E213E" w:rsidRPr="00C32556" w:rsidRDefault="004E213E" w:rsidP="00C32556">
            <w:pPr>
              <w:rPr>
                <w:rFonts w:ascii="Calibri" w:hAnsi="Calibri"/>
                <w:color w:val="000000"/>
                <w:lang w:eastAsia="en-GB"/>
              </w:rPr>
            </w:pPr>
            <w:r w:rsidRPr="00C32556">
              <w:rPr>
                <w:rFonts w:ascii="Calibri" w:hAnsi="Calibri"/>
                <w:color w:val="000000"/>
                <w:lang w:eastAsia="en-GB"/>
              </w:rPr>
              <w:t> </w:t>
            </w:r>
          </w:p>
        </w:tc>
        <w:tc>
          <w:tcPr>
            <w:tcW w:w="941" w:type="dxa"/>
            <w:tcBorders>
              <w:top w:val="single" w:sz="4" w:space="0" w:color="FFFFFF"/>
              <w:left w:val="nil"/>
              <w:bottom w:val="single" w:sz="4" w:space="0" w:color="FFFFFF"/>
            </w:tcBorders>
            <w:shd w:val="clear" w:color="000000" w:fill="C4D79B"/>
            <w:noWrap/>
            <w:vAlign w:val="bottom"/>
            <w:hideMark/>
          </w:tcPr>
          <w:p w14:paraId="2C3A6527" w14:textId="51444043" w:rsidR="004E213E" w:rsidRPr="00C32556" w:rsidRDefault="004E213E" w:rsidP="00AF2584">
            <w:pPr>
              <w:jc w:val="center"/>
              <w:rPr>
                <w:rFonts w:ascii="Calibri" w:hAnsi="Calibri"/>
                <w:color w:val="000000"/>
                <w:lang w:eastAsia="en-GB"/>
              </w:rPr>
            </w:pPr>
          </w:p>
        </w:tc>
        <w:tc>
          <w:tcPr>
            <w:tcW w:w="916" w:type="dxa"/>
            <w:tcBorders>
              <w:top w:val="single" w:sz="4" w:space="0" w:color="FFFFFF" w:themeColor="background1"/>
              <w:bottom w:val="single" w:sz="4" w:space="0" w:color="FFFFFF" w:themeColor="background1"/>
            </w:tcBorders>
            <w:shd w:val="clear" w:color="000000" w:fill="C4D79B"/>
            <w:vAlign w:val="bottom"/>
          </w:tcPr>
          <w:p w14:paraId="57475359" w14:textId="135F429B" w:rsidR="004E213E" w:rsidRPr="00C32556" w:rsidRDefault="004E213E" w:rsidP="00AF2584">
            <w:pPr>
              <w:jc w:val="center"/>
              <w:rPr>
                <w:rFonts w:ascii="Calibri" w:hAnsi="Calibri"/>
                <w:color w:val="000000"/>
                <w:lang w:eastAsia="en-GB"/>
              </w:rPr>
            </w:pPr>
            <w:r w:rsidRPr="00C32556">
              <w:rPr>
                <w:rFonts w:ascii="Calibri" w:hAnsi="Calibri"/>
                <w:color w:val="000000"/>
                <w:lang w:eastAsia="en-GB"/>
              </w:rPr>
              <w:t>20</w:t>
            </w:r>
            <w:r>
              <w:rPr>
                <w:rFonts w:ascii="Calibri" w:hAnsi="Calibri"/>
                <w:color w:val="000000"/>
                <w:lang w:eastAsia="en-GB"/>
              </w:rPr>
              <w:t>2</w:t>
            </w:r>
            <w:r w:rsidR="00F57FC0">
              <w:rPr>
                <w:rFonts w:ascii="Calibri" w:hAnsi="Calibri"/>
                <w:color w:val="000000"/>
                <w:lang w:eastAsia="en-GB"/>
              </w:rPr>
              <w:t>2</w:t>
            </w:r>
            <w:r w:rsidRPr="00C32556">
              <w:rPr>
                <w:rFonts w:ascii="Calibri" w:hAnsi="Calibri"/>
                <w:color w:val="000000"/>
                <w:lang w:eastAsia="en-GB"/>
              </w:rPr>
              <w:t>-</w:t>
            </w:r>
            <w:r>
              <w:rPr>
                <w:rFonts w:ascii="Calibri" w:hAnsi="Calibri"/>
                <w:color w:val="000000"/>
                <w:lang w:eastAsia="en-GB"/>
              </w:rPr>
              <w:t>2</w:t>
            </w:r>
            <w:r w:rsidR="00F57FC0">
              <w:rPr>
                <w:rFonts w:ascii="Calibri" w:hAnsi="Calibri"/>
                <w:color w:val="000000"/>
                <w:lang w:eastAsia="en-GB"/>
              </w:rPr>
              <w:t>3</w:t>
            </w:r>
          </w:p>
        </w:tc>
        <w:tc>
          <w:tcPr>
            <w:tcW w:w="927" w:type="dxa"/>
            <w:tcBorders>
              <w:top w:val="single" w:sz="4" w:space="0" w:color="FFFFFF"/>
              <w:left w:val="nil"/>
              <w:bottom w:val="single" w:sz="4" w:space="0" w:color="FFFFFF"/>
              <w:right w:val="single" w:sz="4" w:space="0" w:color="FFFFFF"/>
            </w:tcBorders>
            <w:shd w:val="clear" w:color="000000" w:fill="C4D79B"/>
            <w:vAlign w:val="bottom"/>
          </w:tcPr>
          <w:p w14:paraId="33613DE9" w14:textId="66C84636" w:rsidR="004E213E" w:rsidRPr="00C32556" w:rsidRDefault="004E213E" w:rsidP="00AF2584">
            <w:pPr>
              <w:jc w:val="center"/>
              <w:rPr>
                <w:rFonts w:ascii="Calibri" w:hAnsi="Calibri"/>
                <w:color w:val="000000"/>
                <w:lang w:eastAsia="en-GB"/>
              </w:rPr>
            </w:pPr>
          </w:p>
        </w:tc>
      </w:tr>
      <w:tr w:rsidR="00C32556" w:rsidRPr="00C32556" w14:paraId="32ED0B05" w14:textId="77777777" w:rsidTr="002C2D15">
        <w:trPr>
          <w:trHeight w:val="2700"/>
        </w:trPr>
        <w:tc>
          <w:tcPr>
            <w:tcW w:w="865" w:type="dxa"/>
            <w:tcBorders>
              <w:top w:val="nil"/>
              <w:left w:val="single" w:sz="4" w:space="0" w:color="FFFFFF"/>
              <w:bottom w:val="single" w:sz="4" w:space="0" w:color="FFFFFF"/>
              <w:right w:val="single" w:sz="4" w:space="0" w:color="FFFFFF"/>
            </w:tcBorders>
            <w:shd w:val="clear" w:color="000000" w:fill="C4D79B"/>
            <w:textDirection w:val="btLr"/>
            <w:vAlign w:val="bottom"/>
            <w:hideMark/>
          </w:tcPr>
          <w:p w14:paraId="3521D4AC"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Net Expenditure Chargeable to the General Fund and HRA Balances</w:t>
            </w:r>
          </w:p>
        </w:tc>
        <w:tc>
          <w:tcPr>
            <w:tcW w:w="991" w:type="dxa"/>
            <w:tcBorders>
              <w:top w:val="single" w:sz="4" w:space="0" w:color="FFFFFF" w:themeColor="background1"/>
              <w:left w:val="nil"/>
              <w:bottom w:val="single" w:sz="4" w:space="0" w:color="FFFFFF"/>
              <w:right w:val="single" w:sz="4" w:space="0" w:color="FFFFFF"/>
            </w:tcBorders>
            <w:shd w:val="clear" w:color="000000" w:fill="C4D79B"/>
            <w:textDirection w:val="btLr"/>
            <w:vAlign w:val="bottom"/>
            <w:hideMark/>
          </w:tcPr>
          <w:p w14:paraId="6DE88CF1"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Adjustments between the Funding and Accounting Basis</w:t>
            </w:r>
          </w:p>
        </w:tc>
        <w:tc>
          <w:tcPr>
            <w:tcW w:w="740" w:type="dxa"/>
            <w:tcBorders>
              <w:top w:val="nil"/>
              <w:left w:val="nil"/>
              <w:bottom w:val="single" w:sz="4" w:space="0" w:color="FFFFFF"/>
              <w:right w:val="single" w:sz="4" w:space="0" w:color="FFFFFF"/>
            </w:tcBorders>
            <w:shd w:val="clear" w:color="000000" w:fill="C4D79B"/>
            <w:textDirection w:val="btLr"/>
            <w:vAlign w:val="bottom"/>
            <w:hideMark/>
          </w:tcPr>
          <w:p w14:paraId="0D73FE2D"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Net Expenditure in the CIES</w:t>
            </w:r>
          </w:p>
        </w:tc>
        <w:tc>
          <w:tcPr>
            <w:tcW w:w="4747" w:type="dxa"/>
            <w:tcBorders>
              <w:top w:val="nil"/>
              <w:left w:val="nil"/>
              <w:bottom w:val="nil"/>
              <w:right w:val="nil"/>
            </w:tcBorders>
            <w:shd w:val="clear" w:color="000000" w:fill="C4D79B"/>
            <w:noWrap/>
            <w:textDirection w:val="btLr"/>
            <w:vAlign w:val="bottom"/>
            <w:hideMark/>
          </w:tcPr>
          <w:p w14:paraId="35EACB4E"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236" w:type="dxa"/>
            <w:tcBorders>
              <w:top w:val="nil"/>
              <w:left w:val="nil"/>
              <w:bottom w:val="nil"/>
              <w:right w:val="single" w:sz="4" w:space="0" w:color="FFFFFF"/>
            </w:tcBorders>
            <w:shd w:val="clear" w:color="000000" w:fill="C4D79B"/>
            <w:textDirection w:val="btLr"/>
            <w:vAlign w:val="bottom"/>
            <w:hideMark/>
          </w:tcPr>
          <w:p w14:paraId="0B8649B4"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single" w:sz="4" w:space="0" w:color="FFFFFF"/>
              <w:right w:val="single" w:sz="4" w:space="0" w:color="FFFFFF"/>
            </w:tcBorders>
            <w:shd w:val="clear" w:color="000000" w:fill="C4D79B"/>
            <w:textDirection w:val="btLr"/>
            <w:vAlign w:val="bottom"/>
            <w:hideMark/>
          </w:tcPr>
          <w:p w14:paraId="39C6341D"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Net Expenditure Chargeable to the General Fund and HRA Balances</w:t>
            </w:r>
          </w:p>
        </w:tc>
        <w:tc>
          <w:tcPr>
            <w:tcW w:w="916" w:type="dxa"/>
            <w:tcBorders>
              <w:top w:val="single" w:sz="4" w:space="0" w:color="FFFFFF" w:themeColor="background1"/>
              <w:left w:val="nil"/>
              <w:bottom w:val="single" w:sz="4" w:space="0" w:color="FFFFFF"/>
              <w:right w:val="single" w:sz="4" w:space="0" w:color="FFFFFF"/>
            </w:tcBorders>
            <w:shd w:val="clear" w:color="000000" w:fill="C4D79B"/>
            <w:textDirection w:val="btLr"/>
            <w:vAlign w:val="bottom"/>
            <w:hideMark/>
          </w:tcPr>
          <w:p w14:paraId="03CA1F72"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Adjustments between the Funding and Accounting Basis</w:t>
            </w:r>
          </w:p>
        </w:tc>
        <w:tc>
          <w:tcPr>
            <w:tcW w:w="927" w:type="dxa"/>
            <w:tcBorders>
              <w:top w:val="nil"/>
              <w:left w:val="nil"/>
              <w:bottom w:val="single" w:sz="4" w:space="0" w:color="FFFFFF"/>
              <w:right w:val="single" w:sz="4" w:space="0" w:color="FFFFFF"/>
            </w:tcBorders>
            <w:shd w:val="clear" w:color="000000" w:fill="C4D79B"/>
            <w:textDirection w:val="btLr"/>
            <w:vAlign w:val="bottom"/>
            <w:hideMark/>
          </w:tcPr>
          <w:p w14:paraId="7C2502E5"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Net Expenditure in the CIES</w:t>
            </w:r>
          </w:p>
        </w:tc>
      </w:tr>
      <w:tr w:rsidR="00C32556" w:rsidRPr="00C32556" w14:paraId="4E26AA36" w14:textId="77777777" w:rsidTr="002C2D15">
        <w:trPr>
          <w:trHeight w:val="300"/>
        </w:trPr>
        <w:tc>
          <w:tcPr>
            <w:tcW w:w="865" w:type="dxa"/>
            <w:tcBorders>
              <w:top w:val="nil"/>
              <w:left w:val="single" w:sz="4" w:space="0" w:color="FFFFFF"/>
              <w:bottom w:val="nil"/>
              <w:right w:val="single" w:sz="4" w:space="0" w:color="FFFFFF"/>
            </w:tcBorders>
            <w:shd w:val="clear" w:color="000000" w:fill="C4D79B"/>
            <w:noWrap/>
            <w:vAlign w:val="bottom"/>
            <w:hideMark/>
          </w:tcPr>
          <w:p w14:paraId="4ACC9429"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c>
          <w:tcPr>
            <w:tcW w:w="991" w:type="dxa"/>
            <w:tcBorders>
              <w:top w:val="nil"/>
              <w:left w:val="nil"/>
              <w:bottom w:val="nil"/>
              <w:right w:val="single" w:sz="4" w:space="0" w:color="FFFFFF"/>
            </w:tcBorders>
            <w:shd w:val="clear" w:color="000000" w:fill="C4D79B"/>
            <w:noWrap/>
            <w:vAlign w:val="bottom"/>
            <w:hideMark/>
          </w:tcPr>
          <w:p w14:paraId="255CBE77"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c>
          <w:tcPr>
            <w:tcW w:w="740" w:type="dxa"/>
            <w:tcBorders>
              <w:top w:val="nil"/>
              <w:left w:val="nil"/>
              <w:bottom w:val="nil"/>
              <w:right w:val="single" w:sz="4" w:space="0" w:color="FFFFFF"/>
            </w:tcBorders>
            <w:shd w:val="clear" w:color="000000" w:fill="C4D79B"/>
            <w:noWrap/>
            <w:vAlign w:val="bottom"/>
            <w:hideMark/>
          </w:tcPr>
          <w:p w14:paraId="72039F56"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c>
          <w:tcPr>
            <w:tcW w:w="4747" w:type="dxa"/>
            <w:tcBorders>
              <w:top w:val="nil"/>
              <w:left w:val="nil"/>
              <w:bottom w:val="nil"/>
              <w:right w:val="nil"/>
            </w:tcBorders>
            <w:shd w:val="clear" w:color="000000" w:fill="C4D79B"/>
            <w:noWrap/>
            <w:vAlign w:val="bottom"/>
            <w:hideMark/>
          </w:tcPr>
          <w:p w14:paraId="1004AAB8"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236" w:type="dxa"/>
            <w:tcBorders>
              <w:top w:val="nil"/>
              <w:left w:val="nil"/>
              <w:bottom w:val="single" w:sz="4" w:space="0" w:color="FFFFFF"/>
              <w:right w:val="single" w:sz="4" w:space="0" w:color="FFFFFF"/>
            </w:tcBorders>
            <w:shd w:val="clear" w:color="000000" w:fill="C4D79B"/>
            <w:noWrap/>
            <w:vAlign w:val="bottom"/>
            <w:hideMark/>
          </w:tcPr>
          <w:p w14:paraId="1E160DB7"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nil"/>
              <w:right w:val="single" w:sz="4" w:space="0" w:color="FFFFFF"/>
            </w:tcBorders>
            <w:shd w:val="clear" w:color="000000" w:fill="C4D79B"/>
            <w:noWrap/>
            <w:vAlign w:val="bottom"/>
            <w:hideMark/>
          </w:tcPr>
          <w:p w14:paraId="4F18FA26"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c>
          <w:tcPr>
            <w:tcW w:w="916" w:type="dxa"/>
            <w:tcBorders>
              <w:top w:val="nil"/>
              <w:left w:val="nil"/>
              <w:bottom w:val="nil"/>
              <w:right w:val="single" w:sz="4" w:space="0" w:color="FFFFFF"/>
            </w:tcBorders>
            <w:shd w:val="clear" w:color="000000" w:fill="C4D79B"/>
            <w:noWrap/>
            <w:vAlign w:val="bottom"/>
            <w:hideMark/>
          </w:tcPr>
          <w:p w14:paraId="0C416763"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c>
          <w:tcPr>
            <w:tcW w:w="927" w:type="dxa"/>
            <w:tcBorders>
              <w:top w:val="nil"/>
              <w:left w:val="nil"/>
              <w:bottom w:val="nil"/>
              <w:right w:val="single" w:sz="4" w:space="0" w:color="FFFFFF"/>
            </w:tcBorders>
            <w:shd w:val="clear" w:color="000000" w:fill="C4D79B"/>
            <w:noWrap/>
            <w:vAlign w:val="bottom"/>
            <w:hideMark/>
          </w:tcPr>
          <w:p w14:paraId="442803CD" w14:textId="77777777" w:rsidR="00C32556" w:rsidRPr="00C32556" w:rsidRDefault="00C32556" w:rsidP="00CE72BD">
            <w:pPr>
              <w:jc w:val="right"/>
              <w:rPr>
                <w:rFonts w:ascii="Calibri" w:hAnsi="Calibri"/>
                <w:color w:val="000000"/>
                <w:lang w:eastAsia="en-GB"/>
              </w:rPr>
            </w:pPr>
            <w:r w:rsidRPr="00C32556">
              <w:rPr>
                <w:rFonts w:ascii="Calibri" w:hAnsi="Calibri"/>
                <w:color w:val="000000"/>
                <w:lang w:eastAsia="en-GB"/>
              </w:rPr>
              <w:t>£'000</w:t>
            </w:r>
          </w:p>
        </w:tc>
      </w:tr>
      <w:tr w:rsidR="00C32556" w:rsidRPr="00C32556" w14:paraId="0C441672" w14:textId="77777777" w:rsidTr="002C2D15">
        <w:trPr>
          <w:trHeight w:val="402"/>
        </w:trPr>
        <w:tc>
          <w:tcPr>
            <w:tcW w:w="865" w:type="dxa"/>
            <w:tcBorders>
              <w:top w:val="single" w:sz="4" w:space="0" w:color="FFFFFF"/>
              <w:left w:val="single" w:sz="4" w:space="0" w:color="FFFFFF"/>
              <w:bottom w:val="single" w:sz="4" w:space="0" w:color="FFFFFF"/>
              <w:right w:val="single" w:sz="4" w:space="0" w:color="FFFFFF"/>
            </w:tcBorders>
            <w:shd w:val="clear" w:color="000000" w:fill="EBF1DE"/>
            <w:noWrap/>
            <w:vAlign w:val="center"/>
          </w:tcPr>
          <w:p w14:paraId="3C5CB22F" w14:textId="208A318E" w:rsidR="00C32556" w:rsidRPr="00C32556" w:rsidRDefault="002D2006" w:rsidP="00F17F1D">
            <w:pPr>
              <w:jc w:val="right"/>
              <w:rPr>
                <w:rFonts w:ascii="Calibri" w:hAnsi="Calibri"/>
                <w:color w:val="000000"/>
                <w:lang w:eastAsia="en-GB"/>
              </w:rPr>
            </w:pPr>
            <w:r>
              <w:rPr>
                <w:rFonts w:ascii="Calibri" w:hAnsi="Calibri"/>
                <w:color w:val="000000"/>
                <w:lang w:eastAsia="en-GB"/>
              </w:rPr>
              <w:t>1,</w:t>
            </w:r>
            <w:r w:rsidR="00F57FC0">
              <w:rPr>
                <w:rFonts w:ascii="Calibri" w:hAnsi="Calibri"/>
                <w:color w:val="000000"/>
                <w:lang w:eastAsia="en-GB"/>
              </w:rPr>
              <w:t>933</w:t>
            </w:r>
          </w:p>
        </w:tc>
        <w:tc>
          <w:tcPr>
            <w:tcW w:w="991" w:type="dxa"/>
            <w:tcBorders>
              <w:top w:val="single" w:sz="4" w:space="0" w:color="FFFFFF"/>
              <w:left w:val="nil"/>
              <w:bottom w:val="single" w:sz="4" w:space="0" w:color="FFFFFF"/>
              <w:right w:val="single" w:sz="4" w:space="0" w:color="FFFFFF"/>
            </w:tcBorders>
            <w:shd w:val="clear" w:color="000000" w:fill="EBF1DE"/>
            <w:noWrap/>
            <w:vAlign w:val="center"/>
          </w:tcPr>
          <w:p w14:paraId="4B2C8360" w14:textId="2EA59350" w:rsidR="00C32556" w:rsidRPr="00C32556" w:rsidRDefault="00F57FC0" w:rsidP="00F17F1D">
            <w:pPr>
              <w:jc w:val="right"/>
              <w:rPr>
                <w:rFonts w:ascii="Calibri" w:hAnsi="Calibri"/>
                <w:color w:val="000000"/>
                <w:lang w:eastAsia="en-GB"/>
              </w:rPr>
            </w:pPr>
            <w:r>
              <w:rPr>
                <w:rFonts w:ascii="Calibri" w:hAnsi="Calibri"/>
                <w:color w:val="000000"/>
                <w:lang w:eastAsia="en-GB"/>
              </w:rPr>
              <w:t>969</w:t>
            </w:r>
          </w:p>
        </w:tc>
        <w:tc>
          <w:tcPr>
            <w:tcW w:w="740" w:type="dxa"/>
            <w:tcBorders>
              <w:top w:val="single" w:sz="4" w:space="0" w:color="FFFFFF"/>
              <w:left w:val="nil"/>
              <w:bottom w:val="single" w:sz="4" w:space="0" w:color="FFFFFF"/>
              <w:right w:val="single" w:sz="4" w:space="0" w:color="FFFFFF"/>
            </w:tcBorders>
            <w:shd w:val="clear" w:color="000000" w:fill="D8E4BC"/>
            <w:noWrap/>
            <w:vAlign w:val="center"/>
          </w:tcPr>
          <w:p w14:paraId="05B8CC9A" w14:textId="1D4F6CCE" w:rsidR="00C32556" w:rsidRPr="00C32556" w:rsidRDefault="00F57FC0" w:rsidP="00F17F1D">
            <w:pPr>
              <w:jc w:val="right"/>
              <w:rPr>
                <w:rFonts w:ascii="Calibri" w:hAnsi="Calibri"/>
                <w:color w:val="000000"/>
                <w:lang w:eastAsia="en-GB"/>
              </w:rPr>
            </w:pPr>
            <w:r>
              <w:rPr>
                <w:rFonts w:ascii="Calibri" w:hAnsi="Calibri"/>
                <w:color w:val="000000"/>
                <w:lang w:eastAsia="en-GB"/>
              </w:rPr>
              <w:t>2</w:t>
            </w:r>
            <w:r w:rsidR="002D2006">
              <w:rPr>
                <w:rFonts w:ascii="Calibri" w:hAnsi="Calibri"/>
                <w:color w:val="000000"/>
                <w:lang w:eastAsia="en-GB"/>
              </w:rPr>
              <w:t>,</w:t>
            </w:r>
            <w:r>
              <w:rPr>
                <w:rFonts w:ascii="Calibri" w:hAnsi="Calibri"/>
                <w:color w:val="000000"/>
                <w:lang w:eastAsia="en-GB"/>
              </w:rPr>
              <w:t>902</w:t>
            </w:r>
          </w:p>
        </w:tc>
        <w:tc>
          <w:tcPr>
            <w:tcW w:w="4747" w:type="dxa"/>
            <w:tcBorders>
              <w:top w:val="single" w:sz="4" w:space="0" w:color="FFFFFF"/>
              <w:left w:val="nil"/>
              <w:bottom w:val="single" w:sz="4" w:space="0" w:color="FFFFFF"/>
              <w:right w:val="nil"/>
            </w:tcBorders>
            <w:shd w:val="clear" w:color="000000" w:fill="EBF1DE"/>
            <w:vAlign w:val="center"/>
            <w:hideMark/>
          </w:tcPr>
          <w:p w14:paraId="1D8DD171" w14:textId="77777777" w:rsidR="00C32556" w:rsidRPr="00C32556" w:rsidRDefault="002D2006" w:rsidP="0066789A">
            <w:pPr>
              <w:rPr>
                <w:rFonts w:ascii="Calibri" w:hAnsi="Calibri"/>
                <w:color w:val="000000"/>
                <w:lang w:eastAsia="en-GB"/>
              </w:rPr>
            </w:pPr>
            <w:r>
              <w:rPr>
                <w:rFonts w:ascii="Calibri" w:hAnsi="Calibri"/>
                <w:color w:val="000000"/>
                <w:lang w:eastAsia="en-GB"/>
              </w:rPr>
              <w:t>General Expenses - People</w:t>
            </w:r>
            <w:r w:rsidR="00C32556" w:rsidRPr="00C32556">
              <w:rPr>
                <w:rFonts w:ascii="Calibri" w:hAnsi="Calibri"/>
                <w:color w:val="000000"/>
                <w:lang w:eastAsia="en-GB"/>
              </w:rPr>
              <w:t xml:space="preserve"> </w:t>
            </w:r>
            <w:r w:rsidR="0066789A">
              <w:rPr>
                <w:rFonts w:ascii="Calibri" w:hAnsi="Calibri"/>
                <w:color w:val="000000"/>
                <w:lang w:eastAsia="en-GB"/>
              </w:rPr>
              <w:t>Priority</w:t>
            </w:r>
          </w:p>
        </w:tc>
        <w:tc>
          <w:tcPr>
            <w:tcW w:w="236" w:type="dxa"/>
            <w:tcBorders>
              <w:top w:val="nil"/>
              <w:left w:val="nil"/>
              <w:bottom w:val="single" w:sz="4" w:space="0" w:color="FFFFFF"/>
              <w:right w:val="single" w:sz="4" w:space="0" w:color="FFFFFF"/>
            </w:tcBorders>
            <w:shd w:val="clear" w:color="000000" w:fill="EBF1DE"/>
            <w:noWrap/>
            <w:vAlign w:val="center"/>
            <w:hideMark/>
          </w:tcPr>
          <w:p w14:paraId="64A896F1" w14:textId="77777777" w:rsidR="00C32556" w:rsidRPr="00C32556" w:rsidRDefault="00C32556" w:rsidP="00C32556">
            <w:pPr>
              <w:jc w:val="right"/>
              <w:rPr>
                <w:rFonts w:ascii="Calibri" w:hAnsi="Calibri"/>
                <w:color w:val="000000"/>
                <w:lang w:eastAsia="en-GB"/>
              </w:rPr>
            </w:pPr>
            <w:r w:rsidRPr="00C32556">
              <w:rPr>
                <w:rFonts w:ascii="Calibri" w:hAnsi="Calibri"/>
                <w:color w:val="000000"/>
                <w:lang w:eastAsia="en-GB"/>
              </w:rPr>
              <w:t> </w:t>
            </w:r>
          </w:p>
        </w:tc>
        <w:tc>
          <w:tcPr>
            <w:tcW w:w="941" w:type="dxa"/>
            <w:tcBorders>
              <w:top w:val="single" w:sz="4" w:space="0" w:color="FFFFFF"/>
              <w:left w:val="nil"/>
              <w:bottom w:val="single" w:sz="4" w:space="0" w:color="FFFFFF"/>
              <w:right w:val="single" w:sz="4" w:space="0" w:color="FFFFFF"/>
            </w:tcBorders>
            <w:shd w:val="clear" w:color="000000" w:fill="EBF1DE"/>
            <w:noWrap/>
            <w:vAlign w:val="center"/>
          </w:tcPr>
          <w:p w14:paraId="32B392EA" w14:textId="2D898B8D" w:rsidR="00C32556" w:rsidRPr="00C32556" w:rsidRDefault="00A55057" w:rsidP="00041ADC">
            <w:pPr>
              <w:jc w:val="right"/>
              <w:rPr>
                <w:rFonts w:ascii="Calibri" w:hAnsi="Calibri"/>
                <w:color w:val="000000"/>
                <w:lang w:eastAsia="en-GB"/>
              </w:rPr>
            </w:pPr>
            <w:r>
              <w:rPr>
                <w:rFonts w:ascii="Calibri" w:hAnsi="Calibri"/>
                <w:color w:val="000000"/>
                <w:lang w:eastAsia="en-GB"/>
              </w:rPr>
              <w:t>1,403</w:t>
            </w:r>
          </w:p>
        </w:tc>
        <w:tc>
          <w:tcPr>
            <w:tcW w:w="916" w:type="dxa"/>
            <w:tcBorders>
              <w:top w:val="single" w:sz="4" w:space="0" w:color="FFFFFF"/>
              <w:left w:val="nil"/>
              <w:bottom w:val="single" w:sz="4" w:space="0" w:color="FFFFFF"/>
              <w:right w:val="single" w:sz="4" w:space="0" w:color="FFFFFF"/>
            </w:tcBorders>
            <w:shd w:val="clear" w:color="000000" w:fill="EBF1DE"/>
            <w:noWrap/>
            <w:vAlign w:val="center"/>
          </w:tcPr>
          <w:p w14:paraId="2E17DC0C" w14:textId="064DBBC4" w:rsidR="00C32556" w:rsidRPr="00C32556" w:rsidRDefault="00A55057" w:rsidP="000957FE">
            <w:pPr>
              <w:jc w:val="right"/>
              <w:rPr>
                <w:rFonts w:ascii="Calibri" w:hAnsi="Calibri"/>
                <w:color w:val="000000"/>
                <w:lang w:eastAsia="en-GB"/>
              </w:rPr>
            </w:pPr>
            <w:r>
              <w:rPr>
                <w:rFonts w:ascii="Calibri" w:hAnsi="Calibri"/>
                <w:color w:val="000000"/>
                <w:lang w:eastAsia="en-GB"/>
              </w:rPr>
              <w:t>983</w:t>
            </w:r>
          </w:p>
        </w:tc>
        <w:tc>
          <w:tcPr>
            <w:tcW w:w="927" w:type="dxa"/>
            <w:tcBorders>
              <w:top w:val="single" w:sz="4" w:space="0" w:color="FFFFFF"/>
              <w:left w:val="nil"/>
              <w:bottom w:val="single" w:sz="4" w:space="0" w:color="FFFFFF"/>
              <w:right w:val="single" w:sz="4" w:space="0" w:color="FFFFFF"/>
            </w:tcBorders>
            <w:shd w:val="clear" w:color="000000" w:fill="D8E4BC"/>
            <w:noWrap/>
            <w:vAlign w:val="center"/>
          </w:tcPr>
          <w:p w14:paraId="6461854F" w14:textId="775FD596" w:rsidR="00C32556" w:rsidRPr="00C32556" w:rsidRDefault="00A55057" w:rsidP="00060811">
            <w:pPr>
              <w:jc w:val="right"/>
              <w:rPr>
                <w:rFonts w:ascii="Calibri" w:hAnsi="Calibri"/>
                <w:color w:val="000000"/>
                <w:lang w:eastAsia="en-GB"/>
              </w:rPr>
            </w:pPr>
            <w:r>
              <w:rPr>
                <w:rFonts w:ascii="Calibri" w:hAnsi="Calibri"/>
                <w:color w:val="000000"/>
                <w:lang w:eastAsia="en-GB"/>
              </w:rPr>
              <w:t>2,386</w:t>
            </w:r>
          </w:p>
        </w:tc>
      </w:tr>
      <w:tr w:rsidR="00C32556" w:rsidRPr="00C32556" w14:paraId="1336DDB4" w14:textId="77777777" w:rsidTr="002C2D15">
        <w:trPr>
          <w:trHeight w:val="296"/>
        </w:trPr>
        <w:tc>
          <w:tcPr>
            <w:tcW w:w="865" w:type="dxa"/>
            <w:tcBorders>
              <w:top w:val="nil"/>
              <w:left w:val="single" w:sz="4" w:space="0" w:color="FFFFFF"/>
              <w:bottom w:val="single" w:sz="4" w:space="0" w:color="FFFFFF"/>
              <w:right w:val="single" w:sz="4" w:space="0" w:color="FFFFFF"/>
            </w:tcBorders>
            <w:shd w:val="clear" w:color="000000" w:fill="EBF1DE"/>
            <w:noWrap/>
            <w:vAlign w:val="center"/>
          </w:tcPr>
          <w:p w14:paraId="2B1DD8B9" w14:textId="26A3D61E" w:rsidR="00C32556" w:rsidRPr="00C32556" w:rsidRDefault="00F57FC0" w:rsidP="00E063B3">
            <w:pPr>
              <w:jc w:val="right"/>
              <w:rPr>
                <w:rFonts w:ascii="Calibri" w:hAnsi="Calibri"/>
                <w:color w:val="000000"/>
                <w:lang w:eastAsia="en-GB"/>
              </w:rPr>
            </w:pPr>
            <w:r>
              <w:rPr>
                <w:rFonts w:ascii="Calibri" w:hAnsi="Calibri"/>
                <w:color w:val="000000"/>
                <w:lang w:eastAsia="en-GB"/>
              </w:rPr>
              <w:t>2,130</w:t>
            </w:r>
          </w:p>
        </w:tc>
        <w:tc>
          <w:tcPr>
            <w:tcW w:w="991" w:type="dxa"/>
            <w:tcBorders>
              <w:top w:val="nil"/>
              <w:left w:val="nil"/>
              <w:bottom w:val="single" w:sz="4" w:space="0" w:color="FFFFFF"/>
              <w:right w:val="single" w:sz="4" w:space="0" w:color="FFFFFF"/>
            </w:tcBorders>
            <w:shd w:val="clear" w:color="000000" w:fill="EBF1DE"/>
            <w:noWrap/>
            <w:vAlign w:val="center"/>
          </w:tcPr>
          <w:p w14:paraId="33100BB9" w14:textId="5AA16296" w:rsidR="00C32556" w:rsidRPr="00C32556" w:rsidRDefault="002C2D15" w:rsidP="00E063B3">
            <w:pPr>
              <w:jc w:val="right"/>
              <w:rPr>
                <w:rFonts w:ascii="Calibri" w:hAnsi="Calibri"/>
                <w:color w:val="000000"/>
                <w:lang w:eastAsia="en-GB"/>
              </w:rPr>
            </w:pPr>
            <w:r>
              <w:rPr>
                <w:rFonts w:ascii="Calibri" w:hAnsi="Calibri"/>
                <w:color w:val="000000"/>
                <w:lang w:eastAsia="en-GB"/>
              </w:rPr>
              <w:t>8</w:t>
            </w:r>
            <w:r w:rsidR="00F57FC0">
              <w:rPr>
                <w:rFonts w:ascii="Calibri" w:hAnsi="Calibri"/>
                <w:color w:val="000000"/>
                <w:lang w:eastAsia="en-GB"/>
              </w:rPr>
              <w:t>95</w:t>
            </w:r>
          </w:p>
        </w:tc>
        <w:tc>
          <w:tcPr>
            <w:tcW w:w="740" w:type="dxa"/>
            <w:tcBorders>
              <w:top w:val="nil"/>
              <w:left w:val="nil"/>
              <w:bottom w:val="single" w:sz="4" w:space="0" w:color="FFFFFF"/>
              <w:right w:val="single" w:sz="4" w:space="0" w:color="FFFFFF"/>
            </w:tcBorders>
            <w:shd w:val="clear" w:color="000000" w:fill="D8E4BC"/>
            <w:noWrap/>
            <w:vAlign w:val="center"/>
          </w:tcPr>
          <w:p w14:paraId="099E7BDF" w14:textId="0DCBB32E" w:rsidR="00C32556" w:rsidRPr="00C32556" w:rsidRDefault="00F57FC0" w:rsidP="00E063B3">
            <w:pPr>
              <w:jc w:val="right"/>
              <w:rPr>
                <w:rFonts w:ascii="Calibri" w:hAnsi="Calibri"/>
                <w:color w:val="000000"/>
                <w:lang w:eastAsia="en-GB"/>
              </w:rPr>
            </w:pPr>
            <w:r>
              <w:rPr>
                <w:rFonts w:ascii="Calibri" w:hAnsi="Calibri"/>
                <w:color w:val="000000"/>
                <w:lang w:eastAsia="en-GB"/>
              </w:rPr>
              <w:t>3,025</w:t>
            </w:r>
          </w:p>
        </w:tc>
        <w:tc>
          <w:tcPr>
            <w:tcW w:w="4747" w:type="dxa"/>
            <w:tcBorders>
              <w:top w:val="nil"/>
              <w:left w:val="nil"/>
              <w:bottom w:val="single" w:sz="4" w:space="0" w:color="FFFFFF"/>
              <w:right w:val="nil"/>
            </w:tcBorders>
            <w:shd w:val="clear" w:color="000000" w:fill="EBF1DE"/>
            <w:vAlign w:val="center"/>
            <w:hideMark/>
          </w:tcPr>
          <w:p w14:paraId="2002CE50" w14:textId="5E6C73DD" w:rsidR="00C32556" w:rsidRPr="00C32556" w:rsidRDefault="002D2006" w:rsidP="0066789A">
            <w:pPr>
              <w:rPr>
                <w:rFonts w:ascii="Calibri" w:hAnsi="Calibri"/>
                <w:color w:val="000000"/>
                <w:lang w:eastAsia="en-GB"/>
              </w:rPr>
            </w:pPr>
            <w:r>
              <w:rPr>
                <w:rFonts w:ascii="Calibri" w:hAnsi="Calibri"/>
                <w:color w:val="000000"/>
                <w:lang w:eastAsia="en-GB"/>
              </w:rPr>
              <w:t xml:space="preserve">General Expenses </w:t>
            </w:r>
            <w:r w:rsidR="00E2539B">
              <w:rPr>
                <w:rFonts w:ascii="Calibri" w:hAnsi="Calibri"/>
                <w:color w:val="000000"/>
                <w:lang w:eastAsia="en-GB"/>
              </w:rPr>
              <w:t>-</w:t>
            </w:r>
            <w:r>
              <w:rPr>
                <w:rFonts w:ascii="Calibri" w:hAnsi="Calibri"/>
                <w:color w:val="000000"/>
                <w:lang w:eastAsia="en-GB"/>
              </w:rPr>
              <w:t xml:space="preserve"> Place</w:t>
            </w:r>
            <w:r w:rsidR="0066789A">
              <w:rPr>
                <w:rFonts w:ascii="Calibri" w:hAnsi="Calibri"/>
                <w:color w:val="000000"/>
                <w:lang w:eastAsia="en-GB"/>
              </w:rPr>
              <w:t xml:space="preserve"> Priority</w:t>
            </w:r>
          </w:p>
        </w:tc>
        <w:tc>
          <w:tcPr>
            <w:tcW w:w="236" w:type="dxa"/>
            <w:tcBorders>
              <w:top w:val="nil"/>
              <w:left w:val="nil"/>
              <w:bottom w:val="single" w:sz="4" w:space="0" w:color="FFFFFF"/>
              <w:right w:val="single" w:sz="4" w:space="0" w:color="FFFFFF"/>
            </w:tcBorders>
            <w:shd w:val="clear" w:color="000000" w:fill="EBF1DE"/>
            <w:noWrap/>
            <w:vAlign w:val="center"/>
            <w:hideMark/>
          </w:tcPr>
          <w:p w14:paraId="26B1A4A9" w14:textId="77777777" w:rsidR="00C32556" w:rsidRPr="00C32556" w:rsidRDefault="00C32556" w:rsidP="00C32556">
            <w:pPr>
              <w:jc w:val="right"/>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single" w:sz="4" w:space="0" w:color="FFFFFF"/>
              <w:right w:val="single" w:sz="4" w:space="0" w:color="FFFFFF"/>
            </w:tcBorders>
            <w:shd w:val="clear" w:color="000000" w:fill="EBF1DE"/>
            <w:noWrap/>
            <w:vAlign w:val="center"/>
          </w:tcPr>
          <w:p w14:paraId="0806B9D2" w14:textId="4624B835" w:rsidR="00C32556" w:rsidRPr="00C32556" w:rsidRDefault="00A55057" w:rsidP="00E2539B">
            <w:pPr>
              <w:jc w:val="right"/>
              <w:rPr>
                <w:rFonts w:ascii="Calibri" w:hAnsi="Calibri"/>
                <w:color w:val="000000"/>
                <w:lang w:eastAsia="en-GB"/>
              </w:rPr>
            </w:pPr>
            <w:r>
              <w:rPr>
                <w:rFonts w:ascii="Calibri" w:hAnsi="Calibri"/>
                <w:color w:val="000000"/>
                <w:lang w:eastAsia="en-GB"/>
              </w:rPr>
              <w:t>3,629</w:t>
            </w:r>
          </w:p>
        </w:tc>
        <w:tc>
          <w:tcPr>
            <w:tcW w:w="916" w:type="dxa"/>
            <w:tcBorders>
              <w:top w:val="nil"/>
              <w:left w:val="nil"/>
              <w:bottom w:val="single" w:sz="4" w:space="0" w:color="FFFFFF"/>
              <w:right w:val="single" w:sz="4" w:space="0" w:color="FFFFFF"/>
            </w:tcBorders>
            <w:shd w:val="clear" w:color="000000" w:fill="EBF1DE"/>
            <w:noWrap/>
            <w:vAlign w:val="center"/>
          </w:tcPr>
          <w:p w14:paraId="05135947" w14:textId="120F3C25" w:rsidR="00C32556" w:rsidRPr="00C32556" w:rsidRDefault="00A55057" w:rsidP="00E2539B">
            <w:pPr>
              <w:jc w:val="right"/>
              <w:rPr>
                <w:rFonts w:ascii="Calibri" w:hAnsi="Calibri"/>
                <w:color w:val="000000"/>
                <w:lang w:eastAsia="en-GB"/>
              </w:rPr>
            </w:pPr>
            <w:r>
              <w:rPr>
                <w:rFonts w:ascii="Calibri" w:hAnsi="Calibri"/>
                <w:color w:val="000000"/>
                <w:lang w:eastAsia="en-GB"/>
              </w:rPr>
              <w:t>665</w:t>
            </w:r>
          </w:p>
        </w:tc>
        <w:tc>
          <w:tcPr>
            <w:tcW w:w="927" w:type="dxa"/>
            <w:tcBorders>
              <w:top w:val="nil"/>
              <w:left w:val="nil"/>
              <w:bottom w:val="single" w:sz="4" w:space="0" w:color="FFFFFF"/>
              <w:right w:val="single" w:sz="4" w:space="0" w:color="FFFFFF"/>
            </w:tcBorders>
            <w:shd w:val="clear" w:color="000000" w:fill="D8E4BC"/>
            <w:noWrap/>
            <w:vAlign w:val="center"/>
          </w:tcPr>
          <w:p w14:paraId="52549DCF" w14:textId="5B13547E" w:rsidR="00C32556" w:rsidRPr="00C32556" w:rsidRDefault="00A55057" w:rsidP="00EA3C9B">
            <w:pPr>
              <w:jc w:val="right"/>
              <w:rPr>
                <w:rFonts w:ascii="Calibri" w:hAnsi="Calibri"/>
                <w:color w:val="000000"/>
                <w:lang w:eastAsia="en-GB"/>
              </w:rPr>
            </w:pPr>
            <w:r>
              <w:rPr>
                <w:rFonts w:ascii="Calibri" w:hAnsi="Calibri"/>
                <w:color w:val="000000"/>
                <w:lang w:eastAsia="en-GB"/>
              </w:rPr>
              <w:t>4,294</w:t>
            </w:r>
          </w:p>
        </w:tc>
      </w:tr>
      <w:tr w:rsidR="00C32556" w:rsidRPr="00C32556" w14:paraId="0F2557F5" w14:textId="77777777" w:rsidTr="002C2D15">
        <w:trPr>
          <w:trHeight w:val="333"/>
        </w:trPr>
        <w:tc>
          <w:tcPr>
            <w:tcW w:w="865" w:type="dxa"/>
            <w:tcBorders>
              <w:top w:val="nil"/>
              <w:left w:val="single" w:sz="4" w:space="0" w:color="FFFFFF"/>
              <w:bottom w:val="single" w:sz="4" w:space="0" w:color="FFFFFF"/>
              <w:right w:val="single" w:sz="4" w:space="0" w:color="FFFFFF"/>
            </w:tcBorders>
            <w:shd w:val="clear" w:color="000000" w:fill="EBF1DE"/>
            <w:noWrap/>
            <w:vAlign w:val="center"/>
          </w:tcPr>
          <w:p w14:paraId="3AE3EB27" w14:textId="5EEF1168" w:rsidR="00C32556" w:rsidRPr="00C32556" w:rsidRDefault="00F57FC0" w:rsidP="00F17F1D">
            <w:pPr>
              <w:jc w:val="right"/>
              <w:rPr>
                <w:rFonts w:ascii="Calibri" w:hAnsi="Calibri"/>
                <w:color w:val="000000"/>
                <w:lang w:eastAsia="en-GB"/>
              </w:rPr>
            </w:pPr>
            <w:r>
              <w:rPr>
                <w:rFonts w:ascii="Calibri" w:hAnsi="Calibri"/>
                <w:color w:val="000000"/>
                <w:lang w:eastAsia="en-GB"/>
              </w:rPr>
              <w:t>2,335</w:t>
            </w:r>
          </w:p>
        </w:tc>
        <w:tc>
          <w:tcPr>
            <w:tcW w:w="991" w:type="dxa"/>
            <w:tcBorders>
              <w:top w:val="nil"/>
              <w:left w:val="nil"/>
              <w:bottom w:val="single" w:sz="4" w:space="0" w:color="FFFFFF"/>
              <w:right w:val="single" w:sz="4" w:space="0" w:color="FFFFFF"/>
            </w:tcBorders>
            <w:shd w:val="clear" w:color="000000" w:fill="EBF1DE"/>
            <w:noWrap/>
            <w:vAlign w:val="center"/>
          </w:tcPr>
          <w:p w14:paraId="54C109D0" w14:textId="7855F423" w:rsidR="00C32556" w:rsidRPr="00C32556" w:rsidRDefault="00F57FC0" w:rsidP="00D639B8">
            <w:pPr>
              <w:jc w:val="right"/>
              <w:rPr>
                <w:rFonts w:ascii="Calibri" w:hAnsi="Calibri"/>
                <w:color w:val="000000"/>
                <w:lang w:eastAsia="en-GB"/>
              </w:rPr>
            </w:pPr>
            <w:r>
              <w:rPr>
                <w:rFonts w:ascii="Calibri" w:hAnsi="Calibri"/>
                <w:color w:val="000000"/>
                <w:lang w:eastAsia="en-GB"/>
              </w:rPr>
              <w:t>-811</w:t>
            </w:r>
          </w:p>
        </w:tc>
        <w:tc>
          <w:tcPr>
            <w:tcW w:w="740" w:type="dxa"/>
            <w:tcBorders>
              <w:top w:val="nil"/>
              <w:left w:val="nil"/>
              <w:bottom w:val="single" w:sz="4" w:space="0" w:color="FFFFFF"/>
              <w:right w:val="single" w:sz="4" w:space="0" w:color="FFFFFF"/>
            </w:tcBorders>
            <w:shd w:val="clear" w:color="000000" w:fill="D8E4BC"/>
            <w:noWrap/>
            <w:vAlign w:val="center"/>
          </w:tcPr>
          <w:p w14:paraId="0CA257D1" w14:textId="51FF71CB" w:rsidR="00C32556" w:rsidRPr="00C32556" w:rsidRDefault="00F57FC0" w:rsidP="00194A32">
            <w:pPr>
              <w:jc w:val="right"/>
              <w:rPr>
                <w:rFonts w:ascii="Calibri" w:hAnsi="Calibri"/>
                <w:color w:val="000000"/>
                <w:lang w:eastAsia="en-GB"/>
              </w:rPr>
            </w:pPr>
            <w:r>
              <w:rPr>
                <w:rFonts w:ascii="Calibri" w:hAnsi="Calibri"/>
                <w:color w:val="000000"/>
                <w:lang w:eastAsia="en-GB"/>
              </w:rPr>
              <w:t>1,524</w:t>
            </w:r>
          </w:p>
        </w:tc>
        <w:tc>
          <w:tcPr>
            <w:tcW w:w="4747" w:type="dxa"/>
            <w:tcBorders>
              <w:top w:val="nil"/>
              <w:left w:val="nil"/>
              <w:bottom w:val="single" w:sz="4" w:space="0" w:color="FFFFFF"/>
              <w:right w:val="nil"/>
            </w:tcBorders>
            <w:shd w:val="clear" w:color="000000" w:fill="EBF1DE"/>
            <w:vAlign w:val="center"/>
            <w:hideMark/>
          </w:tcPr>
          <w:p w14:paraId="4B0FABF1" w14:textId="77777777" w:rsidR="00C32556" w:rsidRPr="00C32556" w:rsidRDefault="00C32556" w:rsidP="0066789A">
            <w:pPr>
              <w:rPr>
                <w:rFonts w:ascii="Calibri" w:hAnsi="Calibri"/>
                <w:color w:val="000000"/>
                <w:lang w:eastAsia="en-GB"/>
              </w:rPr>
            </w:pPr>
            <w:r w:rsidRPr="00C32556">
              <w:rPr>
                <w:rFonts w:ascii="Calibri" w:hAnsi="Calibri"/>
                <w:color w:val="000000"/>
                <w:lang w:eastAsia="en-GB"/>
              </w:rPr>
              <w:t xml:space="preserve">General Expenses - </w:t>
            </w:r>
            <w:r w:rsidR="002D2006">
              <w:rPr>
                <w:rFonts w:ascii="Calibri" w:hAnsi="Calibri"/>
                <w:color w:val="000000"/>
                <w:lang w:eastAsia="en-GB"/>
              </w:rPr>
              <w:t>Corporate</w:t>
            </w:r>
            <w:r w:rsidR="0066789A">
              <w:rPr>
                <w:rFonts w:ascii="Calibri" w:hAnsi="Calibri"/>
                <w:color w:val="000000"/>
                <w:lang w:eastAsia="en-GB"/>
              </w:rPr>
              <w:t xml:space="preserve"> Priority</w:t>
            </w:r>
          </w:p>
        </w:tc>
        <w:tc>
          <w:tcPr>
            <w:tcW w:w="236" w:type="dxa"/>
            <w:tcBorders>
              <w:top w:val="nil"/>
              <w:left w:val="nil"/>
              <w:bottom w:val="single" w:sz="4" w:space="0" w:color="FFFFFF"/>
              <w:right w:val="single" w:sz="4" w:space="0" w:color="FFFFFF"/>
            </w:tcBorders>
            <w:shd w:val="clear" w:color="000000" w:fill="EBF1DE"/>
            <w:noWrap/>
            <w:vAlign w:val="center"/>
            <w:hideMark/>
          </w:tcPr>
          <w:p w14:paraId="33440D2D" w14:textId="77777777" w:rsidR="00C32556" w:rsidRPr="00C32556" w:rsidRDefault="00C32556" w:rsidP="00C32556">
            <w:pPr>
              <w:jc w:val="right"/>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single" w:sz="4" w:space="0" w:color="FFFFFF"/>
              <w:right w:val="single" w:sz="4" w:space="0" w:color="FFFFFF"/>
            </w:tcBorders>
            <w:shd w:val="clear" w:color="000000" w:fill="EBF1DE"/>
            <w:noWrap/>
            <w:vAlign w:val="center"/>
          </w:tcPr>
          <w:p w14:paraId="54BA3BE8" w14:textId="6648F0EB" w:rsidR="00C32556" w:rsidRPr="00C32556" w:rsidRDefault="00A55057" w:rsidP="00E2539B">
            <w:pPr>
              <w:jc w:val="right"/>
              <w:rPr>
                <w:rFonts w:ascii="Calibri" w:hAnsi="Calibri"/>
                <w:color w:val="000000"/>
                <w:lang w:eastAsia="en-GB"/>
              </w:rPr>
            </w:pPr>
            <w:r>
              <w:rPr>
                <w:rFonts w:ascii="Calibri" w:hAnsi="Calibri"/>
                <w:color w:val="000000"/>
                <w:lang w:eastAsia="en-GB"/>
              </w:rPr>
              <w:t>2,035</w:t>
            </w:r>
          </w:p>
        </w:tc>
        <w:tc>
          <w:tcPr>
            <w:tcW w:w="916" w:type="dxa"/>
            <w:tcBorders>
              <w:top w:val="nil"/>
              <w:left w:val="nil"/>
              <w:bottom w:val="single" w:sz="4" w:space="0" w:color="FFFFFF"/>
              <w:right w:val="single" w:sz="4" w:space="0" w:color="FFFFFF"/>
            </w:tcBorders>
            <w:shd w:val="clear" w:color="000000" w:fill="EBF1DE"/>
            <w:noWrap/>
            <w:vAlign w:val="center"/>
          </w:tcPr>
          <w:p w14:paraId="079914D7" w14:textId="4CBF4724" w:rsidR="00C32556" w:rsidRPr="00C32556" w:rsidRDefault="00A55057" w:rsidP="00BE7BFC">
            <w:pPr>
              <w:jc w:val="right"/>
              <w:rPr>
                <w:rFonts w:ascii="Calibri" w:hAnsi="Calibri"/>
                <w:color w:val="000000"/>
                <w:lang w:eastAsia="en-GB"/>
              </w:rPr>
            </w:pPr>
            <w:r>
              <w:rPr>
                <w:rFonts w:ascii="Calibri" w:hAnsi="Calibri"/>
                <w:color w:val="000000"/>
                <w:lang w:eastAsia="en-GB"/>
              </w:rPr>
              <w:t>301</w:t>
            </w:r>
          </w:p>
        </w:tc>
        <w:tc>
          <w:tcPr>
            <w:tcW w:w="927" w:type="dxa"/>
            <w:tcBorders>
              <w:top w:val="nil"/>
              <w:left w:val="nil"/>
              <w:bottom w:val="single" w:sz="4" w:space="0" w:color="FFFFFF"/>
              <w:right w:val="single" w:sz="4" w:space="0" w:color="FFFFFF"/>
            </w:tcBorders>
            <w:shd w:val="clear" w:color="000000" w:fill="D8E4BC"/>
            <w:noWrap/>
            <w:vAlign w:val="center"/>
          </w:tcPr>
          <w:p w14:paraId="16C1429E" w14:textId="2FCF1F97" w:rsidR="00C32556" w:rsidRPr="00C32556" w:rsidRDefault="00A55057" w:rsidP="007B13E6">
            <w:pPr>
              <w:jc w:val="right"/>
              <w:rPr>
                <w:rFonts w:ascii="Calibri" w:hAnsi="Calibri"/>
                <w:color w:val="000000"/>
                <w:lang w:eastAsia="en-GB"/>
              </w:rPr>
            </w:pPr>
            <w:r>
              <w:rPr>
                <w:rFonts w:ascii="Calibri" w:hAnsi="Calibri"/>
                <w:color w:val="000000"/>
                <w:lang w:eastAsia="en-GB"/>
              </w:rPr>
              <w:t>2,336</w:t>
            </w:r>
          </w:p>
        </w:tc>
      </w:tr>
      <w:tr w:rsidR="00C32556" w:rsidRPr="00C32556" w14:paraId="1704413D" w14:textId="77777777" w:rsidTr="002C2D15">
        <w:trPr>
          <w:trHeight w:val="300"/>
        </w:trPr>
        <w:tc>
          <w:tcPr>
            <w:tcW w:w="865" w:type="dxa"/>
            <w:tcBorders>
              <w:top w:val="nil"/>
              <w:left w:val="single" w:sz="4" w:space="0" w:color="FFFFFF"/>
              <w:bottom w:val="single" w:sz="4" w:space="0" w:color="FFFFFF"/>
              <w:right w:val="single" w:sz="4" w:space="0" w:color="FFFFFF"/>
            </w:tcBorders>
            <w:shd w:val="clear" w:color="000000" w:fill="EBF1DE"/>
            <w:noWrap/>
            <w:vAlign w:val="center"/>
          </w:tcPr>
          <w:p w14:paraId="26ABFA18" w14:textId="55CAD005" w:rsidR="00C32556" w:rsidRPr="00C32556" w:rsidRDefault="002D2006" w:rsidP="00194A32">
            <w:pPr>
              <w:jc w:val="right"/>
              <w:rPr>
                <w:rFonts w:ascii="Calibri" w:hAnsi="Calibri"/>
                <w:color w:val="000000"/>
                <w:lang w:eastAsia="en-GB"/>
              </w:rPr>
            </w:pPr>
            <w:r>
              <w:rPr>
                <w:rFonts w:ascii="Calibri" w:hAnsi="Calibri"/>
                <w:color w:val="000000"/>
                <w:lang w:eastAsia="en-GB"/>
              </w:rPr>
              <w:t>-</w:t>
            </w:r>
            <w:r w:rsidR="00F57FC0">
              <w:rPr>
                <w:rFonts w:ascii="Calibri" w:hAnsi="Calibri"/>
                <w:color w:val="000000"/>
                <w:lang w:eastAsia="en-GB"/>
              </w:rPr>
              <w:t>1,982</w:t>
            </w:r>
          </w:p>
        </w:tc>
        <w:tc>
          <w:tcPr>
            <w:tcW w:w="991" w:type="dxa"/>
            <w:tcBorders>
              <w:top w:val="nil"/>
              <w:left w:val="nil"/>
              <w:bottom w:val="single" w:sz="4" w:space="0" w:color="FFFFFF"/>
              <w:right w:val="single" w:sz="4" w:space="0" w:color="FFFFFF"/>
            </w:tcBorders>
            <w:shd w:val="clear" w:color="000000" w:fill="EBF1DE"/>
            <w:noWrap/>
            <w:vAlign w:val="center"/>
          </w:tcPr>
          <w:p w14:paraId="2EA62504" w14:textId="5669751A" w:rsidR="00C32556" w:rsidRPr="00C32556" w:rsidRDefault="00F57FC0" w:rsidP="00F144EC">
            <w:pPr>
              <w:jc w:val="right"/>
              <w:rPr>
                <w:rFonts w:ascii="Calibri" w:hAnsi="Calibri"/>
                <w:color w:val="000000"/>
                <w:lang w:eastAsia="en-GB"/>
              </w:rPr>
            </w:pPr>
            <w:r>
              <w:rPr>
                <w:rFonts w:ascii="Calibri" w:hAnsi="Calibri"/>
                <w:color w:val="000000"/>
                <w:lang w:eastAsia="en-GB"/>
              </w:rPr>
              <w:t>-939</w:t>
            </w:r>
          </w:p>
        </w:tc>
        <w:tc>
          <w:tcPr>
            <w:tcW w:w="740" w:type="dxa"/>
            <w:tcBorders>
              <w:top w:val="nil"/>
              <w:left w:val="nil"/>
              <w:bottom w:val="single" w:sz="4" w:space="0" w:color="FFFFFF"/>
              <w:right w:val="single" w:sz="4" w:space="0" w:color="FFFFFF"/>
            </w:tcBorders>
            <w:shd w:val="clear" w:color="000000" w:fill="D8E4BC"/>
            <w:noWrap/>
            <w:vAlign w:val="center"/>
          </w:tcPr>
          <w:p w14:paraId="36E6CA11" w14:textId="18F6C436" w:rsidR="00C32556" w:rsidRPr="00C32556" w:rsidRDefault="002D2006" w:rsidP="00F144EC">
            <w:pPr>
              <w:jc w:val="right"/>
              <w:rPr>
                <w:rFonts w:ascii="Calibri" w:hAnsi="Calibri"/>
                <w:color w:val="000000"/>
                <w:lang w:eastAsia="en-GB"/>
              </w:rPr>
            </w:pPr>
            <w:r>
              <w:rPr>
                <w:rFonts w:ascii="Calibri" w:hAnsi="Calibri"/>
                <w:color w:val="000000"/>
                <w:lang w:eastAsia="en-GB"/>
              </w:rPr>
              <w:t>-</w:t>
            </w:r>
            <w:r w:rsidR="00F57FC0">
              <w:rPr>
                <w:rFonts w:ascii="Calibri" w:hAnsi="Calibri"/>
                <w:color w:val="000000"/>
                <w:lang w:eastAsia="en-GB"/>
              </w:rPr>
              <w:t>2,921</w:t>
            </w:r>
          </w:p>
        </w:tc>
        <w:tc>
          <w:tcPr>
            <w:tcW w:w="4747" w:type="dxa"/>
            <w:tcBorders>
              <w:top w:val="nil"/>
              <w:left w:val="nil"/>
              <w:bottom w:val="single" w:sz="4" w:space="0" w:color="FFFFFF"/>
              <w:right w:val="nil"/>
            </w:tcBorders>
            <w:shd w:val="clear" w:color="000000" w:fill="EBF1DE"/>
            <w:vAlign w:val="center"/>
            <w:hideMark/>
          </w:tcPr>
          <w:p w14:paraId="4EE2D02E"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Housing Revenue Account</w:t>
            </w:r>
          </w:p>
        </w:tc>
        <w:tc>
          <w:tcPr>
            <w:tcW w:w="236" w:type="dxa"/>
            <w:tcBorders>
              <w:top w:val="nil"/>
              <w:left w:val="nil"/>
              <w:bottom w:val="single" w:sz="4" w:space="0" w:color="FFFFFF"/>
              <w:right w:val="single" w:sz="4" w:space="0" w:color="FFFFFF"/>
            </w:tcBorders>
            <w:shd w:val="clear" w:color="000000" w:fill="EBF1DE"/>
            <w:noWrap/>
            <w:vAlign w:val="center"/>
            <w:hideMark/>
          </w:tcPr>
          <w:p w14:paraId="6E596507" w14:textId="77777777" w:rsidR="00C32556" w:rsidRPr="00C32556" w:rsidRDefault="00C32556" w:rsidP="00C32556">
            <w:pPr>
              <w:jc w:val="right"/>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single" w:sz="4" w:space="0" w:color="FFFFFF"/>
              <w:right w:val="single" w:sz="4" w:space="0" w:color="FFFFFF"/>
            </w:tcBorders>
            <w:shd w:val="clear" w:color="000000" w:fill="EBF1DE"/>
            <w:noWrap/>
            <w:vAlign w:val="center"/>
          </w:tcPr>
          <w:p w14:paraId="7685A218" w14:textId="2A4ED331" w:rsidR="00C32556" w:rsidRPr="00C32556" w:rsidRDefault="00A55057" w:rsidP="00CE72BD">
            <w:pPr>
              <w:jc w:val="right"/>
              <w:rPr>
                <w:rFonts w:ascii="Calibri" w:hAnsi="Calibri"/>
                <w:color w:val="000000"/>
                <w:lang w:eastAsia="en-GB"/>
              </w:rPr>
            </w:pPr>
            <w:r>
              <w:rPr>
                <w:rFonts w:ascii="Calibri" w:hAnsi="Calibri"/>
                <w:color w:val="000000"/>
                <w:lang w:eastAsia="en-GB"/>
              </w:rPr>
              <w:t>-1,220</w:t>
            </w:r>
          </w:p>
        </w:tc>
        <w:tc>
          <w:tcPr>
            <w:tcW w:w="916" w:type="dxa"/>
            <w:tcBorders>
              <w:top w:val="nil"/>
              <w:left w:val="nil"/>
              <w:bottom w:val="single" w:sz="4" w:space="0" w:color="FFFFFF"/>
              <w:right w:val="single" w:sz="4" w:space="0" w:color="FFFFFF"/>
            </w:tcBorders>
            <w:shd w:val="clear" w:color="000000" w:fill="EBF1DE"/>
            <w:noWrap/>
            <w:vAlign w:val="center"/>
          </w:tcPr>
          <w:p w14:paraId="7FA869ED" w14:textId="0E043EB0" w:rsidR="00C32556" w:rsidRPr="00C32556" w:rsidRDefault="00A55057" w:rsidP="000957FE">
            <w:pPr>
              <w:jc w:val="right"/>
              <w:rPr>
                <w:rFonts w:ascii="Calibri" w:hAnsi="Calibri"/>
                <w:color w:val="000000"/>
                <w:lang w:eastAsia="en-GB"/>
              </w:rPr>
            </w:pPr>
            <w:r>
              <w:rPr>
                <w:rFonts w:ascii="Calibri" w:hAnsi="Calibri"/>
                <w:color w:val="000000"/>
                <w:lang w:eastAsia="en-GB"/>
              </w:rPr>
              <w:t>-200</w:t>
            </w:r>
          </w:p>
        </w:tc>
        <w:tc>
          <w:tcPr>
            <w:tcW w:w="927" w:type="dxa"/>
            <w:tcBorders>
              <w:top w:val="nil"/>
              <w:left w:val="nil"/>
              <w:bottom w:val="single" w:sz="4" w:space="0" w:color="FFFFFF"/>
              <w:right w:val="single" w:sz="4" w:space="0" w:color="FFFFFF"/>
            </w:tcBorders>
            <w:shd w:val="clear" w:color="000000" w:fill="D8E4BC"/>
            <w:noWrap/>
            <w:vAlign w:val="center"/>
          </w:tcPr>
          <w:p w14:paraId="7AF4A8FF" w14:textId="0483E504" w:rsidR="00C32556" w:rsidRPr="00C32556" w:rsidRDefault="00A55057" w:rsidP="00F144EC">
            <w:pPr>
              <w:jc w:val="right"/>
              <w:rPr>
                <w:rFonts w:ascii="Calibri" w:hAnsi="Calibri"/>
                <w:color w:val="000000"/>
                <w:lang w:eastAsia="en-GB"/>
              </w:rPr>
            </w:pPr>
            <w:r>
              <w:rPr>
                <w:rFonts w:ascii="Calibri" w:hAnsi="Calibri"/>
                <w:color w:val="000000"/>
                <w:lang w:eastAsia="en-GB"/>
              </w:rPr>
              <w:t>-1,420</w:t>
            </w:r>
          </w:p>
        </w:tc>
      </w:tr>
      <w:tr w:rsidR="00C32556" w:rsidRPr="00C32556" w14:paraId="37D437AC" w14:textId="77777777" w:rsidTr="002C2D15">
        <w:trPr>
          <w:trHeight w:val="300"/>
        </w:trPr>
        <w:tc>
          <w:tcPr>
            <w:tcW w:w="865" w:type="dxa"/>
            <w:tcBorders>
              <w:top w:val="nil"/>
              <w:left w:val="single" w:sz="4" w:space="0" w:color="FFFFFF"/>
              <w:bottom w:val="single" w:sz="4" w:space="0" w:color="FFFFFF"/>
              <w:right w:val="single" w:sz="4" w:space="0" w:color="FFFFFF"/>
            </w:tcBorders>
            <w:shd w:val="clear" w:color="000000" w:fill="EBF1DE"/>
            <w:noWrap/>
            <w:vAlign w:val="center"/>
          </w:tcPr>
          <w:p w14:paraId="19478BB7" w14:textId="654207D3" w:rsidR="00C32556" w:rsidRPr="00C32556" w:rsidRDefault="00F57FC0" w:rsidP="007333C3">
            <w:pPr>
              <w:jc w:val="right"/>
              <w:rPr>
                <w:rFonts w:ascii="Calibri" w:hAnsi="Calibri"/>
                <w:color w:val="000000"/>
                <w:lang w:eastAsia="en-GB"/>
              </w:rPr>
            </w:pPr>
            <w:r>
              <w:rPr>
                <w:rFonts w:ascii="Calibri" w:hAnsi="Calibri"/>
                <w:color w:val="000000"/>
                <w:lang w:eastAsia="en-GB"/>
              </w:rPr>
              <w:t>79</w:t>
            </w:r>
          </w:p>
        </w:tc>
        <w:tc>
          <w:tcPr>
            <w:tcW w:w="991" w:type="dxa"/>
            <w:tcBorders>
              <w:top w:val="nil"/>
              <w:left w:val="nil"/>
              <w:bottom w:val="single" w:sz="4" w:space="0" w:color="FFFFFF"/>
              <w:right w:val="single" w:sz="4" w:space="0" w:color="FFFFFF"/>
            </w:tcBorders>
            <w:shd w:val="clear" w:color="000000" w:fill="EBF1DE"/>
            <w:noWrap/>
            <w:vAlign w:val="center"/>
          </w:tcPr>
          <w:p w14:paraId="68C7BB0D" w14:textId="3C79BD28" w:rsidR="00C32556" w:rsidRPr="00C32556" w:rsidRDefault="00F57FC0" w:rsidP="00194A32">
            <w:pPr>
              <w:jc w:val="right"/>
              <w:rPr>
                <w:rFonts w:ascii="Calibri" w:hAnsi="Calibri"/>
                <w:color w:val="000000"/>
                <w:lang w:eastAsia="en-GB"/>
              </w:rPr>
            </w:pPr>
            <w:r>
              <w:rPr>
                <w:rFonts w:ascii="Calibri" w:hAnsi="Calibri"/>
                <w:color w:val="000000"/>
                <w:lang w:eastAsia="en-GB"/>
              </w:rPr>
              <w:t>74</w:t>
            </w:r>
          </w:p>
        </w:tc>
        <w:tc>
          <w:tcPr>
            <w:tcW w:w="740" w:type="dxa"/>
            <w:tcBorders>
              <w:top w:val="nil"/>
              <w:left w:val="nil"/>
              <w:bottom w:val="single" w:sz="4" w:space="0" w:color="FFFFFF"/>
              <w:right w:val="single" w:sz="4" w:space="0" w:color="FFFFFF"/>
            </w:tcBorders>
            <w:shd w:val="clear" w:color="000000" w:fill="D8E4BC"/>
            <w:noWrap/>
            <w:vAlign w:val="center"/>
          </w:tcPr>
          <w:p w14:paraId="515FDE2E" w14:textId="2CDB6726" w:rsidR="00C32556" w:rsidRPr="00C32556" w:rsidRDefault="00F57FC0" w:rsidP="00AF111E">
            <w:pPr>
              <w:jc w:val="right"/>
              <w:rPr>
                <w:rFonts w:ascii="Calibri" w:hAnsi="Calibri"/>
                <w:color w:val="000000"/>
                <w:lang w:eastAsia="en-GB"/>
              </w:rPr>
            </w:pPr>
            <w:r>
              <w:rPr>
                <w:rFonts w:ascii="Calibri" w:hAnsi="Calibri"/>
                <w:color w:val="000000"/>
                <w:lang w:eastAsia="en-GB"/>
              </w:rPr>
              <w:t>153</w:t>
            </w:r>
          </w:p>
        </w:tc>
        <w:tc>
          <w:tcPr>
            <w:tcW w:w="4747" w:type="dxa"/>
            <w:tcBorders>
              <w:top w:val="nil"/>
              <w:left w:val="nil"/>
              <w:bottom w:val="single" w:sz="4" w:space="0" w:color="FFFFFF"/>
              <w:right w:val="nil"/>
            </w:tcBorders>
            <w:shd w:val="clear" w:color="000000" w:fill="EBF1DE"/>
            <w:vAlign w:val="center"/>
            <w:hideMark/>
          </w:tcPr>
          <w:p w14:paraId="65DB593C" w14:textId="77777777" w:rsidR="00C32556" w:rsidRPr="00C32556" w:rsidRDefault="002D2006" w:rsidP="00C32556">
            <w:pPr>
              <w:rPr>
                <w:rFonts w:ascii="Calibri" w:hAnsi="Calibri"/>
                <w:color w:val="000000"/>
                <w:lang w:eastAsia="en-GB"/>
              </w:rPr>
            </w:pPr>
            <w:r>
              <w:rPr>
                <w:rFonts w:ascii="Calibri" w:hAnsi="Calibri"/>
                <w:color w:val="000000"/>
                <w:lang w:eastAsia="en-GB"/>
              </w:rPr>
              <w:t>Special Expenses - Place</w:t>
            </w:r>
            <w:r w:rsidR="0066789A">
              <w:rPr>
                <w:rFonts w:ascii="Calibri" w:hAnsi="Calibri"/>
                <w:color w:val="000000"/>
                <w:lang w:eastAsia="en-GB"/>
              </w:rPr>
              <w:t xml:space="preserve"> Priority</w:t>
            </w:r>
          </w:p>
        </w:tc>
        <w:tc>
          <w:tcPr>
            <w:tcW w:w="236" w:type="dxa"/>
            <w:tcBorders>
              <w:top w:val="nil"/>
              <w:left w:val="nil"/>
              <w:bottom w:val="single" w:sz="4" w:space="0" w:color="FFFFFF"/>
              <w:right w:val="single" w:sz="4" w:space="0" w:color="FFFFFF"/>
            </w:tcBorders>
            <w:shd w:val="clear" w:color="000000" w:fill="EBF1DE"/>
            <w:noWrap/>
            <w:vAlign w:val="center"/>
            <w:hideMark/>
          </w:tcPr>
          <w:p w14:paraId="2AFB3A6D" w14:textId="77777777" w:rsidR="00C32556" w:rsidRPr="00C32556" w:rsidRDefault="00C32556" w:rsidP="00C32556">
            <w:pPr>
              <w:jc w:val="right"/>
              <w:rPr>
                <w:rFonts w:ascii="Calibri" w:hAnsi="Calibri"/>
                <w:color w:val="000000"/>
                <w:lang w:eastAsia="en-GB"/>
              </w:rPr>
            </w:pPr>
            <w:r w:rsidRPr="00C32556">
              <w:rPr>
                <w:rFonts w:ascii="Calibri" w:hAnsi="Calibri"/>
                <w:color w:val="000000"/>
                <w:lang w:eastAsia="en-GB"/>
              </w:rPr>
              <w:t> </w:t>
            </w:r>
          </w:p>
        </w:tc>
        <w:tc>
          <w:tcPr>
            <w:tcW w:w="941" w:type="dxa"/>
            <w:tcBorders>
              <w:top w:val="nil"/>
              <w:left w:val="nil"/>
              <w:bottom w:val="single" w:sz="4" w:space="0" w:color="FFFFFF"/>
              <w:right w:val="single" w:sz="4" w:space="0" w:color="FFFFFF"/>
            </w:tcBorders>
            <w:shd w:val="clear" w:color="000000" w:fill="EBF1DE"/>
            <w:noWrap/>
            <w:vAlign w:val="center"/>
          </w:tcPr>
          <w:p w14:paraId="02FD2318" w14:textId="06914553" w:rsidR="00C32556" w:rsidRPr="00C32556" w:rsidRDefault="00A55057" w:rsidP="00CE72BD">
            <w:pPr>
              <w:jc w:val="right"/>
              <w:rPr>
                <w:rFonts w:ascii="Calibri" w:hAnsi="Calibri"/>
                <w:color w:val="000000"/>
                <w:lang w:eastAsia="en-GB"/>
              </w:rPr>
            </w:pPr>
            <w:r>
              <w:rPr>
                <w:rFonts w:ascii="Calibri" w:hAnsi="Calibri"/>
                <w:color w:val="000000"/>
                <w:lang w:eastAsia="en-GB"/>
              </w:rPr>
              <w:t>100</w:t>
            </w:r>
          </w:p>
        </w:tc>
        <w:tc>
          <w:tcPr>
            <w:tcW w:w="916" w:type="dxa"/>
            <w:tcBorders>
              <w:top w:val="nil"/>
              <w:left w:val="nil"/>
              <w:bottom w:val="single" w:sz="4" w:space="0" w:color="FFFFFF"/>
              <w:right w:val="single" w:sz="4" w:space="0" w:color="FFFFFF"/>
            </w:tcBorders>
            <w:shd w:val="clear" w:color="000000" w:fill="EBF1DE"/>
            <w:noWrap/>
            <w:vAlign w:val="center"/>
          </w:tcPr>
          <w:p w14:paraId="44380BBD" w14:textId="2935B4F3" w:rsidR="00C32556" w:rsidRPr="00C32556" w:rsidRDefault="00A55057" w:rsidP="000957FE">
            <w:pPr>
              <w:jc w:val="right"/>
              <w:rPr>
                <w:rFonts w:ascii="Calibri" w:hAnsi="Calibri"/>
                <w:color w:val="000000"/>
                <w:lang w:eastAsia="en-GB"/>
              </w:rPr>
            </w:pPr>
            <w:r>
              <w:rPr>
                <w:rFonts w:ascii="Calibri" w:hAnsi="Calibri"/>
                <w:color w:val="000000"/>
                <w:lang w:eastAsia="en-GB"/>
              </w:rPr>
              <w:t>66</w:t>
            </w:r>
          </w:p>
        </w:tc>
        <w:tc>
          <w:tcPr>
            <w:tcW w:w="927" w:type="dxa"/>
            <w:tcBorders>
              <w:top w:val="nil"/>
              <w:left w:val="nil"/>
              <w:bottom w:val="single" w:sz="4" w:space="0" w:color="FFFFFF"/>
              <w:right w:val="single" w:sz="4" w:space="0" w:color="FFFFFF"/>
            </w:tcBorders>
            <w:shd w:val="clear" w:color="000000" w:fill="D8E4BC"/>
            <w:noWrap/>
            <w:vAlign w:val="center"/>
          </w:tcPr>
          <w:p w14:paraId="35271819" w14:textId="4F9595FF" w:rsidR="00C32556" w:rsidRPr="00C32556" w:rsidRDefault="00A55057" w:rsidP="00CE72BD">
            <w:pPr>
              <w:jc w:val="right"/>
              <w:rPr>
                <w:rFonts w:ascii="Calibri" w:hAnsi="Calibri"/>
                <w:color w:val="000000"/>
                <w:lang w:eastAsia="en-GB"/>
              </w:rPr>
            </w:pPr>
            <w:r>
              <w:rPr>
                <w:rFonts w:ascii="Calibri" w:hAnsi="Calibri"/>
                <w:color w:val="000000"/>
                <w:lang w:eastAsia="en-GB"/>
              </w:rPr>
              <w:t>166</w:t>
            </w:r>
          </w:p>
        </w:tc>
      </w:tr>
      <w:tr w:rsidR="00C32556" w:rsidRPr="00C32556" w14:paraId="03A1CBB3" w14:textId="77777777" w:rsidTr="002C2D15">
        <w:trPr>
          <w:trHeight w:val="300"/>
        </w:trPr>
        <w:tc>
          <w:tcPr>
            <w:tcW w:w="865" w:type="dxa"/>
            <w:tcBorders>
              <w:top w:val="nil"/>
              <w:left w:val="single" w:sz="4" w:space="0" w:color="FFFFFF"/>
              <w:bottom w:val="single" w:sz="4" w:space="0" w:color="FFFFFF"/>
              <w:right w:val="single" w:sz="4" w:space="0" w:color="FFFFFF"/>
            </w:tcBorders>
            <w:shd w:val="clear" w:color="000000" w:fill="D8E4BC"/>
            <w:noWrap/>
            <w:vAlign w:val="center"/>
            <w:hideMark/>
          </w:tcPr>
          <w:p w14:paraId="63688AFD" w14:textId="6F138B5F" w:rsidR="00C32556" w:rsidRPr="00C32556" w:rsidRDefault="00F57FC0" w:rsidP="002D2006">
            <w:pPr>
              <w:jc w:val="right"/>
              <w:rPr>
                <w:rFonts w:ascii="Calibri" w:hAnsi="Calibri"/>
                <w:b/>
                <w:bCs/>
                <w:color w:val="000000"/>
                <w:lang w:eastAsia="en-GB"/>
              </w:rPr>
            </w:pPr>
            <w:r>
              <w:rPr>
                <w:rFonts w:ascii="Calibri" w:hAnsi="Calibri"/>
                <w:b/>
                <w:bCs/>
                <w:color w:val="000000"/>
                <w:lang w:eastAsia="en-GB"/>
              </w:rPr>
              <w:t>4,495</w:t>
            </w:r>
          </w:p>
        </w:tc>
        <w:tc>
          <w:tcPr>
            <w:tcW w:w="991" w:type="dxa"/>
            <w:tcBorders>
              <w:top w:val="nil"/>
              <w:left w:val="nil"/>
              <w:bottom w:val="single" w:sz="4" w:space="0" w:color="FFFFFF"/>
              <w:right w:val="single" w:sz="4" w:space="0" w:color="FFFFFF"/>
            </w:tcBorders>
            <w:shd w:val="clear" w:color="000000" w:fill="D8E4BC"/>
            <w:noWrap/>
            <w:vAlign w:val="center"/>
            <w:hideMark/>
          </w:tcPr>
          <w:p w14:paraId="3CA8ED05" w14:textId="4913F7FC" w:rsidR="00C32556" w:rsidRPr="00C32556" w:rsidRDefault="002C2D15" w:rsidP="00F144EC">
            <w:pPr>
              <w:jc w:val="right"/>
              <w:rPr>
                <w:rFonts w:ascii="Calibri" w:hAnsi="Calibri"/>
                <w:b/>
                <w:bCs/>
                <w:color w:val="000000"/>
                <w:lang w:eastAsia="en-GB"/>
              </w:rPr>
            </w:pPr>
            <w:r>
              <w:rPr>
                <w:rFonts w:ascii="Calibri" w:hAnsi="Calibri"/>
                <w:b/>
                <w:bCs/>
                <w:color w:val="000000"/>
                <w:lang w:eastAsia="en-GB"/>
              </w:rPr>
              <w:t>1</w:t>
            </w:r>
            <w:r w:rsidR="00F57FC0">
              <w:rPr>
                <w:rFonts w:ascii="Calibri" w:hAnsi="Calibri"/>
                <w:b/>
                <w:bCs/>
                <w:color w:val="000000"/>
                <w:lang w:eastAsia="en-GB"/>
              </w:rPr>
              <w:t>88</w:t>
            </w:r>
          </w:p>
        </w:tc>
        <w:tc>
          <w:tcPr>
            <w:tcW w:w="740" w:type="dxa"/>
            <w:tcBorders>
              <w:top w:val="nil"/>
              <w:left w:val="nil"/>
              <w:bottom w:val="single" w:sz="4" w:space="0" w:color="FFFFFF"/>
              <w:right w:val="single" w:sz="4" w:space="0" w:color="FFFFFF"/>
            </w:tcBorders>
            <w:shd w:val="clear" w:color="000000" w:fill="D8E4BC"/>
            <w:noWrap/>
            <w:vAlign w:val="center"/>
            <w:hideMark/>
          </w:tcPr>
          <w:p w14:paraId="37999BE1" w14:textId="77EB5C7F" w:rsidR="00C32556" w:rsidRPr="00C32556" w:rsidRDefault="00F57FC0" w:rsidP="002D2006">
            <w:pPr>
              <w:jc w:val="right"/>
              <w:rPr>
                <w:rFonts w:ascii="Calibri" w:hAnsi="Calibri"/>
                <w:b/>
                <w:bCs/>
                <w:color w:val="000000"/>
                <w:lang w:eastAsia="en-GB"/>
              </w:rPr>
            </w:pPr>
            <w:r>
              <w:rPr>
                <w:rFonts w:ascii="Calibri" w:hAnsi="Calibri"/>
                <w:b/>
                <w:bCs/>
                <w:color w:val="000000"/>
                <w:lang w:eastAsia="en-GB"/>
              </w:rPr>
              <w:t>4,683</w:t>
            </w:r>
          </w:p>
        </w:tc>
        <w:tc>
          <w:tcPr>
            <w:tcW w:w="4747" w:type="dxa"/>
            <w:tcBorders>
              <w:top w:val="nil"/>
              <w:left w:val="nil"/>
              <w:bottom w:val="single" w:sz="4" w:space="0" w:color="FFFFFF"/>
              <w:right w:val="nil"/>
            </w:tcBorders>
            <w:shd w:val="clear" w:color="000000" w:fill="D8E4BC"/>
            <w:noWrap/>
            <w:vAlign w:val="center"/>
            <w:hideMark/>
          </w:tcPr>
          <w:p w14:paraId="1AFDD005" w14:textId="77777777" w:rsidR="00C32556" w:rsidRPr="00C32556" w:rsidRDefault="004226ED" w:rsidP="00C32556">
            <w:pPr>
              <w:rPr>
                <w:rFonts w:ascii="Calibri" w:hAnsi="Calibri"/>
                <w:b/>
                <w:bCs/>
                <w:color w:val="000000"/>
                <w:lang w:eastAsia="en-GB"/>
              </w:rPr>
            </w:pPr>
            <w:r>
              <w:rPr>
                <w:rFonts w:ascii="Calibri" w:hAnsi="Calibri"/>
                <w:b/>
                <w:bCs/>
                <w:color w:val="000000"/>
                <w:lang w:eastAsia="en-GB"/>
              </w:rPr>
              <w:t xml:space="preserve">Net </w:t>
            </w:r>
            <w:r w:rsidR="00C32556" w:rsidRPr="00C32556">
              <w:rPr>
                <w:rFonts w:ascii="Calibri" w:hAnsi="Calibri"/>
                <w:b/>
                <w:bCs/>
                <w:color w:val="000000"/>
                <w:lang w:eastAsia="en-GB"/>
              </w:rPr>
              <w:t>Cost of Services</w:t>
            </w:r>
          </w:p>
        </w:tc>
        <w:tc>
          <w:tcPr>
            <w:tcW w:w="236" w:type="dxa"/>
            <w:tcBorders>
              <w:top w:val="nil"/>
              <w:left w:val="nil"/>
              <w:bottom w:val="nil"/>
              <w:right w:val="single" w:sz="4" w:space="0" w:color="FFFFFF"/>
            </w:tcBorders>
            <w:shd w:val="clear" w:color="000000" w:fill="D8E4BC"/>
            <w:noWrap/>
            <w:vAlign w:val="center"/>
            <w:hideMark/>
          </w:tcPr>
          <w:p w14:paraId="16221C05" w14:textId="77777777" w:rsidR="00C32556" w:rsidRPr="00C32556" w:rsidRDefault="00C32556" w:rsidP="00C32556">
            <w:pPr>
              <w:jc w:val="right"/>
              <w:rPr>
                <w:rFonts w:ascii="Calibri" w:hAnsi="Calibri"/>
                <w:b/>
                <w:bCs/>
                <w:color w:val="000000"/>
                <w:lang w:eastAsia="en-GB"/>
              </w:rPr>
            </w:pPr>
            <w:r w:rsidRPr="00C32556">
              <w:rPr>
                <w:rFonts w:ascii="Calibri" w:hAnsi="Calibri"/>
                <w:b/>
                <w:bCs/>
                <w:color w:val="000000"/>
                <w:lang w:eastAsia="en-GB"/>
              </w:rPr>
              <w:t> </w:t>
            </w:r>
          </w:p>
        </w:tc>
        <w:tc>
          <w:tcPr>
            <w:tcW w:w="941" w:type="dxa"/>
            <w:tcBorders>
              <w:top w:val="nil"/>
              <w:left w:val="nil"/>
              <w:bottom w:val="single" w:sz="4" w:space="0" w:color="FFFFFF"/>
              <w:right w:val="single" w:sz="4" w:space="0" w:color="FFFFFF"/>
            </w:tcBorders>
            <w:shd w:val="clear" w:color="000000" w:fill="D8E4BC"/>
            <w:noWrap/>
            <w:vAlign w:val="center"/>
          </w:tcPr>
          <w:p w14:paraId="3599BB3E" w14:textId="157EF8B4" w:rsidR="00C32556" w:rsidRPr="00C32556" w:rsidRDefault="00A55057" w:rsidP="00060811">
            <w:pPr>
              <w:jc w:val="right"/>
              <w:rPr>
                <w:rFonts w:ascii="Calibri" w:hAnsi="Calibri"/>
                <w:b/>
                <w:bCs/>
                <w:color w:val="000000"/>
                <w:lang w:eastAsia="en-GB"/>
              </w:rPr>
            </w:pPr>
            <w:r>
              <w:rPr>
                <w:rFonts w:ascii="Calibri" w:hAnsi="Calibri"/>
                <w:b/>
                <w:bCs/>
                <w:color w:val="000000"/>
                <w:lang w:eastAsia="en-GB"/>
              </w:rPr>
              <w:t>5,947</w:t>
            </w:r>
          </w:p>
        </w:tc>
        <w:tc>
          <w:tcPr>
            <w:tcW w:w="916" w:type="dxa"/>
            <w:tcBorders>
              <w:top w:val="nil"/>
              <w:left w:val="nil"/>
              <w:bottom w:val="single" w:sz="4" w:space="0" w:color="FFFFFF"/>
              <w:right w:val="single" w:sz="4" w:space="0" w:color="FFFFFF"/>
            </w:tcBorders>
            <w:shd w:val="clear" w:color="000000" w:fill="D8E4BC"/>
            <w:noWrap/>
            <w:vAlign w:val="center"/>
          </w:tcPr>
          <w:p w14:paraId="65B101AD" w14:textId="5596D59E" w:rsidR="00C32556" w:rsidRPr="00C32556" w:rsidRDefault="00A55057" w:rsidP="00B610EA">
            <w:pPr>
              <w:jc w:val="right"/>
              <w:rPr>
                <w:rFonts w:ascii="Calibri" w:hAnsi="Calibri"/>
                <w:b/>
                <w:bCs/>
                <w:color w:val="000000"/>
                <w:lang w:eastAsia="en-GB"/>
              </w:rPr>
            </w:pPr>
            <w:r>
              <w:rPr>
                <w:rFonts w:ascii="Calibri" w:hAnsi="Calibri"/>
                <w:b/>
                <w:bCs/>
                <w:color w:val="000000"/>
                <w:lang w:eastAsia="en-GB"/>
              </w:rPr>
              <w:t>1,815</w:t>
            </w:r>
          </w:p>
        </w:tc>
        <w:tc>
          <w:tcPr>
            <w:tcW w:w="927" w:type="dxa"/>
            <w:tcBorders>
              <w:top w:val="nil"/>
              <w:left w:val="nil"/>
              <w:bottom w:val="single" w:sz="4" w:space="0" w:color="FFFFFF"/>
              <w:right w:val="single" w:sz="4" w:space="0" w:color="FFFFFF"/>
            </w:tcBorders>
            <w:shd w:val="clear" w:color="000000" w:fill="D8E4BC"/>
            <w:noWrap/>
            <w:vAlign w:val="center"/>
          </w:tcPr>
          <w:p w14:paraId="529A46FA" w14:textId="43CAEAB1" w:rsidR="00C32556" w:rsidRPr="00C32556" w:rsidRDefault="00A55057" w:rsidP="007B13E6">
            <w:pPr>
              <w:jc w:val="right"/>
              <w:rPr>
                <w:rFonts w:ascii="Calibri" w:hAnsi="Calibri"/>
                <w:b/>
                <w:bCs/>
                <w:color w:val="000000"/>
                <w:lang w:eastAsia="en-GB"/>
              </w:rPr>
            </w:pPr>
            <w:r>
              <w:rPr>
                <w:rFonts w:ascii="Calibri" w:hAnsi="Calibri"/>
                <w:b/>
                <w:bCs/>
                <w:color w:val="000000"/>
                <w:lang w:eastAsia="en-GB"/>
              </w:rPr>
              <w:t>7,762</w:t>
            </w:r>
          </w:p>
        </w:tc>
      </w:tr>
      <w:tr w:rsidR="00C32556" w:rsidRPr="00C32556" w14:paraId="28C98013" w14:textId="77777777" w:rsidTr="002C2D15">
        <w:trPr>
          <w:trHeight w:val="300"/>
        </w:trPr>
        <w:tc>
          <w:tcPr>
            <w:tcW w:w="865" w:type="dxa"/>
            <w:tcBorders>
              <w:top w:val="nil"/>
              <w:left w:val="nil"/>
              <w:bottom w:val="nil"/>
              <w:right w:val="nil"/>
            </w:tcBorders>
            <w:shd w:val="clear" w:color="000000" w:fill="EBF1DE"/>
            <w:noWrap/>
            <w:vAlign w:val="bottom"/>
            <w:hideMark/>
          </w:tcPr>
          <w:p w14:paraId="71105490" w14:textId="72F1A768" w:rsidR="00194A32" w:rsidRPr="008F2C06" w:rsidRDefault="00C32556" w:rsidP="002D2006">
            <w:pPr>
              <w:jc w:val="right"/>
              <w:rPr>
                <w:rFonts w:ascii="Calibri" w:hAnsi="Calibri"/>
                <w:color w:val="000000"/>
                <w:lang w:eastAsia="en-GB"/>
              </w:rPr>
            </w:pPr>
            <w:r w:rsidRPr="008F2C06">
              <w:rPr>
                <w:rFonts w:ascii="Calibri" w:hAnsi="Calibri"/>
                <w:color w:val="000000"/>
                <w:lang w:eastAsia="en-GB"/>
              </w:rPr>
              <w:t> </w:t>
            </w:r>
            <w:r w:rsidR="006114E2">
              <w:rPr>
                <w:rFonts w:ascii="Calibri" w:hAnsi="Calibri"/>
                <w:color w:val="000000"/>
                <w:lang w:eastAsia="en-GB"/>
              </w:rPr>
              <w:t>-</w:t>
            </w:r>
            <w:r w:rsidR="00F57FC0">
              <w:rPr>
                <w:rFonts w:ascii="Calibri" w:hAnsi="Calibri"/>
                <w:color w:val="000000"/>
                <w:lang w:eastAsia="en-GB"/>
              </w:rPr>
              <w:t>1,804</w:t>
            </w:r>
          </w:p>
        </w:tc>
        <w:tc>
          <w:tcPr>
            <w:tcW w:w="991" w:type="dxa"/>
            <w:tcBorders>
              <w:top w:val="nil"/>
              <w:left w:val="nil"/>
              <w:bottom w:val="nil"/>
              <w:right w:val="nil"/>
            </w:tcBorders>
            <w:shd w:val="clear" w:color="000000" w:fill="EBF1DE"/>
            <w:noWrap/>
            <w:vAlign w:val="bottom"/>
            <w:hideMark/>
          </w:tcPr>
          <w:p w14:paraId="1A88FD8B" w14:textId="5D6448E5" w:rsidR="00C32556" w:rsidRPr="008F2C06" w:rsidRDefault="00F57FC0" w:rsidP="00AF111E">
            <w:pPr>
              <w:jc w:val="right"/>
              <w:rPr>
                <w:rFonts w:ascii="Calibri" w:hAnsi="Calibri"/>
                <w:color w:val="000000"/>
                <w:lang w:eastAsia="en-GB"/>
              </w:rPr>
            </w:pPr>
            <w:r>
              <w:rPr>
                <w:rFonts w:ascii="Calibri" w:hAnsi="Calibri"/>
                <w:color w:val="000000"/>
                <w:lang w:eastAsia="en-GB"/>
              </w:rPr>
              <w:t>-2,346</w:t>
            </w:r>
          </w:p>
        </w:tc>
        <w:tc>
          <w:tcPr>
            <w:tcW w:w="740" w:type="dxa"/>
            <w:tcBorders>
              <w:top w:val="nil"/>
              <w:left w:val="single" w:sz="4" w:space="0" w:color="FFFFFF"/>
              <w:bottom w:val="nil"/>
              <w:right w:val="single" w:sz="4" w:space="0" w:color="FFFFFF"/>
            </w:tcBorders>
            <w:shd w:val="clear" w:color="auto" w:fill="D6E3BC" w:themeFill="accent3" w:themeFillTint="66"/>
            <w:noWrap/>
            <w:vAlign w:val="center"/>
            <w:hideMark/>
          </w:tcPr>
          <w:p w14:paraId="14738043" w14:textId="77DFD23B" w:rsidR="00C32556" w:rsidRPr="008F2C06" w:rsidRDefault="00C32556" w:rsidP="002D2006">
            <w:pPr>
              <w:jc w:val="right"/>
              <w:rPr>
                <w:rFonts w:ascii="Calibri" w:hAnsi="Calibri"/>
                <w:color w:val="000000"/>
                <w:lang w:eastAsia="en-GB"/>
              </w:rPr>
            </w:pPr>
            <w:r w:rsidRPr="008F2C06">
              <w:rPr>
                <w:rFonts w:ascii="Calibri" w:hAnsi="Calibri"/>
                <w:color w:val="000000"/>
                <w:lang w:eastAsia="en-GB"/>
              </w:rPr>
              <w:t>-</w:t>
            </w:r>
            <w:r w:rsidR="00F57FC0">
              <w:rPr>
                <w:rFonts w:ascii="Calibri" w:hAnsi="Calibri"/>
                <w:color w:val="000000"/>
                <w:lang w:eastAsia="en-GB"/>
              </w:rPr>
              <w:t>4,150</w:t>
            </w:r>
          </w:p>
        </w:tc>
        <w:tc>
          <w:tcPr>
            <w:tcW w:w="4747" w:type="dxa"/>
            <w:tcBorders>
              <w:top w:val="nil"/>
              <w:left w:val="nil"/>
              <w:bottom w:val="nil"/>
              <w:right w:val="nil"/>
            </w:tcBorders>
            <w:shd w:val="clear" w:color="000000" w:fill="EBF1DE"/>
            <w:vAlign w:val="center"/>
            <w:hideMark/>
          </w:tcPr>
          <w:p w14:paraId="2E0C37BF"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Other Income and Expenditure</w:t>
            </w:r>
          </w:p>
        </w:tc>
        <w:tc>
          <w:tcPr>
            <w:tcW w:w="236" w:type="dxa"/>
            <w:tcBorders>
              <w:top w:val="nil"/>
              <w:left w:val="nil"/>
              <w:bottom w:val="nil"/>
              <w:right w:val="nil"/>
            </w:tcBorders>
            <w:shd w:val="clear" w:color="000000" w:fill="EBF1DE"/>
            <w:noWrap/>
            <w:vAlign w:val="bottom"/>
            <w:hideMark/>
          </w:tcPr>
          <w:p w14:paraId="25C37713" w14:textId="77777777" w:rsidR="00C32556" w:rsidRPr="00C32556" w:rsidRDefault="00C32556" w:rsidP="00C32556">
            <w:pPr>
              <w:rPr>
                <w:rFonts w:ascii="Calibri" w:hAnsi="Calibri"/>
                <w:color w:val="000000"/>
                <w:sz w:val="22"/>
                <w:szCs w:val="22"/>
                <w:lang w:eastAsia="en-GB"/>
              </w:rPr>
            </w:pPr>
            <w:r w:rsidRPr="00C32556">
              <w:rPr>
                <w:rFonts w:ascii="Calibri" w:hAnsi="Calibri"/>
                <w:color w:val="000000"/>
                <w:sz w:val="22"/>
                <w:szCs w:val="22"/>
                <w:lang w:eastAsia="en-GB"/>
              </w:rPr>
              <w:t> </w:t>
            </w:r>
          </w:p>
        </w:tc>
        <w:tc>
          <w:tcPr>
            <w:tcW w:w="941" w:type="dxa"/>
            <w:tcBorders>
              <w:top w:val="nil"/>
              <w:left w:val="nil"/>
              <w:bottom w:val="nil"/>
              <w:right w:val="nil"/>
            </w:tcBorders>
            <w:shd w:val="clear" w:color="000000" w:fill="EBF1DE"/>
            <w:noWrap/>
            <w:vAlign w:val="bottom"/>
          </w:tcPr>
          <w:p w14:paraId="56BBE1D4" w14:textId="76F2ECAE" w:rsidR="00C32556" w:rsidRPr="00CC0DE1" w:rsidRDefault="00A55057" w:rsidP="000C4293">
            <w:pPr>
              <w:jc w:val="right"/>
              <w:rPr>
                <w:rFonts w:ascii="Calibri" w:hAnsi="Calibri"/>
                <w:color w:val="000000"/>
                <w:lang w:eastAsia="en-GB"/>
              </w:rPr>
            </w:pPr>
            <w:r>
              <w:rPr>
                <w:rFonts w:ascii="Calibri" w:hAnsi="Calibri"/>
                <w:color w:val="000000"/>
                <w:lang w:eastAsia="en-GB"/>
              </w:rPr>
              <w:t>-5,999</w:t>
            </w:r>
          </w:p>
        </w:tc>
        <w:tc>
          <w:tcPr>
            <w:tcW w:w="916" w:type="dxa"/>
            <w:tcBorders>
              <w:top w:val="nil"/>
              <w:left w:val="nil"/>
              <w:bottom w:val="nil"/>
              <w:right w:val="nil"/>
            </w:tcBorders>
            <w:shd w:val="clear" w:color="000000" w:fill="EBF1DE"/>
            <w:noWrap/>
            <w:vAlign w:val="bottom"/>
          </w:tcPr>
          <w:p w14:paraId="00D35843" w14:textId="7DCDD8C7" w:rsidR="00C32556" w:rsidRPr="00CC0DE1" w:rsidRDefault="00A55057" w:rsidP="007B13E6">
            <w:pPr>
              <w:jc w:val="right"/>
              <w:rPr>
                <w:rFonts w:ascii="Calibri" w:hAnsi="Calibri"/>
                <w:color w:val="000000"/>
                <w:lang w:eastAsia="en-GB"/>
              </w:rPr>
            </w:pPr>
            <w:r>
              <w:rPr>
                <w:rFonts w:ascii="Calibri" w:hAnsi="Calibri"/>
                <w:color w:val="000000"/>
                <w:lang w:eastAsia="en-GB"/>
              </w:rPr>
              <w:t>1,240</w:t>
            </w:r>
          </w:p>
        </w:tc>
        <w:tc>
          <w:tcPr>
            <w:tcW w:w="927" w:type="dxa"/>
            <w:tcBorders>
              <w:top w:val="nil"/>
              <w:left w:val="single" w:sz="4" w:space="0" w:color="FFFFFF"/>
              <w:bottom w:val="single" w:sz="4" w:space="0" w:color="FFFFFF"/>
              <w:right w:val="single" w:sz="4" w:space="0" w:color="FFFFFF"/>
            </w:tcBorders>
            <w:shd w:val="clear" w:color="auto" w:fill="D6E3BC" w:themeFill="accent3" w:themeFillTint="66"/>
            <w:noWrap/>
            <w:vAlign w:val="bottom"/>
          </w:tcPr>
          <w:p w14:paraId="46EDB870" w14:textId="4EEAAAFD" w:rsidR="00C32556" w:rsidRPr="00CC0DE1" w:rsidRDefault="00A55057" w:rsidP="007B13E6">
            <w:pPr>
              <w:jc w:val="right"/>
              <w:rPr>
                <w:rFonts w:ascii="Calibri" w:hAnsi="Calibri"/>
                <w:color w:val="000000"/>
                <w:lang w:eastAsia="en-GB"/>
              </w:rPr>
            </w:pPr>
            <w:r>
              <w:rPr>
                <w:rFonts w:ascii="Calibri" w:hAnsi="Calibri"/>
                <w:color w:val="000000"/>
                <w:lang w:eastAsia="en-GB"/>
              </w:rPr>
              <w:t>-4,759</w:t>
            </w:r>
          </w:p>
        </w:tc>
      </w:tr>
      <w:tr w:rsidR="00C32556" w:rsidRPr="00C32556" w14:paraId="5E5DA2B6" w14:textId="77777777" w:rsidTr="002C2D15">
        <w:trPr>
          <w:trHeight w:val="300"/>
        </w:trPr>
        <w:tc>
          <w:tcPr>
            <w:tcW w:w="865" w:type="dxa"/>
            <w:tcBorders>
              <w:top w:val="nil"/>
              <w:left w:val="nil"/>
              <w:bottom w:val="nil"/>
              <w:right w:val="nil"/>
            </w:tcBorders>
            <w:shd w:val="clear" w:color="000000" w:fill="D8E4BC"/>
            <w:noWrap/>
            <w:vAlign w:val="bottom"/>
            <w:hideMark/>
          </w:tcPr>
          <w:p w14:paraId="5543209C" w14:textId="1420B78B" w:rsidR="00C32556" w:rsidRPr="008F2C06" w:rsidRDefault="00F57FC0" w:rsidP="00C32556">
            <w:pPr>
              <w:jc w:val="right"/>
              <w:rPr>
                <w:rFonts w:ascii="Calibri" w:hAnsi="Calibri"/>
                <w:b/>
                <w:bCs/>
                <w:color w:val="000000"/>
                <w:lang w:eastAsia="en-GB"/>
              </w:rPr>
            </w:pPr>
            <w:r>
              <w:rPr>
                <w:rFonts w:ascii="Calibri" w:hAnsi="Calibri"/>
                <w:b/>
                <w:bCs/>
                <w:color w:val="000000"/>
                <w:lang w:eastAsia="en-GB"/>
              </w:rPr>
              <w:t>2,691</w:t>
            </w:r>
          </w:p>
        </w:tc>
        <w:tc>
          <w:tcPr>
            <w:tcW w:w="991" w:type="dxa"/>
            <w:tcBorders>
              <w:top w:val="nil"/>
              <w:left w:val="nil"/>
              <w:bottom w:val="nil"/>
              <w:right w:val="nil"/>
            </w:tcBorders>
            <w:shd w:val="clear" w:color="000000" w:fill="D8E4BC"/>
            <w:noWrap/>
            <w:vAlign w:val="bottom"/>
            <w:hideMark/>
          </w:tcPr>
          <w:p w14:paraId="0B46D3FF" w14:textId="07ACEAF5" w:rsidR="00C32556" w:rsidRPr="008F2C06" w:rsidRDefault="00F57FC0" w:rsidP="002D2006">
            <w:pPr>
              <w:jc w:val="right"/>
              <w:rPr>
                <w:rFonts w:ascii="Calibri" w:hAnsi="Calibri"/>
                <w:b/>
                <w:bCs/>
                <w:color w:val="000000"/>
                <w:lang w:eastAsia="en-GB"/>
              </w:rPr>
            </w:pPr>
            <w:r>
              <w:rPr>
                <w:rFonts w:ascii="Calibri" w:hAnsi="Calibri"/>
                <w:b/>
                <w:bCs/>
                <w:color w:val="000000"/>
                <w:lang w:eastAsia="en-GB"/>
              </w:rPr>
              <w:t>-2,158</w:t>
            </w:r>
          </w:p>
        </w:tc>
        <w:tc>
          <w:tcPr>
            <w:tcW w:w="740" w:type="dxa"/>
            <w:tcBorders>
              <w:top w:val="single" w:sz="4" w:space="0" w:color="FFFFFF"/>
              <w:left w:val="single" w:sz="4" w:space="0" w:color="FFFFFF"/>
              <w:bottom w:val="single" w:sz="4" w:space="0" w:color="FFFFFF"/>
              <w:right w:val="single" w:sz="4" w:space="0" w:color="FFFFFF"/>
            </w:tcBorders>
            <w:shd w:val="clear" w:color="000000" w:fill="D8E4BC"/>
            <w:noWrap/>
            <w:vAlign w:val="bottom"/>
            <w:hideMark/>
          </w:tcPr>
          <w:p w14:paraId="373F9084" w14:textId="7ECD9800" w:rsidR="00C32556" w:rsidRPr="008F2C06" w:rsidRDefault="00F57FC0" w:rsidP="002D2006">
            <w:pPr>
              <w:jc w:val="right"/>
              <w:rPr>
                <w:rFonts w:ascii="Calibri" w:hAnsi="Calibri"/>
                <w:b/>
                <w:bCs/>
                <w:color w:val="000000"/>
                <w:lang w:eastAsia="en-GB"/>
              </w:rPr>
            </w:pPr>
            <w:r>
              <w:rPr>
                <w:rFonts w:ascii="Calibri" w:hAnsi="Calibri"/>
                <w:b/>
                <w:bCs/>
                <w:color w:val="000000"/>
                <w:lang w:eastAsia="en-GB"/>
              </w:rPr>
              <w:t>533</w:t>
            </w:r>
          </w:p>
        </w:tc>
        <w:tc>
          <w:tcPr>
            <w:tcW w:w="4747" w:type="dxa"/>
            <w:tcBorders>
              <w:top w:val="nil"/>
              <w:left w:val="nil"/>
              <w:bottom w:val="nil"/>
              <w:right w:val="nil"/>
            </w:tcBorders>
            <w:shd w:val="clear" w:color="000000" w:fill="D8E4BC"/>
            <w:vAlign w:val="center"/>
            <w:hideMark/>
          </w:tcPr>
          <w:p w14:paraId="1C97D83E" w14:textId="77777777" w:rsidR="00C32556" w:rsidRPr="00C32556" w:rsidRDefault="00C32556" w:rsidP="00C32556">
            <w:pPr>
              <w:rPr>
                <w:rFonts w:ascii="Calibri" w:hAnsi="Calibri"/>
                <w:b/>
                <w:bCs/>
                <w:color w:val="000000"/>
                <w:lang w:eastAsia="en-GB"/>
              </w:rPr>
            </w:pPr>
            <w:proofErr w:type="gramStart"/>
            <w:r w:rsidRPr="00C32556">
              <w:rPr>
                <w:rFonts w:ascii="Calibri" w:hAnsi="Calibri"/>
                <w:b/>
                <w:bCs/>
                <w:color w:val="000000"/>
                <w:lang w:eastAsia="en-GB"/>
              </w:rPr>
              <w:t>Surplus(</w:t>
            </w:r>
            <w:proofErr w:type="gramEnd"/>
            <w:r w:rsidRPr="00C32556">
              <w:rPr>
                <w:rFonts w:ascii="Calibri" w:hAnsi="Calibri"/>
                <w:b/>
                <w:bCs/>
                <w:color w:val="000000"/>
                <w:lang w:eastAsia="en-GB"/>
              </w:rPr>
              <w:t>-)/Deficit</w:t>
            </w:r>
          </w:p>
        </w:tc>
        <w:tc>
          <w:tcPr>
            <w:tcW w:w="236" w:type="dxa"/>
            <w:tcBorders>
              <w:top w:val="nil"/>
              <w:left w:val="nil"/>
              <w:bottom w:val="nil"/>
              <w:right w:val="nil"/>
            </w:tcBorders>
            <w:shd w:val="clear" w:color="000000" w:fill="D8E4BC"/>
            <w:noWrap/>
            <w:vAlign w:val="bottom"/>
            <w:hideMark/>
          </w:tcPr>
          <w:p w14:paraId="084F9686" w14:textId="77777777" w:rsidR="00C32556" w:rsidRPr="00C32556" w:rsidRDefault="00C32556" w:rsidP="00C32556">
            <w:pPr>
              <w:rPr>
                <w:rFonts w:ascii="Calibri" w:hAnsi="Calibri"/>
                <w:b/>
                <w:bCs/>
                <w:color w:val="000000"/>
                <w:sz w:val="22"/>
                <w:szCs w:val="22"/>
                <w:lang w:eastAsia="en-GB"/>
              </w:rPr>
            </w:pPr>
            <w:r w:rsidRPr="00C32556">
              <w:rPr>
                <w:rFonts w:ascii="Calibri" w:hAnsi="Calibri"/>
                <w:b/>
                <w:bCs/>
                <w:color w:val="000000"/>
                <w:sz w:val="22"/>
                <w:szCs w:val="22"/>
                <w:lang w:eastAsia="en-GB"/>
              </w:rPr>
              <w:t> </w:t>
            </w:r>
          </w:p>
        </w:tc>
        <w:tc>
          <w:tcPr>
            <w:tcW w:w="941" w:type="dxa"/>
            <w:tcBorders>
              <w:top w:val="nil"/>
              <w:left w:val="nil"/>
              <w:bottom w:val="nil"/>
              <w:right w:val="nil"/>
            </w:tcBorders>
            <w:shd w:val="clear" w:color="000000" w:fill="D8E4BC"/>
            <w:noWrap/>
            <w:vAlign w:val="bottom"/>
          </w:tcPr>
          <w:p w14:paraId="704E378B" w14:textId="16FE9DFE" w:rsidR="00C32556" w:rsidRPr="007E2CDB" w:rsidRDefault="00A55057" w:rsidP="00CE72BD">
            <w:pPr>
              <w:jc w:val="right"/>
              <w:rPr>
                <w:rFonts w:ascii="Calibri" w:hAnsi="Calibri"/>
                <w:b/>
                <w:bCs/>
                <w:color w:val="000000"/>
                <w:lang w:eastAsia="en-GB"/>
              </w:rPr>
            </w:pPr>
            <w:r>
              <w:rPr>
                <w:rFonts w:ascii="Calibri" w:hAnsi="Calibri"/>
                <w:b/>
                <w:bCs/>
                <w:color w:val="000000"/>
                <w:lang w:eastAsia="en-GB"/>
              </w:rPr>
              <w:t>-52</w:t>
            </w:r>
          </w:p>
        </w:tc>
        <w:tc>
          <w:tcPr>
            <w:tcW w:w="916" w:type="dxa"/>
            <w:tcBorders>
              <w:top w:val="nil"/>
              <w:left w:val="nil"/>
              <w:bottom w:val="nil"/>
              <w:right w:val="nil"/>
            </w:tcBorders>
            <w:shd w:val="clear" w:color="000000" w:fill="D8E4BC"/>
            <w:noWrap/>
            <w:vAlign w:val="bottom"/>
          </w:tcPr>
          <w:p w14:paraId="03B5B76D" w14:textId="69625BBB" w:rsidR="00C32556" w:rsidRPr="007E2CDB" w:rsidRDefault="00A55057" w:rsidP="00F144EC">
            <w:pPr>
              <w:jc w:val="right"/>
              <w:rPr>
                <w:rFonts w:ascii="Calibri" w:hAnsi="Calibri"/>
                <w:b/>
                <w:bCs/>
                <w:color w:val="000000"/>
                <w:lang w:eastAsia="en-GB"/>
              </w:rPr>
            </w:pPr>
            <w:r>
              <w:rPr>
                <w:rFonts w:ascii="Calibri" w:hAnsi="Calibri"/>
                <w:b/>
                <w:bCs/>
                <w:color w:val="000000"/>
                <w:lang w:eastAsia="en-GB"/>
              </w:rPr>
              <w:t>3,055</w:t>
            </w:r>
          </w:p>
        </w:tc>
        <w:tc>
          <w:tcPr>
            <w:tcW w:w="927" w:type="dxa"/>
            <w:tcBorders>
              <w:top w:val="nil"/>
              <w:left w:val="single" w:sz="4" w:space="0" w:color="FFFFFF"/>
              <w:bottom w:val="single" w:sz="4" w:space="0" w:color="FFFFFF"/>
              <w:right w:val="single" w:sz="4" w:space="0" w:color="FFFFFF"/>
            </w:tcBorders>
            <w:shd w:val="clear" w:color="000000" w:fill="D8E4BC"/>
            <w:noWrap/>
            <w:vAlign w:val="bottom"/>
          </w:tcPr>
          <w:p w14:paraId="6D4A81AC" w14:textId="2CF7EE4E" w:rsidR="00C32556" w:rsidRPr="007E2CDB" w:rsidRDefault="00A55057" w:rsidP="00060811">
            <w:pPr>
              <w:jc w:val="right"/>
              <w:rPr>
                <w:rFonts w:ascii="Calibri" w:hAnsi="Calibri"/>
                <w:b/>
                <w:bCs/>
                <w:color w:val="000000"/>
                <w:lang w:eastAsia="en-GB"/>
              </w:rPr>
            </w:pPr>
            <w:r>
              <w:rPr>
                <w:rFonts w:ascii="Calibri" w:hAnsi="Calibri"/>
                <w:b/>
                <w:bCs/>
                <w:color w:val="000000"/>
                <w:lang w:eastAsia="en-GB"/>
              </w:rPr>
              <w:t>3,003</w:t>
            </w:r>
          </w:p>
        </w:tc>
      </w:tr>
      <w:tr w:rsidR="00C32556" w:rsidRPr="00C32556" w14:paraId="36282B08" w14:textId="77777777" w:rsidTr="002C2D15">
        <w:trPr>
          <w:trHeight w:val="300"/>
        </w:trPr>
        <w:tc>
          <w:tcPr>
            <w:tcW w:w="865" w:type="dxa"/>
            <w:tcBorders>
              <w:top w:val="nil"/>
              <w:left w:val="nil"/>
              <w:bottom w:val="nil"/>
              <w:right w:val="nil"/>
            </w:tcBorders>
            <w:shd w:val="clear" w:color="auto" w:fill="auto"/>
            <w:noWrap/>
            <w:vAlign w:val="bottom"/>
            <w:hideMark/>
          </w:tcPr>
          <w:p w14:paraId="49380A71" w14:textId="77777777" w:rsidR="00C32556" w:rsidRPr="00C32556" w:rsidRDefault="00C32556" w:rsidP="00C32556">
            <w:pPr>
              <w:rPr>
                <w:rFonts w:ascii="Calibri" w:hAnsi="Calibri"/>
                <w:b/>
                <w:bCs/>
                <w:color w:val="000000"/>
                <w:sz w:val="22"/>
                <w:szCs w:val="22"/>
                <w:lang w:eastAsia="en-GB"/>
              </w:rPr>
            </w:pPr>
          </w:p>
        </w:tc>
        <w:tc>
          <w:tcPr>
            <w:tcW w:w="991" w:type="dxa"/>
            <w:tcBorders>
              <w:top w:val="nil"/>
              <w:left w:val="nil"/>
              <w:bottom w:val="nil"/>
              <w:right w:val="nil"/>
            </w:tcBorders>
            <w:shd w:val="clear" w:color="auto" w:fill="auto"/>
            <w:noWrap/>
            <w:vAlign w:val="bottom"/>
            <w:hideMark/>
          </w:tcPr>
          <w:p w14:paraId="05F5613A" w14:textId="77777777" w:rsidR="00C32556" w:rsidRPr="00C32556" w:rsidRDefault="00C32556" w:rsidP="00C32556">
            <w:pPr>
              <w:rPr>
                <w:rFonts w:ascii="Calibri" w:hAnsi="Calibri"/>
                <w:b/>
                <w:bCs/>
                <w:color w:val="000000"/>
                <w:sz w:val="22"/>
                <w:szCs w:val="22"/>
                <w:lang w:eastAsia="en-GB"/>
              </w:rPr>
            </w:pPr>
          </w:p>
        </w:tc>
        <w:tc>
          <w:tcPr>
            <w:tcW w:w="740" w:type="dxa"/>
            <w:tcBorders>
              <w:top w:val="nil"/>
              <w:left w:val="nil"/>
              <w:bottom w:val="nil"/>
              <w:right w:val="nil"/>
            </w:tcBorders>
            <w:shd w:val="clear" w:color="auto" w:fill="auto"/>
            <w:noWrap/>
            <w:vAlign w:val="bottom"/>
            <w:hideMark/>
          </w:tcPr>
          <w:p w14:paraId="319FAF2F" w14:textId="77777777" w:rsidR="00C32556" w:rsidRPr="00C32556" w:rsidRDefault="00C32556" w:rsidP="00C32556">
            <w:pPr>
              <w:rPr>
                <w:rFonts w:ascii="Calibri" w:hAnsi="Calibri"/>
                <w:b/>
                <w:bCs/>
                <w:color w:val="000000"/>
                <w:sz w:val="22"/>
                <w:szCs w:val="22"/>
                <w:lang w:eastAsia="en-GB"/>
              </w:rPr>
            </w:pPr>
          </w:p>
        </w:tc>
        <w:tc>
          <w:tcPr>
            <w:tcW w:w="4747" w:type="dxa"/>
            <w:tcBorders>
              <w:top w:val="nil"/>
              <w:left w:val="single" w:sz="4" w:space="0" w:color="FFFFFF"/>
              <w:bottom w:val="nil"/>
              <w:right w:val="nil"/>
            </w:tcBorders>
            <w:shd w:val="clear" w:color="auto" w:fill="auto"/>
            <w:vAlign w:val="center"/>
            <w:hideMark/>
          </w:tcPr>
          <w:p w14:paraId="561071FE" w14:textId="77777777" w:rsidR="00C32556" w:rsidRPr="00C32556" w:rsidRDefault="00C32556" w:rsidP="00C32556">
            <w:pPr>
              <w:rPr>
                <w:rFonts w:ascii="Calibri" w:hAnsi="Calibri"/>
                <w:b/>
                <w:bCs/>
                <w:color w:val="000000"/>
                <w:lang w:eastAsia="en-GB"/>
              </w:rPr>
            </w:pPr>
            <w:r w:rsidRPr="00C32556">
              <w:rPr>
                <w:rFonts w:ascii="Calibri" w:hAnsi="Calibri"/>
                <w:b/>
                <w:bCs/>
                <w:color w:val="000000"/>
                <w:lang w:eastAsia="en-GB"/>
              </w:rPr>
              <w:t> </w:t>
            </w:r>
          </w:p>
        </w:tc>
        <w:tc>
          <w:tcPr>
            <w:tcW w:w="236" w:type="dxa"/>
            <w:tcBorders>
              <w:top w:val="nil"/>
              <w:left w:val="nil"/>
              <w:bottom w:val="nil"/>
              <w:right w:val="nil"/>
            </w:tcBorders>
            <w:shd w:val="clear" w:color="auto" w:fill="auto"/>
            <w:noWrap/>
            <w:vAlign w:val="bottom"/>
            <w:hideMark/>
          </w:tcPr>
          <w:p w14:paraId="4FF207E5" w14:textId="77777777" w:rsidR="00C32556" w:rsidRPr="00C32556" w:rsidRDefault="00C32556" w:rsidP="00C32556">
            <w:pPr>
              <w:rPr>
                <w:rFonts w:ascii="Calibri" w:hAnsi="Calibri"/>
                <w:b/>
                <w:bCs/>
                <w:color w:val="000000"/>
                <w:sz w:val="22"/>
                <w:szCs w:val="22"/>
                <w:lang w:eastAsia="en-GB"/>
              </w:rPr>
            </w:pPr>
          </w:p>
        </w:tc>
        <w:tc>
          <w:tcPr>
            <w:tcW w:w="941" w:type="dxa"/>
            <w:tcBorders>
              <w:top w:val="nil"/>
              <w:left w:val="nil"/>
              <w:bottom w:val="nil"/>
              <w:right w:val="nil"/>
            </w:tcBorders>
            <w:shd w:val="clear" w:color="auto" w:fill="auto"/>
            <w:noWrap/>
            <w:vAlign w:val="bottom"/>
            <w:hideMark/>
          </w:tcPr>
          <w:p w14:paraId="1325C83E" w14:textId="77777777" w:rsidR="00C32556" w:rsidRPr="00C32556" w:rsidRDefault="00C32556" w:rsidP="00C32556">
            <w:pPr>
              <w:rPr>
                <w:rFonts w:ascii="Calibri" w:hAnsi="Calibri"/>
                <w:b/>
                <w:bCs/>
                <w:color w:val="000000"/>
                <w:sz w:val="22"/>
                <w:szCs w:val="22"/>
                <w:lang w:eastAsia="en-GB"/>
              </w:rPr>
            </w:pPr>
          </w:p>
        </w:tc>
        <w:tc>
          <w:tcPr>
            <w:tcW w:w="916" w:type="dxa"/>
            <w:tcBorders>
              <w:top w:val="nil"/>
              <w:left w:val="nil"/>
              <w:bottom w:val="nil"/>
              <w:right w:val="nil"/>
            </w:tcBorders>
            <w:shd w:val="clear" w:color="auto" w:fill="auto"/>
            <w:noWrap/>
            <w:vAlign w:val="bottom"/>
            <w:hideMark/>
          </w:tcPr>
          <w:p w14:paraId="2B7FA327" w14:textId="77777777" w:rsidR="00C32556" w:rsidRPr="00C32556" w:rsidRDefault="00C32556" w:rsidP="00C32556">
            <w:pPr>
              <w:rPr>
                <w:rFonts w:ascii="Calibri" w:hAnsi="Calibri"/>
                <w:b/>
                <w:bCs/>
                <w:color w:val="000000"/>
                <w:sz w:val="22"/>
                <w:szCs w:val="22"/>
                <w:lang w:eastAsia="en-GB"/>
              </w:rPr>
            </w:pPr>
          </w:p>
        </w:tc>
        <w:tc>
          <w:tcPr>
            <w:tcW w:w="927" w:type="dxa"/>
            <w:tcBorders>
              <w:top w:val="nil"/>
              <w:left w:val="nil"/>
              <w:bottom w:val="nil"/>
              <w:right w:val="nil"/>
            </w:tcBorders>
            <w:shd w:val="clear" w:color="auto" w:fill="auto"/>
            <w:noWrap/>
            <w:vAlign w:val="bottom"/>
            <w:hideMark/>
          </w:tcPr>
          <w:p w14:paraId="5AA2E496" w14:textId="77777777" w:rsidR="00C32556" w:rsidRPr="00C32556" w:rsidRDefault="00C32556" w:rsidP="00C32556">
            <w:pPr>
              <w:rPr>
                <w:rFonts w:ascii="Calibri" w:hAnsi="Calibri"/>
                <w:b/>
                <w:bCs/>
                <w:color w:val="000000"/>
                <w:sz w:val="22"/>
                <w:szCs w:val="22"/>
                <w:lang w:eastAsia="en-GB"/>
              </w:rPr>
            </w:pPr>
          </w:p>
        </w:tc>
      </w:tr>
      <w:tr w:rsidR="00C32556" w:rsidRPr="00C32556" w14:paraId="203D7ACF" w14:textId="77777777" w:rsidTr="002C2D15">
        <w:trPr>
          <w:trHeight w:val="300"/>
        </w:trPr>
        <w:tc>
          <w:tcPr>
            <w:tcW w:w="865" w:type="dxa"/>
            <w:tcBorders>
              <w:top w:val="single" w:sz="4" w:space="0" w:color="FFFFFF"/>
              <w:left w:val="single" w:sz="4" w:space="0" w:color="FFFFFF"/>
              <w:bottom w:val="single" w:sz="4" w:space="0" w:color="FFFFFF"/>
              <w:right w:val="single" w:sz="4" w:space="0" w:color="FFFFFF"/>
            </w:tcBorders>
            <w:shd w:val="clear" w:color="000000" w:fill="D8E4BC"/>
            <w:noWrap/>
            <w:vAlign w:val="bottom"/>
            <w:hideMark/>
          </w:tcPr>
          <w:p w14:paraId="3E0791E5" w14:textId="54D24235" w:rsidR="00C32556" w:rsidRPr="00C32556" w:rsidRDefault="00845765" w:rsidP="002D2006">
            <w:pPr>
              <w:jc w:val="right"/>
              <w:rPr>
                <w:rFonts w:ascii="Calibri" w:hAnsi="Calibri"/>
                <w:color w:val="000000"/>
                <w:lang w:eastAsia="en-GB"/>
              </w:rPr>
            </w:pPr>
            <w:r>
              <w:rPr>
                <w:rFonts w:ascii="Calibri" w:hAnsi="Calibri"/>
                <w:color w:val="000000"/>
                <w:lang w:eastAsia="en-GB"/>
              </w:rPr>
              <w:t>-1</w:t>
            </w:r>
            <w:r w:rsidR="00F57FC0">
              <w:rPr>
                <w:rFonts w:ascii="Calibri" w:hAnsi="Calibri"/>
                <w:color w:val="000000"/>
                <w:lang w:eastAsia="en-GB"/>
              </w:rPr>
              <w:t>4,897</w:t>
            </w:r>
          </w:p>
        </w:tc>
        <w:tc>
          <w:tcPr>
            <w:tcW w:w="991" w:type="dxa"/>
            <w:tcBorders>
              <w:top w:val="nil"/>
              <w:left w:val="nil"/>
              <w:bottom w:val="nil"/>
              <w:right w:val="nil"/>
            </w:tcBorders>
            <w:shd w:val="clear" w:color="000000" w:fill="EBF1DE"/>
            <w:noWrap/>
            <w:vAlign w:val="bottom"/>
            <w:hideMark/>
          </w:tcPr>
          <w:p w14:paraId="4374DCAD"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740" w:type="dxa"/>
            <w:tcBorders>
              <w:top w:val="nil"/>
              <w:left w:val="nil"/>
              <w:bottom w:val="nil"/>
              <w:right w:val="nil"/>
            </w:tcBorders>
            <w:shd w:val="clear" w:color="000000" w:fill="EBF1DE"/>
            <w:noWrap/>
            <w:vAlign w:val="bottom"/>
            <w:hideMark/>
          </w:tcPr>
          <w:p w14:paraId="7542B48F"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4983" w:type="dxa"/>
            <w:gridSpan w:val="2"/>
            <w:tcBorders>
              <w:top w:val="single" w:sz="4" w:space="0" w:color="FFFFFF"/>
              <w:left w:val="single" w:sz="4" w:space="0" w:color="FFFFFF"/>
              <w:bottom w:val="single" w:sz="4" w:space="0" w:color="FFFFFF"/>
              <w:right w:val="single" w:sz="4" w:space="0" w:color="FFFFFF"/>
            </w:tcBorders>
            <w:shd w:val="clear" w:color="000000" w:fill="EBF1DE"/>
            <w:vAlign w:val="center"/>
            <w:hideMark/>
          </w:tcPr>
          <w:p w14:paraId="1B15B861" w14:textId="77777777" w:rsidR="00C32556" w:rsidRPr="00C32556" w:rsidRDefault="00C32556" w:rsidP="004226ED">
            <w:pPr>
              <w:rPr>
                <w:rFonts w:ascii="Calibri" w:hAnsi="Calibri"/>
                <w:color w:val="000000"/>
                <w:lang w:eastAsia="en-GB"/>
              </w:rPr>
            </w:pPr>
            <w:r w:rsidRPr="00C32556">
              <w:rPr>
                <w:rFonts w:ascii="Calibri" w:hAnsi="Calibri"/>
                <w:color w:val="000000"/>
                <w:lang w:eastAsia="en-GB"/>
              </w:rPr>
              <w:t xml:space="preserve">Opening General Fund and HRA Balance </w:t>
            </w:r>
          </w:p>
        </w:tc>
        <w:tc>
          <w:tcPr>
            <w:tcW w:w="941" w:type="dxa"/>
            <w:tcBorders>
              <w:top w:val="single" w:sz="4" w:space="0" w:color="FFFFFF"/>
              <w:left w:val="nil"/>
              <w:bottom w:val="single" w:sz="4" w:space="0" w:color="FFFFFF"/>
              <w:right w:val="single" w:sz="4" w:space="0" w:color="FFFFFF"/>
            </w:tcBorders>
            <w:shd w:val="clear" w:color="000000" w:fill="D8E4BC"/>
            <w:noWrap/>
            <w:vAlign w:val="bottom"/>
            <w:hideMark/>
          </w:tcPr>
          <w:p w14:paraId="2B4F2068" w14:textId="02008EEB" w:rsidR="00C32556" w:rsidRPr="00C32556" w:rsidRDefault="00C32556" w:rsidP="00F17F1D">
            <w:pPr>
              <w:jc w:val="right"/>
              <w:rPr>
                <w:rFonts w:ascii="Calibri" w:hAnsi="Calibri"/>
                <w:color w:val="000000"/>
                <w:lang w:eastAsia="en-GB"/>
              </w:rPr>
            </w:pPr>
            <w:r w:rsidRPr="00C32556">
              <w:rPr>
                <w:rFonts w:ascii="Calibri" w:hAnsi="Calibri"/>
                <w:color w:val="000000"/>
                <w:lang w:eastAsia="en-GB"/>
              </w:rPr>
              <w:t>-</w:t>
            </w:r>
            <w:r w:rsidR="00845765">
              <w:rPr>
                <w:rFonts w:ascii="Calibri" w:hAnsi="Calibri"/>
                <w:color w:val="000000"/>
                <w:lang w:eastAsia="en-GB"/>
              </w:rPr>
              <w:t>1</w:t>
            </w:r>
            <w:r w:rsidR="00F57FC0">
              <w:rPr>
                <w:rFonts w:ascii="Calibri" w:hAnsi="Calibri"/>
                <w:color w:val="000000"/>
                <w:lang w:eastAsia="en-GB"/>
              </w:rPr>
              <w:t>2</w:t>
            </w:r>
            <w:r w:rsidR="002D2006">
              <w:rPr>
                <w:rFonts w:ascii="Calibri" w:hAnsi="Calibri"/>
                <w:color w:val="000000"/>
                <w:lang w:eastAsia="en-GB"/>
              </w:rPr>
              <w:t>,</w:t>
            </w:r>
            <w:r w:rsidR="00F57FC0">
              <w:rPr>
                <w:rFonts w:ascii="Calibri" w:hAnsi="Calibri"/>
                <w:color w:val="000000"/>
                <w:lang w:eastAsia="en-GB"/>
              </w:rPr>
              <w:t>206</w:t>
            </w:r>
          </w:p>
        </w:tc>
        <w:tc>
          <w:tcPr>
            <w:tcW w:w="916" w:type="dxa"/>
            <w:tcBorders>
              <w:top w:val="nil"/>
              <w:left w:val="nil"/>
              <w:bottom w:val="nil"/>
              <w:right w:val="nil"/>
            </w:tcBorders>
            <w:shd w:val="clear" w:color="000000" w:fill="EBF1DE"/>
            <w:noWrap/>
            <w:vAlign w:val="bottom"/>
            <w:hideMark/>
          </w:tcPr>
          <w:p w14:paraId="159AEDFB"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927" w:type="dxa"/>
            <w:tcBorders>
              <w:top w:val="nil"/>
              <w:left w:val="nil"/>
              <w:bottom w:val="nil"/>
              <w:right w:val="nil"/>
            </w:tcBorders>
            <w:shd w:val="clear" w:color="000000" w:fill="EBF1DE"/>
            <w:noWrap/>
            <w:vAlign w:val="bottom"/>
            <w:hideMark/>
          </w:tcPr>
          <w:p w14:paraId="73A8727F"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r>
      <w:tr w:rsidR="00C32556" w:rsidRPr="00C32556" w14:paraId="28360A1C" w14:textId="77777777" w:rsidTr="002C2D15">
        <w:trPr>
          <w:trHeight w:val="300"/>
        </w:trPr>
        <w:tc>
          <w:tcPr>
            <w:tcW w:w="865" w:type="dxa"/>
            <w:tcBorders>
              <w:top w:val="nil"/>
              <w:left w:val="single" w:sz="4" w:space="0" w:color="FFFFFF"/>
              <w:bottom w:val="single" w:sz="4" w:space="0" w:color="FFFFFF"/>
              <w:right w:val="single" w:sz="4" w:space="0" w:color="FFFFFF"/>
            </w:tcBorders>
            <w:shd w:val="clear" w:color="000000" w:fill="D8E4BC"/>
            <w:noWrap/>
            <w:vAlign w:val="bottom"/>
            <w:hideMark/>
          </w:tcPr>
          <w:p w14:paraId="719D16A9" w14:textId="0C2D1228" w:rsidR="00C32556" w:rsidRPr="00C32556" w:rsidRDefault="00F57FC0" w:rsidP="00C32556">
            <w:pPr>
              <w:jc w:val="right"/>
              <w:rPr>
                <w:rFonts w:ascii="Calibri" w:hAnsi="Calibri"/>
                <w:color w:val="000000"/>
                <w:lang w:eastAsia="en-GB"/>
              </w:rPr>
            </w:pPr>
            <w:r>
              <w:rPr>
                <w:rFonts w:ascii="Calibri" w:hAnsi="Calibri"/>
                <w:color w:val="000000"/>
                <w:lang w:eastAsia="en-GB"/>
              </w:rPr>
              <w:t>2,691</w:t>
            </w:r>
          </w:p>
        </w:tc>
        <w:tc>
          <w:tcPr>
            <w:tcW w:w="991" w:type="dxa"/>
            <w:tcBorders>
              <w:top w:val="nil"/>
              <w:left w:val="nil"/>
              <w:bottom w:val="nil"/>
              <w:right w:val="nil"/>
            </w:tcBorders>
            <w:shd w:val="clear" w:color="000000" w:fill="EBF1DE"/>
            <w:noWrap/>
            <w:vAlign w:val="bottom"/>
            <w:hideMark/>
          </w:tcPr>
          <w:p w14:paraId="327B4BD4"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740" w:type="dxa"/>
            <w:tcBorders>
              <w:top w:val="nil"/>
              <w:left w:val="nil"/>
              <w:bottom w:val="nil"/>
              <w:right w:val="nil"/>
            </w:tcBorders>
            <w:shd w:val="clear" w:color="000000" w:fill="EBF1DE"/>
            <w:noWrap/>
            <w:vAlign w:val="bottom"/>
            <w:hideMark/>
          </w:tcPr>
          <w:p w14:paraId="3F18D65D"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4983" w:type="dxa"/>
            <w:gridSpan w:val="2"/>
            <w:tcBorders>
              <w:top w:val="single" w:sz="4" w:space="0" w:color="FFFFFF"/>
              <w:left w:val="single" w:sz="4" w:space="0" w:color="FFFFFF"/>
              <w:bottom w:val="single" w:sz="4" w:space="0" w:color="FFFFFF"/>
              <w:right w:val="single" w:sz="4" w:space="0" w:color="FFFFFF"/>
            </w:tcBorders>
            <w:shd w:val="clear" w:color="000000" w:fill="EBF1DE"/>
            <w:vAlign w:val="center"/>
            <w:hideMark/>
          </w:tcPr>
          <w:p w14:paraId="36E4792A"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xml:space="preserve">Less </w:t>
            </w:r>
            <w:proofErr w:type="gramStart"/>
            <w:r w:rsidRPr="00C32556">
              <w:rPr>
                <w:rFonts w:ascii="Calibri" w:hAnsi="Calibri"/>
                <w:color w:val="000000"/>
                <w:lang w:eastAsia="en-GB"/>
              </w:rPr>
              <w:t>Su</w:t>
            </w:r>
            <w:r>
              <w:rPr>
                <w:rFonts w:ascii="Calibri" w:hAnsi="Calibri"/>
                <w:color w:val="000000"/>
                <w:lang w:eastAsia="en-GB"/>
              </w:rPr>
              <w:t>r</w:t>
            </w:r>
            <w:r w:rsidRPr="00C32556">
              <w:rPr>
                <w:rFonts w:ascii="Calibri" w:hAnsi="Calibri"/>
                <w:color w:val="000000"/>
                <w:lang w:eastAsia="en-GB"/>
              </w:rPr>
              <w:t>plus(</w:t>
            </w:r>
            <w:proofErr w:type="gramEnd"/>
            <w:r w:rsidRPr="00C32556">
              <w:rPr>
                <w:rFonts w:ascii="Calibri" w:hAnsi="Calibri"/>
                <w:color w:val="000000"/>
                <w:lang w:eastAsia="en-GB"/>
              </w:rPr>
              <w:t>-)/Deficit on General Fund and HRA Balance in year</w:t>
            </w:r>
          </w:p>
        </w:tc>
        <w:tc>
          <w:tcPr>
            <w:tcW w:w="941" w:type="dxa"/>
            <w:tcBorders>
              <w:top w:val="nil"/>
              <w:left w:val="nil"/>
              <w:bottom w:val="single" w:sz="4" w:space="0" w:color="FFFFFF"/>
              <w:right w:val="single" w:sz="4" w:space="0" w:color="FFFFFF"/>
            </w:tcBorders>
            <w:shd w:val="clear" w:color="000000" w:fill="D8E4BC"/>
            <w:noWrap/>
            <w:vAlign w:val="bottom"/>
          </w:tcPr>
          <w:p w14:paraId="76090FC1" w14:textId="1997AA79" w:rsidR="00C32556" w:rsidRPr="00C32556" w:rsidRDefault="00A55057" w:rsidP="000C4293">
            <w:pPr>
              <w:jc w:val="right"/>
              <w:rPr>
                <w:rFonts w:ascii="Calibri" w:hAnsi="Calibri"/>
                <w:color w:val="000000"/>
                <w:lang w:eastAsia="en-GB"/>
              </w:rPr>
            </w:pPr>
            <w:r>
              <w:rPr>
                <w:rFonts w:ascii="Calibri" w:hAnsi="Calibri"/>
                <w:color w:val="000000"/>
                <w:lang w:eastAsia="en-GB"/>
              </w:rPr>
              <w:t>-52</w:t>
            </w:r>
          </w:p>
        </w:tc>
        <w:tc>
          <w:tcPr>
            <w:tcW w:w="916" w:type="dxa"/>
            <w:tcBorders>
              <w:top w:val="nil"/>
              <w:left w:val="nil"/>
              <w:bottom w:val="nil"/>
              <w:right w:val="nil"/>
            </w:tcBorders>
            <w:shd w:val="clear" w:color="000000" w:fill="EBF1DE"/>
            <w:noWrap/>
            <w:vAlign w:val="bottom"/>
            <w:hideMark/>
          </w:tcPr>
          <w:p w14:paraId="54AE549A"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c>
          <w:tcPr>
            <w:tcW w:w="927" w:type="dxa"/>
            <w:tcBorders>
              <w:top w:val="nil"/>
              <w:left w:val="nil"/>
              <w:bottom w:val="nil"/>
              <w:right w:val="nil"/>
            </w:tcBorders>
            <w:shd w:val="clear" w:color="000000" w:fill="EBF1DE"/>
            <w:noWrap/>
            <w:vAlign w:val="bottom"/>
            <w:hideMark/>
          </w:tcPr>
          <w:p w14:paraId="3EF06A97" w14:textId="77777777" w:rsidR="00C32556" w:rsidRPr="00C32556" w:rsidRDefault="00C32556" w:rsidP="00C32556">
            <w:pPr>
              <w:rPr>
                <w:rFonts w:ascii="Calibri" w:hAnsi="Calibri"/>
                <w:color w:val="000000"/>
                <w:lang w:eastAsia="en-GB"/>
              </w:rPr>
            </w:pPr>
            <w:r w:rsidRPr="00C32556">
              <w:rPr>
                <w:rFonts w:ascii="Calibri" w:hAnsi="Calibri"/>
                <w:color w:val="000000"/>
                <w:lang w:eastAsia="en-GB"/>
              </w:rPr>
              <w:t> </w:t>
            </w:r>
          </w:p>
        </w:tc>
      </w:tr>
      <w:tr w:rsidR="00C32556" w:rsidRPr="00C32556" w14:paraId="77A6B0E3" w14:textId="77777777" w:rsidTr="002C2D15">
        <w:trPr>
          <w:trHeight w:val="300"/>
        </w:trPr>
        <w:tc>
          <w:tcPr>
            <w:tcW w:w="865" w:type="dxa"/>
            <w:tcBorders>
              <w:top w:val="nil"/>
              <w:left w:val="single" w:sz="4" w:space="0" w:color="FFFFFF"/>
              <w:bottom w:val="single" w:sz="4" w:space="0" w:color="FFFFFF"/>
              <w:right w:val="single" w:sz="4" w:space="0" w:color="FFFFFF"/>
            </w:tcBorders>
            <w:shd w:val="clear" w:color="000000" w:fill="D8E4BC"/>
            <w:noWrap/>
            <w:vAlign w:val="bottom"/>
            <w:hideMark/>
          </w:tcPr>
          <w:p w14:paraId="3C2E9330" w14:textId="27221EA0" w:rsidR="00C32556" w:rsidRPr="00C32556" w:rsidRDefault="00845765" w:rsidP="002D2006">
            <w:pPr>
              <w:jc w:val="right"/>
              <w:rPr>
                <w:rFonts w:ascii="Calibri" w:hAnsi="Calibri"/>
                <w:b/>
                <w:bCs/>
                <w:color w:val="000000"/>
                <w:lang w:eastAsia="en-GB"/>
              </w:rPr>
            </w:pPr>
            <w:r>
              <w:rPr>
                <w:rFonts w:ascii="Calibri" w:hAnsi="Calibri"/>
                <w:b/>
                <w:bCs/>
                <w:color w:val="000000"/>
                <w:lang w:eastAsia="en-GB"/>
              </w:rPr>
              <w:t>-1</w:t>
            </w:r>
            <w:r w:rsidR="00F57FC0">
              <w:rPr>
                <w:rFonts w:ascii="Calibri" w:hAnsi="Calibri"/>
                <w:b/>
                <w:bCs/>
                <w:color w:val="000000"/>
                <w:lang w:eastAsia="en-GB"/>
              </w:rPr>
              <w:t>2,206</w:t>
            </w:r>
          </w:p>
        </w:tc>
        <w:tc>
          <w:tcPr>
            <w:tcW w:w="991" w:type="dxa"/>
            <w:tcBorders>
              <w:top w:val="nil"/>
              <w:left w:val="nil"/>
              <w:bottom w:val="nil"/>
              <w:right w:val="nil"/>
            </w:tcBorders>
            <w:shd w:val="clear" w:color="000000" w:fill="EBF1DE"/>
            <w:noWrap/>
            <w:vAlign w:val="bottom"/>
            <w:hideMark/>
          </w:tcPr>
          <w:p w14:paraId="61D1690F" w14:textId="77777777" w:rsidR="00C32556" w:rsidRPr="00C32556" w:rsidRDefault="00C32556" w:rsidP="00C32556">
            <w:pPr>
              <w:rPr>
                <w:rFonts w:ascii="Calibri" w:hAnsi="Calibri"/>
                <w:b/>
                <w:bCs/>
                <w:color w:val="000000"/>
                <w:lang w:eastAsia="en-GB"/>
              </w:rPr>
            </w:pPr>
            <w:r w:rsidRPr="00C32556">
              <w:rPr>
                <w:rFonts w:ascii="Calibri" w:hAnsi="Calibri"/>
                <w:b/>
                <w:bCs/>
                <w:color w:val="000000"/>
                <w:lang w:eastAsia="en-GB"/>
              </w:rPr>
              <w:t> </w:t>
            </w:r>
          </w:p>
        </w:tc>
        <w:tc>
          <w:tcPr>
            <w:tcW w:w="740" w:type="dxa"/>
            <w:tcBorders>
              <w:top w:val="nil"/>
              <w:left w:val="nil"/>
              <w:bottom w:val="nil"/>
              <w:right w:val="nil"/>
            </w:tcBorders>
            <w:shd w:val="clear" w:color="000000" w:fill="EBF1DE"/>
            <w:noWrap/>
            <w:vAlign w:val="bottom"/>
            <w:hideMark/>
          </w:tcPr>
          <w:p w14:paraId="39B84F5F" w14:textId="77777777" w:rsidR="00C32556" w:rsidRPr="00C32556" w:rsidRDefault="00C32556" w:rsidP="00C32556">
            <w:pPr>
              <w:rPr>
                <w:rFonts w:ascii="Calibri" w:hAnsi="Calibri"/>
                <w:b/>
                <w:bCs/>
                <w:color w:val="000000"/>
                <w:lang w:eastAsia="en-GB"/>
              </w:rPr>
            </w:pPr>
            <w:r w:rsidRPr="00C32556">
              <w:rPr>
                <w:rFonts w:ascii="Calibri" w:hAnsi="Calibri"/>
                <w:b/>
                <w:bCs/>
                <w:color w:val="000000"/>
                <w:lang w:eastAsia="en-GB"/>
              </w:rPr>
              <w:t> </w:t>
            </w:r>
          </w:p>
        </w:tc>
        <w:tc>
          <w:tcPr>
            <w:tcW w:w="4747" w:type="dxa"/>
            <w:tcBorders>
              <w:top w:val="nil"/>
              <w:left w:val="single" w:sz="4" w:space="0" w:color="FFFFFF"/>
              <w:bottom w:val="single" w:sz="4" w:space="0" w:color="FFFFFF"/>
              <w:right w:val="nil"/>
            </w:tcBorders>
            <w:shd w:val="clear" w:color="000000" w:fill="D8E4BC"/>
            <w:noWrap/>
            <w:vAlign w:val="bottom"/>
            <w:hideMark/>
          </w:tcPr>
          <w:p w14:paraId="6EC9D111" w14:textId="39CE762C" w:rsidR="00C32556" w:rsidRPr="00C32556" w:rsidRDefault="00C32556" w:rsidP="0066789A">
            <w:pPr>
              <w:rPr>
                <w:rFonts w:ascii="Calibri" w:hAnsi="Calibri"/>
                <w:b/>
                <w:bCs/>
                <w:color w:val="000000"/>
                <w:lang w:eastAsia="en-GB"/>
              </w:rPr>
            </w:pPr>
            <w:r w:rsidRPr="00C32556">
              <w:rPr>
                <w:rFonts w:ascii="Calibri" w:hAnsi="Calibri"/>
                <w:b/>
                <w:bCs/>
                <w:color w:val="000000"/>
                <w:lang w:eastAsia="en-GB"/>
              </w:rPr>
              <w:t xml:space="preserve">Closing General Fund </w:t>
            </w:r>
            <w:r w:rsidR="00845765">
              <w:rPr>
                <w:rFonts w:ascii="Calibri" w:hAnsi="Calibri"/>
                <w:b/>
                <w:bCs/>
                <w:color w:val="000000"/>
                <w:lang w:eastAsia="en-GB"/>
              </w:rPr>
              <w:t xml:space="preserve">and HRA Balance </w:t>
            </w:r>
            <w:proofErr w:type="gramStart"/>
            <w:r w:rsidR="00845765">
              <w:rPr>
                <w:rFonts w:ascii="Calibri" w:hAnsi="Calibri"/>
                <w:b/>
                <w:bCs/>
                <w:color w:val="000000"/>
                <w:lang w:eastAsia="en-GB"/>
              </w:rPr>
              <w:t>at</w:t>
            </w:r>
            <w:proofErr w:type="gramEnd"/>
            <w:r w:rsidR="00845765">
              <w:rPr>
                <w:rFonts w:ascii="Calibri" w:hAnsi="Calibri"/>
                <w:b/>
                <w:bCs/>
                <w:color w:val="000000"/>
                <w:lang w:eastAsia="en-GB"/>
              </w:rPr>
              <w:t xml:space="preserve"> 31 March 20</w:t>
            </w:r>
            <w:r w:rsidR="00F17F1D">
              <w:rPr>
                <w:rFonts w:ascii="Calibri" w:hAnsi="Calibri"/>
                <w:b/>
                <w:bCs/>
                <w:color w:val="000000"/>
                <w:lang w:eastAsia="en-GB"/>
              </w:rPr>
              <w:t>2</w:t>
            </w:r>
            <w:r w:rsidR="00F57FC0">
              <w:rPr>
                <w:rFonts w:ascii="Calibri" w:hAnsi="Calibri"/>
                <w:b/>
                <w:bCs/>
                <w:color w:val="000000"/>
                <w:lang w:eastAsia="en-GB"/>
              </w:rPr>
              <w:t>3</w:t>
            </w:r>
            <w:r w:rsidRPr="00C32556">
              <w:rPr>
                <w:rFonts w:ascii="Calibri" w:hAnsi="Calibri"/>
                <w:b/>
                <w:bCs/>
                <w:color w:val="000000"/>
                <w:lang w:eastAsia="en-GB"/>
              </w:rPr>
              <w:t>*</w:t>
            </w:r>
          </w:p>
        </w:tc>
        <w:tc>
          <w:tcPr>
            <w:tcW w:w="236" w:type="dxa"/>
            <w:tcBorders>
              <w:top w:val="nil"/>
              <w:left w:val="nil"/>
              <w:bottom w:val="single" w:sz="4" w:space="0" w:color="FFFFFF"/>
              <w:right w:val="single" w:sz="4" w:space="0" w:color="FFFFFF"/>
            </w:tcBorders>
            <w:shd w:val="clear" w:color="000000" w:fill="D8E4BC"/>
            <w:noWrap/>
            <w:vAlign w:val="bottom"/>
            <w:hideMark/>
          </w:tcPr>
          <w:p w14:paraId="4F66660C" w14:textId="77777777" w:rsidR="00C32556" w:rsidRPr="00C32556" w:rsidRDefault="00C32556" w:rsidP="00C32556">
            <w:pPr>
              <w:rPr>
                <w:rFonts w:ascii="Calibri" w:hAnsi="Calibri"/>
                <w:b/>
                <w:bCs/>
                <w:color w:val="000000"/>
                <w:sz w:val="22"/>
                <w:szCs w:val="22"/>
                <w:lang w:eastAsia="en-GB"/>
              </w:rPr>
            </w:pPr>
            <w:r w:rsidRPr="00C32556">
              <w:rPr>
                <w:rFonts w:ascii="Calibri" w:hAnsi="Calibri"/>
                <w:b/>
                <w:bCs/>
                <w:color w:val="000000"/>
                <w:sz w:val="22"/>
                <w:szCs w:val="22"/>
                <w:lang w:eastAsia="en-GB"/>
              </w:rPr>
              <w:t> </w:t>
            </w:r>
          </w:p>
        </w:tc>
        <w:tc>
          <w:tcPr>
            <w:tcW w:w="941" w:type="dxa"/>
            <w:tcBorders>
              <w:top w:val="nil"/>
              <w:left w:val="nil"/>
              <w:bottom w:val="single" w:sz="4" w:space="0" w:color="FFFFFF"/>
              <w:right w:val="single" w:sz="4" w:space="0" w:color="FFFFFF"/>
            </w:tcBorders>
            <w:shd w:val="clear" w:color="000000" w:fill="D8E4BC"/>
            <w:noWrap/>
            <w:vAlign w:val="bottom"/>
          </w:tcPr>
          <w:p w14:paraId="2665B15A" w14:textId="416D8836" w:rsidR="00C32556" w:rsidRPr="00C32556" w:rsidRDefault="00A55057" w:rsidP="00CE72BD">
            <w:pPr>
              <w:jc w:val="right"/>
              <w:rPr>
                <w:rFonts w:ascii="Calibri" w:hAnsi="Calibri"/>
                <w:b/>
                <w:bCs/>
                <w:color w:val="000000"/>
                <w:lang w:eastAsia="en-GB"/>
              </w:rPr>
            </w:pPr>
            <w:r>
              <w:rPr>
                <w:rFonts w:ascii="Calibri" w:hAnsi="Calibri"/>
                <w:b/>
                <w:bCs/>
                <w:color w:val="000000"/>
                <w:lang w:eastAsia="en-GB"/>
              </w:rPr>
              <w:t>-12,258</w:t>
            </w:r>
          </w:p>
        </w:tc>
        <w:tc>
          <w:tcPr>
            <w:tcW w:w="916" w:type="dxa"/>
            <w:tcBorders>
              <w:top w:val="nil"/>
              <w:left w:val="nil"/>
              <w:bottom w:val="nil"/>
              <w:right w:val="nil"/>
            </w:tcBorders>
            <w:shd w:val="clear" w:color="000000" w:fill="EBF1DE"/>
            <w:noWrap/>
            <w:vAlign w:val="bottom"/>
            <w:hideMark/>
          </w:tcPr>
          <w:p w14:paraId="26519F1E" w14:textId="77777777" w:rsidR="00C32556" w:rsidRPr="00C32556" w:rsidRDefault="00C32556" w:rsidP="00C32556">
            <w:pPr>
              <w:rPr>
                <w:rFonts w:ascii="Calibri" w:hAnsi="Calibri"/>
                <w:b/>
                <w:bCs/>
                <w:color w:val="000000"/>
                <w:lang w:eastAsia="en-GB"/>
              </w:rPr>
            </w:pPr>
            <w:r w:rsidRPr="00C32556">
              <w:rPr>
                <w:rFonts w:ascii="Calibri" w:hAnsi="Calibri"/>
                <w:b/>
                <w:bCs/>
                <w:color w:val="000000"/>
                <w:lang w:eastAsia="en-GB"/>
              </w:rPr>
              <w:t> </w:t>
            </w:r>
          </w:p>
        </w:tc>
        <w:tc>
          <w:tcPr>
            <w:tcW w:w="927" w:type="dxa"/>
            <w:tcBorders>
              <w:top w:val="nil"/>
              <w:left w:val="nil"/>
              <w:bottom w:val="nil"/>
              <w:right w:val="nil"/>
            </w:tcBorders>
            <w:shd w:val="clear" w:color="000000" w:fill="EBF1DE"/>
            <w:noWrap/>
            <w:vAlign w:val="bottom"/>
            <w:hideMark/>
          </w:tcPr>
          <w:p w14:paraId="2451F813" w14:textId="77777777" w:rsidR="00C32556" w:rsidRPr="00C32556" w:rsidRDefault="00C32556" w:rsidP="00C32556">
            <w:pPr>
              <w:rPr>
                <w:rFonts w:ascii="Calibri" w:hAnsi="Calibri"/>
                <w:b/>
                <w:bCs/>
                <w:color w:val="000000"/>
                <w:lang w:eastAsia="en-GB"/>
              </w:rPr>
            </w:pPr>
            <w:r w:rsidRPr="00C32556">
              <w:rPr>
                <w:rFonts w:ascii="Calibri" w:hAnsi="Calibri"/>
                <w:b/>
                <w:bCs/>
                <w:color w:val="000000"/>
                <w:lang w:eastAsia="en-GB"/>
              </w:rPr>
              <w:t> </w:t>
            </w:r>
          </w:p>
        </w:tc>
      </w:tr>
      <w:tr w:rsidR="00C32556" w:rsidRPr="00C32556" w14:paraId="71567166" w14:textId="77777777" w:rsidTr="004E213E">
        <w:trPr>
          <w:trHeight w:val="300"/>
        </w:trPr>
        <w:tc>
          <w:tcPr>
            <w:tcW w:w="8520" w:type="dxa"/>
            <w:gridSpan w:val="6"/>
            <w:tcBorders>
              <w:top w:val="nil"/>
              <w:left w:val="nil"/>
              <w:bottom w:val="nil"/>
              <w:right w:val="nil"/>
            </w:tcBorders>
            <w:shd w:val="clear" w:color="auto" w:fill="auto"/>
            <w:noWrap/>
            <w:vAlign w:val="bottom"/>
            <w:hideMark/>
          </w:tcPr>
          <w:p w14:paraId="50DCF950" w14:textId="77777777" w:rsidR="00C32556" w:rsidRPr="00C32556" w:rsidRDefault="00C32556" w:rsidP="00C32556">
            <w:pPr>
              <w:rPr>
                <w:rFonts w:ascii="Calibri" w:hAnsi="Calibri"/>
                <w:color w:val="000000"/>
                <w:sz w:val="16"/>
                <w:szCs w:val="16"/>
                <w:lang w:eastAsia="en-GB"/>
              </w:rPr>
            </w:pPr>
            <w:r w:rsidRPr="00C32556">
              <w:rPr>
                <w:rFonts w:ascii="Calibri" w:hAnsi="Calibri"/>
                <w:color w:val="000000"/>
                <w:sz w:val="16"/>
                <w:szCs w:val="16"/>
                <w:lang w:eastAsia="en-GB"/>
              </w:rPr>
              <w:t>*</w:t>
            </w:r>
            <w:proofErr w:type="gramStart"/>
            <w:r w:rsidRPr="00C32556">
              <w:rPr>
                <w:rFonts w:ascii="Calibri" w:hAnsi="Calibri"/>
                <w:color w:val="000000"/>
                <w:sz w:val="16"/>
                <w:szCs w:val="16"/>
                <w:lang w:eastAsia="en-GB"/>
              </w:rPr>
              <w:t>for</w:t>
            </w:r>
            <w:proofErr w:type="gramEnd"/>
            <w:r w:rsidRPr="00C32556">
              <w:rPr>
                <w:rFonts w:ascii="Calibri" w:hAnsi="Calibri"/>
                <w:color w:val="000000"/>
                <w:sz w:val="16"/>
                <w:szCs w:val="16"/>
                <w:lang w:eastAsia="en-GB"/>
              </w:rPr>
              <w:t xml:space="preserve"> a split of this balance between the General Fund and the HRA - See the Movement in Reserves Statement</w:t>
            </w:r>
          </w:p>
        </w:tc>
        <w:tc>
          <w:tcPr>
            <w:tcW w:w="916" w:type="dxa"/>
            <w:tcBorders>
              <w:top w:val="nil"/>
              <w:left w:val="nil"/>
              <w:bottom w:val="nil"/>
              <w:right w:val="nil"/>
            </w:tcBorders>
            <w:shd w:val="clear" w:color="auto" w:fill="auto"/>
            <w:noWrap/>
            <w:vAlign w:val="bottom"/>
            <w:hideMark/>
          </w:tcPr>
          <w:p w14:paraId="48554DD9" w14:textId="77777777" w:rsidR="00C32556" w:rsidRPr="00C32556" w:rsidRDefault="00C32556" w:rsidP="00C32556">
            <w:pPr>
              <w:rPr>
                <w:rFonts w:ascii="Calibri" w:hAnsi="Calibri"/>
                <w:color w:val="000000"/>
                <w:sz w:val="22"/>
                <w:szCs w:val="22"/>
                <w:lang w:eastAsia="en-GB"/>
              </w:rPr>
            </w:pPr>
          </w:p>
        </w:tc>
        <w:tc>
          <w:tcPr>
            <w:tcW w:w="927" w:type="dxa"/>
            <w:tcBorders>
              <w:top w:val="nil"/>
              <w:left w:val="nil"/>
              <w:bottom w:val="nil"/>
              <w:right w:val="nil"/>
            </w:tcBorders>
            <w:shd w:val="clear" w:color="auto" w:fill="auto"/>
            <w:noWrap/>
            <w:vAlign w:val="bottom"/>
            <w:hideMark/>
          </w:tcPr>
          <w:p w14:paraId="0B986B3B" w14:textId="77777777" w:rsidR="00C32556" w:rsidRPr="00C32556" w:rsidRDefault="00C32556" w:rsidP="00C32556">
            <w:pPr>
              <w:rPr>
                <w:rFonts w:ascii="Calibri" w:hAnsi="Calibri"/>
                <w:color w:val="000000"/>
                <w:sz w:val="22"/>
                <w:szCs w:val="22"/>
                <w:lang w:eastAsia="en-GB"/>
              </w:rPr>
            </w:pPr>
          </w:p>
        </w:tc>
      </w:tr>
    </w:tbl>
    <w:p w14:paraId="1C495463" w14:textId="77777777" w:rsidR="00761172" w:rsidRDefault="00761172" w:rsidP="00761172">
      <w:pPr>
        <w:widowControl w:val="0"/>
        <w:tabs>
          <w:tab w:val="left" w:pos="720"/>
          <w:tab w:val="left" w:pos="7200"/>
          <w:tab w:val="left" w:pos="8640"/>
        </w:tabs>
        <w:rPr>
          <w:rFonts w:ascii="Arial" w:hAnsi="Arial" w:cs="Arial"/>
          <w:b/>
        </w:rPr>
      </w:pPr>
    </w:p>
    <w:p w14:paraId="44371708" w14:textId="77777777" w:rsidR="00D80F0B" w:rsidRDefault="00D80F0B" w:rsidP="00EB1FC3">
      <w:pPr>
        <w:widowControl w:val="0"/>
        <w:tabs>
          <w:tab w:val="left" w:pos="0"/>
          <w:tab w:val="left" w:pos="720"/>
          <w:tab w:val="left" w:pos="1800"/>
          <w:tab w:val="left" w:pos="6768"/>
          <w:tab w:val="left" w:pos="8640"/>
        </w:tabs>
        <w:ind w:right="720"/>
        <w:rPr>
          <w:rFonts w:ascii="Arial" w:hAnsi="Arial" w:cs="Arial"/>
        </w:rPr>
      </w:pPr>
    </w:p>
    <w:p w14:paraId="107B692C"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697E7999"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340BE0C3"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46BA6E2F"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7921D6A4"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22343C0E"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48F09CE8"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51C0567C"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5AC2A398"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780AE22C"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549397A9" w14:textId="77777777" w:rsidR="00F17F1D" w:rsidRDefault="00F17F1D" w:rsidP="00EB1FC3">
      <w:pPr>
        <w:widowControl w:val="0"/>
        <w:tabs>
          <w:tab w:val="left" w:pos="0"/>
          <w:tab w:val="left" w:pos="720"/>
          <w:tab w:val="left" w:pos="1800"/>
          <w:tab w:val="left" w:pos="6768"/>
          <w:tab w:val="left" w:pos="8640"/>
        </w:tabs>
        <w:ind w:right="720"/>
        <w:rPr>
          <w:rFonts w:ascii="Arial" w:hAnsi="Arial" w:cs="Arial"/>
        </w:rPr>
      </w:pPr>
    </w:p>
    <w:p w14:paraId="3D2E1AF7" w14:textId="77777777" w:rsidR="00F17F1D" w:rsidRDefault="00F17F1D" w:rsidP="00EB1FC3">
      <w:pPr>
        <w:widowControl w:val="0"/>
        <w:tabs>
          <w:tab w:val="left" w:pos="0"/>
          <w:tab w:val="left" w:pos="720"/>
          <w:tab w:val="left" w:pos="1800"/>
          <w:tab w:val="left" w:pos="6768"/>
          <w:tab w:val="left" w:pos="8640"/>
        </w:tabs>
        <w:ind w:right="720"/>
        <w:rPr>
          <w:rFonts w:ascii="Arial" w:hAnsi="Arial" w:cs="Arial"/>
        </w:rPr>
      </w:pPr>
    </w:p>
    <w:p w14:paraId="2CCD5724" w14:textId="77777777" w:rsidR="004226ED" w:rsidRDefault="004226ED" w:rsidP="00EB1FC3">
      <w:pPr>
        <w:widowControl w:val="0"/>
        <w:tabs>
          <w:tab w:val="left" w:pos="0"/>
          <w:tab w:val="left" w:pos="720"/>
          <w:tab w:val="left" w:pos="1800"/>
          <w:tab w:val="left" w:pos="6768"/>
          <w:tab w:val="left" w:pos="8640"/>
        </w:tabs>
        <w:ind w:right="720"/>
        <w:rPr>
          <w:rFonts w:ascii="Arial" w:hAnsi="Arial" w:cs="Arial"/>
        </w:rPr>
      </w:pPr>
    </w:p>
    <w:p w14:paraId="5C94B8A6" w14:textId="77777777" w:rsidR="00BE5379" w:rsidRDefault="00BE5379" w:rsidP="00EB1FC3">
      <w:pPr>
        <w:widowControl w:val="0"/>
        <w:tabs>
          <w:tab w:val="left" w:pos="0"/>
          <w:tab w:val="left" w:pos="720"/>
          <w:tab w:val="left" w:pos="1800"/>
          <w:tab w:val="left" w:pos="6768"/>
          <w:tab w:val="left" w:pos="8640"/>
        </w:tabs>
        <w:ind w:right="720"/>
        <w:rPr>
          <w:rFonts w:ascii="Arial" w:hAnsi="Arial" w:cs="Arial"/>
        </w:rPr>
      </w:pPr>
    </w:p>
    <w:p w14:paraId="507C9777" w14:textId="77777777" w:rsidR="00D80F0B" w:rsidRDefault="00D80F0B" w:rsidP="00EB1FC3">
      <w:pPr>
        <w:widowControl w:val="0"/>
        <w:tabs>
          <w:tab w:val="left" w:pos="0"/>
          <w:tab w:val="left" w:pos="720"/>
          <w:tab w:val="left" w:pos="1800"/>
          <w:tab w:val="left" w:pos="6768"/>
          <w:tab w:val="left" w:pos="8640"/>
        </w:tabs>
        <w:ind w:right="720"/>
        <w:rPr>
          <w:rFonts w:ascii="Arial" w:hAnsi="Arial" w:cs="Arial"/>
        </w:rPr>
      </w:pPr>
    </w:p>
    <w:p w14:paraId="56CB7DEE" w14:textId="00434FBC" w:rsidR="00D80F0B" w:rsidRPr="00775471" w:rsidRDefault="00775471" w:rsidP="00704A70">
      <w:pPr>
        <w:pStyle w:val="Heading2"/>
      </w:pPr>
      <w:r>
        <w:lastRenderedPageBreak/>
        <w:t>2</w:t>
      </w:r>
      <w:r>
        <w:tab/>
        <w:t xml:space="preserve">Note to the Expenditure </w:t>
      </w:r>
      <w:r w:rsidR="00704A70">
        <w:t>and</w:t>
      </w:r>
      <w:r>
        <w:t xml:space="preserve"> Funding Analysis</w:t>
      </w:r>
    </w:p>
    <w:p w14:paraId="57AAFB29" w14:textId="77777777" w:rsidR="00D80F0B" w:rsidRDefault="00D80F0B" w:rsidP="00EB1FC3">
      <w:pPr>
        <w:widowControl w:val="0"/>
        <w:tabs>
          <w:tab w:val="left" w:pos="0"/>
          <w:tab w:val="left" w:pos="720"/>
          <w:tab w:val="left" w:pos="1800"/>
          <w:tab w:val="left" w:pos="6768"/>
          <w:tab w:val="left" w:pos="8640"/>
        </w:tabs>
        <w:ind w:right="720"/>
        <w:rPr>
          <w:rFonts w:ascii="Arial" w:hAnsi="Arial" w:cs="Arial"/>
        </w:rPr>
      </w:pPr>
    </w:p>
    <w:p w14:paraId="55723CB8" w14:textId="394FFDC9" w:rsidR="00FE5EAC" w:rsidRDefault="00FE5EAC" w:rsidP="00EB1FC3">
      <w:pPr>
        <w:widowControl w:val="0"/>
        <w:tabs>
          <w:tab w:val="left" w:pos="0"/>
          <w:tab w:val="left" w:pos="720"/>
          <w:tab w:val="left" w:pos="1800"/>
          <w:tab w:val="left" w:pos="6768"/>
          <w:tab w:val="left" w:pos="8640"/>
        </w:tabs>
        <w:ind w:right="720"/>
        <w:rPr>
          <w:rFonts w:asciiTheme="minorHAnsi" w:hAnsiTheme="minorHAnsi" w:cs="Arial"/>
          <w:sz w:val="22"/>
          <w:szCs w:val="22"/>
        </w:rPr>
      </w:pPr>
      <w:r>
        <w:rPr>
          <w:rFonts w:asciiTheme="minorHAnsi" w:hAnsiTheme="minorHAnsi" w:cs="Arial"/>
          <w:sz w:val="22"/>
          <w:szCs w:val="22"/>
        </w:rPr>
        <w:t>Adjustments between Funding and Accounting Basis 20</w:t>
      </w:r>
      <w:r w:rsidR="00F17F1D">
        <w:rPr>
          <w:rFonts w:asciiTheme="minorHAnsi" w:hAnsiTheme="minorHAnsi" w:cs="Arial"/>
          <w:sz w:val="22"/>
          <w:szCs w:val="22"/>
        </w:rPr>
        <w:t>2</w:t>
      </w:r>
      <w:r w:rsidR="00F57FC0">
        <w:rPr>
          <w:rFonts w:asciiTheme="minorHAnsi" w:hAnsiTheme="minorHAnsi" w:cs="Arial"/>
          <w:sz w:val="22"/>
          <w:szCs w:val="22"/>
        </w:rPr>
        <w:t>2</w:t>
      </w:r>
      <w:r>
        <w:rPr>
          <w:rFonts w:asciiTheme="minorHAnsi" w:hAnsiTheme="minorHAnsi" w:cs="Arial"/>
          <w:sz w:val="22"/>
          <w:szCs w:val="22"/>
        </w:rPr>
        <w:t>-</w:t>
      </w:r>
      <w:r w:rsidR="0066789A">
        <w:rPr>
          <w:rFonts w:asciiTheme="minorHAnsi" w:hAnsiTheme="minorHAnsi" w:cs="Arial"/>
          <w:sz w:val="22"/>
          <w:szCs w:val="22"/>
        </w:rPr>
        <w:t>2</w:t>
      </w:r>
      <w:r w:rsidR="00F57FC0">
        <w:rPr>
          <w:rFonts w:asciiTheme="minorHAnsi" w:hAnsiTheme="minorHAnsi" w:cs="Arial"/>
          <w:sz w:val="22"/>
          <w:szCs w:val="22"/>
        </w:rPr>
        <w:t>3</w:t>
      </w:r>
    </w:p>
    <w:p w14:paraId="1A903D1B" w14:textId="77777777" w:rsidR="00FE5EAC" w:rsidRDefault="00FE5EAC" w:rsidP="00EB1FC3">
      <w:pPr>
        <w:widowControl w:val="0"/>
        <w:tabs>
          <w:tab w:val="left" w:pos="0"/>
          <w:tab w:val="left" w:pos="720"/>
          <w:tab w:val="left" w:pos="1800"/>
          <w:tab w:val="left" w:pos="6768"/>
          <w:tab w:val="left" w:pos="8640"/>
        </w:tabs>
        <w:ind w:right="720"/>
        <w:rPr>
          <w:rFonts w:asciiTheme="minorHAnsi" w:hAnsiTheme="minorHAnsi" w:cs="Arial"/>
          <w:sz w:val="22"/>
          <w:szCs w:val="22"/>
        </w:rPr>
      </w:pPr>
    </w:p>
    <w:tbl>
      <w:tblPr>
        <w:tblW w:w="9796" w:type="dxa"/>
        <w:tblInd w:w="93" w:type="dxa"/>
        <w:tblLook w:val="04A0" w:firstRow="1" w:lastRow="0" w:firstColumn="1" w:lastColumn="0" w:noHBand="0" w:noVBand="1"/>
        <w:tblCaption w:val="Note to the expenditure and funding analysis"/>
        <w:tblDescription w:val="Adjustments between funding and accounting basis for 2022-2023"/>
      </w:tblPr>
      <w:tblGrid>
        <w:gridCol w:w="4240"/>
        <w:gridCol w:w="1445"/>
        <w:gridCol w:w="1418"/>
        <w:gridCol w:w="1276"/>
        <w:gridCol w:w="1417"/>
      </w:tblGrid>
      <w:tr w:rsidR="00B33461" w:rsidRPr="00BE0EF2" w14:paraId="36AA0A73" w14:textId="77777777" w:rsidTr="00B33461">
        <w:trPr>
          <w:trHeight w:val="1710"/>
        </w:trPr>
        <w:tc>
          <w:tcPr>
            <w:tcW w:w="4240" w:type="dxa"/>
            <w:tcBorders>
              <w:top w:val="single" w:sz="4" w:space="0" w:color="FFFFFF"/>
              <w:left w:val="single" w:sz="4" w:space="0" w:color="FFFFFF"/>
              <w:bottom w:val="nil"/>
              <w:right w:val="single" w:sz="4" w:space="0" w:color="FFFFFF"/>
            </w:tcBorders>
            <w:shd w:val="clear" w:color="000000" w:fill="C4D79B"/>
            <w:vAlign w:val="bottom"/>
            <w:hideMark/>
          </w:tcPr>
          <w:p w14:paraId="2A84FB9E" w14:textId="62A837D3" w:rsidR="00B33461" w:rsidRPr="00BE0EF2" w:rsidRDefault="00B33461" w:rsidP="00BE0EF2">
            <w:pPr>
              <w:rPr>
                <w:rFonts w:ascii="Calibri" w:hAnsi="Calibri"/>
                <w:color w:val="000000"/>
                <w:lang w:eastAsia="en-GB"/>
              </w:rPr>
            </w:pPr>
            <w:r w:rsidRPr="00BE0EF2">
              <w:rPr>
                <w:rFonts w:ascii="Calibri" w:hAnsi="Calibri"/>
                <w:color w:val="000000"/>
                <w:lang w:eastAsia="en-GB"/>
              </w:rPr>
              <w:t xml:space="preserve">Adjustments from General Fund to arrive at the Comprehensive Income </w:t>
            </w:r>
            <w:r w:rsidR="00704A70">
              <w:rPr>
                <w:rFonts w:ascii="Calibri" w:hAnsi="Calibri"/>
                <w:color w:val="000000"/>
                <w:lang w:eastAsia="en-GB"/>
              </w:rPr>
              <w:t>and</w:t>
            </w:r>
            <w:r w:rsidRPr="00BE0EF2">
              <w:rPr>
                <w:rFonts w:ascii="Calibri" w:hAnsi="Calibri"/>
                <w:color w:val="000000"/>
                <w:lang w:eastAsia="en-GB"/>
              </w:rPr>
              <w:t xml:space="preserve"> Expenditure Statement Amounts</w:t>
            </w:r>
          </w:p>
        </w:tc>
        <w:tc>
          <w:tcPr>
            <w:tcW w:w="1445"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4AB5A8D3"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Adjustments for Capital Purposes</w:t>
            </w:r>
          </w:p>
        </w:tc>
        <w:tc>
          <w:tcPr>
            <w:tcW w:w="1418"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361A8AFB"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Net Change for the Pensions Adjustments</w:t>
            </w:r>
          </w:p>
        </w:tc>
        <w:tc>
          <w:tcPr>
            <w:tcW w:w="1276"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3352A157"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Other Statutory Differences</w:t>
            </w:r>
          </w:p>
        </w:tc>
        <w:tc>
          <w:tcPr>
            <w:tcW w:w="1417"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04045E80"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Total Statutory Adjustments</w:t>
            </w:r>
          </w:p>
        </w:tc>
      </w:tr>
      <w:tr w:rsidR="00B33461" w:rsidRPr="00BE0EF2" w14:paraId="6377B4D4" w14:textId="77777777" w:rsidTr="00B33461">
        <w:trPr>
          <w:trHeight w:val="255"/>
        </w:trPr>
        <w:tc>
          <w:tcPr>
            <w:tcW w:w="4240" w:type="dxa"/>
            <w:tcBorders>
              <w:top w:val="nil"/>
              <w:left w:val="single" w:sz="4" w:space="0" w:color="FFFFFF"/>
              <w:bottom w:val="single" w:sz="4" w:space="0" w:color="FFFFFF"/>
              <w:right w:val="single" w:sz="4" w:space="0" w:color="FFFFFF"/>
            </w:tcBorders>
            <w:shd w:val="clear" w:color="000000" w:fill="C4D79B"/>
            <w:noWrap/>
            <w:vAlign w:val="bottom"/>
            <w:hideMark/>
          </w:tcPr>
          <w:p w14:paraId="345FAF3A"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 </w:t>
            </w:r>
          </w:p>
        </w:tc>
        <w:tc>
          <w:tcPr>
            <w:tcW w:w="1445" w:type="dxa"/>
            <w:tcBorders>
              <w:top w:val="nil"/>
              <w:left w:val="nil"/>
              <w:bottom w:val="single" w:sz="4" w:space="0" w:color="FFFFFF"/>
              <w:right w:val="single" w:sz="4" w:space="0" w:color="FFFFFF"/>
            </w:tcBorders>
            <w:shd w:val="clear" w:color="000000" w:fill="C4D79B"/>
            <w:noWrap/>
            <w:vAlign w:val="bottom"/>
            <w:hideMark/>
          </w:tcPr>
          <w:p w14:paraId="55D2088E"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418" w:type="dxa"/>
            <w:tcBorders>
              <w:top w:val="nil"/>
              <w:left w:val="nil"/>
              <w:bottom w:val="single" w:sz="4" w:space="0" w:color="FFFFFF"/>
              <w:right w:val="single" w:sz="4" w:space="0" w:color="FFFFFF"/>
            </w:tcBorders>
            <w:shd w:val="clear" w:color="000000" w:fill="C4D79B"/>
            <w:noWrap/>
            <w:vAlign w:val="bottom"/>
            <w:hideMark/>
          </w:tcPr>
          <w:p w14:paraId="759F0A2C"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276" w:type="dxa"/>
            <w:tcBorders>
              <w:top w:val="nil"/>
              <w:left w:val="nil"/>
              <w:bottom w:val="single" w:sz="4" w:space="0" w:color="FFFFFF"/>
              <w:right w:val="single" w:sz="4" w:space="0" w:color="FFFFFF"/>
            </w:tcBorders>
            <w:shd w:val="clear" w:color="000000" w:fill="C4D79B"/>
            <w:noWrap/>
            <w:vAlign w:val="bottom"/>
            <w:hideMark/>
          </w:tcPr>
          <w:p w14:paraId="71562AF9"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417" w:type="dxa"/>
            <w:tcBorders>
              <w:top w:val="nil"/>
              <w:left w:val="nil"/>
              <w:bottom w:val="single" w:sz="4" w:space="0" w:color="FFFFFF"/>
              <w:right w:val="single" w:sz="4" w:space="0" w:color="FFFFFF"/>
            </w:tcBorders>
            <w:shd w:val="clear" w:color="000000" w:fill="C4D79B"/>
            <w:noWrap/>
            <w:vAlign w:val="bottom"/>
            <w:hideMark/>
          </w:tcPr>
          <w:p w14:paraId="11BB8F5E"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r>
      <w:tr w:rsidR="00B33461" w:rsidRPr="00BE0EF2" w14:paraId="68EF1FFB" w14:textId="77777777" w:rsidTr="00C01D9F">
        <w:trPr>
          <w:trHeight w:val="296"/>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02612540" w14:textId="77777777" w:rsidR="00B33461" w:rsidRPr="00BE0EF2" w:rsidRDefault="00B33461" w:rsidP="00C01D9F">
            <w:pPr>
              <w:rPr>
                <w:rFonts w:ascii="Calibri" w:hAnsi="Calibri"/>
                <w:color w:val="000000"/>
                <w:lang w:eastAsia="en-GB"/>
              </w:rPr>
            </w:pPr>
            <w:r w:rsidRPr="00BE0EF2">
              <w:rPr>
                <w:rFonts w:ascii="Calibri" w:hAnsi="Calibri"/>
                <w:color w:val="000000"/>
                <w:lang w:eastAsia="en-GB"/>
              </w:rPr>
              <w:t xml:space="preserve">General Expenses - </w:t>
            </w:r>
            <w:r w:rsidR="00C01D9F">
              <w:rPr>
                <w:rFonts w:ascii="Calibri" w:hAnsi="Calibri"/>
                <w:color w:val="000000"/>
                <w:lang w:eastAsia="en-GB"/>
              </w:rPr>
              <w:t>People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63DEC1DE" w14:textId="3D4FA3CB" w:rsidR="00B33461" w:rsidRPr="00BE0EF2" w:rsidRDefault="00A55057" w:rsidP="00BE0EF2">
            <w:pPr>
              <w:jc w:val="right"/>
              <w:rPr>
                <w:rFonts w:ascii="Calibri" w:hAnsi="Calibri"/>
                <w:color w:val="000000"/>
                <w:lang w:eastAsia="en-GB"/>
              </w:rPr>
            </w:pPr>
            <w:r>
              <w:rPr>
                <w:rFonts w:ascii="Calibri" w:hAnsi="Calibri"/>
                <w:color w:val="000000"/>
                <w:lang w:eastAsia="en-GB"/>
              </w:rPr>
              <w:t>796</w:t>
            </w:r>
          </w:p>
        </w:tc>
        <w:tc>
          <w:tcPr>
            <w:tcW w:w="1418" w:type="dxa"/>
            <w:tcBorders>
              <w:top w:val="nil"/>
              <w:left w:val="nil"/>
              <w:bottom w:val="single" w:sz="4" w:space="0" w:color="FFFFFF"/>
              <w:right w:val="single" w:sz="4" w:space="0" w:color="FFFFFF"/>
            </w:tcBorders>
            <w:shd w:val="clear" w:color="000000" w:fill="EBF1DE"/>
            <w:noWrap/>
            <w:vAlign w:val="center"/>
          </w:tcPr>
          <w:p w14:paraId="73C055A3" w14:textId="7A7C3616" w:rsidR="00B33461" w:rsidRPr="00BE0EF2" w:rsidRDefault="00E14AC2" w:rsidP="00BE0EF2">
            <w:pPr>
              <w:jc w:val="right"/>
              <w:rPr>
                <w:rFonts w:ascii="Calibri" w:hAnsi="Calibri"/>
                <w:color w:val="000000"/>
                <w:lang w:eastAsia="en-GB"/>
              </w:rPr>
            </w:pPr>
            <w:r>
              <w:rPr>
                <w:rFonts w:ascii="Calibri" w:hAnsi="Calibri"/>
                <w:color w:val="000000"/>
                <w:lang w:eastAsia="en-GB"/>
              </w:rPr>
              <w:t>213</w:t>
            </w:r>
          </w:p>
        </w:tc>
        <w:tc>
          <w:tcPr>
            <w:tcW w:w="1276" w:type="dxa"/>
            <w:tcBorders>
              <w:top w:val="nil"/>
              <w:left w:val="nil"/>
              <w:bottom w:val="single" w:sz="4" w:space="0" w:color="FFFFFF"/>
              <w:right w:val="single" w:sz="4" w:space="0" w:color="FFFFFF"/>
            </w:tcBorders>
            <w:shd w:val="clear" w:color="000000" w:fill="EBF1DE"/>
            <w:noWrap/>
            <w:vAlign w:val="center"/>
          </w:tcPr>
          <w:p w14:paraId="34A245F4" w14:textId="11986C2F" w:rsidR="00B33461" w:rsidRPr="00BE0EF2" w:rsidRDefault="00E14AC2" w:rsidP="006C2A5C">
            <w:pPr>
              <w:jc w:val="right"/>
              <w:rPr>
                <w:rFonts w:ascii="Calibri" w:hAnsi="Calibri"/>
                <w:color w:val="000000"/>
                <w:lang w:eastAsia="en-GB"/>
              </w:rPr>
            </w:pPr>
            <w:r>
              <w:rPr>
                <w:rFonts w:ascii="Calibri" w:hAnsi="Calibri"/>
                <w:color w:val="000000"/>
                <w:lang w:eastAsia="en-GB"/>
              </w:rPr>
              <w:t>-26</w:t>
            </w:r>
          </w:p>
        </w:tc>
        <w:tc>
          <w:tcPr>
            <w:tcW w:w="1417" w:type="dxa"/>
            <w:tcBorders>
              <w:top w:val="nil"/>
              <w:left w:val="nil"/>
              <w:bottom w:val="single" w:sz="4" w:space="0" w:color="FFFFFF"/>
              <w:right w:val="single" w:sz="4" w:space="0" w:color="FFFFFF"/>
            </w:tcBorders>
            <w:shd w:val="clear" w:color="000000" w:fill="D8E4BC"/>
            <w:noWrap/>
            <w:vAlign w:val="center"/>
          </w:tcPr>
          <w:p w14:paraId="50625F4E" w14:textId="38FA6824" w:rsidR="00B33461" w:rsidRPr="00BE0EF2" w:rsidRDefault="00E14AC2" w:rsidP="006C2A5C">
            <w:pPr>
              <w:jc w:val="right"/>
              <w:rPr>
                <w:rFonts w:ascii="Calibri" w:hAnsi="Calibri"/>
                <w:color w:val="000000"/>
                <w:lang w:eastAsia="en-GB"/>
              </w:rPr>
            </w:pPr>
            <w:r>
              <w:rPr>
                <w:rFonts w:ascii="Calibri" w:hAnsi="Calibri"/>
                <w:color w:val="000000"/>
                <w:lang w:eastAsia="en-GB"/>
              </w:rPr>
              <w:t>983</w:t>
            </w:r>
          </w:p>
        </w:tc>
      </w:tr>
      <w:tr w:rsidR="00B33461" w:rsidRPr="00BE0EF2" w14:paraId="0799487D" w14:textId="77777777" w:rsidTr="00C01D9F">
        <w:trPr>
          <w:trHeight w:val="346"/>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38AAC88F" w14:textId="77777777" w:rsidR="00B33461" w:rsidRPr="00BE0EF2" w:rsidRDefault="00B33461" w:rsidP="0066789A">
            <w:pPr>
              <w:rPr>
                <w:rFonts w:ascii="Calibri" w:hAnsi="Calibri"/>
                <w:color w:val="000000"/>
                <w:lang w:eastAsia="en-GB"/>
              </w:rPr>
            </w:pPr>
            <w:r w:rsidRPr="00BE0EF2">
              <w:rPr>
                <w:rFonts w:ascii="Calibri" w:hAnsi="Calibri"/>
                <w:color w:val="000000"/>
                <w:lang w:eastAsia="en-GB"/>
              </w:rPr>
              <w:t xml:space="preserve">General Expenses - </w:t>
            </w:r>
            <w:r w:rsidR="00C01D9F">
              <w:rPr>
                <w:rFonts w:ascii="Calibri" w:hAnsi="Calibri"/>
                <w:color w:val="000000"/>
                <w:lang w:eastAsia="en-GB"/>
              </w:rPr>
              <w:t>Place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0ADCF0C4" w14:textId="0F78ECEB" w:rsidR="00B33461" w:rsidRPr="00BE0EF2" w:rsidRDefault="00A55057">
            <w:pPr>
              <w:jc w:val="right"/>
              <w:rPr>
                <w:rFonts w:ascii="Calibri" w:hAnsi="Calibri"/>
                <w:color w:val="000000"/>
                <w:lang w:eastAsia="en-GB"/>
              </w:rPr>
            </w:pPr>
            <w:r>
              <w:rPr>
                <w:rFonts w:ascii="Calibri" w:hAnsi="Calibri"/>
                <w:color w:val="000000"/>
                <w:lang w:eastAsia="en-GB"/>
              </w:rPr>
              <w:t>361</w:t>
            </w:r>
          </w:p>
        </w:tc>
        <w:tc>
          <w:tcPr>
            <w:tcW w:w="1418" w:type="dxa"/>
            <w:tcBorders>
              <w:top w:val="nil"/>
              <w:left w:val="nil"/>
              <w:bottom w:val="single" w:sz="4" w:space="0" w:color="FFFFFF"/>
              <w:right w:val="single" w:sz="4" w:space="0" w:color="FFFFFF"/>
            </w:tcBorders>
            <w:shd w:val="clear" w:color="000000" w:fill="EBF1DE"/>
            <w:noWrap/>
            <w:vAlign w:val="center"/>
          </w:tcPr>
          <w:p w14:paraId="590D485F" w14:textId="18A7840E" w:rsidR="00B33461" w:rsidRPr="00BE0EF2" w:rsidRDefault="00E14AC2" w:rsidP="00BE0EF2">
            <w:pPr>
              <w:jc w:val="right"/>
              <w:rPr>
                <w:rFonts w:ascii="Calibri" w:hAnsi="Calibri"/>
                <w:color w:val="000000"/>
                <w:lang w:eastAsia="en-GB"/>
              </w:rPr>
            </w:pPr>
            <w:r>
              <w:rPr>
                <w:rFonts w:ascii="Calibri" w:hAnsi="Calibri"/>
                <w:color w:val="000000"/>
                <w:lang w:eastAsia="en-GB"/>
              </w:rPr>
              <w:t>324</w:t>
            </w:r>
          </w:p>
        </w:tc>
        <w:tc>
          <w:tcPr>
            <w:tcW w:w="1276" w:type="dxa"/>
            <w:tcBorders>
              <w:top w:val="nil"/>
              <w:left w:val="nil"/>
              <w:bottom w:val="single" w:sz="4" w:space="0" w:color="FFFFFF"/>
              <w:right w:val="single" w:sz="4" w:space="0" w:color="FFFFFF"/>
            </w:tcBorders>
            <w:shd w:val="clear" w:color="000000" w:fill="EBF1DE"/>
            <w:noWrap/>
            <w:vAlign w:val="center"/>
          </w:tcPr>
          <w:p w14:paraId="6D9E550D" w14:textId="515D9B15" w:rsidR="00B33461" w:rsidRPr="00BE0EF2" w:rsidRDefault="00E14AC2" w:rsidP="00436CCB">
            <w:pPr>
              <w:jc w:val="right"/>
              <w:rPr>
                <w:rFonts w:ascii="Calibri" w:hAnsi="Calibri"/>
                <w:color w:val="000000"/>
                <w:lang w:eastAsia="en-GB"/>
              </w:rPr>
            </w:pPr>
            <w:r>
              <w:rPr>
                <w:rFonts w:ascii="Calibri" w:hAnsi="Calibri"/>
                <w:color w:val="000000"/>
                <w:lang w:eastAsia="en-GB"/>
              </w:rPr>
              <w:t>-20</w:t>
            </w:r>
          </w:p>
        </w:tc>
        <w:tc>
          <w:tcPr>
            <w:tcW w:w="1417" w:type="dxa"/>
            <w:tcBorders>
              <w:top w:val="nil"/>
              <w:left w:val="nil"/>
              <w:bottom w:val="single" w:sz="4" w:space="0" w:color="FFFFFF"/>
              <w:right w:val="single" w:sz="4" w:space="0" w:color="FFFFFF"/>
            </w:tcBorders>
            <w:shd w:val="clear" w:color="000000" w:fill="D8E4BC"/>
            <w:noWrap/>
            <w:vAlign w:val="center"/>
          </w:tcPr>
          <w:p w14:paraId="6E31CD2E" w14:textId="70B351C0" w:rsidR="00B33461" w:rsidRPr="00BE0EF2" w:rsidRDefault="00E14AC2" w:rsidP="00436CCB">
            <w:pPr>
              <w:jc w:val="right"/>
              <w:rPr>
                <w:rFonts w:ascii="Calibri" w:hAnsi="Calibri"/>
                <w:color w:val="000000"/>
                <w:lang w:eastAsia="en-GB"/>
              </w:rPr>
            </w:pPr>
            <w:r>
              <w:rPr>
                <w:rFonts w:ascii="Calibri" w:hAnsi="Calibri"/>
                <w:color w:val="000000"/>
                <w:lang w:eastAsia="en-GB"/>
              </w:rPr>
              <w:t>665</w:t>
            </w:r>
          </w:p>
        </w:tc>
      </w:tr>
      <w:tr w:rsidR="00B33461" w:rsidRPr="00BE0EF2" w14:paraId="7E2E3496" w14:textId="77777777" w:rsidTr="00C01D9F">
        <w:trPr>
          <w:trHeight w:val="241"/>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1E7E90BF" w14:textId="77777777" w:rsidR="00B33461" w:rsidRPr="00BE0EF2" w:rsidRDefault="00B33461" w:rsidP="0066789A">
            <w:pPr>
              <w:rPr>
                <w:rFonts w:ascii="Calibri" w:hAnsi="Calibri"/>
                <w:color w:val="000000"/>
                <w:lang w:eastAsia="en-GB"/>
              </w:rPr>
            </w:pPr>
            <w:r w:rsidRPr="00BE0EF2">
              <w:rPr>
                <w:rFonts w:ascii="Calibri" w:hAnsi="Calibri"/>
                <w:color w:val="000000"/>
                <w:lang w:eastAsia="en-GB"/>
              </w:rPr>
              <w:t>Gener</w:t>
            </w:r>
            <w:r w:rsidR="00C01D9F">
              <w:rPr>
                <w:rFonts w:ascii="Calibri" w:hAnsi="Calibri"/>
                <w:color w:val="000000"/>
                <w:lang w:eastAsia="en-GB"/>
              </w:rPr>
              <w:t>al Expenses - Corporate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78839EBD" w14:textId="1BC5FEBE" w:rsidR="00B33461" w:rsidRPr="00BE0EF2" w:rsidRDefault="00A55057" w:rsidP="006C2A5C">
            <w:pPr>
              <w:jc w:val="right"/>
              <w:rPr>
                <w:rFonts w:ascii="Calibri" w:hAnsi="Calibri"/>
                <w:color w:val="000000"/>
                <w:lang w:eastAsia="en-GB"/>
              </w:rPr>
            </w:pPr>
            <w:r>
              <w:rPr>
                <w:rFonts w:ascii="Calibri" w:hAnsi="Calibri"/>
                <w:color w:val="000000"/>
                <w:lang w:eastAsia="en-GB"/>
              </w:rPr>
              <w:t>28</w:t>
            </w:r>
          </w:p>
        </w:tc>
        <w:tc>
          <w:tcPr>
            <w:tcW w:w="1418" w:type="dxa"/>
            <w:tcBorders>
              <w:top w:val="nil"/>
              <w:left w:val="nil"/>
              <w:bottom w:val="single" w:sz="4" w:space="0" w:color="FFFFFF"/>
              <w:right w:val="single" w:sz="4" w:space="0" w:color="FFFFFF"/>
            </w:tcBorders>
            <w:shd w:val="clear" w:color="000000" w:fill="EBF1DE"/>
            <w:noWrap/>
            <w:vAlign w:val="center"/>
          </w:tcPr>
          <w:p w14:paraId="6C6DB111" w14:textId="75C2C5C7" w:rsidR="00B33461" w:rsidRPr="00BE0EF2" w:rsidRDefault="00E14AC2" w:rsidP="00BE0EF2">
            <w:pPr>
              <w:jc w:val="right"/>
              <w:rPr>
                <w:rFonts w:ascii="Calibri" w:hAnsi="Calibri"/>
                <w:color w:val="000000"/>
                <w:lang w:eastAsia="en-GB"/>
              </w:rPr>
            </w:pPr>
            <w:r>
              <w:rPr>
                <w:rFonts w:ascii="Calibri" w:hAnsi="Calibri"/>
                <w:color w:val="000000"/>
                <w:lang w:eastAsia="en-GB"/>
              </w:rPr>
              <w:t>291</w:t>
            </w:r>
          </w:p>
        </w:tc>
        <w:tc>
          <w:tcPr>
            <w:tcW w:w="1276" w:type="dxa"/>
            <w:tcBorders>
              <w:top w:val="nil"/>
              <w:left w:val="nil"/>
              <w:bottom w:val="single" w:sz="4" w:space="0" w:color="FFFFFF"/>
              <w:right w:val="single" w:sz="4" w:space="0" w:color="FFFFFF"/>
            </w:tcBorders>
            <w:shd w:val="clear" w:color="000000" w:fill="EBF1DE"/>
            <w:noWrap/>
            <w:vAlign w:val="center"/>
          </w:tcPr>
          <w:p w14:paraId="472ED57B" w14:textId="77D3D28B" w:rsidR="00B33461" w:rsidRPr="00BE0EF2" w:rsidRDefault="00E14AC2" w:rsidP="00BE0EF2">
            <w:pPr>
              <w:jc w:val="right"/>
              <w:rPr>
                <w:rFonts w:ascii="Calibri" w:hAnsi="Calibri"/>
                <w:color w:val="000000"/>
                <w:lang w:eastAsia="en-GB"/>
              </w:rPr>
            </w:pPr>
            <w:r>
              <w:rPr>
                <w:rFonts w:ascii="Calibri" w:hAnsi="Calibri"/>
                <w:color w:val="000000"/>
                <w:lang w:eastAsia="en-GB"/>
              </w:rPr>
              <w:t>-18</w:t>
            </w:r>
          </w:p>
        </w:tc>
        <w:tc>
          <w:tcPr>
            <w:tcW w:w="1417" w:type="dxa"/>
            <w:tcBorders>
              <w:top w:val="nil"/>
              <w:left w:val="nil"/>
              <w:bottom w:val="single" w:sz="4" w:space="0" w:color="FFFFFF"/>
              <w:right w:val="single" w:sz="4" w:space="0" w:color="FFFFFF"/>
            </w:tcBorders>
            <w:shd w:val="clear" w:color="000000" w:fill="D8E4BC"/>
            <w:noWrap/>
            <w:vAlign w:val="center"/>
          </w:tcPr>
          <w:p w14:paraId="6AC0B6B5" w14:textId="487B09B8" w:rsidR="00B33461" w:rsidRPr="00BE0EF2" w:rsidRDefault="00E14AC2" w:rsidP="009C18FA">
            <w:pPr>
              <w:jc w:val="right"/>
              <w:rPr>
                <w:rFonts w:ascii="Calibri" w:hAnsi="Calibri"/>
                <w:color w:val="000000"/>
                <w:lang w:eastAsia="en-GB"/>
              </w:rPr>
            </w:pPr>
            <w:r>
              <w:rPr>
                <w:rFonts w:ascii="Calibri" w:hAnsi="Calibri"/>
                <w:color w:val="000000"/>
                <w:lang w:eastAsia="en-GB"/>
              </w:rPr>
              <w:t>301</w:t>
            </w:r>
          </w:p>
        </w:tc>
      </w:tr>
      <w:tr w:rsidR="00B33461" w:rsidRPr="00BE0EF2" w14:paraId="6A76293B" w14:textId="77777777" w:rsidTr="00C01D9F">
        <w:trPr>
          <w:trHeight w:val="255"/>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4DA461D7"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Housing Revenue Account</w:t>
            </w:r>
          </w:p>
        </w:tc>
        <w:tc>
          <w:tcPr>
            <w:tcW w:w="1445" w:type="dxa"/>
            <w:tcBorders>
              <w:top w:val="nil"/>
              <w:left w:val="nil"/>
              <w:bottom w:val="single" w:sz="4" w:space="0" w:color="FFFFFF"/>
              <w:right w:val="single" w:sz="4" w:space="0" w:color="FFFFFF"/>
            </w:tcBorders>
            <w:shd w:val="clear" w:color="000000" w:fill="EBF1DE"/>
            <w:noWrap/>
            <w:vAlign w:val="center"/>
          </w:tcPr>
          <w:p w14:paraId="364A5EFB" w14:textId="64E11894" w:rsidR="00B33461" w:rsidRPr="00BE0EF2" w:rsidRDefault="00A55057" w:rsidP="00BE0EF2">
            <w:pPr>
              <w:jc w:val="right"/>
              <w:rPr>
                <w:rFonts w:ascii="Calibri" w:hAnsi="Calibri"/>
                <w:color w:val="000000"/>
                <w:lang w:eastAsia="en-GB"/>
              </w:rPr>
            </w:pPr>
            <w:r>
              <w:rPr>
                <w:rFonts w:ascii="Calibri" w:hAnsi="Calibri"/>
                <w:color w:val="000000"/>
                <w:lang w:eastAsia="en-GB"/>
              </w:rPr>
              <w:t>-381</w:t>
            </w:r>
          </w:p>
        </w:tc>
        <w:tc>
          <w:tcPr>
            <w:tcW w:w="1418" w:type="dxa"/>
            <w:tcBorders>
              <w:top w:val="nil"/>
              <w:left w:val="nil"/>
              <w:bottom w:val="single" w:sz="4" w:space="0" w:color="FFFFFF"/>
              <w:right w:val="single" w:sz="4" w:space="0" w:color="FFFFFF"/>
            </w:tcBorders>
            <w:shd w:val="clear" w:color="000000" w:fill="EBF1DE"/>
            <w:noWrap/>
            <w:vAlign w:val="center"/>
          </w:tcPr>
          <w:p w14:paraId="5E2A8FE9" w14:textId="38F8A881" w:rsidR="00B33461" w:rsidRPr="00BE0EF2" w:rsidRDefault="00E14AC2" w:rsidP="00BE0EF2">
            <w:pPr>
              <w:jc w:val="right"/>
              <w:rPr>
                <w:rFonts w:ascii="Calibri" w:hAnsi="Calibri"/>
                <w:color w:val="000000"/>
                <w:lang w:eastAsia="en-GB"/>
              </w:rPr>
            </w:pPr>
            <w:r>
              <w:rPr>
                <w:rFonts w:ascii="Calibri" w:hAnsi="Calibri"/>
                <w:color w:val="000000"/>
                <w:lang w:eastAsia="en-GB"/>
              </w:rPr>
              <w:t>197</w:t>
            </w:r>
          </w:p>
        </w:tc>
        <w:tc>
          <w:tcPr>
            <w:tcW w:w="1276" w:type="dxa"/>
            <w:tcBorders>
              <w:top w:val="nil"/>
              <w:left w:val="nil"/>
              <w:bottom w:val="single" w:sz="4" w:space="0" w:color="FFFFFF"/>
              <w:right w:val="single" w:sz="4" w:space="0" w:color="FFFFFF"/>
            </w:tcBorders>
            <w:shd w:val="clear" w:color="000000" w:fill="EBF1DE"/>
            <w:noWrap/>
            <w:vAlign w:val="center"/>
          </w:tcPr>
          <w:p w14:paraId="21DFB77C" w14:textId="13FABC49" w:rsidR="00B33461" w:rsidRPr="00BE0EF2" w:rsidRDefault="00E14AC2" w:rsidP="00BE0EF2">
            <w:pPr>
              <w:jc w:val="right"/>
              <w:rPr>
                <w:rFonts w:ascii="Calibri" w:hAnsi="Calibri"/>
                <w:color w:val="000000"/>
                <w:lang w:eastAsia="en-GB"/>
              </w:rPr>
            </w:pPr>
            <w:r>
              <w:rPr>
                <w:rFonts w:ascii="Calibri" w:hAnsi="Calibri"/>
                <w:color w:val="000000"/>
                <w:lang w:eastAsia="en-GB"/>
              </w:rPr>
              <w:t>-16</w:t>
            </w:r>
          </w:p>
        </w:tc>
        <w:tc>
          <w:tcPr>
            <w:tcW w:w="1417" w:type="dxa"/>
            <w:tcBorders>
              <w:top w:val="nil"/>
              <w:left w:val="nil"/>
              <w:bottom w:val="single" w:sz="4" w:space="0" w:color="FFFFFF"/>
              <w:right w:val="single" w:sz="4" w:space="0" w:color="FFFFFF"/>
            </w:tcBorders>
            <w:shd w:val="clear" w:color="000000" w:fill="D8E4BC"/>
            <w:noWrap/>
            <w:vAlign w:val="center"/>
          </w:tcPr>
          <w:p w14:paraId="1E8EE1B9" w14:textId="2BD5A66B" w:rsidR="00B33461" w:rsidRPr="00BE0EF2" w:rsidRDefault="00E14AC2" w:rsidP="00BE0EF2">
            <w:pPr>
              <w:jc w:val="right"/>
              <w:rPr>
                <w:rFonts w:ascii="Calibri" w:hAnsi="Calibri"/>
                <w:color w:val="000000"/>
                <w:lang w:eastAsia="en-GB"/>
              </w:rPr>
            </w:pPr>
            <w:r>
              <w:rPr>
                <w:rFonts w:ascii="Calibri" w:hAnsi="Calibri"/>
                <w:color w:val="000000"/>
                <w:lang w:eastAsia="en-GB"/>
              </w:rPr>
              <w:t>-200</w:t>
            </w:r>
          </w:p>
        </w:tc>
      </w:tr>
      <w:tr w:rsidR="00B33461" w:rsidRPr="00BE0EF2" w14:paraId="4CA9C969" w14:textId="77777777" w:rsidTr="00C01D9F">
        <w:trPr>
          <w:trHeight w:val="255"/>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5218B105" w14:textId="77777777" w:rsidR="00B33461" w:rsidRPr="00BE0EF2" w:rsidRDefault="00C01D9F" w:rsidP="00BE0EF2">
            <w:pPr>
              <w:rPr>
                <w:rFonts w:ascii="Calibri" w:hAnsi="Calibri"/>
                <w:color w:val="000000"/>
                <w:lang w:eastAsia="en-GB"/>
              </w:rPr>
            </w:pPr>
            <w:r>
              <w:rPr>
                <w:rFonts w:ascii="Calibri" w:hAnsi="Calibri"/>
                <w:color w:val="000000"/>
                <w:lang w:eastAsia="en-GB"/>
              </w:rPr>
              <w:t>Special Expenses - Place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184BFEEF" w14:textId="03F03A1D" w:rsidR="00B33461" w:rsidRPr="00BE0EF2" w:rsidRDefault="00E14AC2" w:rsidP="00BE0EF2">
            <w:pPr>
              <w:jc w:val="right"/>
              <w:rPr>
                <w:rFonts w:ascii="Calibri" w:hAnsi="Calibri"/>
                <w:color w:val="000000"/>
                <w:lang w:eastAsia="en-GB"/>
              </w:rPr>
            </w:pPr>
            <w:r>
              <w:rPr>
                <w:rFonts w:ascii="Calibri" w:hAnsi="Calibri"/>
                <w:color w:val="000000"/>
                <w:lang w:eastAsia="en-GB"/>
              </w:rPr>
              <w:t>66</w:t>
            </w:r>
          </w:p>
        </w:tc>
        <w:tc>
          <w:tcPr>
            <w:tcW w:w="1418" w:type="dxa"/>
            <w:tcBorders>
              <w:top w:val="nil"/>
              <w:left w:val="nil"/>
              <w:bottom w:val="single" w:sz="4" w:space="0" w:color="FFFFFF"/>
              <w:right w:val="single" w:sz="4" w:space="0" w:color="FFFFFF"/>
            </w:tcBorders>
            <w:shd w:val="clear" w:color="000000" w:fill="EBF1DE"/>
            <w:noWrap/>
            <w:vAlign w:val="center"/>
          </w:tcPr>
          <w:p w14:paraId="367FE2CD" w14:textId="36652FF6" w:rsidR="00B33461" w:rsidRPr="00BE0EF2" w:rsidRDefault="00E14AC2" w:rsidP="00BE0EF2">
            <w:pPr>
              <w:jc w:val="right"/>
              <w:rPr>
                <w:rFonts w:ascii="Calibri" w:hAnsi="Calibri"/>
                <w:color w:val="000000"/>
                <w:lang w:eastAsia="en-GB"/>
              </w:rPr>
            </w:pPr>
            <w:r>
              <w:rPr>
                <w:rFonts w:ascii="Calibri" w:hAnsi="Calibri"/>
                <w:color w:val="000000"/>
                <w:lang w:eastAsia="en-GB"/>
              </w:rPr>
              <w:t>0</w:t>
            </w:r>
          </w:p>
        </w:tc>
        <w:tc>
          <w:tcPr>
            <w:tcW w:w="1276" w:type="dxa"/>
            <w:tcBorders>
              <w:top w:val="nil"/>
              <w:left w:val="nil"/>
              <w:bottom w:val="single" w:sz="4" w:space="0" w:color="FFFFFF"/>
              <w:right w:val="single" w:sz="4" w:space="0" w:color="FFFFFF"/>
            </w:tcBorders>
            <w:shd w:val="clear" w:color="000000" w:fill="EBF1DE"/>
            <w:noWrap/>
            <w:vAlign w:val="center"/>
          </w:tcPr>
          <w:p w14:paraId="632CB35A" w14:textId="1515FD09" w:rsidR="00B33461" w:rsidRPr="00BE0EF2" w:rsidRDefault="00E14AC2" w:rsidP="00BE0EF2">
            <w:pPr>
              <w:jc w:val="right"/>
              <w:rPr>
                <w:rFonts w:ascii="Calibri" w:hAnsi="Calibri"/>
                <w:color w:val="000000"/>
                <w:lang w:eastAsia="en-GB"/>
              </w:rPr>
            </w:pPr>
            <w:r>
              <w:rPr>
                <w:rFonts w:ascii="Calibri" w:hAnsi="Calibri"/>
                <w:color w:val="000000"/>
                <w:lang w:eastAsia="en-GB"/>
              </w:rPr>
              <w:t>0</w:t>
            </w:r>
          </w:p>
        </w:tc>
        <w:tc>
          <w:tcPr>
            <w:tcW w:w="1417" w:type="dxa"/>
            <w:tcBorders>
              <w:top w:val="nil"/>
              <w:left w:val="nil"/>
              <w:bottom w:val="single" w:sz="4" w:space="0" w:color="FFFFFF"/>
              <w:right w:val="single" w:sz="4" w:space="0" w:color="FFFFFF"/>
            </w:tcBorders>
            <w:shd w:val="clear" w:color="000000" w:fill="D8E4BC"/>
            <w:noWrap/>
            <w:vAlign w:val="center"/>
          </w:tcPr>
          <w:p w14:paraId="44E97E94" w14:textId="3AF61087" w:rsidR="00B33461" w:rsidRPr="00BE0EF2" w:rsidRDefault="00E14AC2" w:rsidP="00BE0EF2">
            <w:pPr>
              <w:jc w:val="right"/>
              <w:rPr>
                <w:rFonts w:ascii="Calibri" w:hAnsi="Calibri"/>
                <w:color w:val="000000"/>
                <w:lang w:eastAsia="en-GB"/>
              </w:rPr>
            </w:pPr>
            <w:r>
              <w:rPr>
                <w:rFonts w:ascii="Calibri" w:hAnsi="Calibri"/>
                <w:color w:val="000000"/>
                <w:lang w:eastAsia="en-GB"/>
              </w:rPr>
              <w:t>66</w:t>
            </w:r>
          </w:p>
        </w:tc>
      </w:tr>
      <w:tr w:rsidR="00B33461" w:rsidRPr="00BE0EF2" w14:paraId="0873121F" w14:textId="77777777" w:rsidTr="00C01D9F">
        <w:trPr>
          <w:trHeight w:val="255"/>
        </w:trPr>
        <w:tc>
          <w:tcPr>
            <w:tcW w:w="4240" w:type="dxa"/>
            <w:tcBorders>
              <w:top w:val="nil"/>
              <w:left w:val="single" w:sz="4" w:space="0" w:color="FFFFFF"/>
              <w:bottom w:val="single" w:sz="4" w:space="0" w:color="FFFFFF"/>
              <w:right w:val="single" w:sz="4" w:space="0" w:color="FFFFFF"/>
            </w:tcBorders>
            <w:shd w:val="clear" w:color="000000" w:fill="D8E4BC"/>
            <w:vAlign w:val="bottom"/>
            <w:hideMark/>
          </w:tcPr>
          <w:p w14:paraId="28A08C39" w14:textId="77777777" w:rsidR="00B33461" w:rsidRPr="00BE0EF2" w:rsidRDefault="00B33461" w:rsidP="00BE0EF2">
            <w:pPr>
              <w:rPr>
                <w:rFonts w:ascii="Calibri" w:hAnsi="Calibri"/>
                <w:b/>
                <w:bCs/>
                <w:color w:val="000000"/>
                <w:lang w:eastAsia="en-GB"/>
              </w:rPr>
            </w:pPr>
            <w:r w:rsidRPr="00BE0EF2">
              <w:rPr>
                <w:rFonts w:ascii="Calibri" w:hAnsi="Calibri"/>
                <w:b/>
                <w:bCs/>
                <w:color w:val="000000"/>
                <w:lang w:eastAsia="en-GB"/>
              </w:rPr>
              <w:t>Net Cost of Services</w:t>
            </w:r>
          </w:p>
        </w:tc>
        <w:tc>
          <w:tcPr>
            <w:tcW w:w="1445" w:type="dxa"/>
            <w:tcBorders>
              <w:top w:val="nil"/>
              <w:left w:val="nil"/>
              <w:bottom w:val="single" w:sz="4" w:space="0" w:color="FFFFFF"/>
              <w:right w:val="single" w:sz="4" w:space="0" w:color="FFFFFF"/>
            </w:tcBorders>
            <w:shd w:val="clear" w:color="000000" w:fill="D8E4BC"/>
            <w:noWrap/>
            <w:vAlign w:val="center"/>
          </w:tcPr>
          <w:p w14:paraId="323040B2" w14:textId="5D7642B8" w:rsidR="00B33461" w:rsidRPr="00BE0EF2" w:rsidRDefault="00E14AC2" w:rsidP="00EA3C9B">
            <w:pPr>
              <w:jc w:val="right"/>
              <w:rPr>
                <w:rFonts w:ascii="Calibri" w:hAnsi="Calibri"/>
                <w:b/>
                <w:bCs/>
                <w:color w:val="000000"/>
                <w:lang w:eastAsia="en-GB"/>
              </w:rPr>
            </w:pPr>
            <w:r>
              <w:rPr>
                <w:rFonts w:ascii="Calibri" w:hAnsi="Calibri"/>
                <w:b/>
                <w:bCs/>
                <w:color w:val="000000"/>
                <w:lang w:eastAsia="en-GB"/>
              </w:rPr>
              <w:t>870</w:t>
            </w:r>
          </w:p>
        </w:tc>
        <w:tc>
          <w:tcPr>
            <w:tcW w:w="1418" w:type="dxa"/>
            <w:tcBorders>
              <w:top w:val="nil"/>
              <w:left w:val="nil"/>
              <w:bottom w:val="single" w:sz="4" w:space="0" w:color="FFFFFF"/>
              <w:right w:val="single" w:sz="4" w:space="0" w:color="FFFFFF"/>
            </w:tcBorders>
            <w:shd w:val="clear" w:color="000000" w:fill="D8E4BC"/>
            <w:noWrap/>
            <w:vAlign w:val="center"/>
          </w:tcPr>
          <w:p w14:paraId="002ECC47" w14:textId="7BA04410" w:rsidR="00B33461" w:rsidRPr="00BE0EF2" w:rsidRDefault="00E14AC2" w:rsidP="00BE0EF2">
            <w:pPr>
              <w:jc w:val="right"/>
              <w:rPr>
                <w:rFonts w:ascii="Calibri" w:hAnsi="Calibri"/>
                <w:b/>
                <w:bCs/>
                <w:color w:val="000000"/>
                <w:lang w:eastAsia="en-GB"/>
              </w:rPr>
            </w:pPr>
            <w:r>
              <w:rPr>
                <w:rFonts w:ascii="Calibri" w:hAnsi="Calibri"/>
                <w:b/>
                <w:bCs/>
                <w:color w:val="000000"/>
                <w:lang w:eastAsia="en-GB"/>
              </w:rPr>
              <w:t>1,025</w:t>
            </w:r>
          </w:p>
        </w:tc>
        <w:tc>
          <w:tcPr>
            <w:tcW w:w="1276" w:type="dxa"/>
            <w:tcBorders>
              <w:top w:val="nil"/>
              <w:left w:val="nil"/>
              <w:bottom w:val="single" w:sz="4" w:space="0" w:color="FFFFFF"/>
              <w:right w:val="single" w:sz="4" w:space="0" w:color="FFFFFF"/>
            </w:tcBorders>
            <w:shd w:val="clear" w:color="000000" w:fill="D8E4BC"/>
            <w:noWrap/>
            <w:vAlign w:val="center"/>
          </w:tcPr>
          <w:p w14:paraId="1E5F6A94" w14:textId="12BDE1CD" w:rsidR="00B33461" w:rsidRPr="00BE0EF2" w:rsidRDefault="00E14AC2" w:rsidP="009C18FA">
            <w:pPr>
              <w:jc w:val="right"/>
              <w:rPr>
                <w:rFonts w:ascii="Calibri" w:hAnsi="Calibri"/>
                <w:b/>
                <w:bCs/>
                <w:color w:val="000000"/>
                <w:lang w:eastAsia="en-GB"/>
              </w:rPr>
            </w:pPr>
            <w:r>
              <w:rPr>
                <w:rFonts w:ascii="Calibri" w:hAnsi="Calibri"/>
                <w:b/>
                <w:bCs/>
                <w:color w:val="000000"/>
                <w:lang w:eastAsia="en-GB"/>
              </w:rPr>
              <w:t>-80</w:t>
            </w:r>
          </w:p>
        </w:tc>
        <w:tc>
          <w:tcPr>
            <w:tcW w:w="1417" w:type="dxa"/>
            <w:tcBorders>
              <w:top w:val="nil"/>
              <w:left w:val="nil"/>
              <w:bottom w:val="single" w:sz="4" w:space="0" w:color="FFFFFF"/>
              <w:right w:val="single" w:sz="4" w:space="0" w:color="FFFFFF"/>
            </w:tcBorders>
            <w:shd w:val="clear" w:color="000000" w:fill="D8E4BC"/>
            <w:noWrap/>
            <w:vAlign w:val="center"/>
          </w:tcPr>
          <w:p w14:paraId="4D887EBE" w14:textId="2E9F395E" w:rsidR="00B33461" w:rsidRPr="00BE0EF2" w:rsidRDefault="00E14AC2" w:rsidP="00436CCB">
            <w:pPr>
              <w:jc w:val="right"/>
              <w:rPr>
                <w:rFonts w:ascii="Calibri" w:hAnsi="Calibri"/>
                <w:b/>
                <w:bCs/>
                <w:color w:val="000000"/>
                <w:lang w:eastAsia="en-GB"/>
              </w:rPr>
            </w:pPr>
            <w:r>
              <w:rPr>
                <w:rFonts w:ascii="Calibri" w:hAnsi="Calibri"/>
                <w:b/>
                <w:bCs/>
                <w:color w:val="000000"/>
                <w:lang w:eastAsia="en-GB"/>
              </w:rPr>
              <w:t>1,815</w:t>
            </w:r>
          </w:p>
        </w:tc>
      </w:tr>
      <w:tr w:rsidR="00B33461" w:rsidRPr="00BE0EF2" w14:paraId="44C977ED" w14:textId="77777777" w:rsidTr="00C01D9F">
        <w:trPr>
          <w:trHeight w:val="510"/>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418AF399" w14:textId="20D747D4" w:rsidR="00B33461" w:rsidRPr="00BE0EF2" w:rsidRDefault="00B33461" w:rsidP="00BE0EF2">
            <w:pPr>
              <w:rPr>
                <w:rFonts w:ascii="Calibri" w:hAnsi="Calibri"/>
                <w:color w:val="000000"/>
                <w:lang w:eastAsia="en-GB"/>
              </w:rPr>
            </w:pPr>
            <w:r w:rsidRPr="00BE0EF2">
              <w:rPr>
                <w:rFonts w:ascii="Calibri" w:hAnsi="Calibri"/>
                <w:color w:val="000000"/>
                <w:lang w:eastAsia="en-GB"/>
              </w:rPr>
              <w:t xml:space="preserve">Other Income </w:t>
            </w:r>
            <w:r w:rsidR="00704A70">
              <w:rPr>
                <w:rFonts w:ascii="Calibri" w:hAnsi="Calibri"/>
                <w:color w:val="000000"/>
                <w:lang w:eastAsia="en-GB"/>
              </w:rPr>
              <w:t>and</w:t>
            </w:r>
            <w:r w:rsidRPr="00BE0EF2">
              <w:rPr>
                <w:rFonts w:ascii="Calibri" w:hAnsi="Calibri"/>
                <w:color w:val="000000"/>
                <w:lang w:eastAsia="en-GB"/>
              </w:rPr>
              <w:t xml:space="preserve"> Expenditure from the Expenditure </w:t>
            </w:r>
            <w:r w:rsidR="00704A70">
              <w:rPr>
                <w:rFonts w:ascii="Calibri" w:hAnsi="Calibri"/>
                <w:color w:val="000000"/>
                <w:lang w:eastAsia="en-GB"/>
              </w:rPr>
              <w:t>and</w:t>
            </w:r>
            <w:r w:rsidRPr="00BE0EF2">
              <w:rPr>
                <w:rFonts w:ascii="Calibri" w:hAnsi="Calibri"/>
                <w:color w:val="000000"/>
                <w:lang w:eastAsia="en-GB"/>
              </w:rPr>
              <w:t xml:space="preserve"> Funding Analysis</w:t>
            </w:r>
          </w:p>
        </w:tc>
        <w:tc>
          <w:tcPr>
            <w:tcW w:w="1445" w:type="dxa"/>
            <w:tcBorders>
              <w:top w:val="nil"/>
              <w:left w:val="nil"/>
              <w:bottom w:val="single" w:sz="4" w:space="0" w:color="FFFFFF"/>
              <w:right w:val="single" w:sz="4" w:space="0" w:color="FFFFFF"/>
            </w:tcBorders>
            <w:shd w:val="clear" w:color="000000" w:fill="EBF1DE"/>
            <w:noWrap/>
            <w:vAlign w:val="center"/>
          </w:tcPr>
          <w:p w14:paraId="0AB0013D" w14:textId="5F7822AA" w:rsidR="00B33461" w:rsidRPr="00BE0EF2" w:rsidRDefault="00E14AC2" w:rsidP="00436CCB">
            <w:pPr>
              <w:jc w:val="right"/>
              <w:rPr>
                <w:rFonts w:ascii="Calibri" w:hAnsi="Calibri"/>
                <w:color w:val="000000"/>
                <w:lang w:eastAsia="en-GB"/>
              </w:rPr>
            </w:pPr>
            <w:r>
              <w:rPr>
                <w:rFonts w:ascii="Calibri" w:hAnsi="Calibri"/>
                <w:color w:val="000000"/>
                <w:lang w:eastAsia="en-GB"/>
              </w:rPr>
              <w:t>712</w:t>
            </w:r>
          </w:p>
        </w:tc>
        <w:tc>
          <w:tcPr>
            <w:tcW w:w="1418" w:type="dxa"/>
            <w:tcBorders>
              <w:top w:val="nil"/>
              <w:left w:val="nil"/>
              <w:bottom w:val="single" w:sz="4" w:space="0" w:color="FFFFFF"/>
              <w:right w:val="single" w:sz="4" w:space="0" w:color="FFFFFF"/>
            </w:tcBorders>
            <w:shd w:val="clear" w:color="000000" w:fill="EBF1DE"/>
            <w:noWrap/>
            <w:vAlign w:val="center"/>
          </w:tcPr>
          <w:p w14:paraId="1D2C2DAC" w14:textId="49C821B1" w:rsidR="00B33461" w:rsidRPr="00BE0EF2" w:rsidRDefault="00E14AC2" w:rsidP="007B13E6">
            <w:pPr>
              <w:jc w:val="right"/>
              <w:rPr>
                <w:rFonts w:ascii="Calibri" w:hAnsi="Calibri"/>
                <w:color w:val="000000"/>
                <w:lang w:eastAsia="en-GB"/>
              </w:rPr>
            </w:pPr>
            <w:r>
              <w:rPr>
                <w:rFonts w:ascii="Calibri" w:hAnsi="Calibri"/>
                <w:color w:val="000000"/>
                <w:lang w:eastAsia="en-GB"/>
              </w:rPr>
              <w:t>568</w:t>
            </w:r>
          </w:p>
        </w:tc>
        <w:tc>
          <w:tcPr>
            <w:tcW w:w="1276" w:type="dxa"/>
            <w:tcBorders>
              <w:top w:val="nil"/>
              <w:left w:val="nil"/>
              <w:bottom w:val="single" w:sz="4" w:space="0" w:color="FFFFFF"/>
              <w:right w:val="single" w:sz="4" w:space="0" w:color="FFFFFF"/>
            </w:tcBorders>
            <w:shd w:val="clear" w:color="000000" w:fill="EBF1DE"/>
            <w:noWrap/>
            <w:vAlign w:val="center"/>
          </w:tcPr>
          <w:p w14:paraId="42E0CEEA" w14:textId="13210C9F" w:rsidR="00B33461" w:rsidRPr="00BE0EF2" w:rsidRDefault="00E14AC2">
            <w:pPr>
              <w:jc w:val="right"/>
              <w:rPr>
                <w:rFonts w:ascii="Calibri" w:hAnsi="Calibri"/>
                <w:color w:val="000000"/>
                <w:lang w:eastAsia="en-GB"/>
              </w:rPr>
            </w:pPr>
            <w:r>
              <w:rPr>
                <w:rFonts w:ascii="Calibri" w:hAnsi="Calibri"/>
                <w:color w:val="000000"/>
                <w:lang w:eastAsia="en-GB"/>
              </w:rPr>
              <w:t>-40</w:t>
            </w:r>
          </w:p>
        </w:tc>
        <w:tc>
          <w:tcPr>
            <w:tcW w:w="1417" w:type="dxa"/>
            <w:tcBorders>
              <w:top w:val="nil"/>
              <w:left w:val="nil"/>
              <w:bottom w:val="single" w:sz="4" w:space="0" w:color="FFFFFF"/>
              <w:right w:val="single" w:sz="4" w:space="0" w:color="FFFFFF"/>
            </w:tcBorders>
            <w:shd w:val="clear" w:color="000000" w:fill="D8E4BC"/>
            <w:noWrap/>
            <w:vAlign w:val="center"/>
          </w:tcPr>
          <w:p w14:paraId="456EC006" w14:textId="30185EF7" w:rsidR="00B33461" w:rsidRPr="00BE0EF2" w:rsidRDefault="00E14AC2" w:rsidP="007B13E6">
            <w:pPr>
              <w:jc w:val="right"/>
              <w:rPr>
                <w:rFonts w:ascii="Calibri" w:hAnsi="Calibri"/>
                <w:color w:val="000000"/>
                <w:lang w:eastAsia="en-GB"/>
              </w:rPr>
            </w:pPr>
            <w:r>
              <w:rPr>
                <w:rFonts w:ascii="Calibri" w:hAnsi="Calibri"/>
                <w:color w:val="000000"/>
                <w:lang w:eastAsia="en-GB"/>
              </w:rPr>
              <w:t>1,240</w:t>
            </w:r>
          </w:p>
        </w:tc>
      </w:tr>
      <w:tr w:rsidR="00B33461" w:rsidRPr="00BE0EF2" w14:paraId="136EB007" w14:textId="77777777" w:rsidTr="00C01D9F">
        <w:trPr>
          <w:trHeight w:val="765"/>
        </w:trPr>
        <w:tc>
          <w:tcPr>
            <w:tcW w:w="4240" w:type="dxa"/>
            <w:tcBorders>
              <w:top w:val="nil"/>
              <w:left w:val="single" w:sz="4" w:space="0" w:color="FFFFFF"/>
              <w:bottom w:val="single" w:sz="4" w:space="0" w:color="FFFFFF"/>
              <w:right w:val="single" w:sz="4" w:space="0" w:color="FFFFFF"/>
            </w:tcBorders>
            <w:shd w:val="clear" w:color="000000" w:fill="D8E4BC"/>
            <w:vAlign w:val="bottom"/>
            <w:hideMark/>
          </w:tcPr>
          <w:p w14:paraId="000A9F76" w14:textId="77777777" w:rsidR="00B33461" w:rsidRPr="00BE0EF2" w:rsidRDefault="00B33461" w:rsidP="00BE0EF2">
            <w:pPr>
              <w:rPr>
                <w:rFonts w:ascii="Calibri" w:hAnsi="Calibri"/>
                <w:b/>
                <w:bCs/>
                <w:color w:val="000000"/>
                <w:lang w:eastAsia="en-GB"/>
              </w:rPr>
            </w:pPr>
            <w:r w:rsidRPr="00BE0EF2">
              <w:rPr>
                <w:rFonts w:ascii="Calibri" w:hAnsi="Calibri"/>
                <w:b/>
                <w:bCs/>
                <w:color w:val="000000"/>
                <w:lang w:eastAsia="en-GB"/>
              </w:rPr>
              <w:t>Difference between General Fund Surplus/Deficit and CIES Surplus/Deficit on the Provision of Services</w:t>
            </w:r>
          </w:p>
        </w:tc>
        <w:tc>
          <w:tcPr>
            <w:tcW w:w="1445" w:type="dxa"/>
            <w:tcBorders>
              <w:top w:val="nil"/>
              <w:left w:val="nil"/>
              <w:bottom w:val="single" w:sz="4" w:space="0" w:color="FFFFFF"/>
              <w:right w:val="single" w:sz="4" w:space="0" w:color="FFFFFF"/>
            </w:tcBorders>
            <w:shd w:val="clear" w:color="000000" w:fill="D8E4BC"/>
            <w:noWrap/>
            <w:vAlign w:val="center"/>
          </w:tcPr>
          <w:p w14:paraId="3294159C" w14:textId="7EB4E21D" w:rsidR="00B33461" w:rsidRPr="00BE0EF2" w:rsidRDefault="00E14AC2" w:rsidP="00436CCB">
            <w:pPr>
              <w:jc w:val="right"/>
              <w:rPr>
                <w:rFonts w:ascii="Calibri" w:hAnsi="Calibri"/>
                <w:b/>
                <w:bCs/>
                <w:color w:val="000000"/>
                <w:lang w:eastAsia="en-GB"/>
              </w:rPr>
            </w:pPr>
            <w:r>
              <w:rPr>
                <w:rFonts w:ascii="Calibri" w:hAnsi="Calibri"/>
                <w:b/>
                <w:bCs/>
                <w:color w:val="000000"/>
                <w:lang w:eastAsia="en-GB"/>
              </w:rPr>
              <w:t>1,582</w:t>
            </w:r>
          </w:p>
        </w:tc>
        <w:tc>
          <w:tcPr>
            <w:tcW w:w="1418" w:type="dxa"/>
            <w:tcBorders>
              <w:top w:val="nil"/>
              <w:left w:val="nil"/>
              <w:bottom w:val="single" w:sz="4" w:space="0" w:color="FFFFFF"/>
              <w:right w:val="single" w:sz="4" w:space="0" w:color="FFFFFF"/>
            </w:tcBorders>
            <w:shd w:val="clear" w:color="000000" w:fill="D8E4BC"/>
            <w:noWrap/>
            <w:vAlign w:val="center"/>
          </w:tcPr>
          <w:p w14:paraId="760DCDCC" w14:textId="66515831" w:rsidR="00B33461" w:rsidRPr="00BE0EF2" w:rsidRDefault="00E14AC2" w:rsidP="00BE0EF2">
            <w:pPr>
              <w:jc w:val="right"/>
              <w:rPr>
                <w:rFonts w:ascii="Calibri" w:hAnsi="Calibri"/>
                <w:b/>
                <w:bCs/>
                <w:color w:val="000000"/>
                <w:lang w:eastAsia="en-GB"/>
              </w:rPr>
            </w:pPr>
            <w:r>
              <w:rPr>
                <w:rFonts w:ascii="Calibri" w:hAnsi="Calibri"/>
                <w:b/>
                <w:bCs/>
                <w:color w:val="000000"/>
                <w:lang w:eastAsia="en-GB"/>
              </w:rPr>
              <w:t>1,593</w:t>
            </w:r>
          </w:p>
        </w:tc>
        <w:tc>
          <w:tcPr>
            <w:tcW w:w="1276" w:type="dxa"/>
            <w:tcBorders>
              <w:top w:val="nil"/>
              <w:left w:val="nil"/>
              <w:bottom w:val="single" w:sz="4" w:space="0" w:color="FFFFFF"/>
              <w:right w:val="single" w:sz="4" w:space="0" w:color="FFFFFF"/>
            </w:tcBorders>
            <w:shd w:val="clear" w:color="000000" w:fill="D8E4BC"/>
            <w:noWrap/>
            <w:vAlign w:val="center"/>
          </w:tcPr>
          <w:p w14:paraId="0A9D0792" w14:textId="463F8D99" w:rsidR="00B33461" w:rsidRPr="00BE0EF2" w:rsidRDefault="00E14AC2" w:rsidP="009C18FA">
            <w:pPr>
              <w:jc w:val="right"/>
              <w:rPr>
                <w:rFonts w:ascii="Calibri" w:hAnsi="Calibri"/>
                <w:b/>
                <w:bCs/>
                <w:color w:val="000000"/>
                <w:lang w:eastAsia="en-GB"/>
              </w:rPr>
            </w:pPr>
            <w:r>
              <w:rPr>
                <w:rFonts w:ascii="Calibri" w:hAnsi="Calibri"/>
                <w:b/>
                <w:bCs/>
                <w:color w:val="000000"/>
                <w:lang w:eastAsia="en-GB"/>
              </w:rPr>
              <w:t>-120</w:t>
            </w:r>
          </w:p>
        </w:tc>
        <w:tc>
          <w:tcPr>
            <w:tcW w:w="1417" w:type="dxa"/>
            <w:tcBorders>
              <w:top w:val="nil"/>
              <w:left w:val="nil"/>
              <w:bottom w:val="single" w:sz="4" w:space="0" w:color="FFFFFF"/>
              <w:right w:val="single" w:sz="4" w:space="0" w:color="FFFFFF"/>
            </w:tcBorders>
            <w:shd w:val="clear" w:color="000000" w:fill="D8E4BC"/>
            <w:noWrap/>
            <w:vAlign w:val="center"/>
          </w:tcPr>
          <w:p w14:paraId="45381447" w14:textId="4DA5402D" w:rsidR="00B33461" w:rsidRPr="00BE0EF2" w:rsidRDefault="00E14AC2" w:rsidP="009C18FA">
            <w:pPr>
              <w:jc w:val="right"/>
              <w:rPr>
                <w:rFonts w:ascii="Calibri" w:hAnsi="Calibri"/>
                <w:b/>
                <w:bCs/>
                <w:color w:val="000000"/>
                <w:lang w:eastAsia="en-GB"/>
              </w:rPr>
            </w:pPr>
            <w:r>
              <w:rPr>
                <w:rFonts w:ascii="Calibri" w:hAnsi="Calibri"/>
                <w:b/>
                <w:bCs/>
                <w:color w:val="000000"/>
                <w:lang w:eastAsia="en-GB"/>
              </w:rPr>
              <w:t>3,055</w:t>
            </w:r>
          </w:p>
        </w:tc>
      </w:tr>
    </w:tbl>
    <w:p w14:paraId="1863B3EB" w14:textId="77777777" w:rsidR="00BE0EF2" w:rsidRDefault="00BE0EF2" w:rsidP="00EB1FC3">
      <w:pPr>
        <w:widowControl w:val="0"/>
        <w:tabs>
          <w:tab w:val="left" w:pos="0"/>
          <w:tab w:val="left" w:pos="720"/>
          <w:tab w:val="left" w:pos="1800"/>
          <w:tab w:val="left" w:pos="6768"/>
          <w:tab w:val="left" w:pos="8640"/>
        </w:tabs>
        <w:ind w:right="720"/>
        <w:rPr>
          <w:rFonts w:asciiTheme="minorHAnsi" w:hAnsiTheme="minorHAnsi" w:cs="Arial"/>
          <w:sz w:val="22"/>
          <w:szCs w:val="22"/>
        </w:rPr>
      </w:pPr>
    </w:p>
    <w:p w14:paraId="43F9FAC3" w14:textId="64F34B67" w:rsidR="00652B18" w:rsidRDefault="00BE5379" w:rsidP="00EB1FC3">
      <w:pPr>
        <w:widowControl w:val="0"/>
        <w:tabs>
          <w:tab w:val="left" w:pos="0"/>
          <w:tab w:val="left" w:pos="720"/>
          <w:tab w:val="left" w:pos="1800"/>
          <w:tab w:val="left" w:pos="6768"/>
          <w:tab w:val="left" w:pos="8640"/>
        </w:tabs>
        <w:ind w:right="720"/>
        <w:rPr>
          <w:rFonts w:ascii="Arial" w:hAnsi="Arial" w:cs="Arial"/>
        </w:rPr>
      </w:pPr>
      <w:r>
        <w:rPr>
          <w:rFonts w:asciiTheme="minorHAnsi" w:hAnsiTheme="minorHAnsi" w:cs="Arial"/>
          <w:sz w:val="22"/>
          <w:szCs w:val="22"/>
        </w:rPr>
        <w:t>Adjustments between F</w:t>
      </w:r>
      <w:r w:rsidR="00BE0EF2">
        <w:rPr>
          <w:rFonts w:asciiTheme="minorHAnsi" w:hAnsiTheme="minorHAnsi" w:cs="Arial"/>
          <w:sz w:val="22"/>
          <w:szCs w:val="22"/>
        </w:rPr>
        <w:t>unding and Accounting Basis 20</w:t>
      </w:r>
      <w:r w:rsidR="002C2D15">
        <w:rPr>
          <w:rFonts w:asciiTheme="minorHAnsi" w:hAnsiTheme="minorHAnsi" w:cs="Arial"/>
          <w:sz w:val="22"/>
          <w:szCs w:val="22"/>
        </w:rPr>
        <w:t>2</w:t>
      </w:r>
      <w:r w:rsidR="00F57FC0">
        <w:rPr>
          <w:rFonts w:asciiTheme="minorHAnsi" w:hAnsiTheme="minorHAnsi" w:cs="Arial"/>
          <w:sz w:val="22"/>
          <w:szCs w:val="22"/>
        </w:rPr>
        <w:t>1</w:t>
      </w:r>
      <w:r>
        <w:rPr>
          <w:rFonts w:asciiTheme="minorHAnsi" w:hAnsiTheme="minorHAnsi" w:cs="Arial"/>
          <w:sz w:val="22"/>
          <w:szCs w:val="22"/>
        </w:rPr>
        <w:t>-</w:t>
      </w:r>
      <w:r w:rsidR="00F17F1D">
        <w:rPr>
          <w:rFonts w:asciiTheme="minorHAnsi" w:hAnsiTheme="minorHAnsi" w:cs="Arial"/>
          <w:sz w:val="22"/>
          <w:szCs w:val="22"/>
        </w:rPr>
        <w:t>2</w:t>
      </w:r>
      <w:r w:rsidR="00F57FC0">
        <w:rPr>
          <w:rFonts w:asciiTheme="minorHAnsi" w:hAnsiTheme="minorHAnsi" w:cs="Arial"/>
          <w:sz w:val="22"/>
          <w:szCs w:val="22"/>
        </w:rPr>
        <w:t>2</w:t>
      </w:r>
    </w:p>
    <w:p w14:paraId="6815F41D" w14:textId="77777777" w:rsidR="00652B18" w:rsidRDefault="00652B18" w:rsidP="00EB1FC3">
      <w:pPr>
        <w:widowControl w:val="0"/>
        <w:tabs>
          <w:tab w:val="left" w:pos="0"/>
          <w:tab w:val="left" w:pos="720"/>
          <w:tab w:val="left" w:pos="1800"/>
          <w:tab w:val="left" w:pos="6768"/>
          <w:tab w:val="left" w:pos="8640"/>
        </w:tabs>
        <w:ind w:right="720"/>
        <w:rPr>
          <w:rFonts w:ascii="Arial" w:hAnsi="Arial" w:cs="Arial"/>
        </w:rPr>
      </w:pPr>
    </w:p>
    <w:tbl>
      <w:tblPr>
        <w:tblW w:w="9796" w:type="dxa"/>
        <w:tblInd w:w="93" w:type="dxa"/>
        <w:tblLook w:val="04A0" w:firstRow="1" w:lastRow="0" w:firstColumn="1" w:lastColumn="0" w:noHBand="0" w:noVBand="1"/>
        <w:tblCaption w:val="Note to the expenditure and funding analysis"/>
        <w:tblDescription w:val="Adjustments between funding and accounting basis for 2021-2022"/>
      </w:tblPr>
      <w:tblGrid>
        <w:gridCol w:w="4240"/>
        <w:gridCol w:w="1445"/>
        <w:gridCol w:w="1418"/>
        <w:gridCol w:w="1276"/>
        <w:gridCol w:w="1417"/>
      </w:tblGrid>
      <w:tr w:rsidR="00B33461" w:rsidRPr="00BE0EF2" w14:paraId="7D6930FC" w14:textId="77777777" w:rsidTr="00F367A2">
        <w:trPr>
          <w:trHeight w:val="1710"/>
          <w:tblHeader/>
        </w:trPr>
        <w:tc>
          <w:tcPr>
            <w:tcW w:w="4240" w:type="dxa"/>
            <w:tcBorders>
              <w:top w:val="single" w:sz="4" w:space="0" w:color="FFFFFF"/>
              <w:left w:val="single" w:sz="4" w:space="0" w:color="FFFFFF"/>
              <w:bottom w:val="nil"/>
              <w:right w:val="single" w:sz="4" w:space="0" w:color="FFFFFF"/>
            </w:tcBorders>
            <w:shd w:val="clear" w:color="000000" w:fill="C4D79B"/>
            <w:vAlign w:val="bottom"/>
            <w:hideMark/>
          </w:tcPr>
          <w:p w14:paraId="2D42DE3E" w14:textId="487FE84E" w:rsidR="00B33461" w:rsidRPr="00BE0EF2" w:rsidRDefault="00B33461" w:rsidP="00BE0EF2">
            <w:pPr>
              <w:rPr>
                <w:rFonts w:ascii="Calibri" w:hAnsi="Calibri"/>
                <w:color w:val="000000"/>
                <w:lang w:eastAsia="en-GB"/>
              </w:rPr>
            </w:pPr>
            <w:r w:rsidRPr="00BE0EF2">
              <w:rPr>
                <w:rFonts w:ascii="Calibri" w:hAnsi="Calibri"/>
                <w:color w:val="000000"/>
                <w:lang w:eastAsia="en-GB"/>
              </w:rPr>
              <w:t xml:space="preserve">Adjustments from General Fund to arrive at the Comprehensive Income </w:t>
            </w:r>
            <w:r w:rsidR="00704A70">
              <w:rPr>
                <w:rFonts w:ascii="Calibri" w:hAnsi="Calibri"/>
                <w:color w:val="000000"/>
                <w:lang w:eastAsia="en-GB"/>
              </w:rPr>
              <w:t>and</w:t>
            </w:r>
            <w:r w:rsidRPr="00BE0EF2">
              <w:rPr>
                <w:rFonts w:ascii="Calibri" w:hAnsi="Calibri"/>
                <w:color w:val="000000"/>
                <w:lang w:eastAsia="en-GB"/>
              </w:rPr>
              <w:t xml:space="preserve"> Expenditure Statement Amounts</w:t>
            </w:r>
          </w:p>
        </w:tc>
        <w:tc>
          <w:tcPr>
            <w:tcW w:w="1445"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7954C4F7"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Adjustments for Capital Purposes</w:t>
            </w:r>
          </w:p>
        </w:tc>
        <w:tc>
          <w:tcPr>
            <w:tcW w:w="1418"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44152CC5"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Net Change for the Pensions Adjustments</w:t>
            </w:r>
          </w:p>
        </w:tc>
        <w:tc>
          <w:tcPr>
            <w:tcW w:w="1276"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7B6350EA"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Other Statutory Differences</w:t>
            </w:r>
          </w:p>
        </w:tc>
        <w:tc>
          <w:tcPr>
            <w:tcW w:w="1417" w:type="dxa"/>
            <w:tcBorders>
              <w:top w:val="single" w:sz="4" w:space="0" w:color="FFFFFF"/>
              <w:left w:val="nil"/>
              <w:bottom w:val="single" w:sz="4" w:space="0" w:color="FFFFFF"/>
              <w:right w:val="single" w:sz="4" w:space="0" w:color="FFFFFF"/>
            </w:tcBorders>
            <w:shd w:val="clear" w:color="000000" w:fill="C4D79B"/>
            <w:textDirection w:val="btLr"/>
            <w:vAlign w:val="bottom"/>
            <w:hideMark/>
          </w:tcPr>
          <w:p w14:paraId="2C24088F"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Total Statutory Adjustments</w:t>
            </w:r>
          </w:p>
        </w:tc>
      </w:tr>
      <w:tr w:rsidR="00B33461" w:rsidRPr="00BE0EF2" w14:paraId="48F957F6" w14:textId="77777777" w:rsidTr="00B33461">
        <w:trPr>
          <w:trHeight w:val="255"/>
        </w:trPr>
        <w:tc>
          <w:tcPr>
            <w:tcW w:w="4240" w:type="dxa"/>
            <w:tcBorders>
              <w:top w:val="nil"/>
              <w:left w:val="single" w:sz="4" w:space="0" w:color="FFFFFF"/>
              <w:bottom w:val="single" w:sz="4" w:space="0" w:color="FFFFFF"/>
              <w:right w:val="single" w:sz="4" w:space="0" w:color="FFFFFF"/>
            </w:tcBorders>
            <w:shd w:val="clear" w:color="000000" w:fill="C4D79B"/>
            <w:noWrap/>
            <w:vAlign w:val="bottom"/>
            <w:hideMark/>
          </w:tcPr>
          <w:p w14:paraId="478927FC"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 </w:t>
            </w:r>
          </w:p>
        </w:tc>
        <w:tc>
          <w:tcPr>
            <w:tcW w:w="1445" w:type="dxa"/>
            <w:tcBorders>
              <w:top w:val="nil"/>
              <w:left w:val="nil"/>
              <w:bottom w:val="single" w:sz="4" w:space="0" w:color="FFFFFF"/>
              <w:right w:val="single" w:sz="4" w:space="0" w:color="FFFFFF"/>
            </w:tcBorders>
            <w:shd w:val="clear" w:color="000000" w:fill="C4D79B"/>
            <w:noWrap/>
            <w:vAlign w:val="bottom"/>
            <w:hideMark/>
          </w:tcPr>
          <w:p w14:paraId="73CFD2DF"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418" w:type="dxa"/>
            <w:tcBorders>
              <w:top w:val="nil"/>
              <w:left w:val="nil"/>
              <w:bottom w:val="single" w:sz="4" w:space="0" w:color="FFFFFF"/>
              <w:right w:val="single" w:sz="4" w:space="0" w:color="FFFFFF"/>
            </w:tcBorders>
            <w:shd w:val="clear" w:color="000000" w:fill="C4D79B"/>
            <w:noWrap/>
            <w:vAlign w:val="bottom"/>
            <w:hideMark/>
          </w:tcPr>
          <w:p w14:paraId="06D9BD89"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276" w:type="dxa"/>
            <w:tcBorders>
              <w:top w:val="nil"/>
              <w:left w:val="nil"/>
              <w:bottom w:val="single" w:sz="4" w:space="0" w:color="FFFFFF"/>
              <w:right w:val="single" w:sz="4" w:space="0" w:color="FFFFFF"/>
            </w:tcBorders>
            <w:shd w:val="clear" w:color="000000" w:fill="C4D79B"/>
            <w:noWrap/>
            <w:vAlign w:val="bottom"/>
            <w:hideMark/>
          </w:tcPr>
          <w:p w14:paraId="6A48E272"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c>
          <w:tcPr>
            <w:tcW w:w="1417" w:type="dxa"/>
            <w:tcBorders>
              <w:top w:val="nil"/>
              <w:left w:val="nil"/>
              <w:bottom w:val="single" w:sz="4" w:space="0" w:color="FFFFFF"/>
              <w:right w:val="single" w:sz="4" w:space="0" w:color="FFFFFF"/>
            </w:tcBorders>
            <w:shd w:val="clear" w:color="000000" w:fill="C4D79B"/>
            <w:noWrap/>
            <w:vAlign w:val="bottom"/>
            <w:hideMark/>
          </w:tcPr>
          <w:p w14:paraId="092419AB" w14:textId="77777777" w:rsidR="00B33461" w:rsidRPr="00BE0EF2" w:rsidRDefault="00B33461" w:rsidP="00BE0EF2">
            <w:pPr>
              <w:jc w:val="right"/>
              <w:rPr>
                <w:rFonts w:ascii="Calibri" w:hAnsi="Calibri"/>
                <w:color w:val="000000"/>
                <w:lang w:eastAsia="en-GB"/>
              </w:rPr>
            </w:pPr>
            <w:r w:rsidRPr="00BE0EF2">
              <w:rPr>
                <w:rFonts w:ascii="Calibri" w:hAnsi="Calibri"/>
                <w:color w:val="000000"/>
                <w:lang w:eastAsia="en-GB"/>
              </w:rPr>
              <w:t>£'000</w:t>
            </w:r>
          </w:p>
        </w:tc>
      </w:tr>
      <w:tr w:rsidR="00B33461" w:rsidRPr="00BE0EF2" w14:paraId="78A8ECE5" w14:textId="77777777" w:rsidTr="00D639B8">
        <w:trPr>
          <w:trHeight w:val="324"/>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20B063F7"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General Expen</w:t>
            </w:r>
            <w:r w:rsidR="00D639B8">
              <w:rPr>
                <w:rFonts w:ascii="Calibri" w:hAnsi="Calibri"/>
                <w:color w:val="000000"/>
                <w:lang w:eastAsia="en-GB"/>
              </w:rPr>
              <w:t>ses - People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29F7CE47" w14:textId="0D242A4A" w:rsidR="00B33461" w:rsidRPr="00BE0EF2" w:rsidRDefault="00F57FC0" w:rsidP="00BE0EF2">
            <w:pPr>
              <w:jc w:val="right"/>
              <w:rPr>
                <w:rFonts w:ascii="Calibri" w:hAnsi="Calibri"/>
                <w:color w:val="000000"/>
                <w:lang w:eastAsia="en-GB"/>
              </w:rPr>
            </w:pPr>
            <w:r>
              <w:rPr>
                <w:rFonts w:ascii="Calibri" w:hAnsi="Calibri"/>
                <w:color w:val="000000"/>
                <w:lang w:eastAsia="en-GB"/>
              </w:rPr>
              <w:t>660</w:t>
            </w:r>
          </w:p>
        </w:tc>
        <w:tc>
          <w:tcPr>
            <w:tcW w:w="1418" w:type="dxa"/>
            <w:tcBorders>
              <w:top w:val="nil"/>
              <w:left w:val="nil"/>
              <w:bottom w:val="single" w:sz="4" w:space="0" w:color="FFFFFF"/>
              <w:right w:val="single" w:sz="4" w:space="0" w:color="FFFFFF"/>
            </w:tcBorders>
            <w:shd w:val="clear" w:color="000000" w:fill="EBF1DE"/>
            <w:noWrap/>
            <w:vAlign w:val="center"/>
          </w:tcPr>
          <w:p w14:paraId="22B14194" w14:textId="1CF910CC" w:rsidR="00B33461" w:rsidRPr="00BE0EF2" w:rsidRDefault="00F57FC0" w:rsidP="00F17F1D">
            <w:pPr>
              <w:jc w:val="right"/>
              <w:rPr>
                <w:rFonts w:ascii="Calibri" w:hAnsi="Calibri"/>
                <w:color w:val="000000"/>
                <w:lang w:eastAsia="en-GB"/>
              </w:rPr>
            </w:pPr>
            <w:r>
              <w:rPr>
                <w:rFonts w:ascii="Calibri" w:hAnsi="Calibri"/>
                <w:color w:val="000000"/>
                <w:lang w:eastAsia="en-GB"/>
              </w:rPr>
              <w:t>326</w:t>
            </w:r>
          </w:p>
        </w:tc>
        <w:tc>
          <w:tcPr>
            <w:tcW w:w="1276" w:type="dxa"/>
            <w:tcBorders>
              <w:top w:val="nil"/>
              <w:left w:val="nil"/>
              <w:bottom w:val="single" w:sz="4" w:space="0" w:color="FFFFFF"/>
              <w:right w:val="single" w:sz="4" w:space="0" w:color="FFFFFF"/>
            </w:tcBorders>
            <w:shd w:val="clear" w:color="000000" w:fill="EBF1DE"/>
            <w:noWrap/>
            <w:vAlign w:val="center"/>
          </w:tcPr>
          <w:p w14:paraId="052D7EB2" w14:textId="6B6955C5" w:rsidR="00B33461" w:rsidRPr="00BE0EF2" w:rsidRDefault="00F57FC0" w:rsidP="00BE0EF2">
            <w:pPr>
              <w:jc w:val="right"/>
              <w:rPr>
                <w:rFonts w:ascii="Calibri" w:hAnsi="Calibri"/>
                <w:color w:val="000000"/>
                <w:lang w:eastAsia="en-GB"/>
              </w:rPr>
            </w:pPr>
            <w:r>
              <w:rPr>
                <w:rFonts w:ascii="Calibri" w:hAnsi="Calibri"/>
                <w:color w:val="000000"/>
                <w:lang w:eastAsia="en-GB"/>
              </w:rPr>
              <w:t>-1</w:t>
            </w:r>
            <w:r w:rsidR="002C2D15">
              <w:rPr>
                <w:rFonts w:ascii="Calibri" w:hAnsi="Calibri"/>
                <w:color w:val="000000"/>
                <w:lang w:eastAsia="en-GB"/>
              </w:rPr>
              <w:t>7</w:t>
            </w:r>
          </w:p>
        </w:tc>
        <w:tc>
          <w:tcPr>
            <w:tcW w:w="1417" w:type="dxa"/>
            <w:tcBorders>
              <w:top w:val="nil"/>
              <w:left w:val="nil"/>
              <w:bottom w:val="single" w:sz="4" w:space="0" w:color="FFFFFF"/>
              <w:right w:val="single" w:sz="4" w:space="0" w:color="FFFFFF"/>
            </w:tcBorders>
            <w:shd w:val="clear" w:color="000000" w:fill="D8E4BC"/>
            <w:noWrap/>
            <w:vAlign w:val="center"/>
          </w:tcPr>
          <w:p w14:paraId="3D62216B" w14:textId="46C73048" w:rsidR="00B33461" w:rsidRPr="00BE0EF2" w:rsidRDefault="00593838" w:rsidP="00CD2B86">
            <w:pPr>
              <w:jc w:val="right"/>
              <w:rPr>
                <w:rFonts w:ascii="Calibri" w:hAnsi="Calibri"/>
                <w:color w:val="000000"/>
                <w:lang w:eastAsia="en-GB"/>
              </w:rPr>
            </w:pPr>
            <w:r>
              <w:rPr>
                <w:rFonts w:ascii="Calibri" w:hAnsi="Calibri"/>
                <w:color w:val="000000"/>
                <w:lang w:eastAsia="en-GB"/>
              </w:rPr>
              <w:t>969</w:t>
            </w:r>
          </w:p>
        </w:tc>
      </w:tr>
      <w:tr w:rsidR="00B33461" w:rsidRPr="00BE0EF2" w14:paraId="17288AF2" w14:textId="77777777" w:rsidTr="00D639B8">
        <w:trPr>
          <w:trHeight w:val="401"/>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03950408" w14:textId="77777777" w:rsidR="00B33461" w:rsidRPr="00BE0EF2" w:rsidRDefault="00B33461" w:rsidP="0066789A">
            <w:pPr>
              <w:rPr>
                <w:rFonts w:ascii="Calibri" w:hAnsi="Calibri"/>
                <w:color w:val="000000"/>
                <w:lang w:eastAsia="en-GB"/>
              </w:rPr>
            </w:pPr>
            <w:r w:rsidRPr="00BE0EF2">
              <w:rPr>
                <w:rFonts w:ascii="Calibri" w:hAnsi="Calibri"/>
                <w:color w:val="000000"/>
                <w:lang w:eastAsia="en-GB"/>
              </w:rPr>
              <w:t xml:space="preserve">General Expenses - </w:t>
            </w:r>
            <w:r w:rsidR="00D639B8">
              <w:rPr>
                <w:rFonts w:ascii="Calibri" w:hAnsi="Calibri"/>
                <w:color w:val="000000"/>
                <w:lang w:eastAsia="en-GB"/>
              </w:rPr>
              <w:t>Place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06C85DAF" w14:textId="7E0723FA" w:rsidR="00B33461" w:rsidRPr="00BE0EF2" w:rsidRDefault="00F57FC0" w:rsidP="0066789A">
            <w:pPr>
              <w:jc w:val="right"/>
              <w:rPr>
                <w:rFonts w:ascii="Calibri" w:hAnsi="Calibri"/>
                <w:color w:val="000000"/>
                <w:lang w:eastAsia="en-GB"/>
              </w:rPr>
            </w:pPr>
            <w:r>
              <w:rPr>
                <w:rFonts w:ascii="Calibri" w:hAnsi="Calibri"/>
                <w:color w:val="000000"/>
                <w:lang w:eastAsia="en-GB"/>
              </w:rPr>
              <w:t>507</w:t>
            </w:r>
          </w:p>
        </w:tc>
        <w:tc>
          <w:tcPr>
            <w:tcW w:w="1418" w:type="dxa"/>
            <w:tcBorders>
              <w:top w:val="nil"/>
              <w:left w:val="nil"/>
              <w:bottom w:val="single" w:sz="4" w:space="0" w:color="FFFFFF"/>
              <w:right w:val="single" w:sz="4" w:space="0" w:color="FFFFFF"/>
            </w:tcBorders>
            <w:shd w:val="clear" w:color="000000" w:fill="EBF1DE"/>
            <w:noWrap/>
            <w:vAlign w:val="center"/>
          </w:tcPr>
          <w:p w14:paraId="4FBEAD95" w14:textId="4552AF72" w:rsidR="00B33461" w:rsidRPr="00BE0EF2" w:rsidRDefault="00F57FC0" w:rsidP="00BE0EF2">
            <w:pPr>
              <w:jc w:val="right"/>
              <w:rPr>
                <w:rFonts w:ascii="Calibri" w:hAnsi="Calibri"/>
                <w:color w:val="000000"/>
                <w:lang w:eastAsia="en-GB"/>
              </w:rPr>
            </w:pPr>
            <w:r>
              <w:rPr>
                <w:rFonts w:ascii="Calibri" w:hAnsi="Calibri"/>
                <w:color w:val="000000"/>
                <w:lang w:eastAsia="en-GB"/>
              </w:rPr>
              <w:t>408</w:t>
            </w:r>
          </w:p>
        </w:tc>
        <w:tc>
          <w:tcPr>
            <w:tcW w:w="1276" w:type="dxa"/>
            <w:tcBorders>
              <w:top w:val="nil"/>
              <w:left w:val="nil"/>
              <w:bottom w:val="single" w:sz="4" w:space="0" w:color="FFFFFF"/>
              <w:right w:val="single" w:sz="4" w:space="0" w:color="FFFFFF"/>
            </w:tcBorders>
            <w:shd w:val="clear" w:color="000000" w:fill="EBF1DE"/>
            <w:noWrap/>
            <w:vAlign w:val="center"/>
          </w:tcPr>
          <w:p w14:paraId="61161102" w14:textId="3F815503" w:rsidR="00B33461" w:rsidRPr="00BE0EF2" w:rsidRDefault="00593838" w:rsidP="00BE0EF2">
            <w:pPr>
              <w:jc w:val="right"/>
              <w:rPr>
                <w:rFonts w:ascii="Calibri" w:hAnsi="Calibri"/>
                <w:color w:val="000000"/>
                <w:lang w:eastAsia="en-GB"/>
              </w:rPr>
            </w:pPr>
            <w:r>
              <w:rPr>
                <w:rFonts w:ascii="Calibri" w:hAnsi="Calibri"/>
                <w:color w:val="000000"/>
                <w:lang w:eastAsia="en-GB"/>
              </w:rPr>
              <w:t>-20</w:t>
            </w:r>
          </w:p>
        </w:tc>
        <w:tc>
          <w:tcPr>
            <w:tcW w:w="1417" w:type="dxa"/>
            <w:tcBorders>
              <w:top w:val="nil"/>
              <w:left w:val="nil"/>
              <w:bottom w:val="single" w:sz="4" w:space="0" w:color="FFFFFF"/>
              <w:right w:val="single" w:sz="4" w:space="0" w:color="FFFFFF"/>
            </w:tcBorders>
            <w:shd w:val="clear" w:color="000000" w:fill="D8E4BC"/>
            <w:noWrap/>
            <w:vAlign w:val="center"/>
          </w:tcPr>
          <w:p w14:paraId="26975870" w14:textId="003A04D6" w:rsidR="00B33461" w:rsidRPr="00BE0EF2" w:rsidRDefault="00593838" w:rsidP="008832CA">
            <w:pPr>
              <w:jc w:val="right"/>
              <w:rPr>
                <w:rFonts w:ascii="Calibri" w:hAnsi="Calibri"/>
                <w:color w:val="000000"/>
                <w:lang w:eastAsia="en-GB"/>
              </w:rPr>
            </w:pPr>
            <w:r>
              <w:rPr>
                <w:rFonts w:ascii="Calibri" w:hAnsi="Calibri"/>
                <w:color w:val="000000"/>
                <w:lang w:eastAsia="en-GB"/>
              </w:rPr>
              <w:t>895</w:t>
            </w:r>
          </w:p>
        </w:tc>
      </w:tr>
      <w:tr w:rsidR="00B33461" w:rsidRPr="00BE0EF2" w14:paraId="479EAF4D" w14:textId="77777777" w:rsidTr="00D639B8">
        <w:trPr>
          <w:trHeight w:val="279"/>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0967199E" w14:textId="77777777" w:rsidR="00B33461" w:rsidRPr="00BE0EF2" w:rsidRDefault="00D639B8" w:rsidP="0066789A">
            <w:pPr>
              <w:rPr>
                <w:rFonts w:ascii="Calibri" w:hAnsi="Calibri"/>
                <w:color w:val="000000"/>
                <w:lang w:eastAsia="en-GB"/>
              </w:rPr>
            </w:pPr>
            <w:r>
              <w:rPr>
                <w:rFonts w:ascii="Calibri" w:hAnsi="Calibri"/>
                <w:color w:val="000000"/>
                <w:lang w:eastAsia="en-GB"/>
              </w:rPr>
              <w:t xml:space="preserve">General Expenses – Corporate </w:t>
            </w:r>
            <w:r w:rsidR="0066789A">
              <w:rPr>
                <w:rFonts w:ascii="Calibri" w:hAnsi="Calibri"/>
                <w:color w:val="000000"/>
                <w:lang w:eastAsia="en-GB"/>
              </w:rPr>
              <w:t>Priority</w:t>
            </w:r>
          </w:p>
        </w:tc>
        <w:tc>
          <w:tcPr>
            <w:tcW w:w="1445" w:type="dxa"/>
            <w:tcBorders>
              <w:top w:val="nil"/>
              <w:left w:val="nil"/>
              <w:bottom w:val="single" w:sz="4" w:space="0" w:color="FFFFFF"/>
              <w:right w:val="single" w:sz="4" w:space="0" w:color="FFFFFF"/>
            </w:tcBorders>
            <w:shd w:val="clear" w:color="000000" w:fill="EBF1DE"/>
            <w:noWrap/>
            <w:vAlign w:val="center"/>
          </w:tcPr>
          <w:p w14:paraId="534E829C" w14:textId="2E2775FD" w:rsidR="00B33461" w:rsidRPr="00BE0EF2" w:rsidRDefault="00F57FC0" w:rsidP="00C01D9F">
            <w:pPr>
              <w:jc w:val="right"/>
              <w:rPr>
                <w:rFonts w:ascii="Calibri" w:hAnsi="Calibri"/>
                <w:color w:val="000000"/>
                <w:lang w:eastAsia="en-GB"/>
              </w:rPr>
            </w:pPr>
            <w:r>
              <w:rPr>
                <w:rFonts w:ascii="Calibri" w:hAnsi="Calibri"/>
                <w:color w:val="000000"/>
                <w:lang w:eastAsia="en-GB"/>
              </w:rPr>
              <w:t>-1,120</w:t>
            </w:r>
          </w:p>
        </w:tc>
        <w:tc>
          <w:tcPr>
            <w:tcW w:w="1418" w:type="dxa"/>
            <w:tcBorders>
              <w:top w:val="nil"/>
              <w:left w:val="nil"/>
              <w:bottom w:val="single" w:sz="4" w:space="0" w:color="FFFFFF"/>
              <w:right w:val="single" w:sz="4" w:space="0" w:color="FFFFFF"/>
            </w:tcBorders>
            <w:shd w:val="clear" w:color="000000" w:fill="EBF1DE"/>
            <w:noWrap/>
            <w:vAlign w:val="center"/>
          </w:tcPr>
          <w:p w14:paraId="05F58E11" w14:textId="7B6C1412" w:rsidR="00B33461" w:rsidRPr="00BE0EF2" w:rsidRDefault="00F57FC0" w:rsidP="00BE0EF2">
            <w:pPr>
              <w:jc w:val="right"/>
              <w:rPr>
                <w:rFonts w:ascii="Calibri" w:hAnsi="Calibri"/>
                <w:color w:val="000000"/>
                <w:lang w:eastAsia="en-GB"/>
              </w:rPr>
            </w:pPr>
            <w:r>
              <w:rPr>
                <w:rFonts w:ascii="Calibri" w:hAnsi="Calibri"/>
                <w:color w:val="000000"/>
                <w:lang w:eastAsia="en-GB"/>
              </w:rPr>
              <w:t>332</w:t>
            </w:r>
          </w:p>
        </w:tc>
        <w:tc>
          <w:tcPr>
            <w:tcW w:w="1276" w:type="dxa"/>
            <w:tcBorders>
              <w:top w:val="nil"/>
              <w:left w:val="nil"/>
              <w:bottom w:val="single" w:sz="4" w:space="0" w:color="FFFFFF"/>
              <w:right w:val="single" w:sz="4" w:space="0" w:color="FFFFFF"/>
            </w:tcBorders>
            <w:shd w:val="clear" w:color="000000" w:fill="EBF1DE"/>
            <w:noWrap/>
            <w:vAlign w:val="center"/>
          </w:tcPr>
          <w:p w14:paraId="3857CB2A" w14:textId="48CE188C" w:rsidR="00B33461" w:rsidRPr="00BE0EF2" w:rsidRDefault="00593838" w:rsidP="0066789A">
            <w:pPr>
              <w:jc w:val="right"/>
              <w:rPr>
                <w:rFonts w:ascii="Calibri" w:hAnsi="Calibri"/>
                <w:color w:val="000000"/>
                <w:lang w:eastAsia="en-GB"/>
              </w:rPr>
            </w:pPr>
            <w:r>
              <w:rPr>
                <w:rFonts w:ascii="Calibri" w:hAnsi="Calibri"/>
                <w:color w:val="000000"/>
                <w:lang w:eastAsia="en-GB"/>
              </w:rPr>
              <w:t>-23</w:t>
            </w:r>
          </w:p>
        </w:tc>
        <w:tc>
          <w:tcPr>
            <w:tcW w:w="1417" w:type="dxa"/>
            <w:tcBorders>
              <w:top w:val="nil"/>
              <w:left w:val="nil"/>
              <w:bottom w:val="single" w:sz="4" w:space="0" w:color="FFFFFF"/>
              <w:right w:val="single" w:sz="4" w:space="0" w:color="FFFFFF"/>
            </w:tcBorders>
            <w:shd w:val="clear" w:color="000000" w:fill="D8E4BC"/>
            <w:noWrap/>
            <w:vAlign w:val="center"/>
          </w:tcPr>
          <w:p w14:paraId="1B19CB73" w14:textId="787F095B" w:rsidR="00B33461" w:rsidRPr="00BE0EF2" w:rsidRDefault="00593838" w:rsidP="00C01D9F">
            <w:pPr>
              <w:jc w:val="right"/>
              <w:rPr>
                <w:rFonts w:ascii="Calibri" w:hAnsi="Calibri"/>
                <w:color w:val="000000"/>
                <w:lang w:eastAsia="en-GB"/>
              </w:rPr>
            </w:pPr>
            <w:r>
              <w:rPr>
                <w:rFonts w:ascii="Calibri" w:hAnsi="Calibri"/>
                <w:color w:val="000000"/>
                <w:lang w:eastAsia="en-GB"/>
              </w:rPr>
              <w:t>-811</w:t>
            </w:r>
          </w:p>
        </w:tc>
      </w:tr>
      <w:tr w:rsidR="00B33461" w:rsidRPr="00BE0EF2" w14:paraId="26CE5EC2" w14:textId="77777777" w:rsidTr="00D639B8">
        <w:trPr>
          <w:trHeight w:val="255"/>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2DB8037A" w14:textId="77777777" w:rsidR="00B33461" w:rsidRPr="00BE0EF2" w:rsidRDefault="00B33461" w:rsidP="00BE0EF2">
            <w:pPr>
              <w:rPr>
                <w:rFonts w:ascii="Calibri" w:hAnsi="Calibri"/>
                <w:color w:val="000000"/>
                <w:lang w:eastAsia="en-GB"/>
              </w:rPr>
            </w:pPr>
            <w:r w:rsidRPr="00BE0EF2">
              <w:rPr>
                <w:rFonts w:ascii="Calibri" w:hAnsi="Calibri"/>
                <w:color w:val="000000"/>
                <w:lang w:eastAsia="en-GB"/>
              </w:rPr>
              <w:t>Housing Revenue Account</w:t>
            </w:r>
          </w:p>
        </w:tc>
        <w:tc>
          <w:tcPr>
            <w:tcW w:w="1445" w:type="dxa"/>
            <w:tcBorders>
              <w:top w:val="nil"/>
              <w:left w:val="nil"/>
              <w:bottom w:val="single" w:sz="4" w:space="0" w:color="FFFFFF"/>
              <w:right w:val="single" w:sz="4" w:space="0" w:color="FFFFFF"/>
            </w:tcBorders>
            <w:shd w:val="clear" w:color="000000" w:fill="EBF1DE"/>
            <w:noWrap/>
            <w:vAlign w:val="center"/>
          </w:tcPr>
          <w:p w14:paraId="076A2562" w14:textId="3E344D04" w:rsidR="00B33461" w:rsidRPr="00BE0EF2" w:rsidRDefault="00F57FC0" w:rsidP="00C01D9F">
            <w:pPr>
              <w:jc w:val="right"/>
              <w:rPr>
                <w:rFonts w:ascii="Calibri" w:hAnsi="Calibri"/>
                <w:color w:val="000000"/>
                <w:lang w:eastAsia="en-GB"/>
              </w:rPr>
            </w:pPr>
            <w:r>
              <w:rPr>
                <w:rFonts w:ascii="Calibri" w:hAnsi="Calibri"/>
                <w:color w:val="000000"/>
                <w:lang w:eastAsia="en-GB"/>
              </w:rPr>
              <w:t>-1,128</w:t>
            </w:r>
          </w:p>
        </w:tc>
        <w:tc>
          <w:tcPr>
            <w:tcW w:w="1418" w:type="dxa"/>
            <w:tcBorders>
              <w:top w:val="nil"/>
              <w:left w:val="nil"/>
              <w:bottom w:val="single" w:sz="4" w:space="0" w:color="FFFFFF"/>
              <w:right w:val="single" w:sz="4" w:space="0" w:color="FFFFFF"/>
            </w:tcBorders>
            <w:shd w:val="clear" w:color="000000" w:fill="EBF1DE"/>
            <w:noWrap/>
            <w:vAlign w:val="center"/>
          </w:tcPr>
          <w:p w14:paraId="0E28CDB6" w14:textId="24BD966A" w:rsidR="00B33461" w:rsidRPr="00BE0EF2" w:rsidRDefault="00F57FC0" w:rsidP="00BE0EF2">
            <w:pPr>
              <w:jc w:val="right"/>
              <w:rPr>
                <w:rFonts w:ascii="Calibri" w:hAnsi="Calibri"/>
                <w:color w:val="000000"/>
                <w:lang w:eastAsia="en-GB"/>
              </w:rPr>
            </w:pPr>
            <w:r>
              <w:rPr>
                <w:rFonts w:ascii="Calibri" w:hAnsi="Calibri"/>
                <w:color w:val="000000"/>
                <w:lang w:eastAsia="en-GB"/>
              </w:rPr>
              <w:t>200</w:t>
            </w:r>
          </w:p>
        </w:tc>
        <w:tc>
          <w:tcPr>
            <w:tcW w:w="1276" w:type="dxa"/>
            <w:tcBorders>
              <w:top w:val="nil"/>
              <w:left w:val="nil"/>
              <w:bottom w:val="single" w:sz="4" w:space="0" w:color="FFFFFF"/>
              <w:right w:val="single" w:sz="4" w:space="0" w:color="FFFFFF"/>
            </w:tcBorders>
            <w:shd w:val="clear" w:color="000000" w:fill="EBF1DE"/>
            <w:noWrap/>
            <w:vAlign w:val="center"/>
          </w:tcPr>
          <w:p w14:paraId="4E687FEE" w14:textId="42A752BC" w:rsidR="00B33461" w:rsidRPr="00BE0EF2" w:rsidRDefault="00593838" w:rsidP="00BE0EF2">
            <w:pPr>
              <w:jc w:val="right"/>
              <w:rPr>
                <w:rFonts w:ascii="Calibri" w:hAnsi="Calibri"/>
                <w:color w:val="000000"/>
                <w:lang w:eastAsia="en-GB"/>
              </w:rPr>
            </w:pPr>
            <w:r>
              <w:rPr>
                <w:rFonts w:ascii="Calibri" w:hAnsi="Calibri"/>
                <w:color w:val="000000"/>
                <w:lang w:eastAsia="en-GB"/>
              </w:rPr>
              <w:t>-11</w:t>
            </w:r>
          </w:p>
        </w:tc>
        <w:tc>
          <w:tcPr>
            <w:tcW w:w="1417" w:type="dxa"/>
            <w:tcBorders>
              <w:top w:val="nil"/>
              <w:left w:val="nil"/>
              <w:bottom w:val="single" w:sz="4" w:space="0" w:color="FFFFFF"/>
              <w:right w:val="single" w:sz="4" w:space="0" w:color="FFFFFF"/>
            </w:tcBorders>
            <w:shd w:val="clear" w:color="000000" w:fill="D8E4BC"/>
            <w:noWrap/>
            <w:vAlign w:val="center"/>
          </w:tcPr>
          <w:p w14:paraId="1A00ABE0" w14:textId="0AE979D6" w:rsidR="00B33461" w:rsidRPr="00BE0EF2" w:rsidRDefault="00593838" w:rsidP="00C01D9F">
            <w:pPr>
              <w:jc w:val="right"/>
              <w:rPr>
                <w:rFonts w:ascii="Calibri" w:hAnsi="Calibri"/>
                <w:color w:val="000000"/>
                <w:lang w:eastAsia="en-GB"/>
              </w:rPr>
            </w:pPr>
            <w:r>
              <w:rPr>
                <w:rFonts w:ascii="Calibri" w:hAnsi="Calibri"/>
                <w:color w:val="000000"/>
                <w:lang w:eastAsia="en-GB"/>
              </w:rPr>
              <w:t>-939</w:t>
            </w:r>
          </w:p>
        </w:tc>
      </w:tr>
      <w:tr w:rsidR="00B33461" w:rsidRPr="00BE0EF2" w14:paraId="0DDDBDFB" w14:textId="77777777" w:rsidTr="00D639B8">
        <w:trPr>
          <w:trHeight w:val="255"/>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5615FCA9" w14:textId="77777777" w:rsidR="00B33461" w:rsidRPr="00BE0EF2" w:rsidRDefault="00D639B8" w:rsidP="00D639B8">
            <w:pPr>
              <w:rPr>
                <w:rFonts w:ascii="Calibri" w:hAnsi="Calibri"/>
                <w:color w:val="000000"/>
                <w:lang w:eastAsia="en-GB"/>
              </w:rPr>
            </w:pPr>
            <w:r>
              <w:rPr>
                <w:rFonts w:ascii="Calibri" w:hAnsi="Calibri"/>
                <w:color w:val="000000"/>
                <w:lang w:eastAsia="en-GB"/>
              </w:rPr>
              <w:t>Special Expenses - Place</w:t>
            </w:r>
            <w:r w:rsidR="0066789A">
              <w:rPr>
                <w:rFonts w:ascii="Calibri" w:hAnsi="Calibri"/>
                <w:color w:val="000000"/>
                <w:lang w:eastAsia="en-GB"/>
              </w:rPr>
              <w:t xml:space="preserve"> Priority</w:t>
            </w:r>
          </w:p>
        </w:tc>
        <w:tc>
          <w:tcPr>
            <w:tcW w:w="1445" w:type="dxa"/>
            <w:tcBorders>
              <w:top w:val="nil"/>
              <w:left w:val="nil"/>
              <w:bottom w:val="single" w:sz="4" w:space="0" w:color="FFFFFF"/>
              <w:right w:val="single" w:sz="4" w:space="0" w:color="FFFFFF"/>
            </w:tcBorders>
            <w:shd w:val="clear" w:color="000000" w:fill="EBF1DE"/>
            <w:noWrap/>
            <w:vAlign w:val="center"/>
          </w:tcPr>
          <w:p w14:paraId="248AC47A" w14:textId="1C46E5DF" w:rsidR="00B33461" w:rsidRPr="00BE0EF2" w:rsidRDefault="00F57FC0" w:rsidP="00BE0EF2">
            <w:pPr>
              <w:jc w:val="right"/>
              <w:rPr>
                <w:rFonts w:ascii="Calibri" w:hAnsi="Calibri"/>
                <w:color w:val="000000"/>
                <w:lang w:eastAsia="en-GB"/>
              </w:rPr>
            </w:pPr>
            <w:r>
              <w:rPr>
                <w:rFonts w:ascii="Calibri" w:hAnsi="Calibri"/>
                <w:color w:val="000000"/>
                <w:lang w:eastAsia="en-GB"/>
              </w:rPr>
              <w:t>74</w:t>
            </w:r>
          </w:p>
        </w:tc>
        <w:tc>
          <w:tcPr>
            <w:tcW w:w="1418" w:type="dxa"/>
            <w:tcBorders>
              <w:top w:val="nil"/>
              <w:left w:val="nil"/>
              <w:bottom w:val="single" w:sz="4" w:space="0" w:color="FFFFFF"/>
              <w:right w:val="single" w:sz="4" w:space="0" w:color="FFFFFF"/>
            </w:tcBorders>
            <w:shd w:val="clear" w:color="000000" w:fill="EBF1DE"/>
            <w:noWrap/>
            <w:vAlign w:val="center"/>
          </w:tcPr>
          <w:p w14:paraId="7AA03111" w14:textId="6DF7F475" w:rsidR="00B33461" w:rsidRPr="00BE0EF2" w:rsidRDefault="00F57FC0" w:rsidP="00BE0EF2">
            <w:pPr>
              <w:jc w:val="right"/>
              <w:rPr>
                <w:rFonts w:ascii="Calibri" w:hAnsi="Calibri"/>
                <w:color w:val="000000"/>
                <w:lang w:eastAsia="en-GB"/>
              </w:rPr>
            </w:pPr>
            <w:r>
              <w:rPr>
                <w:rFonts w:ascii="Calibri" w:hAnsi="Calibri"/>
                <w:color w:val="000000"/>
                <w:lang w:eastAsia="en-GB"/>
              </w:rPr>
              <w:t>0</w:t>
            </w:r>
          </w:p>
        </w:tc>
        <w:tc>
          <w:tcPr>
            <w:tcW w:w="1276" w:type="dxa"/>
            <w:tcBorders>
              <w:top w:val="nil"/>
              <w:left w:val="nil"/>
              <w:bottom w:val="single" w:sz="4" w:space="0" w:color="FFFFFF"/>
              <w:right w:val="single" w:sz="4" w:space="0" w:color="FFFFFF"/>
            </w:tcBorders>
            <w:shd w:val="clear" w:color="000000" w:fill="EBF1DE"/>
            <w:noWrap/>
            <w:vAlign w:val="center"/>
          </w:tcPr>
          <w:p w14:paraId="6E875495" w14:textId="77777777" w:rsidR="00B33461" w:rsidRPr="00BE0EF2" w:rsidRDefault="00D639B8" w:rsidP="00BE0EF2">
            <w:pPr>
              <w:jc w:val="right"/>
              <w:rPr>
                <w:rFonts w:ascii="Calibri" w:hAnsi="Calibri"/>
                <w:color w:val="000000"/>
                <w:lang w:eastAsia="en-GB"/>
              </w:rPr>
            </w:pPr>
            <w:r>
              <w:rPr>
                <w:rFonts w:ascii="Calibri" w:hAnsi="Calibri"/>
                <w:color w:val="000000"/>
                <w:lang w:eastAsia="en-GB"/>
              </w:rPr>
              <w:t>0</w:t>
            </w:r>
          </w:p>
        </w:tc>
        <w:tc>
          <w:tcPr>
            <w:tcW w:w="1417" w:type="dxa"/>
            <w:tcBorders>
              <w:top w:val="nil"/>
              <w:left w:val="nil"/>
              <w:bottom w:val="single" w:sz="4" w:space="0" w:color="FFFFFF"/>
              <w:right w:val="single" w:sz="4" w:space="0" w:color="FFFFFF"/>
            </w:tcBorders>
            <w:shd w:val="clear" w:color="000000" w:fill="D8E4BC"/>
            <w:noWrap/>
            <w:vAlign w:val="center"/>
          </w:tcPr>
          <w:p w14:paraId="58C4B843" w14:textId="6035D2F1" w:rsidR="00B33461" w:rsidRPr="00BE0EF2" w:rsidRDefault="00593838" w:rsidP="0066789A">
            <w:pPr>
              <w:jc w:val="right"/>
              <w:rPr>
                <w:rFonts w:ascii="Calibri" w:hAnsi="Calibri"/>
                <w:color w:val="000000"/>
                <w:lang w:eastAsia="en-GB"/>
              </w:rPr>
            </w:pPr>
            <w:r>
              <w:rPr>
                <w:rFonts w:ascii="Calibri" w:hAnsi="Calibri"/>
                <w:color w:val="000000"/>
                <w:lang w:eastAsia="en-GB"/>
              </w:rPr>
              <w:t>74</w:t>
            </w:r>
          </w:p>
        </w:tc>
      </w:tr>
      <w:tr w:rsidR="00B33461" w:rsidRPr="00BE0EF2" w14:paraId="2537CC72" w14:textId="77777777" w:rsidTr="00B33461">
        <w:trPr>
          <w:trHeight w:val="255"/>
        </w:trPr>
        <w:tc>
          <w:tcPr>
            <w:tcW w:w="4240" w:type="dxa"/>
            <w:tcBorders>
              <w:top w:val="nil"/>
              <w:left w:val="single" w:sz="4" w:space="0" w:color="FFFFFF"/>
              <w:bottom w:val="single" w:sz="4" w:space="0" w:color="FFFFFF"/>
              <w:right w:val="single" w:sz="4" w:space="0" w:color="FFFFFF"/>
            </w:tcBorders>
            <w:shd w:val="clear" w:color="000000" w:fill="D8E4BC"/>
            <w:vAlign w:val="bottom"/>
            <w:hideMark/>
          </w:tcPr>
          <w:p w14:paraId="0ECDFF48" w14:textId="77777777" w:rsidR="00B33461" w:rsidRPr="00BE0EF2" w:rsidRDefault="00B33461" w:rsidP="00BE0EF2">
            <w:pPr>
              <w:rPr>
                <w:rFonts w:ascii="Calibri" w:hAnsi="Calibri"/>
                <w:b/>
                <w:bCs/>
                <w:color w:val="000000"/>
                <w:lang w:eastAsia="en-GB"/>
              </w:rPr>
            </w:pPr>
            <w:r w:rsidRPr="00BE0EF2">
              <w:rPr>
                <w:rFonts w:ascii="Calibri" w:hAnsi="Calibri"/>
                <w:b/>
                <w:bCs/>
                <w:color w:val="000000"/>
                <w:lang w:eastAsia="en-GB"/>
              </w:rPr>
              <w:t>Net Cost of Services</w:t>
            </w:r>
          </w:p>
        </w:tc>
        <w:tc>
          <w:tcPr>
            <w:tcW w:w="1445" w:type="dxa"/>
            <w:tcBorders>
              <w:top w:val="nil"/>
              <w:left w:val="nil"/>
              <w:bottom w:val="single" w:sz="4" w:space="0" w:color="FFFFFF"/>
              <w:right w:val="single" w:sz="4" w:space="0" w:color="FFFFFF"/>
            </w:tcBorders>
            <w:shd w:val="clear" w:color="000000" w:fill="D8E4BC"/>
            <w:noWrap/>
            <w:vAlign w:val="center"/>
            <w:hideMark/>
          </w:tcPr>
          <w:p w14:paraId="0FC7305F" w14:textId="124328CF" w:rsidR="00B33461" w:rsidRPr="00BE0EF2" w:rsidRDefault="00F57FC0" w:rsidP="00BE0EF2">
            <w:pPr>
              <w:jc w:val="right"/>
              <w:rPr>
                <w:rFonts w:ascii="Calibri" w:hAnsi="Calibri"/>
                <w:b/>
                <w:bCs/>
                <w:color w:val="000000"/>
                <w:lang w:eastAsia="en-GB"/>
              </w:rPr>
            </w:pPr>
            <w:r>
              <w:rPr>
                <w:rFonts w:ascii="Calibri" w:hAnsi="Calibri"/>
                <w:b/>
                <w:bCs/>
                <w:color w:val="000000"/>
                <w:lang w:eastAsia="en-GB"/>
              </w:rPr>
              <w:t>-1,007</w:t>
            </w:r>
          </w:p>
        </w:tc>
        <w:tc>
          <w:tcPr>
            <w:tcW w:w="1418" w:type="dxa"/>
            <w:tcBorders>
              <w:top w:val="nil"/>
              <w:left w:val="nil"/>
              <w:bottom w:val="single" w:sz="4" w:space="0" w:color="FFFFFF"/>
              <w:right w:val="single" w:sz="4" w:space="0" w:color="FFFFFF"/>
            </w:tcBorders>
            <w:shd w:val="clear" w:color="000000" w:fill="D8E4BC"/>
            <w:noWrap/>
            <w:vAlign w:val="center"/>
            <w:hideMark/>
          </w:tcPr>
          <w:p w14:paraId="67975D5D" w14:textId="68B26366" w:rsidR="00B33461" w:rsidRPr="00BE0EF2" w:rsidRDefault="00F57FC0" w:rsidP="00BE0EF2">
            <w:pPr>
              <w:jc w:val="right"/>
              <w:rPr>
                <w:rFonts w:ascii="Calibri" w:hAnsi="Calibri"/>
                <w:b/>
                <w:bCs/>
                <w:color w:val="000000"/>
                <w:lang w:eastAsia="en-GB"/>
              </w:rPr>
            </w:pPr>
            <w:r>
              <w:rPr>
                <w:rFonts w:ascii="Calibri" w:hAnsi="Calibri"/>
                <w:b/>
                <w:bCs/>
                <w:color w:val="000000"/>
                <w:lang w:eastAsia="en-GB"/>
              </w:rPr>
              <w:t>1,266</w:t>
            </w:r>
          </w:p>
        </w:tc>
        <w:tc>
          <w:tcPr>
            <w:tcW w:w="1276" w:type="dxa"/>
            <w:tcBorders>
              <w:top w:val="nil"/>
              <w:left w:val="nil"/>
              <w:bottom w:val="single" w:sz="4" w:space="0" w:color="FFFFFF"/>
              <w:right w:val="single" w:sz="4" w:space="0" w:color="FFFFFF"/>
            </w:tcBorders>
            <w:shd w:val="clear" w:color="000000" w:fill="D8E4BC"/>
            <w:noWrap/>
            <w:vAlign w:val="center"/>
            <w:hideMark/>
          </w:tcPr>
          <w:p w14:paraId="34E5A31C" w14:textId="49D1ADDE" w:rsidR="00B33461" w:rsidRPr="00BE0EF2" w:rsidRDefault="00593838" w:rsidP="0066789A">
            <w:pPr>
              <w:jc w:val="right"/>
              <w:rPr>
                <w:rFonts w:ascii="Calibri" w:hAnsi="Calibri"/>
                <w:b/>
                <w:bCs/>
                <w:color w:val="000000"/>
                <w:lang w:eastAsia="en-GB"/>
              </w:rPr>
            </w:pPr>
            <w:r>
              <w:rPr>
                <w:rFonts w:ascii="Calibri" w:hAnsi="Calibri"/>
                <w:b/>
                <w:bCs/>
                <w:color w:val="000000"/>
                <w:lang w:eastAsia="en-GB"/>
              </w:rPr>
              <w:t>-71</w:t>
            </w:r>
          </w:p>
        </w:tc>
        <w:tc>
          <w:tcPr>
            <w:tcW w:w="1417" w:type="dxa"/>
            <w:tcBorders>
              <w:top w:val="nil"/>
              <w:left w:val="nil"/>
              <w:bottom w:val="single" w:sz="4" w:space="0" w:color="FFFFFF"/>
              <w:right w:val="single" w:sz="4" w:space="0" w:color="FFFFFF"/>
            </w:tcBorders>
            <w:shd w:val="clear" w:color="000000" w:fill="D8E4BC"/>
            <w:noWrap/>
            <w:vAlign w:val="center"/>
            <w:hideMark/>
          </w:tcPr>
          <w:p w14:paraId="68AF3958" w14:textId="7384ECAE" w:rsidR="00B33461" w:rsidRPr="00BE0EF2" w:rsidRDefault="0060378A" w:rsidP="0066789A">
            <w:pPr>
              <w:jc w:val="right"/>
              <w:rPr>
                <w:rFonts w:ascii="Calibri" w:hAnsi="Calibri"/>
                <w:b/>
                <w:bCs/>
                <w:color w:val="000000"/>
                <w:lang w:eastAsia="en-GB"/>
              </w:rPr>
            </w:pPr>
            <w:r>
              <w:rPr>
                <w:rFonts w:ascii="Calibri" w:hAnsi="Calibri"/>
                <w:b/>
                <w:bCs/>
                <w:color w:val="000000"/>
                <w:lang w:eastAsia="en-GB"/>
              </w:rPr>
              <w:t xml:space="preserve">    </w:t>
            </w:r>
            <w:r w:rsidR="00593838">
              <w:rPr>
                <w:rFonts w:ascii="Calibri" w:hAnsi="Calibri"/>
                <w:b/>
                <w:bCs/>
                <w:color w:val="000000"/>
                <w:lang w:eastAsia="en-GB"/>
              </w:rPr>
              <w:t>188</w:t>
            </w:r>
          </w:p>
        </w:tc>
      </w:tr>
      <w:tr w:rsidR="00B33461" w:rsidRPr="00BE0EF2" w14:paraId="2F9B5672" w14:textId="77777777" w:rsidTr="00B33461">
        <w:trPr>
          <w:trHeight w:val="510"/>
        </w:trPr>
        <w:tc>
          <w:tcPr>
            <w:tcW w:w="4240" w:type="dxa"/>
            <w:tcBorders>
              <w:top w:val="nil"/>
              <w:left w:val="single" w:sz="4" w:space="0" w:color="FFFFFF"/>
              <w:bottom w:val="single" w:sz="4" w:space="0" w:color="FFFFFF"/>
              <w:right w:val="single" w:sz="4" w:space="0" w:color="FFFFFF"/>
            </w:tcBorders>
            <w:shd w:val="clear" w:color="000000" w:fill="EBF1DE"/>
            <w:vAlign w:val="bottom"/>
            <w:hideMark/>
          </w:tcPr>
          <w:p w14:paraId="68AB0555" w14:textId="4371581A" w:rsidR="00B33461" w:rsidRPr="00BE0EF2" w:rsidRDefault="00B33461" w:rsidP="00BE0EF2">
            <w:pPr>
              <w:rPr>
                <w:rFonts w:ascii="Calibri" w:hAnsi="Calibri"/>
                <w:color w:val="000000"/>
                <w:lang w:eastAsia="en-GB"/>
              </w:rPr>
            </w:pPr>
            <w:r w:rsidRPr="00BE0EF2">
              <w:rPr>
                <w:rFonts w:ascii="Calibri" w:hAnsi="Calibri"/>
                <w:color w:val="000000"/>
                <w:lang w:eastAsia="en-GB"/>
              </w:rPr>
              <w:t xml:space="preserve">Other Income </w:t>
            </w:r>
            <w:r w:rsidR="00704A70">
              <w:rPr>
                <w:rFonts w:ascii="Calibri" w:hAnsi="Calibri"/>
                <w:color w:val="000000"/>
                <w:lang w:eastAsia="en-GB"/>
              </w:rPr>
              <w:t>and</w:t>
            </w:r>
            <w:r w:rsidRPr="00BE0EF2">
              <w:rPr>
                <w:rFonts w:ascii="Calibri" w:hAnsi="Calibri"/>
                <w:color w:val="000000"/>
                <w:lang w:eastAsia="en-GB"/>
              </w:rPr>
              <w:t xml:space="preserve"> Expenditure from the Expenditure </w:t>
            </w:r>
            <w:r w:rsidR="00704A70">
              <w:rPr>
                <w:rFonts w:ascii="Calibri" w:hAnsi="Calibri"/>
                <w:color w:val="000000"/>
                <w:lang w:eastAsia="en-GB"/>
              </w:rPr>
              <w:t>and</w:t>
            </w:r>
            <w:r w:rsidRPr="00BE0EF2">
              <w:rPr>
                <w:rFonts w:ascii="Calibri" w:hAnsi="Calibri"/>
                <w:color w:val="000000"/>
                <w:lang w:eastAsia="en-GB"/>
              </w:rPr>
              <w:t xml:space="preserve"> Funding Analysis</w:t>
            </w:r>
          </w:p>
        </w:tc>
        <w:tc>
          <w:tcPr>
            <w:tcW w:w="1445" w:type="dxa"/>
            <w:tcBorders>
              <w:top w:val="nil"/>
              <w:left w:val="nil"/>
              <w:bottom w:val="single" w:sz="4" w:space="0" w:color="FFFFFF"/>
              <w:right w:val="single" w:sz="4" w:space="0" w:color="FFFFFF"/>
            </w:tcBorders>
            <w:shd w:val="clear" w:color="000000" w:fill="EBF1DE"/>
            <w:noWrap/>
            <w:vAlign w:val="center"/>
            <w:hideMark/>
          </w:tcPr>
          <w:p w14:paraId="03F87881" w14:textId="323C5531" w:rsidR="00B33461" w:rsidRPr="00BE0EF2" w:rsidRDefault="002C2D15" w:rsidP="00BE0EF2">
            <w:pPr>
              <w:jc w:val="right"/>
              <w:rPr>
                <w:rFonts w:ascii="Calibri" w:hAnsi="Calibri"/>
                <w:color w:val="000000"/>
                <w:lang w:eastAsia="en-GB"/>
              </w:rPr>
            </w:pPr>
            <w:r>
              <w:rPr>
                <w:rFonts w:ascii="Calibri" w:hAnsi="Calibri"/>
                <w:color w:val="000000"/>
                <w:lang w:eastAsia="en-GB"/>
              </w:rPr>
              <w:t>-</w:t>
            </w:r>
            <w:r w:rsidR="00F57FC0">
              <w:rPr>
                <w:rFonts w:ascii="Calibri" w:hAnsi="Calibri"/>
                <w:color w:val="000000"/>
                <w:lang w:eastAsia="en-GB"/>
              </w:rPr>
              <w:t>25</w:t>
            </w:r>
          </w:p>
        </w:tc>
        <w:tc>
          <w:tcPr>
            <w:tcW w:w="1418" w:type="dxa"/>
            <w:tcBorders>
              <w:top w:val="nil"/>
              <w:left w:val="nil"/>
              <w:bottom w:val="single" w:sz="4" w:space="0" w:color="FFFFFF"/>
              <w:right w:val="single" w:sz="4" w:space="0" w:color="FFFFFF"/>
            </w:tcBorders>
            <w:shd w:val="clear" w:color="000000" w:fill="EBF1DE"/>
            <w:noWrap/>
            <w:vAlign w:val="center"/>
            <w:hideMark/>
          </w:tcPr>
          <w:p w14:paraId="6E33B28B" w14:textId="1B4DCA50" w:rsidR="00B33461" w:rsidRPr="00BE0EF2" w:rsidRDefault="00F57FC0" w:rsidP="0066789A">
            <w:pPr>
              <w:jc w:val="right"/>
              <w:rPr>
                <w:rFonts w:ascii="Calibri" w:hAnsi="Calibri"/>
                <w:color w:val="000000"/>
                <w:lang w:eastAsia="en-GB"/>
              </w:rPr>
            </w:pPr>
            <w:r>
              <w:rPr>
                <w:rFonts w:ascii="Calibri" w:hAnsi="Calibri"/>
                <w:color w:val="000000"/>
                <w:lang w:eastAsia="en-GB"/>
              </w:rPr>
              <w:t>566</w:t>
            </w:r>
          </w:p>
        </w:tc>
        <w:tc>
          <w:tcPr>
            <w:tcW w:w="1276" w:type="dxa"/>
            <w:tcBorders>
              <w:top w:val="nil"/>
              <w:left w:val="nil"/>
              <w:bottom w:val="single" w:sz="4" w:space="0" w:color="FFFFFF"/>
              <w:right w:val="single" w:sz="4" w:space="0" w:color="FFFFFF"/>
            </w:tcBorders>
            <w:shd w:val="clear" w:color="000000" w:fill="EBF1DE"/>
            <w:noWrap/>
            <w:vAlign w:val="center"/>
            <w:hideMark/>
          </w:tcPr>
          <w:p w14:paraId="50557BDA" w14:textId="5B0DB6A9" w:rsidR="00B33461" w:rsidRPr="00BE0EF2" w:rsidRDefault="00593838" w:rsidP="0066789A">
            <w:pPr>
              <w:jc w:val="right"/>
              <w:rPr>
                <w:rFonts w:ascii="Calibri" w:hAnsi="Calibri"/>
                <w:color w:val="000000"/>
                <w:lang w:eastAsia="en-GB"/>
              </w:rPr>
            </w:pPr>
            <w:r>
              <w:rPr>
                <w:rFonts w:ascii="Calibri" w:hAnsi="Calibri"/>
                <w:color w:val="000000"/>
                <w:lang w:eastAsia="en-GB"/>
              </w:rPr>
              <w:t>-2,887</w:t>
            </w:r>
          </w:p>
        </w:tc>
        <w:tc>
          <w:tcPr>
            <w:tcW w:w="1417" w:type="dxa"/>
            <w:tcBorders>
              <w:top w:val="nil"/>
              <w:left w:val="nil"/>
              <w:bottom w:val="single" w:sz="4" w:space="0" w:color="FFFFFF"/>
              <w:right w:val="single" w:sz="4" w:space="0" w:color="FFFFFF"/>
            </w:tcBorders>
            <w:shd w:val="clear" w:color="000000" w:fill="D8E4BC"/>
            <w:noWrap/>
            <w:vAlign w:val="center"/>
            <w:hideMark/>
          </w:tcPr>
          <w:p w14:paraId="7A7D2FAF" w14:textId="7BE3AF26" w:rsidR="00B33461" w:rsidRPr="00BE0EF2" w:rsidRDefault="00593838" w:rsidP="0066789A">
            <w:pPr>
              <w:jc w:val="right"/>
              <w:rPr>
                <w:rFonts w:ascii="Calibri" w:hAnsi="Calibri"/>
                <w:color w:val="000000"/>
                <w:lang w:eastAsia="en-GB"/>
              </w:rPr>
            </w:pPr>
            <w:r>
              <w:rPr>
                <w:rFonts w:ascii="Calibri" w:hAnsi="Calibri"/>
                <w:color w:val="000000"/>
                <w:lang w:eastAsia="en-GB"/>
              </w:rPr>
              <w:t>-2,346</w:t>
            </w:r>
          </w:p>
        </w:tc>
      </w:tr>
      <w:tr w:rsidR="00B33461" w:rsidRPr="00BE0EF2" w14:paraId="03CFAC17" w14:textId="77777777" w:rsidTr="00B33461">
        <w:trPr>
          <w:trHeight w:val="765"/>
        </w:trPr>
        <w:tc>
          <w:tcPr>
            <w:tcW w:w="4240" w:type="dxa"/>
            <w:tcBorders>
              <w:top w:val="nil"/>
              <w:left w:val="single" w:sz="4" w:space="0" w:color="FFFFFF"/>
              <w:bottom w:val="single" w:sz="4" w:space="0" w:color="FFFFFF"/>
              <w:right w:val="single" w:sz="4" w:space="0" w:color="FFFFFF"/>
            </w:tcBorders>
            <w:shd w:val="clear" w:color="000000" w:fill="D8E4BC"/>
            <w:vAlign w:val="bottom"/>
            <w:hideMark/>
          </w:tcPr>
          <w:p w14:paraId="75500F47" w14:textId="77777777" w:rsidR="00B33461" w:rsidRPr="00BE0EF2" w:rsidRDefault="00B33461" w:rsidP="00BE0EF2">
            <w:pPr>
              <w:rPr>
                <w:rFonts w:ascii="Calibri" w:hAnsi="Calibri"/>
                <w:b/>
                <w:bCs/>
                <w:color w:val="000000"/>
                <w:lang w:eastAsia="en-GB"/>
              </w:rPr>
            </w:pPr>
            <w:r w:rsidRPr="00BE0EF2">
              <w:rPr>
                <w:rFonts w:ascii="Calibri" w:hAnsi="Calibri"/>
                <w:b/>
                <w:bCs/>
                <w:color w:val="000000"/>
                <w:lang w:eastAsia="en-GB"/>
              </w:rPr>
              <w:t>Difference between General Fund Surplus/Deficit and CIES Surplus/Deficit on the Provision of Services</w:t>
            </w:r>
          </w:p>
        </w:tc>
        <w:tc>
          <w:tcPr>
            <w:tcW w:w="1445" w:type="dxa"/>
            <w:tcBorders>
              <w:top w:val="nil"/>
              <w:left w:val="nil"/>
              <w:bottom w:val="single" w:sz="4" w:space="0" w:color="FFFFFF"/>
              <w:right w:val="single" w:sz="4" w:space="0" w:color="FFFFFF"/>
            </w:tcBorders>
            <w:shd w:val="clear" w:color="000000" w:fill="D8E4BC"/>
            <w:noWrap/>
            <w:vAlign w:val="center"/>
            <w:hideMark/>
          </w:tcPr>
          <w:p w14:paraId="1B671C05" w14:textId="3729B91C" w:rsidR="00B33461" w:rsidRPr="00BE0EF2" w:rsidRDefault="00F57FC0" w:rsidP="00BE0EF2">
            <w:pPr>
              <w:jc w:val="right"/>
              <w:rPr>
                <w:rFonts w:ascii="Calibri" w:hAnsi="Calibri"/>
                <w:b/>
                <w:bCs/>
                <w:color w:val="000000"/>
                <w:lang w:eastAsia="en-GB"/>
              </w:rPr>
            </w:pPr>
            <w:r>
              <w:rPr>
                <w:rFonts w:ascii="Calibri" w:hAnsi="Calibri"/>
                <w:b/>
                <w:bCs/>
                <w:color w:val="000000"/>
                <w:lang w:eastAsia="en-GB"/>
              </w:rPr>
              <w:t>-1,032</w:t>
            </w:r>
          </w:p>
        </w:tc>
        <w:tc>
          <w:tcPr>
            <w:tcW w:w="1418" w:type="dxa"/>
            <w:tcBorders>
              <w:top w:val="nil"/>
              <w:left w:val="nil"/>
              <w:bottom w:val="single" w:sz="4" w:space="0" w:color="FFFFFF"/>
              <w:right w:val="single" w:sz="4" w:space="0" w:color="FFFFFF"/>
            </w:tcBorders>
            <w:shd w:val="clear" w:color="000000" w:fill="D8E4BC"/>
            <w:noWrap/>
            <w:vAlign w:val="center"/>
            <w:hideMark/>
          </w:tcPr>
          <w:p w14:paraId="5DAA9DCB" w14:textId="3916DD0A" w:rsidR="00B33461" w:rsidRPr="00BE0EF2" w:rsidRDefault="00F57FC0" w:rsidP="0066789A">
            <w:pPr>
              <w:jc w:val="right"/>
              <w:rPr>
                <w:rFonts w:ascii="Calibri" w:hAnsi="Calibri"/>
                <w:b/>
                <w:bCs/>
                <w:color w:val="000000"/>
                <w:lang w:eastAsia="en-GB"/>
              </w:rPr>
            </w:pPr>
            <w:r>
              <w:rPr>
                <w:rFonts w:ascii="Calibri" w:hAnsi="Calibri"/>
                <w:b/>
                <w:bCs/>
                <w:color w:val="000000"/>
                <w:lang w:eastAsia="en-GB"/>
              </w:rPr>
              <w:t>1,832</w:t>
            </w:r>
          </w:p>
        </w:tc>
        <w:tc>
          <w:tcPr>
            <w:tcW w:w="1276" w:type="dxa"/>
            <w:tcBorders>
              <w:top w:val="nil"/>
              <w:left w:val="nil"/>
              <w:bottom w:val="single" w:sz="4" w:space="0" w:color="FFFFFF"/>
              <w:right w:val="single" w:sz="4" w:space="0" w:color="FFFFFF"/>
            </w:tcBorders>
            <w:shd w:val="clear" w:color="000000" w:fill="D8E4BC"/>
            <w:noWrap/>
            <w:vAlign w:val="center"/>
            <w:hideMark/>
          </w:tcPr>
          <w:p w14:paraId="75745480" w14:textId="2D20359D" w:rsidR="00B33461" w:rsidRPr="00BE0EF2" w:rsidRDefault="00593838" w:rsidP="0066789A">
            <w:pPr>
              <w:jc w:val="right"/>
              <w:rPr>
                <w:rFonts w:ascii="Calibri" w:hAnsi="Calibri"/>
                <w:b/>
                <w:bCs/>
                <w:color w:val="000000"/>
                <w:lang w:eastAsia="en-GB"/>
              </w:rPr>
            </w:pPr>
            <w:r>
              <w:rPr>
                <w:rFonts w:ascii="Calibri" w:hAnsi="Calibri"/>
                <w:b/>
                <w:bCs/>
                <w:color w:val="000000"/>
                <w:lang w:eastAsia="en-GB"/>
              </w:rPr>
              <w:t>-2,958</w:t>
            </w:r>
          </w:p>
        </w:tc>
        <w:tc>
          <w:tcPr>
            <w:tcW w:w="1417" w:type="dxa"/>
            <w:tcBorders>
              <w:top w:val="nil"/>
              <w:left w:val="nil"/>
              <w:bottom w:val="single" w:sz="4" w:space="0" w:color="FFFFFF"/>
              <w:right w:val="single" w:sz="4" w:space="0" w:color="FFFFFF"/>
            </w:tcBorders>
            <w:shd w:val="clear" w:color="000000" w:fill="D8E4BC"/>
            <w:noWrap/>
            <w:vAlign w:val="center"/>
            <w:hideMark/>
          </w:tcPr>
          <w:p w14:paraId="0ADAB7F3" w14:textId="3F0918EB" w:rsidR="00B33461" w:rsidRPr="00BE0EF2" w:rsidRDefault="00593838">
            <w:pPr>
              <w:jc w:val="right"/>
              <w:rPr>
                <w:rFonts w:ascii="Calibri" w:hAnsi="Calibri"/>
                <w:b/>
                <w:bCs/>
                <w:color w:val="000000"/>
                <w:lang w:eastAsia="en-GB"/>
              </w:rPr>
            </w:pPr>
            <w:r>
              <w:rPr>
                <w:rFonts w:ascii="Calibri" w:hAnsi="Calibri"/>
                <w:b/>
                <w:bCs/>
                <w:color w:val="000000"/>
                <w:lang w:eastAsia="en-GB"/>
              </w:rPr>
              <w:t>-2,158</w:t>
            </w:r>
          </w:p>
        </w:tc>
      </w:tr>
    </w:tbl>
    <w:p w14:paraId="5109946B" w14:textId="77777777" w:rsidR="00BE0EF2" w:rsidRDefault="00BE0EF2" w:rsidP="00EB1FC3">
      <w:pPr>
        <w:widowControl w:val="0"/>
        <w:tabs>
          <w:tab w:val="left" w:pos="0"/>
          <w:tab w:val="left" w:pos="720"/>
          <w:tab w:val="left" w:pos="1800"/>
          <w:tab w:val="left" w:pos="6768"/>
          <w:tab w:val="left" w:pos="8640"/>
        </w:tabs>
        <w:ind w:right="720"/>
        <w:rPr>
          <w:rFonts w:ascii="Arial" w:hAnsi="Arial" w:cs="Arial"/>
        </w:rPr>
      </w:pPr>
    </w:p>
    <w:p w14:paraId="778FB132" w14:textId="77777777" w:rsidR="00652B18" w:rsidRPr="00363663" w:rsidRDefault="00363663" w:rsidP="00282892">
      <w:pPr>
        <w:widowControl w:val="0"/>
        <w:tabs>
          <w:tab w:val="left" w:pos="0"/>
          <w:tab w:val="left" w:pos="709"/>
          <w:tab w:val="left" w:pos="2592"/>
          <w:tab w:val="left" w:pos="6768"/>
          <w:tab w:val="left" w:pos="8640"/>
        </w:tabs>
        <w:ind w:right="-57"/>
        <w:jc w:val="both"/>
        <w:rPr>
          <w:rFonts w:asciiTheme="minorHAnsi" w:hAnsiTheme="minorHAnsi" w:cs="Arial"/>
          <w:b/>
          <w:sz w:val="24"/>
          <w:szCs w:val="24"/>
        </w:rPr>
      </w:pPr>
      <w:r w:rsidRPr="00363663">
        <w:rPr>
          <w:rFonts w:asciiTheme="minorHAnsi" w:hAnsiTheme="minorHAnsi" w:cs="Arial"/>
          <w:b/>
          <w:sz w:val="24"/>
          <w:szCs w:val="24"/>
        </w:rPr>
        <w:t>Adjustments for Capital Purposes:</w:t>
      </w:r>
    </w:p>
    <w:p w14:paraId="5E8DD3AF" w14:textId="77777777" w:rsidR="00ED1225" w:rsidRDefault="00363663"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This column adds in depreciation and other impairment</w:t>
      </w:r>
      <w:r w:rsidR="002D2D03">
        <w:rPr>
          <w:rFonts w:asciiTheme="minorHAnsi" w:hAnsiTheme="minorHAnsi" w:cs="Arial"/>
          <w:sz w:val="22"/>
          <w:szCs w:val="22"/>
        </w:rPr>
        <w:t>s</w:t>
      </w:r>
      <w:r>
        <w:rPr>
          <w:rFonts w:asciiTheme="minorHAnsi" w:hAnsiTheme="minorHAnsi" w:cs="Arial"/>
          <w:sz w:val="22"/>
          <w:szCs w:val="22"/>
        </w:rPr>
        <w:t xml:space="preserve"> as well as revaluation </w:t>
      </w:r>
      <w:r w:rsidR="00CA5AB9">
        <w:rPr>
          <w:rFonts w:asciiTheme="minorHAnsi" w:hAnsiTheme="minorHAnsi" w:cs="Arial"/>
          <w:sz w:val="22"/>
          <w:szCs w:val="22"/>
        </w:rPr>
        <w:t>gains and losses in the priority</w:t>
      </w:r>
      <w:r>
        <w:rPr>
          <w:rFonts w:asciiTheme="minorHAnsi" w:hAnsiTheme="minorHAnsi" w:cs="Arial"/>
          <w:sz w:val="22"/>
          <w:szCs w:val="22"/>
        </w:rPr>
        <w:t xml:space="preserve"> services</w:t>
      </w:r>
      <w:r w:rsidR="00CA5AB9">
        <w:rPr>
          <w:rFonts w:asciiTheme="minorHAnsi" w:hAnsiTheme="minorHAnsi" w:cs="Arial"/>
          <w:sz w:val="22"/>
          <w:szCs w:val="22"/>
        </w:rPr>
        <w:t xml:space="preserve"> lines,</w:t>
      </w:r>
      <w:r>
        <w:rPr>
          <w:rFonts w:asciiTheme="minorHAnsi" w:hAnsiTheme="minorHAnsi" w:cs="Arial"/>
          <w:sz w:val="22"/>
          <w:szCs w:val="22"/>
        </w:rPr>
        <w:t xml:space="preserve"> and </w:t>
      </w:r>
      <w:r w:rsidR="00ED1225">
        <w:rPr>
          <w:rFonts w:asciiTheme="minorHAnsi" w:hAnsiTheme="minorHAnsi" w:cs="Arial"/>
          <w:sz w:val="22"/>
          <w:szCs w:val="22"/>
        </w:rPr>
        <w:t>for:</w:t>
      </w:r>
    </w:p>
    <w:p w14:paraId="01FEB89E" w14:textId="50966BD1" w:rsidR="00ED1225" w:rsidRDefault="00363663"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 xml:space="preserve">Other </w:t>
      </w:r>
      <w:r w:rsidR="00ED1225">
        <w:rPr>
          <w:rFonts w:asciiTheme="minorHAnsi" w:hAnsiTheme="minorHAnsi" w:cs="Arial"/>
          <w:sz w:val="22"/>
          <w:szCs w:val="22"/>
        </w:rPr>
        <w:t>operating</w:t>
      </w:r>
      <w:r>
        <w:rPr>
          <w:rFonts w:asciiTheme="minorHAnsi" w:hAnsiTheme="minorHAnsi" w:cs="Arial"/>
          <w:sz w:val="22"/>
          <w:szCs w:val="22"/>
        </w:rPr>
        <w:t xml:space="preserve"> expenditure adjustments for capital disposals</w:t>
      </w:r>
      <w:r w:rsidR="002D2D03">
        <w:rPr>
          <w:rFonts w:asciiTheme="minorHAnsi" w:hAnsiTheme="minorHAnsi" w:cs="Arial"/>
          <w:sz w:val="22"/>
          <w:szCs w:val="22"/>
        </w:rPr>
        <w:t>,</w:t>
      </w:r>
      <w:r>
        <w:rPr>
          <w:rFonts w:asciiTheme="minorHAnsi" w:hAnsiTheme="minorHAnsi" w:cs="Arial"/>
          <w:sz w:val="22"/>
          <w:szCs w:val="22"/>
        </w:rPr>
        <w:t xml:space="preserve"> with a transfer of income on disposal of assets and the amounts written off for those assets</w:t>
      </w:r>
      <w:r w:rsidR="00ED1225">
        <w:rPr>
          <w:rFonts w:asciiTheme="minorHAnsi" w:hAnsiTheme="minorHAnsi" w:cs="Arial"/>
          <w:sz w:val="22"/>
          <w:szCs w:val="22"/>
        </w:rPr>
        <w:t xml:space="preserve">, and </w:t>
      </w:r>
      <w:proofErr w:type="gramStart"/>
      <w:r w:rsidR="00ED1225">
        <w:rPr>
          <w:rFonts w:asciiTheme="minorHAnsi" w:hAnsiTheme="minorHAnsi" w:cs="Arial"/>
          <w:sz w:val="22"/>
          <w:szCs w:val="22"/>
        </w:rPr>
        <w:t>for</w:t>
      </w:r>
      <w:r w:rsidR="002B7ED8">
        <w:rPr>
          <w:rFonts w:asciiTheme="minorHAnsi" w:hAnsiTheme="minorHAnsi" w:cs="Arial"/>
          <w:sz w:val="22"/>
          <w:szCs w:val="22"/>
        </w:rPr>
        <w:t>;</w:t>
      </w:r>
      <w:proofErr w:type="gramEnd"/>
    </w:p>
    <w:p w14:paraId="23FD4949" w14:textId="34A012A9" w:rsidR="00796A43" w:rsidRDefault="00ED1225"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 xml:space="preserve">Financing and investment income </w:t>
      </w:r>
      <w:r w:rsidR="00704A70">
        <w:rPr>
          <w:rFonts w:asciiTheme="minorHAnsi" w:hAnsiTheme="minorHAnsi" w:cs="Arial"/>
          <w:sz w:val="22"/>
          <w:szCs w:val="22"/>
        </w:rPr>
        <w:t>and</w:t>
      </w:r>
      <w:r>
        <w:rPr>
          <w:rFonts w:asciiTheme="minorHAnsi" w:hAnsiTheme="minorHAnsi" w:cs="Arial"/>
          <w:sz w:val="22"/>
          <w:szCs w:val="22"/>
        </w:rPr>
        <w:t xml:space="preserve"> expenditure</w:t>
      </w:r>
      <w:r w:rsidR="00363663">
        <w:rPr>
          <w:rFonts w:asciiTheme="minorHAnsi" w:hAnsiTheme="minorHAnsi" w:cs="Arial"/>
          <w:sz w:val="22"/>
          <w:szCs w:val="22"/>
        </w:rPr>
        <w:t xml:space="preserve"> the depreciation, impairment and revaluation gains and losses on the Council’s Trading Accounts.</w:t>
      </w:r>
    </w:p>
    <w:p w14:paraId="46F13EBA" w14:textId="2A683B37" w:rsidR="00C01D9F" w:rsidRDefault="00C01D9F"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p>
    <w:p w14:paraId="7BB4829F" w14:textId="77777777" w:rsidR="00A0344D" w:rsidRDefault="00A0344D"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p>
    <w:p w14:paraId="14E96CAE" w14:textId="77777777" w:rsidR="00363663" w:rsidRDefault="00D358C7" w:rsidP="00282892">
      <w:pPr>
        <w:widowControl w:val="0"/>
        <w:tabs>
          <w:tab w:val="left" w:pos="0"/>
          <w:tab w:val="left" w:pos="709"/>
          <w:tab w:val="left" w:pos="2592"/>
          <w:tab w:val="left" w:pos="6768"/>
          <w:tab w:val="left" w:pos="8640"/>
        </w:tabs>
        <w:ind w:right="-57"/>
        <w:jc w:val="both"/>
        <w:rPr>
          <w:rFonts w:asciiTheme="minorHAnsi" w:hAnsiTheme="minorHAnsi" w:cs="Arial"/>
          <w:b/>
          <w:sz w:val="24"/>
          <w:szCs w:val="24"/>
        </w:rPr>
      </w:pPr>
      <w:r>
        <w:rPr>
          <w:rFonts w:asciiTheme="minorHAnsi" w:hAnsiTheme="minorHAnsi" w:cs="Arial"/>
          <w:b/>
          <w:sz w:val="24"/>
          <w:szCs w:val="24"/>
        </w:rPr>
        <w:lastRenderedPageBreak/>
        <w:t>Net Change for the Pensions Adjustments:</w:t>
      </w:r>
    </w:p>
    <w:p w14:paraId="59FB17D1" w14:textId="38E1A589" w:rsidR="00ED1225" w:rsidRDefault="00D358C7"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Net change for the removal of pension contributions and the addition of IAS19 Employee Benefits related income and expenditure</w:t>
      </w:r>
      <w:r w:rsidR="00AE44F7">
        <w:rPr>
          <w:rFonts w:asciiTheme="minorHAnsi" w:hAnsiTheme="minorHAnsi" w:cs="Arial"/>
          <w:sz w:val="22"/>
          <w:szCs w:val="22"/>
        </w:rPr>
        <w:t>:</w:t>
      </w:r>
    </w:p>
    <w:p w14:paraId="10CD8725" w14:textId="77777777" w:rsidR="00ED1225" w:rsidRDefault="00ED1225"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F</w:t>
      </w:r>
      <w:r w:rsidR="00D358C7">
        <w:rPr>
          <w:rFonts w:asciiTheme="minorHAnsi" w:hAnsiTheme="minorHAnsi" w:cs="Arial"/>
          <w:sz w:val="22"/>
          <w:szCs w:val="22"/>
        </w:rPr>
        <w:t>or services this represents the removal of employer pension contributions made by the Council as allowed by statute and the replacement with current service costs and past service costs</w:t>
      </w:r>
      <w:r>
        <w:rPr>
          <w:rFonts w:asciiTheme="minorHAnsi" w:hAnsiTheme="minorHAnsi" w:cs="Arial"/>
          <w:sz w:val="22"/>
          <w:szCs w:val="22"/>
        </w:rPr>
        <w:t>.</w:t>
      </w:r>
    </w:p>
    <w:p w14:paraId="37C63E3B" w14:textId="383C9CDC" w:rsidR="00D358C7" w:rsidRDefault="00ED1225"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F</w:t>
      </w:r>
      <w:r w:rsidR="00D358C7">
        <w:rPr>
          <w:rFonts w:asciiTheme="minorHAnsi" w:hAnsiTheme="minorHAnsi" w:cs="Arial"/>
          <w:sz w:val="22"/>
          <w:szCs w:val="22"/>
        </w:rPr>
        <w:t xml:space="preserve">or </w:t>
      </w:r>
      <w:r>
        <w:rPr>
          <w:rFonts w:asciiTheme="minorHAnsi" w:hAnsiTheme="minorHAnsi" w:cs="Arial"/>
          <w:sz w:val="22"/>
          <w:szCs w:val="22"/>
        </w:rPr>
        <w:t xml:space="preserve">financing </w:t>
      </w:r>
      <w:r w:rsidR="00704A70">
        <w:rPr>
          <w:rFonts w:asciiTheme="minorHAnsi" w:hAnsiTheme="minorHAnsi" w:cs="Arial"/>
          <w:sz w:val="22"/>
          <w:szCs w:val="22"/>
        </w:rPr>
        <w:t>and</w:t>
      </w:r>
      <w:r>
        <w:rPr>
          <w:rFonts w:asciiTheme="minorHAnsi" w:hAnsiTheme="minorHAnsi" w:cs="Arial"/>
          <w:sz w:val="22"/>
          <w:szCs w:val="22"/>
        </w:rPr>
        <w:t xml:space="preserve"> investment </w:t>
      </w:r>
      <w:r w:rsidR="00D358C7">
        <w:rPr>
          <w:rFonts w:asciiTheme="minorHAnsi" w:hAnsiTheme="minorHAnsi" w:cs="Arial"/>
          <w:sz w:val="22"/>
          <w:szCs w:val="22"/>
        </w:rPr>
        <w:t xml:space="preserve">income and expenditure is the net interest on the defined benefit liability as charged to the Comprehensive income </w:t>
      </w:r>
      <w:r w:rsidR="00704A70">
        <w:rPr>
          <w:rFonts w:asciiTheme="minorHAnsi" w:hAnsiTheme="minorHAnsi" w:cs="Arial"/>
          <w:sz w:val="22"/>
          <w:szCs w:val="22"/>
        </w:rPr>
        <w:t>and</w:t>
      </w:r>
      <w:r w:rsidR="00D358C7">
        <w:rPr>
          <w:rFonts w:asciiTheme="minorHAnsi" w:hAnsiTheme="minorHAnsi" w:cs="Arial"/>
          <w:sz w:val="22"/>
          <w:szCs w:val="22"/>
        </w:rPr>
        <w:t xml:space="preserve"> expenditure statement.</w:t>
      </w:r>
    </w:p>
    <w:p w14:paraId="4B4E2238" w14:textId="77777777" w:rsidR="00C01D9F" w:rsidRDefault="00C01D9F"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p>
    <w:p w14:paraId="0F838E72" w14:textId="77777777" w:rsidR="00D358C7" w:rsidRDefault="00D358C7" w:rsidP="00282892">
      <w:pPr>
        <w:widowControl w:val="0"/>
        <w:tabs>
          <w:tab w:val="left" w:pos="0"/>
          <w:tab w:val="left" w:pos="709"/>
          <w:tab w:val="left" w:pos="2592"/>
          <w:tab w:val="left" w:pos="6768"/>
          <w:tab w:val="left" w:pos="8640"/>
        </w:tabs>
        <w:ind w:right="-57"/>
        <w:jc w:val="both"/>
        <w:rPr>
          <w:rFonts w:asciiTheme="minorHAnsi" w:hAnsiTheme="minorHAnsi" w:cs="Arial"/>
          <w:b/>
          <w:sz w:val="24"/>
          <w:szCs w:val="24"/>
        </w:rPr>
      </w:pPr>
      <w:r>
        <w:rPr>
          <w:rFonts w:asciiTheme="minorHAnsi" w:hAnsiTheme="minorHAnsi" w:cs="Arial"/>
          <w:b/>
          <w:sz w:val="24"/>
          <w:szCs w:val="24"/>
        </w:rPr>
        <w:t xml:space="preserve">Other </w:t>
      </w:r>
      <w:r w:rsidR="00845765">
        <w:rPr>
          <w:rFonts w:asciiTheme="minorHAnsi" w:hAnsiTheme="minorHAnsi" w:cs="Arial"/>
          <w:b/>
          <w:sz w:val="24"/>
          <w:szCs w:val="24"/>
        </w:rPr>
        <w:t xml:space="preserve">Statutory </w:t>
      </w:r>
      <w:r>
        <w:rPr>
          <w:rFonts w:asciiTheme="minorHAnsi" w:hAnsiTheme="minorHAnsi" w:cs="Arial"/>
          <w:b/>
          <w:sz w:val="24"/>
          <w:szCs w:val="24"/>
        </w:rPr>
        <w:t>Differences:</w:t>
      </w:r>
    </w:p>
    <w:p w14:paraId="44FC658F" w14:textId="11CE3C91" w:rsidR="00ED1225" w:rsidRDefault="00282892"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This column recognises adjustments to the general fund for the accrual of compensated absences under the services</w:t>
      </w:r>
      <w:r w:rsidR="002D2D03">
        <w:rPr>
          <w:rFonts w:asciiTheme="minorHAnsi" w:hAnsiTheme="minorHAnsi" w:cs="Arial"/>
          <w:sz w:val="22"/>
          <w:szCs w:val="22"/>
        </w:rPr>
        <w:t>;</w:t>
      </w:r>
      <w:r w:rsidR="00FB2EEF">
        <w:rPr>
          <w:rFonts w:asciiTheme="minorHAnsi" w:hAnsiTheme="minorHAnsi" w:cs="Arial"/>
          <w:sz w:val="22"/>
          <w:szCs w:val="22"/>
        </w:rPr>
        <w:t xml:space="preserve"> and o</w:t>
      </w:r>
      <w:r>
        <w:rPr>
          <w:rFonts w:asciiTheme="minorHAnsi" w:hAnsiTheme="minorHAnsi" w:cs="Arial"/>
          <w:sz w:val="22"/>
          <w:szCs w:val="22"/>
        </w:rPr>
        <w:t xml:space="preserve">ther income </w:t>
      </w:r>
      <w:r w:rsidR="00704A70">
        <w:rPr>
          <w:rFonts w:asciiTheme="minorHAnsi" w:hAnsiTheme="minorHAnsi" w:cs="Arial"/>
          <w:sz w:val="22"/>
          <w:szCs w:val="22"/>
        </w:rPr>
        <w:t>and</w:t>
      </w:r>
      <w:r>
        <w:rPr>
          <w:rFonts w:asciiTheme="minorHAnsi" w:hAnsiTheme="minorHAnsi" w:cs="Arial"/>
          <w:sz w:val="22"/>
          <w:szCs w:val="22"/>
        </w:rPr>
        <w:t xml:space="preserve"> </w:t>
      </w:r>
      <w:r w:rsidR="00AE6C38">
        <w:rPr>
          <w:rFonts w:asciiTheme="minorHAnsi" w:hAnsiTheme="minorHAnsi" w:cs="Arial"/>
          <w:sz w:val="22"/>
          <w:szCs w:val="22"/>
        </w:rPr>
        <w:t>e</w:t>
      </w:r>
      <w:r>
        <w:rPr>
          <w:rFonts w:asciiTheme="minorHAnsi" w:hAnsiTheme="minorHAnsi" w:cs="Arial"/>
          <w:sz w:val="22"/>
          <w:szCs w:val="22"/>
        </w:rPr>
        <w:t xml:space="preserve">xpenditure is credited with capital grants receivable in the year without conditions or for which conditions were satisfied in the year, </w:t>
      </w:r>
      <w:r w:rsidR="00ED1225">
        <w:rPr>
          <w:rFonts w:asciiTheme="minorHAnsi" w:hAnsiTheme="minorHAnsi" w:cs="Arial"/>
          <w:sz w:val="22"/>
          <w:szCs w:val="22"/>
        </w:rPr>
        <w:t>and for:</w:t>
      </w:r>
    </w:p>
    <w:p w14:paraId="21D0F6FE" w14:textId="170D1A38" w:rsidR="00D358C7" w:rsidRPr="00D358C7" w:rsidRDefault="00ED1225" w:rsidP="00282892">
      <w:pPr>
        <w:widowControl w:val="0"/>
        <w:tabs>
          <w:tab w:val="left" w:pos="0"/>
          <w:tab w:val="left" w:pos="709"/>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 xml:space="preserve">Taxation </w:t>
      </w:r>
      <w:r w:rsidR="00704A70">
        <w:rPr>
          <w:rFonts w:asciiTheme="minorHAnsi" w:hAnsiTheme="minorHAnsi" w:cs="Arial"/>
          <w:sz w:val="22"/>
          <w:szCs w:val="22"/>
        </w:rPr>
        <w:t>and</w:t>
      </w:r>
      <w:r>
        <w:rPr>
          <w:rFonts w:asciiTheme="minorHAnsi" w:hAnsiTheme="minorHAnsi" w:cs="Arial"/>
          <w:sz w:val="22"/>
          <w:szCs w:val="22"/>
        </w:rPr>
        <w:t xml:space="preserve"> non-specific grant income</w:t>
      </w:r>
      <w:r w:rsidR="00282892">
        <w:rPr>
          <w:rFonts w:asciiTheme="minorHAnsi" w:hAnsiTheme="minorHAnsi" w:cs="Arial"/>
          <w:sz w:val="22"/>
          <w:szCs w:val="22"/>
        </w:rPr>
        <w:t xml:space="preserve"> is the charge which represents the difference between what is chargeable under statutory regulations for Council Tax and NNDR that was projected to be received at the start of the year, and the income recognised under generally accepted accounting practices in the Code.  This is a timing difference as any differences will be brought forward in future surpluses or deficits on the Collection Fund.</w:t>
      </w:r>
    </w:p>
    <w:p w14:paraId="68A03228" w14:textId="77777777" w:rsidR="00796A43" w:rsidRPr="006C630A" w:rsidRDefault="00796A43" w:rsidP="0051603A">
      <w:pPr>
        <w:widowControl w:val="0"/>
        <w:tabs>
          <w:tab w:val="left" w:pos="0"/>
          <w:tab w:val="left" w:pos="709"/>
          <w:tab w:val="left" w:pos="2592"/>
          <w:tab w:val="left" w:pos="6768"/>
          <w:tab w:val="left" w:pos="8640"/>
        </w:tabs>
        <w:ind w:right="-57"/>
        <w:rPr>
          <w:rFonts w:asciiTheme="minorHAnsi" w:hAnsiTheme="minorHAnsi" w:cs="Arial"/>
          <w:b/>
          <w:sz w:val="22"/>
          <w:szCs w:val="22"/>
        </w:rPr>
      </w:pPr>
    </w:p>
    <w:p w14:paraId="64B11819" w14:textId="77777777" w:rsidR="00652B18" w:rsidRDefault="000176B1" w:rsidP="00704A70">
      <w:pPr>
        <w:pStyle w:val="Heading2"/>
      </w:pPr>
      <w:r>
        <w:t>3</w:t>
      </w:r>
      <w:r>
        <w:tab/>
        <w:t>Segmental Income</w:t>
      </w:r>
    </w:p>
    <w:p w14:paraId="1F3480C2" w14:textId="77777777" w:rsidR="000176B1" w:rsidRPr="000176B1" w:rsidRDefault="000176B1" w:rsidP="0051603A">
      <w:pPr>
        <w:widowControl w:val="0"/>
        <w:tabs>
          <w:tab w:val="left" w:pos="0"/>
          <w:tab w:val="left" w:pos="709"/>
          <w:tab w:val="left" w:pos="2592"/>
          <w:tab w:val="left" w:pos="6768"/>
          <w:tab w:val="left" w:pos="8640"/>
        </w:tabs>
        <w:ind w:right="-57"/>
        <w:rPr>
          <w:rFonts w:asciiTheme="minorHAnsi" w:hAnsiTheme="minorHAnsi" w:cs="Arial"/>
          <w:sz w:val="22"/>
          <w:szCs w:val="22"/>
        </w:rPr>
      </w:pPr>
      <w:r>
        <w:rPr>
          <w:rFonts w:asciiTheme="minorHAnsi" w:hAnsiTheme="minorHAnsi" w:cs="Arial"/>
          <w:sz w:val="22"/>
          <w:szCs w:val="22"/>
        </w:rPr>
        <w:t>Income received on a segmental basis is analysed below:</w:t>
      </w:r>
    </w:p>
    <w:tbl>
      <w:tblPr>
        <w:tblW w:w="9260" w:type="dxa"/>
        <w:tblInd w:w="93" w:type="dxa"/>
        <w:tblLook w:val="04A0" w:firstRow="1" w:lastRow="0" w:firstColumn="1" w:lastColumn="0" w:noHBand="0" w:noVBand="1"/>
        <w:tblCaption w:val="Segmental Income"/>
        <w:tblDescription w:val="Income received on a segmental basis for 2022-2023 with 2021-2022 comparatives"/>
      </w:tblPr>
      <w:tblGrid>
        <w:gridCol w:w="1960"/>
        <w:gridCol w:w="5400"/>
        <w:gridCol w:w="1900"/>
      </w:tblGrid>
      <w:tr w:rsidR="005A5F2A" w:rsidRPr="005A5F2A" w14:paraId="33327098" w14:textId="77777777" w:rsidTr="00F367A2">
        <w:trPr>
          <w:cantSplit/>
          <w:trHeight w:val="255"/>
          <w:tblHeader/>
        </w:trPr>
        <w:tc>
          <w:tcPr>
            <w:tcW w:w="1960" w:type="dxa"/>
            <w:tcBorders>
              <w:top w:val="single" w:sz="4" w:space="0" w:color="FFFFFF"/>
              <w:left w:val="single" w:sz="4" w:space="0" w:color="FFFFFF"/>
              <w:bottom w:val="single" w:sz="4" w:space="0" w:color="FFFFFF"/>
              <w:right w:val="single" w:sz="4" w:space="0" w:color="FFFFFF"/>
            </w:tcBorders>
            <w:shd w:val="clear" w:color="000000" w:fill="C4D79B"/>
            <w:noWrap/>
            <w:vAlign w:val="bottom"/>
            <w:hideMark/>
          </w:tcPr>
          <w:p w14:paraId="3C3C5A55" w14:textId="2539651D" w:rsidR="005A5F2A" w:rsidRPr="005A5F2A" w:rsidRDefault="005A5F2A" w:rsidP="00FB2EEF">
            <w:pPr>
              <w:jc w:val="right"/>
              <w:rPr>
                <w:rFonts w:ascii="Calibri" w:hAnsi="Calibri"/>
                <w:color w:val="000000"/>
                <w:lang w:eastAsia="en-GB"/>
              </w:rPr>
            </w:pPr>
            <w:r w:rsidRPr="005A5F2A">
              <w:rPr>
                <w:rFonts w:ascii="Calibri" w:hAnsi="Calibri"/>
                <w:color w:val="000000"/>
                <w:lang w:eastAsia="en-GB"/>
              </w:rPr>
              <w:t>20</w:t>
            </w:r>
            <w:r w:rsidR="002C2D15">
              <w:rPr>
                <w:rFonts w:ascii="Calibri" w:hAnsi="Calibri"/>
                <w:color w:val="000000"/>
                <w:lang w:eastAsia="en-GB"/>
              </w:rPr>
              <w:t>2</w:t>
            </w:r>
            <w:r w:rsidR="00593838">
              <w:rPr>
                <w:rFonts w:ascii="Calibri" w:hAnsi="Calibri"/>
                <w:color w:val="000000"/>
                <w:lang w:eastAsia="en-GB"/>
              </w:rPr>
              <w:t>1</w:t>
            </w:r>
            <w:r w:rsidR="00CD2B86">
              <w:rPr>
                <w:rFonts w:ascii="Calibri" w:hAnsi="Calibri"/>
                <w:color w:val="000000"/>
                <w:lang w:eastAsia="en-GB"/>
              </w:rPr>
              <w:t>-2</w:t>
            </w:r>
            <w:r w:rsidR="00593838">
              <w:rPr>
                <w:rFonts w:ascii="Calibri" w:hAnsi="Calibri"/>
                <w:color w:val="000000"/>
                <w:lang w:eastAsia="en-GB"/>
              </w:rPr>
              <w:t>2</w:t>
            </w:r>
          </w:p>
        </w:tc>
        <w:tc>
          <w:tcPr>
            <w:tcW w:w="5400" w:type="dxa"/>
            <w:tcBorders>
              <w:top w:val="nil"/>
              <w:left w:val="nil"/>
              <w:bottom w:val="nil"/>
              <w:right w:val="nil"/>
            </w:tcBorders>
            <w:shd w:val="clear" w:color="000000" w:fill="C4D79B"/>
            <w:noWrap/>
            <w:vAlign w:val="bottom"/>
            <w:hideMark/>
          </w:tcPr>
          <w:p w14:paraId="72625022" w14:textId="77777777" w:rsidR="005A5F2A" w:rsidRPr="005A5F2A" w:rsidRDefault="005A5F2A" w:rsidP="005A5F2A">
            <w:pPr>
              <w:rPr>
                <w:rFonts w:ascii="Calibri" w:hAnsi="Calibri"/>
                <w:color w:val="000000"/>
                <w:lang w:eastAsia="en-GB"/>
              </w:rPr>
            </w:pPr>
            <w:r w:rsidRPr="005A5F2A">
              <w:rPr>
                <w:rFonts w:ascii="Calibri" w:hAnsi="Calibri"/>
                <w:color w:val="000000"/>
                <w:lang w:eastAsia="en-GB"/>
              </w:rPr>
              <w:t> </w:t>
            </w:r>
          </w:p>
        </w:tc>
        <w:tc>
          <w:tcPr>
            <w:tcW w:w="1900" w:type="dxa"/>
            <w:tcBorders>
              <w:top w:val="single" w:sz="4" w:space="0" w:color="FFFFFF"/>
              <w:left w:val="single" w:sz="4" w:space="0" w:color="FFFFFF"/>
              <w:bottom w:val="single" w:sz="4" w:space="0" w:color="FFFFFF"/>
              <w:right w:val="single" w:sz="4" w:space="0" w:color="FFFFFF"/>
            </w:tcBorders>
            <w:shd w:val="clear" w:color="000000" w:fill="C4D79B"/>
            <w:noWrap/>
            <w:vAlign w:val="bottom"/>
            <w:hideMark/>
          </w:tcPr>
          <w:p w14:paraId="40A91FB6" w14:textId="1B5F48BC" w:rsidR="005A5F2A" w:rsidRPr="005A5F2A" w:rsidRDefault="00CD2B86" w:rsidP="00CD2B86">
            <w:pPr>
              <w:jc w:val="right"/>
              <w:rPr>
                <w:rFonts w:ascii="Calibri" w:hAnsi="Calibri"/>
                <w:color w:val="000000"/>
                <w:lang w:eastAsia="en-GB"/>
              </w:rPr>
            </w:pPr>
            <w:r>
              <w:rPr>
                <w:rFonts w:ascii="Calibri" w:hAnsi="Calibri"/>
                <w:color w:val="000000"/>
                <w:lang w:eastAsia="en-GB"/>
              </w:rPr>
              <w:t>202</w:t>
            </w:r>
            <w:r w:rsidR="00593838">
              <w:rPr>
                <w:rFonts w:ascii="Calibri" w:hAnsi="Calibri"/>
                <w:color w:val="000000"/>
                <w:lang w:eastAsia="en-GB"/>
              </w:rPr>
              <w:t>2</w:t>
            </w:r>
            <w:r w:rsidR="005A5F2A" w:rsidRPr="005A5F2A">
              <w:rPr>
                <w:rFonts w:ascii="Calibri" w:hAnsi="Calibri"/>
                <w:color w:val="000000"/>
                <w:lang w:eastAsia="en-GB"/>
              </w:rPr>
              <w:t>-</w:t>
            </w:r>
            <w:r w:rsidR="00FB2EEF">
              <w:rPr>
                <w:rFonts w:ascii="Calibri" w:hAnsi="Calibri"/>
                <w:color w:val="000000"/>
                <w:lang w:eastAsia="en-GB"/>
              </w:rPr>
              <w:t>2</w:t>
            </w:r>
            <w:r w:rsidR="00593838">
              <w:rPr>
                <w:rFonts w:ascii="Calibri" w:hAnsi="Calibri"/>
                <w:color w:val="000000"/>
                <w:lang w:eastAsia="en-GB"/>
              </w:rPr>
              <w:t>3</w:t>
            </w:r>
          </w:p>
        </w:tc>
      </w:tr>
      <w:tr w:rsidR="005A5F2A" w:rsidRPr="005A5F2A" w14:paraId="39C0C8E0" w14:textId="77777777" w:rsidTr="005A5F2A">
        <w:trPr>
          <w:trHeight w:val="255"/>
        </w:trPr>
        <w:tc>
          <w:tcPr>
            <w:tcW w:w="1960" w:type="dxa"/>
            <w:tcBorders>
              <w:top w:val="nil"/>
              <w:left w:val="single" w:sz="4" w:space="0" w:color="FFFFFF"/>
              <w:bottom w:val="single" w:sz="4" w:space="0" w:color="FFFFFF"/>
              <w:right w:val="single" w:sz="4" w:space="0" w:color="FFFFFF"/>
            </w:tcBorders>
            <w:shd w:val="clear" w:color="000000" w:fill="C4D79B"/>
            <w:noWrap/>
            <w:vAlign w:val="bottom"/>
            <w:hideMark/>
          </w:tcPr>
          <w:p w14:paraId="31164B24" w14:textId="77777777" w:rsidR="005A5F2A" w:rsidRPr="005A5F2A" w:rsidRDefault="005A5F2A" w:rsidP="005A5F2A">
            <w:pPr>
              <w:jc w:val="right"/>
              <w:rPr>
                <w:rFonts w:ascii="Calibri" w:hAnsi="Calibri"/>
                <w:color w:val="000000"/>
                <w:lang w:eastAsia="en-GB"/>
              </w:rPr>
            </w:pPr>
            <w:r w:rsidRPr="005A5F2A">
              <w:rPr>
                <w:rFonts w:ascii="Calibri" w:hAnsi="Calibri"/>
                <w:color w:val="000000"/>
                <w:lang w:eastAsia="en-GB"/>
              </w:rPr>
              <w:t>Income from Services</w:t>
            </w:r>
          </w:p>
        </w:tc>
        <w:tc>
          <w:tcPr>
            <w:tcW w:w="5400" w:type="dxa"/>
            <w:tcBorders>
              <w:top w:val="nil"/>
              <w:left w:val="nil"/>
              <w:bottom w:val="nil"/>
              <w:right w:val="nil"/>
            </w:tcBorders>
            <w:shd w:val="clear" w:color="000000" w:fill="C4D79B"/>
            <w:noWrap/>
            <w:vAlign w:val="bottom"/>
            <w:hideMark/>
          </w:tcPr>
          <w:p w14:paraId="3F4D6857" w14:textId="77777777" w:rsidR="005A5F2A" w:rsidRPr="005A5F2A" w:rsidRDefault="005A5F2A" w:rsidP="005A5F2A">
            <w:pPr>
              <w:rPr>
                <w:rFonts w:ascii="Calibri" w:hAnsi="Calibri"/>
                <w:color w:val="000000"/>
                <w:lang w:eastAsia="en-GB"/>
              </w:rPr>
            </w:pPr>
            <w:r w:rsidRPr="005A5F2A">
              <w:rPr>
                <w:rFonts w:ascii="Calibri" w:hAnsi="Calibri"/>
                <w:color w:val="000000"/>
                <w:lang w:eastAsia="en-GB"/>
              </w:rPr>
              <w:t>Services</w:t>
            </w:r>
          </w:p>
        </w:tc>
        <w:tc>
          <w:tcPr>
            <w:tcW w:w="1900" w:type="dxa"/>
            <w:tcBorders>
              <w:top w:val="nil"/>
              <w:left w:val="single" w:sz="4" w:space="0" w:color="FFFFFF"/>
              <w:bottom w:val="single" w:sz="4" w:space="0" w:color="FFFFFF"/>
              <w:right w:val="single" w:sz="4" w:space="0" w:color="FFFFFF"/>
            </w:tcBorders>
            <w:shd w:val="clear" w:color="000000" w:fill="C4D79B"/>
            <w:noWrap/>
            <w:vAlign w:val="bottom"/>
            <w:hideMark/>
          </w:tcPr>
          <w:p w14:paraId="17A8974B" w14:textId="77777777" w:rsidR="005A5F2A" w:rsidRPr="005A5F2A" w:rsidRDefault="005A5F2A" w:rsidP="005A5F2A">
            <w:pPr>
              <w:jc w:val="right"/>
              <w:rPr>
                <w:rFonts w:ascii="Calibri" w:hAnsi="Calibri"/>
                <w:color w:val="000000"/>
                <w:lang w:eastAsia="en-GB"/>
              </w:rPr>
            </w:pPr>
            <w:r w:rsidRPr="005A5F2A">
              <w:rPr>
                <w:rFonts w:ascii="Calibri" w:hAnsi="Calibri"/>
                <w:color w:val="000000"/>
                <w:lang w:eastAsia="en-GB"/>
              </w:rPr>
              <w:t>Income from Services</w:t>
            </w:r>
          </w:p>
        </w:tc>
      </w:tr>
      <w:tr w:rsidR="005A5F2A" w:rsidRPr="005A5F2A" w14:paraId="087217B7" w14:textId="77777777" w:rsidTr="005A5F2A">
        <w:trPr>
          <w:trHeight w:val="255"/>
        </w:trPr>
        <w:tc>
          <w:tcPr>
            <w:tcW w:w="1960" w:type="dxa"/>
            <w:tcBorders>
              <w:top w:val="nil"/>
              <w:left w:val="single" w:sz="4" w:space="0" w:color="FFFFFF"/>
              <w:bottom w:val="single" w:sz="4" w:space="0" w:color="FFFFFF"/>
              <w:right w:val="single" w:sz="4" w:space="0" w:color="FFFFFF"/>
            </w:tcBorders>
            <w:shd w:val="clear" w:color="000000" w:fill="C4D79B"/>
            <w:noWrap/>
            <w:vAlign w:val="bottom"/>
            <w:hideMark/>
          </w:tcPr>
          <w:p w14:paraId="33E70ECB" w14:textId="77777777" w:rsidR="005A5F2A" w:rsidRPr="005A5F2A" w:rsidRDefault="005A5F2A" w:rsidP="005A5F2A">
            <w:pPr>
              <w:jc w:val="right"/>
              <w:rPr>
                <w:rFonts w:ascii="Calibri" w:hAnsi="Calibri"/>
                <w:color w:val="000000"/>
                <w:lang w:eastAsia="en-GB"/>
              </w:rPr>
            </w:pPr>
            <w:r w:rsidRPr="005A5F2A">
              <w:rPr>
                <w:rFonts w:ascii="Calibri" w:hAnsi="Calibri"/>
                <w:color w:val="000000"/>
                <w:lang w:eastAsia="en-GB"/>
              </w:rPr>
              <w:t>£'000</w:t>
            </w:r>
          </w:p>
        </w:tc>
        <w:tc>
          <w:tcPr>
            <w:tcW w:w="5400" w:type="dxa"/>
            <w:tcBorders>
              <w:top w:val="nil"/>
              <w:left w:val="nil"/>
              <w:bottom w:val="nil"/>
              <w:right w:val="nil"/>
            </w:tcBorders>
            <w:shd w:val="clear" w:color="000000" w:fill="C4D79B"/>
            <w:noWrap/>
            <w:vAlign w:val="bottom"/>
            <w:hideMark/>
          </w:tcPr>
          <w:p w14:paraId="422F5E48" w14:textId="77777777" w:rsidR="005A5F2A" w:rsidRPr="005A5F2A" w:rsidRDefault="005A5F2A" w:rsidP="005A5F2A">
            <w:pPr>
              <w:rPr>
                <w:rFonts w:ascii="Calibri" w:hAnsi="Calibri"/>
                <w:color w:val="000000"/>
                <w:lang w:eastAsia="en-GB"/>
              </w:rPr>
            </w:pPr>
            <w:r w:rsidRPr="005A5F2A">
              <w:rPr>
                <w:rFonts w:ascii="Calibri" w:hAnsi="Calibri"/>
                <w:color w:val="000000"/>
                <w:lang w:eastAsia="en-GB"/>
              </w:rPr>
              <w:t> </w:t>
            </w:r>
          </w:p>
        </w:tc>
        <w:tc>
          <w:tcPr>
            <w:tcW w:w="1900" w:type="dxa"/>
            <w:tcBorders>
              <w:top w:val="nil"/>
              <w:left w:val="single" w:sz="4" w:space="0" w:color="FFFFFF"/>
              <w:bottom w:val="single" w:sz="4" w:space="0" w:color="FFFFFF"/>
              <w:right w:val="single" w:sz="4" w:space="0" w:color="FFFFFF"/>
            </w:tcBorders>
            <w:shd w:val="clear" w:color="000000" w:fill="C4D79B"/>
            <w:noWrap/>
            <w:vAlign w:val="bottom"/>
            <w:hideMark/>
          </w:tcPr>
          <w:p w14:paraId="2E40D682" w14:textId="77777777" w:rsidR="005A5F2A" w:rsidRPr="005A5F2A" w:rsidRDefault="005A5F2A" w:rsidP="005A5F2A">
            <w:pPr>
              <w:jc w:val="right"/>
              <w:rPr>
                <w:rFonts w:ascii="Calibri" w:hAnsi="Calibri"/>
                <w:color w:val="000000"/>
                <w:lang w:eastAsia="en-GB"/>
              </w:rPr>
            </w:pPr>
            <w:r w:rsidRPr="005A5F2A">
              <w:rPr>
                <w:rFonts w:ascii="Calibri" w:hAnsi="Calibri"/>
                <w:color w:val="000000"/>
                <w:lang w:eastAsia="en-GB"/>
              </w:rPr>
              <w:t>£'000</w:t>
            </w:r>
          </w:p>
        </w:tc>
      </w:tr>
      <w:tr w:rsidR="005A5F2A" w:rsidRPr="005A5F2A" w14:paraId="08B5DF9C"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1C047CD5" w14:textId="408E2D17" w:rsidR="005A5F2A" w:rsidRPr="005A5F2A" w:rsidRDefault="00593838" w:rsidP="005A5F2A">
            <w:pPr>
              <w:jc w:val="right"/>
              <w:rPr>
                <w:rFonts w:ascii="Calibri" w:hAnsi="Calibri"/>
                <w:color w:val="000000"/>
                <w:lang w:eastAsia="en-GB"/>
              </w:rPr>
            </w:pPr>
            <w:r>
              <w:rPr>
                <w:rFonts w:ascii="Calibri" w:hAnsi="Calibri"/>
                <w:color w:val="000000"/>
                <w:lang w:eastAsia="en-GB"/>
              </w:rPr>
              <w:t>395</w:t>
            </w:r>
            <w:r w:rsidR="005A5F2A" w:rsidRPr="005A5F2A">
              <w:rPr>
                <w:rFonts w:ascii="Calibri" w:hAnsi="Calibri"/>
                <w:color w:val="000000"/>
                <w:lang w:eastAsia="en-GB"/>
              </w:rPr>
              <w:t> </w:t>
            </w:r>
          </w:p>
        </w:tc>
        <w:tc>
          <w:tcPr>
            <w:tcW w:w="5400" w:type="dxa"/>
            <w:tcBorders>
              <w:top w:val="single" w:sz="4" w:space="0" w:color="FFFFFF"/>
              <w:left w:val="nil"/>
              <w:bottom w:val="single" w:sz="4" w:space="0" w:color="FFFFFF"/>
              <w:right w:val="single" w:sz="4" w:space="0" w:color="FFFFFF"/>
            </w:tcBorders>
            <w:shd w:val="clear" w:color="000000" w:fill="EBF1DE"/>
            <w:vAlign w:val="bottom"/>
            <w:hideMark/>
          </w:tcPr>
          <w:p w14:paraId="7335B771" w14:textId="77777777" w:rsidR="005A5F2A" w:rsidRPr="005A5F2A" w:rsidRDefault="005A5F2A" w:rsidP="00C01D9F">
            <w:pPr>
              <w:rPr>
                <w:rFonts w:ascii="Calibri" w:hAnsi="Calibri"/>
                <w:color w:val="000000"/>
                <w:lang w:eastAsia="en-GB"/>
              </w:rPr>
            </w:pPr>
            <w:r w:rsidRPr="005A5F2A">
              <w:rPr>
                <w:rFonts w:ascii="Calibri" w:hAnsi="Calibri"/>
                <w:color w:val="000000"/>
                <w:lang w:eastAsia="en-GB"/>
              </w:rPr>
              <w:t xml:space="preserve">General Expenses - </w:t>
            </w:r>
            <w:r w:rsidR="00C01D9F">
              <w:rPr>
                <w:rFonts w:ascii="Calibri" w:hAnsi="Calibri"/>
                <w:color w:val="000000"/>
                <w:lang w:eastAsia="en-GB"/>
              </w:rPr>
              <w:t>People</w:t>
            </w:r>
            <w:r w:rsidR="00FB2EEF">
              <w:rPr>
                <w:rFonts w:ascii="Calibri" w:hAnsi="Calibri"/>
                <w:color w:val="000000"/>
                <w:lang w:eastAsia="en-GB"/>
              </w:rPr>
              <w:t xml:space="preserve"> Priority</w:t>
            </w:r>
          </w:p>
        </w:tc>
        <w:tc>
          <w:tcPr>
            <w:tcW w:w="1900" w:type="dxa"/>
            <w:tcBorders>
              <w:top w:val="nil"/>
              <w:left w:val="nil"/>
              <w:bottom w:val="single" w:sz="4" w:space="0" w:color="FFFFFF"/>
              <w:right w:val="single" w:sz="4" w:space="0" w:color="FFFFFF"/>
            </w:tcBorders>
            <w:shd w:val="clear" w:color="000000" w:fill="D8E4BC"/>
            <w:noWrap/>
            <w:vAlign w:val="center"/>
          </w:tcPr>
          <w:p w14:paraId="6ECB4F80" w14:textId="1B96F7A7" w:rsidR="005A5F2A" w:rsidRPr="005A5F2A" w:rsidRDefault="003E3BE2" w:rsidP="002B3BAF">
            <w:pPr>
              <w:jc w:val="right"/>
              <w:rPr>
                <w:rFonts w:ascii="Calibri" w:hAnsi="Calibri"/>
                <w:color w:val="000000"/>
                <w:lang w:eastAsia="en-GB"/>
              </w:rPr>
            </w:pPr>
            <w:r>
              <w:rPr>
                <w:rFonts w:ascii="Calibri" w:hAnsi="Calibri"/>
                <w:color w:val="000000"/>
                <w:lang w:eastAsia="en-GB"/>
              </w:rPr>
              <w:t>311</w:t>
            </w:r>
          </w:p>
        </w:tc>
      </w:tr>
      <w:tr w:rsidR="005A5F2A" w:rsidRPr="005A5F2A" w14:paraId="24D5C086" w14:textId="77777777" w:rsidTr="00C01D9F">
        <w:trPr>
          <w:trHeight w:val="21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44500BC2" w14:textId="56C599CF" w:rsidR="005A5F2A" w:rsidRPr="005A5F2A" w:rsidRDefault="00593838" w:rsidP="00C01D9F">
            <w:pPr>
              <w:jc w:val="right"/>
              <w:rPr>
                <w:rFonts w:ascii="Calibri" w:hAnsi="Calibri"/>
                <w:color w:val="000000"/>
                <w:lang w:eastAsia="en-GB"/>
              </w:rPr>
            </w:pPr>
            <w:r>
              <w:rPr>
                <w:rFonts w:ascii="Calibri" w:hAnsi="Calibri"/>
                <w:color w:val="000000"/>
                <w:lang w:eastAsia="en-GB"/>
              </w:rPr>
              <w:t>4,212</w:t>
            </w:r>
            <w:r w:rsidR="005A5F2A" w:rsidRPr="005A5F2A">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vAlign w:val="bottom"/>
            <w:hideMark/>
          </w:tcPr>
          <w:p w14:paraId="4DDFF222" w14:textId="77777777" w:rsidR="005A5F2A" w:rsidRPr="005A5F2A" w:rsidRDefault="005A5F2A" w:rsidP="00FB2EEF">
            <w:pPr>
              <w:rPr>
                <w:rFonts w:ascii="Calibri" w:hAnsi="Calibri"/>
                <w:color w:val="000000"/>
                <w:lang w:eastAsia="en-GB"/>
              </w:rPr>
            </w:pPr>
            <w:r w:rsidRPr="005A5F2A">
              <w:rPr>
                <w:rFonts w:ascii="Calibri" w:hAnsi="Calibri"/>
                <w:color w:val="000000"/>
                <w:lang w:eastAsia="en-GB"/>
              </w:rPr>
              <w:t xml:space="preserve">General Expenses - </w:t>
            </w:r>
            <w:r w:rsidR="00C01D9F">
              <w:rPr>
                <w:rFonts w:ascii="Calibri" w:hAnsi="Calibri"/>
                <w:color w:val="000000"/>
                <w:lang w:eastAsia="en-GB"/>
              </w:rPr>
              <w:t>Place</w:t>
            </w:r>
            <w:r w:rsidR="00FB2EEF">
              <w:rPr>
                <w:rFonts w:ascii="Calibri" w:hAnsi="Calibri"/>
                <w:color w:val="000000"/>
                <w:lang w:eastAsia="en-GB"/>
              </w:rPr>
              <w:t xml:space="preserve"> Priority</w:t>
            </w:r>
          </w:p>
        </w:tc>
        <w:tc>
          <w:tcPr>
            <w:tcW w:w="1900" w:type="dxa"/>
            <w:tcBorders>
              <w:top w:val="nil"/>
              <w:left w:val="nil"/>
              <w:bottom w:val="single" w:sz="4" w:space="0" w:color="FFFFFF"/>
              <w:right w:val="single" w:sz="4" w:space="0" w:color="FFFFFF"/>
            </w:tcBorders>
            <w:shd w:val="clear" w:color="000000" w:fill="D8E4BC"/>
            <w:noWrap/>
            <w:vAlign w:val="center"/>
          </w:tcPr>
          <w:p w14:paraId="2358E855" w14:textId="7076E15E" w:rsidR="005A5F2A" w:rsidRPr="005A5F2A" w:rsidRDefault="003E3BE2" w:rsidP="006C2A5C">
            <w:pPr>
              <w:jc w:val="right"/>
              <w:rPr>
                <w:rFonts w:ascii="Calibri" w:hAnsi="Calibri"/>
                <w:color w:val="000000"/>
                <w:lang w:eastAsia="en-GB"/>
              </w:rPr>
            </w:pPr>
            <w:r>
              <w:rPr>
                <w:rFonts w:ascii="Calibri" w:hAnsi="Calibri"/>
                <w:color w:val="000000"/>
                <w:lang w:eastAsia="en-GB"/>
              </w:rPr>
              <w:t>2,650</w:t>
            </w:r>
          </w:p>
        </w:tc>
      </w:tr>
      <w:tr w:rsidR="005A5F2A" w:rsidRPr="005A5F2A" w14:paraId="43582136" w14:textId="77777777" w:rsidTr="00845765">
        <w:trPr>
          <w:trHeight w:val="276"/>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37479EA3" w14:textId="62D095A5" w:rsidR="005A5F2A" w:rsidRPr="005A5F2A" w:rsidRDefault="00593838" w:rsidP="005A5F2A">
            <w:pPr>
              <w:jc w:val="right"/>
              <w:rPr>
                <w:rFonts w:ascii="Calibri" w:hAnsi="Calibri"/>
                <w:color w:val="000000"/>
                <w:lang w:eastAsia="en-GB"/>
              </w:rPr>
            </w:pPr>
            <w:r>
              <w:rPr>
                <w:rFonts w:ascii="Calibri" w:hAnsi="Calibri"/>
                <w:color w:val="000000"/>
                <w:lang w:eastAsia="en-GB"/>
              </w:rPr>
              <w:t>1,199</w:t>
            </w:r>
            <w:r w:rsidR="005A5F2A" w:rsidRPr="005A5F2A">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vAlign w:val="bottom"/>
            <w:hideMark/>
          </w:tcPr>
          <w:p w14:paraId="519D9168" w14:textId="77777777" w:rsidR="005A5F2A" w:rsidRPr="005A5F2A" w:rsidRDefault="00C01D9F" w:rsidP="00FB2EEF">
            <w:pPr>
              <w:rPr>
                <w:rFonts w:ascii="Calibri" w:hAnsi="Calibri"/>
                <w:color w:val="000000"/>
                <w:lang w:eastAsia="en-GB"/>
              </w:rPr>
            </w:pPr>
            <w:r>
              <w:rPr>
                <w:rFonts w:ascii="Calibri" w:hAnsi="Calibri"/>
                <w:color w:val="000000"/>
                <w:lang w:eastAsia="en-GB"/>
              </w:rPr>
              <w:t>General Expenses - Corporate</w:t>
            </w:r>
            <w:r w:rsidR="00FB2EEF">
              <w:rPr>
                <w:rFonts w:ascii="Calibri" w:hAnsi="Calibri"/>
                <w:color w:val="000000"/>
                <w:lang w:eastAsia="en-GB"/>
              </w:rPr>
              <w:t xml:space="preserve"> Priority</w:t>
            </w:r>
          </w:p>
        </w:tc>
        <w:tc>
          <w:tcPr>
            <w:tcW w:w="1900" w:type="dxa"/>
            <w:tcBorders>
              <w:top w:val="nil"/>
              <w:left w:val="nil"/>
              <w:bottom w:val="single" w:sz="4" w:space="0" w:color="FFFFFF"/>
              <w:right w:val="single" w:sz="4" w:space="0" w:color="FFFFFF"/>
            </w:tcBorders>
            <w:shd w:val="clear" w:color="000000" w:fill="D8E4BC"/>
            <w:noWrap/>
            <w:vAlign w:val="center"/>
          </w:tcPr>
          <w:p w14:paraId="24E0137B" w14:textId="76436EA8" w:rsidR="005A5F2A" w:rsidRPr="005A5F2A" w:rsidRDefault="003E3BE2" w:rsidP="00DA25B3">
            <w:pPr>
              <w:jc w:val="right"/>
              <w:rPr>
                <w:rFonts w:ascii="Calibri" w:hAnsi="Calibri"/>
                <w:color w:val="000000"/>
                <w:lang w:eastAsia="en-GB"/>
              </w:rPr>
            </w:pPr>
            <w:r>
              <w:rPr>
                <w:rFonts w:ascii="Calibri" w:hAnsi="Calibri"/>
                <w:color w:val="000000"/>
                <w:lang w:eastAsia="en-GB"/>
              </w:rPr>
              <w:t>471</w:t>
            </w:r>
          </w:p>
        </w:tc>
      </w:tr>
      <w:tr w:rsidR="005A5F2A" w:rsidRPr="005A5F2A" w14:paraId="6831559E"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26FEF20E" w14:textId="05B32AE3" w:rsidR="005A5F2A" w:rsidRPr="005A5F2A" w:rsidRDefault="00C01D9F" w:rsidP="00C01D9F">
            <w:pPr>
              <w:jc w:val="right"/>
              <w:rPr>
                <w:rFonts w:ascii="Calibri" w:hAnsi="Calibri"/>
                <w:color w:val="000000"/>
                <w:lang w:eastAsia="en-GB"/>
              </w:rPr>
            </w:pPr>
            <w:r>
              <w:rPr>
                <w:rFonts w:ascii="Calibri" w:hAnsi="Calibri"/>
                <w:color w:val="000000"/>
                <w:lang w:eastAsia="en-GB"/>
              </w:rPr>
              <w:t>7</w:t>
            </w:r>
            <w:r w:rsidR="005A5F2A">
              <w:rPr>
                <w:rFonts w:ascii="Calibri" w:hAnsi="Calibri"/>
                <w:color w:val="000000"/>
                <w:lang w:eastAsia="en-GB"/>
              </w:rPr>
              <w:t>,</w:t>
            </w:r>
            <w:r w:rsidR="00593838">
              <w:rPr>
                <w:rFonts w:ascii="Calibri" w:hAnsi="Calibri"/>
                <w:color w:val="000000"/>
                <w:lang w:eastAsia="en-GB"/>
              </w:rPr>
              <w:t>717</w:t>
            </w:r>
            <w:r w:rsidR="005A5F2A" w:rsidRPr="005A5F2A">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vAlign w:val="bottom"/>
            <w:hideMark/>
          </w:tcPr>
          <w:p w14:paraId="1D98C9F8" w14:textId="77777777" w:rsidR="005A5F2A" w:rsidRPr="005A5F2A" w:rsidRDefault="005A5F2A" w:rsidP="005A5F2A">
            <w:pPr>
              <w:rPr>
                <w:rFonts w:ascii="Calibri" w:hAnsi="Calibri"/>
                <w:color w:val="000000"/>
                <w:lang w:eastAsia="en-GB"/>
              </w:rPr>
            </w:pPr>
            <w:r w:rsidRPr="005A5F2A">
              <w:rPr>
                <w:rFonts w:ascii="Calibri" w:hAnsi="Calibri"/>
                <w:color w:val="000000"/>
                <w:lang w:eastAsia="en-GB"/>
              </w:rPr>
              <w:t>Housing Revenue Account</w:t>
            </w:r>
          </w:p>
        </w:tc>
        <w:tc>
          <w:tcPr>
            <w:tcW w:w="1900" w:type="dxa"/>
            <w:tcBorders>
              <w:top w:val="nil"/>
              <w:left w:val="nil"/>
              <w:bottom w:val="single" w:sz="4" w:space="0" w:color="FFFFFF"/>
              <w:right w:val="single" w:sz="4" w:space="0" w:color="FFFFFF"/>
            </w:tcBorders>
            <w:shd w:val="clear" w:color="000000" w:fill="D8E4BC"/>
            <w:noWrap/>
            <w:vAlign w:val="center"/>
          </w:tcPr>
          <w:p w14:paraId="0989027E" w14:textId="770628EA" w:rsidR="005A5F2A" w:rsidRPr="005A5F2A" w:rsidRDefault="003E3BE2" w:rsidP="005A5F2A">
            <w:pPr>
              <w:jc w:val="right"/>
              <w:rPr>
                <w:rFonts w:ascii="Calibri" w:hAnsi="Calibri"/>
                <w:color w:val="000000"/>
                <w:lang w:eastAsia="en-GB"/>
              </w:rPr>
            </w:pPr>
            <w:r>
              <w:rPr>
                <w:rFonts w:ascii="Calibri" w:hAnsi="Calibri"/>
                <w:color w:val="000000"/>
                <w:lang w:eastAsia="en-GB"/>
              </w:rPr>
              <w:t>8,064</w:t>
            </w:r>
          </w:p>
        </w:tc>
      </w:tr>
      <w:tr w:rsidR="005A5F2A" w:rsidRPr="005A5F2A" w14:paraId="42E04450"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47AE70EE" w14:textId="037A724A" w:rsidR="005A5F2A" w:rsidRPr="005A5F2A" w:rsidRDefault="00CD2B86" w:rsidP="00E640FF">
            <w:pPr>
              <w:jc w:val="right"/>
              <w:rPr>
                <w:rFonts w:ascii="Calibri" w:hAnsi="Calibri"/>
                <w:color w:val="000000"/>
                <w:lang w:eastAsia="en-GB"/>
              </w:rPr>
            </w:pPr>
            <w:r>
              <w:rPr>
                <w:rFonts w:ascii="Calibri" w:hAnsi="Calibri"/>
                <w:color w:val="000000"/>
                <w:lang w:eastAsia="en-GB"/>
              </w:rPr>
              <w:t>1</w:t>
            </w:r>
            <w:r w:rsidR="00593838">
              <w:rPr>
                <w:rFonts w:ascii="Calibri" w:hAnsi="Calibri"/>
                <w:color w:val="000000"/>
                <w:lang w:eastAsia="en-GB"/>
              </w:rPr>
              <w:t>04</w:t>
            </w:r>
            <w:r w:rsidR="005A5F2A" w:rsidRPr="005A5F2A">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vAlign w:val="bottom"/>
            <w:hideMark/>
          </w:tcPr>
          <w:p w14:paraId="0A2F2ED5" w14:textId="5B886F29" w:rsidR="005A5F2A" w:rsidRPr="005A5F2A" w:rsidRDefault="005A5F2A" w:rsidP="00FB2EEF">
            <w:pPr>
              <w:rPr>
                <w:rFonts w:ascii="Calibri" w:hAnsi="Calibri"/>
                <w:color w:val="000000"/>
                <w:lang w:eastAsia="en-GB"/>
              </w:rPr>
            </w:pPr>
            <w:r w:rsidRPr="005A5F2A">
              <w:rPr>
                <w:rFonts w:ascii="Calibri" w:hAnsi="Calibri"/>
                <w:color w:val="000000"/>
                <w:lang w:eastAsia="en-GB"/>
              </w:rPr>
              <w:t>Spe</w:t>
            </w:r>
            <w:r w:rsidR="00E2539B">
              <w:rPr>
                <w:rFonts w:ascii="Calibri" w:hAnsi="Calibri"/>
                <w:color w:val="000000"/>
                <w:lang w:eastAsia="en-GB"/>
              </w:rPr>
              <w:t>cial Expenses -</w:t>
            </w:r>
            <w:r w:rsidR="00FB2EEF">
              <w:rPr>
                <w:rFonts w:ascii="Calibri" w:hAnsi="Calibri"/>
                <w:color w:val="000000"/>
                <w:lang w:eastAsia="en-GB"/>
              </w:rPr>
              <w:t xml:space="preserve"> Place Priority</w:t>
            </w:r>
          </w:p>
        </w:tc>
        <w:tc>
          <w:tcPr>
            <w:tcW w:w="1900" w:type="dxa"/>
            <w:tcBorders>
              <w:top w:val="nil"/>
              <w:left w:val="nil"/>
              <w:bottom w:val="single" w:sz="4" w:space="0" w:color="FFFFFF"/>
              <w:right w:val="single" w:sz="4" w:space="0" w:color="FFFFFF"/>
            </w:tcBorders>
            <w:shd w:val="clear" w:color="000000" w:fill="D8E4BC"/>
            <w:noWrap/>
            <w:vAlign w:val="center"/>
          </w:tcPr>
          <w:p w14:paraId="4F246916" w14:textId="52EE3921" w:rsidR="005A5F2A" w:rsidRPr="005A5F2A" w:rsidRDefault="003E3BE2" w:rsidP="005A5F2A">
            <w:pPr>
              <w:jc w:val="right"/>
              <w:rPr>
                <w:rFonts w:ascii="Calibri" w:hAnsi="Calibri"/>
                <w:color w:val="000000"/>
                <w:lang w:eastAsia="en-GB"/>
              </w:rPr>
            </w:pPr>
            <w:r>
              <w:rPr>
                <w:rFonts w:ascii="Calibri" w:hAnsi="Calibri"/>
                <w:color w:val="000000"/>
                <w:lang w:eastAsia="en-GB"/>
              </w:rPr>
              <w:t>113</w:t>
            </w:r>
          </w:p>
        </w:tc>
      </w:tr>
      <w:tr w:rsidR="005A5F2A" w:rsidRPr="005A5F2A" w14:paraId="7403E890"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D8E4BC"/>
            <w:noWrap/>
            <w:vAlign w:val="center"/>
            <w:hideMark/>
          </w:tcPr>
          <w:p w14:paraId="30A98A4E" w14:textId="462E4001" w:rsidR="005A5F2A" w:rsidRPr="005A5F2A" w:rsidRDefault="00845765" w:rsidP="00C01D9F">
            <w:pPr>
              <w:jc w:val="right"/>
              <w:rPr>
                <w:rFonts w:ascii="Calibri" w:hAnsi="Calibri"/>
                <w:b/>
                <w:bCs/>
                <w:color w:val="000000"/>
                <w:lang w:eastAsia="en-GB"/>
              </w:rPr>
            </w:pPr>
            <w:r>
              <w:rPr>
                <w:rFonts w:ascii="Calibri" w:hAnsi="Calibri"/>
                <w:b/>
                <w:bCs/>
                <w:color w:val="000000"/>
                <w:lang w:eastAsia="en-GB"/>
              </w:rPr>
              <w:t>1</w:t>
            </w:r>
            <w:r w:rsidR="00593838">
              <w:rPr>
                <w:rFonts w:ascii="Calibri" w:hAnsi="Calibri"/>
                <w:b/>
                <w:bCs/>
                <w:color w:val="000000"/>
                <w:lang w:eastAsia="en-GB"/>
              </w:rPr>
              <w:t>3,627</w:t>
            </w:r>
            <w:r w:rsidR="005A5F2A" w:rsidRPr="005A5F2A">
              <w:rPr>
                <w:rFonts w:ascii="Calibri" w:hAnsi="Calibri"/>
                <w:b/>
                <w:bCs/>
                <w:color w:val="000000"/>
                <w:lang w:eastAsia="en-GB"/>
              </w:rPr>
              <w:t> </w:t>
            </w:r>
          </w:p>
        </w:tc>
        <w:tc>
          <w:tcPr>
            <w:tcW w:w="5400" w:type="dxa"/>
            <w:tcBorders>
              <w:top w:val="nil"/>
              <w:left w:val="nil"/>
              <w:bottom w:val="single" w:sz="4" w:space="0" w:color="FFFFFF"/>
              <w:right w:val="single" w:sz="4" w:space="0" w:color="FFFFFF"/>
            </w:tcBorders>
            <w:shd w:val="clear" w:color="000000" w:fill="D8E4BC"/>
            <w:vAlign w:val="bottom"/>
            <w:hideMark/>
          </w:tcPr>
          <w:p w14:paraId="732B929F" w14:textId="77777777" w:rsidR="005A5F2A" w:rsidRPr="005A5F2A" w:rsidRDefault="005A5F2A" w:rsidP="005A5F2A">
            <w:pPr>
              <w:rPr>
                <w:rFonts w:ascii="Calibri" w:hAnsi="Calibri"/>
                <w:b/>
                <w:bCs/>
                <w:color w:val="000000"/>
                <w:lang w:eastAsia="en-GB"/>
              </w:rPr>
            </w:pPr>
            <w:r w:rsidRPr="005A5F2A">
              <w:rPr>
                <w:rFonts w:ascii="Calibri" w:hAnsi="Calibri"/>
                <w:b/>
                <w:bCs/>
                <w:color w:val="000000"/>
                <w:lang w:eastAsia="en-GB"/>
              </w:rPr>
              <w:t>Total Income Analysed on a Segmental Basis</w:t>
            </w:r>
          </w:p>
        </w:tc>
        <w:tc>
          <w:tcPr>
            <w:tcW w:w="1900" w:type="dxa"/>
            <w:tcBorders>
              <w:top w:val="nil"/>
              <w:left w:val="nil"/>
              <w:bottom w:val="single" w:sz="4" w:space="0" w:color="FFFFFF"/>
              <w:right w:val="single" w:sz="4" w:space="0" w:color="FFFFFF"/>
            </w:tcBorders>
            <w:shd w:val="clear" w:color="000000" w:fill="D8E4BC"/>
            <w:noWrap/>
            <w:vAlign w:val="center"/>
          </w:tcPr>
          <w:p w14:paraId="69A4D81E" w14:textId="342EB23C" w:rsidR="005A5F2A" w:rsidRPr="005A5F2A" w:rsidRDefault="003E3BE2" w:rsidP="002B3BAF">
            <w:pPr>
              <w:jc w:val="right"/>
              <w:rPr>
                <w:rFonts w:ascii="Calibri" w:hAnsi="Calibri"/>
                <w:b/>
                <w:bCs/>
                <w:color w:val="000000"/>
                <w:lang w:eastAsia="en-GB"/>
              </w:rPr>
            </w:pPr>
            <w:r>
              <w:rPr>
                <w:rFonts w:ascii="Calibri" w:hAnsi="Calibri"/>
                <w:b/>
                <w:bCs/>
                <w:color w:val="000000"/>
                <w:lang w:eastAsia="en-GB"/>
              </w:rPr>
              <w:t>11,608</w:t>
            </w:r>
          </w:p>
        </w:tc>
      </w:tr>
    </w:tbl>
    <w:p w14:paraId="54FDCB35" w14:textId="77777777" w:rsidR="00652B18" w:rsidRDefault="00652B18" w:rsidP="0051603A">
      <w:pPr>
        <w:widowControl w:val="0"/>
        <w:tabs>
          <w:tab w:val="left" w:pos="0"/>
          <w:tab w:val="left" w:pos="709"/>
          <w:tab w:val="left" w:pos="2592"/>
          <w:tab w:val="left" w:pos="6768"/>
          <w:tab w:val="left" w:pos="8640"/>
        </w:tabs>
        <w:ind w:right="-57"/>
        <w:rPr>
          <w:rFonts w:asciiTheme="minorHAnsi" w:hAnsiTheme="minorHAnsi" w:cs="Arial"/>
          <w:b/>
          <w:sz w:val="22"/>
          <w:szCs w:val="22"/>
        </w:rPr>
      </w:pPr>
    </w:p>
    <w:p w14:paraId="27698380" w14:textId="77777777" w:rsidR="00796A43" w:rsidRDefault="00796A43" w:rsidP="00704A70">
      <w:pPr>
        <w:pStyle w:val="Heading2"/>
      </w:pPr>
      <w:r>
        <w:t>4</w:t>
      </w:r>
      <w:r>
        <w:tab/>
        <w:t>Expenditure and Income Analysed by Nature</w:t>
      </w:r>
    </w:p>
    <w:p w14:paraId="15E697C6" w14:textId="77777777" w:rsidR="00796A43" w:rsidRPr="00796A43" w:rsidRDefault="00796A43" w:rsidP="0051603A">
      <w:pPr>
        <w:widowControl w:val="0"/>
        <w:tabs>
          <w:tab w:val="left" w:pos="0"/>
          <w:tab w:val="left" w:pos="709"/>
          <w:tab w:val="left" w:pos="2592"/>
          <w:tab w:val="left" w:pos="6768"/>
          <w:tab w:val="left" w:pos="8640"/>
        </w:tabs>
        <w:ind w:right="-57"/>
        <w:rPr>
          <w:rFonts w:asciiTheme="minorHAnsi" w:hAnsiTheme="minorHAnsi" w:cs="Arial"/>
          <w:b/>
          <w:sz w:val="22"/>
          <w:szCs w:val="22"/>
        </w:rPr>
      </w:pPr>
    </w:p>
    <w:p w14:paraId="4A594B57" w14:textId="77777777" w:rsidR="00796A43" w:rsidRDefault="00796A43" w:rsidP="0051603A">
      <w:pPr>
        <w:widowControl w:val="0"/>
        <w:tabs>
          <w:tab w:val="left" w:pos="0"/>
          <w:tab w:val="left" w:pos="709"/>
          <w:tab w:val="left" w:pos="2592"/>
          <w:tab w:val="left" w:pos="6768"/>
          <w:tab w:val="left" w:pos="8640"/>
        </w:tabs>
        <w:ind w:right="-57"/>
        <w:rPr>
          <w:rFonts w:asciiTheme="minorHAnsi" w:hAnsiTheme="minorHAnsi" w:cs="Arial"/>
          <w:sz w:val="22"/>
          <w:szCs w:val="22"/>
        </w:rPr>
      </w:pPr>
      <w:r>
        <w:rPr>
          <w:rFonts w:asciiTheme="minorHAnsi" w:hAnsiTheme="minorHAnsi" w:cs="Arial"/>
          <w:sz w:val="22"/>
          <w:szCs w:val="22"/>
        </w:rPr>
        <w:t>The Council’s expenditure and income is analysed as follows:</w:t>
      </w:r>
    </w:p>
    <w:tbl>
      <w:tblPr>
        <w:tblW w:w="9260" w:type="dxa"/>
        <w:tblInd w:w="93" w:type="dxa"/>
        <w:tblLook w:val="04A0" w:firstRow="1" w:lastRow="0" w:firstColumn="1" w:lastColumn="0" w:noHBand="0" w:noVBand="1"/>
        <w:tblCaption w:val="Expenditure and Income Analysed by Nature"/>
        <w:tblDescription w:val="The Council's expenditure and income for 2022-2023 with 2021-2022 comparatives"/>
      </w:tblPr>
      <w:tblGrid>
        <w:gridCol w:w="1960"/>
        <w:gridCol w:w="5400"/>
        <w:gridCol w:w="1900"/>
      </w:tblGrid>
      <w:tr w:rsidR="001726F4" w:rsidRPr="001726F4" w14:paraId="54AAF6FF" w14:textId="77777777" w:rsidTr="00F367A2">
        <w:trPr>
          <w:cantSplit/>
          <w:trHeight w:val="255"/>
          <w:tblHeader/>
        </w:trPr>
        <w:tc>
          <w:tcPr>
            <w:tcW w:w="1960" w:type="dxa"/>
            <w:tcBorders>
              <w:top w:val="single" w:sz="4" w:space="0" w:color="FFFFFF"/>
              <w:left w:val="single" w:sz="4" w:space="0" w:color="FFFFFF"/>
              <w:bottom w:val="single" w:sz="4" w:space="0" w:color="FFFFFF"/>
              <w:right w:val="single" w:sz="4" w:space="0" w:color="FFFFFF"/>
            </w:tcBorders>
            <w:shd w:val="clear" w:color="000000" w:fill="C4D79B"/>
            <w:noWrap/>
            <w:vAlign w:val="bottom"/>
            <w:hideMark/>
          </w:tcPr>
          <w:p w14:paraId="5EAC1C39" w14:textId="2D671C0C" w:rsidR="001726F4" w:rsidRPr="001726F4" w:rsidRDefault="001726F4" w:rsidP="006C630A">
            <w:pPr>
              <w:jc w:val="right"/>
              <w:rPr>
                <w:rFonts w:ascii="Calibri" w:hAnsi="Calibri"/>
                <w:color w:val="000000"/>
                <w:lang w:eastAsia="en-GB"/>
              </w:rPr>
            </w:pPr>
            <w:r w:rsidRPr="001726F4">
              <w:rPr>
                <w:rFonts w:ascii="Calibri" w:hAnsi="Calibri"/>
                <w:color w:val="000000"/>
                <w:lang w:eastAsia="en-GB"/>
              </w:rPr>
              <w:t>20</w:t>
            </w:r>
            <w:r w:rsidR="002C2D15">
              <w:rPr>
                <w:rFonts w:ascii="Calibri" w:hAnsi="Calibri"/>
                <w:color w:val="000000"/>
                <w:lang w:eastAsia="en-GB"/>
              </w:rPr>
              <w:t>2</w:t>
            </w:r>
            <w:r w:rsidR="00593838">
              <w:rPr>
                <w:rFonts w:ascii="Calibri" w:hAnsi="Calibri"/>
                <w:color w:val="000000"/>
                <w:lang w:eastAsia="en-GB"/>
              </w:rPr>
              <w:t>1</w:t>
            </w:r>
            <w:r w:rsidRPr="001726F4">
              <w:rPr>
                <w:rFonts w:ascii="Calibri" w:hAnsi="Calibri"/>
                <w:color w:val="000000"/>
                <w:lang w:eastAsia="en-GB"/>
              </w:rPr>
              <w:t>-</w:t>
            </w:r>
            <w:r w:rsidR="006C630A">
              <w:rPr>
                <w:rFonts w:ascii="Calibri" w:hAnsi="Calibri"/>
                <w:color w:val="000000"/>
                <w:lang w:eastAsia="en-GB"/>
              </w:rPr>
              <w:t>2</w:t>
            </w:r>
            <w:r w:rsidR="00593838">
              <w:rPr>
                <w:rFonts w:ascii="Calibri" w:hAnsi="Calibri"/>
                <w:color w:val="000000"/>
                <w:lang w:eastAsia="en-GB"/>
              </w:rPr>
              <w:t>2</w:t>
            </w:r>
          </w:p>
        </w:tc>
        <w:tc>
          <w:tcPr>
            <w:tcW w:w="5400" w:type="dxa"/>
            <w:tcBorders>
              <w:top w:val="nil"/>
              <w:left w:val="nil"/>
              <w:bottom w:val="nil"/>
              <w:right w:val="nil"/>
            </w:tcBorders>
            <w:shd w:val="clear" w:color="000000" w:fill="C4D79B"/>
            <w:noWrap/>
            <w:vAlign w:val="bottom"/>
            <w:hideMark/>
          </w:tcPr>
          <w:p w14:paraId="0BC3ABD3"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 </w:t>
            </w:r>
          </w:p>
        </w:tc>
        <w:tc>
          <w:tcPr>
            <w:tcW w:w="1900" w:type="dxa"/>
            <w:tcBorders>
              <w:top w:val="single" w:sz="4" w:space="0" w:color="FFFFFF"/>
              <w:left w:val="single" w:sz="4" w:space="0" w:color="FFFFFF"/>
              <w:bottom w:val="single" w:sz="4" w:space="0" w:color="FFFFFF"/>
              <w:right w:val="single" w:sz="4" w:space="0" w:color="FFFFFF"/>
            </w:tcBorders>
            <w:shd w:val="clear" w:color="000000" w:fill="C4D79B"/>
            <w:noWrap/>
            <w:vAlign w:val="bottom"/>
            <w:hideMark/>
          </w:tcPr>
          <w:p w14:paraId="6CA36D74" w14:textId="75D12B46" w:rsidR="001726F4" w:rsidRPr="001726F4" w:rsidRDefault="001726F4" w:rsidP="006C630A">
            <w:pPr>
              <w:jc w:val="right"/>
              <w:rPr>
                <w:rFonts w:ascii="Calibri" w:hAnsi="Calibri"/>
                <w:color w:val="000000"/>
                <w:lang w:eastAsia="en-GB"/>
              </w:rPr>
            </w:pPr>
            <w:r w:rsidRPr="001726F4">
              <w:rPr>
                <w:rFonts w:ascii="Calibri" w:hAnsi="Calibri"/>
                <w:color w:val="000000"/>
                <w:lang w:eastAsia="en-GB"/>
              </w:rPr>
              <w:t>20</w:t>
            </w:r>
            <w:r w:rsidR="006C630A">
              <w:rPr>
                <w:rFonts w:ascii="Calibri" w:hAnsi="Calibri"/>
                <w:color w:val="000000"/>
                <w:lang w:eastAsia="en-GB"/>
              </w:rPr>
              <w:t>2</w:t>
            </w:r>
            <w:r w:rsidR="00593838">
              <w:rPr>
                <w:rFonts w:ascii="Calibri" w:hAnsi="Calibri"/>
                <w:color w:val="000000"/>
                <w:lang w:eastAsia="en-GB"/>
              </w:rPr>
              <w:t>2</w:t>
            </w:r>
            <w:r w:rsidRPr="001726F4">
              <w:rPr>
                <w:rFonts w:ascii="Calibri" w:hAnsi="Calibri"/>
                <w:color w:val="000000"/>
                <w:lang w:eastAsia="en-GB"/>
              </w:rPr>
              <w:t>-</w:t>
            </w:r>
            <w:r w:rsidR="00FB2EEF">
              <w:rPr>
                <w:rFonts w:ascii="Calibri" w:hAnsi="Calibri"/>
                <w:color w:val="000000"/>
                <w:lang w:eastAsia="en-GB"/>
              </w:rPr>
              <w:t>2</w:t>
            </w:r>
            <w:r w:rsidR="00593838">
              <w:rPr>
                <w:rFonts w:ascii="Calibri" w:hAnsi="Calibri"/>
                <w:color w:val="000000"/>
                <w:lang w:eastAsia="en-GB"/>
              </w:rPr>
              <w:t>3</w:t>
            </w:r>
          </w:p>
        </w:tc>
      </w:tr>
      <w:tr w:rsidR="001726F4" w:rsidRPr="001726F4" w14:paraId="64E76E57" w14:textId="77777777" w:rsidTr="001726F4">
        <w:trPr>
          <w:trHeight w:val="255"/>
        </w:trPr>
        <w:tc>
          <w:tcPr>
            <w:tcW w:w="1960" w:type="dxa"/>
            <w:tcBorders>
              <w:top w:val="nil"/>
              <w:left w:val="single" w:sz="4" w:space="0" w:color="FFFFFF"/>
              <w:bottom w:val="single" w:sz="4" w:space="0" w:color="FFFFFF"/>
              <w:right w:val="single" w:sz="4" w:space="0" w:color="FFFFFF"/>
            </w:tcBorders>
            <w:shd w:val="clear" w:color="000000" w:fill="C4D79B"/>
            <w:noWrap/>
            <w:vAlign w:val="bottom"/>
            <w:hideMark/>
          </w:tcPr>
          <w:p w14:paraId="3DD27838" w14:textId="77777777" w:rsidR="001726F4" w:rsidRPr="001726F4" w:rsidRDefault="001726F4" w:rsidP="001726F4">
            <w:pPr>
              <w:jc w:val="right"/>
              <w:rPr>
                <w:rFonts w:ascii="Calibri" w:hAnsi="Calibri"/>
                <w:color w:val="000000"/>
                <w:lang w:eastAsia="en-GB"/>
              </w:rPr>
            </w:pPr>
            <w:r w:rsidRPr="001726F4">
              <w:rPr>
                <w:rFonts w:ascii="Calibri" w:hAnsi="Calibri"/>
                <w:color w:val="000000"/>
                <w:lang w:eastAsia="en-GB"/>
              </w:rPr>
              <w:t>£'000</w:t>
            </w:r>
          </w:p>
        </w:tc>
        <w:tc>
          <w:tcPr>
            <w:tcW w:w="5400" w:type="dxa"/>
            <w:tcBorders>
              <w:top w:val="nil"/>
              <w:left w:val="nil"/>
              <w:bottom w:val="single" w:sz="4" w:space="0" w:color="FFFFFF"/>
              <w:right w:val="nil"/>
            </w:tcBorders>
            <w:shd w:val="clear" w:color="000000" w:fill="C4D79B"/>
            <w:noWrap/>
            <w:vAlign w:val="bottom"/>
            <w:hideMark/>
          </w:tcPr>
          <w:p w14:paraId="4E5ABF2E"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 </w:t>
            </w:r>
          </w:p>
        </w:tc>
        <w:tc>
          <w:tcPr>
            <w:tcW w:w="1900" w:type="dxa"/>
            <w:tcBorders>
              <w:top w:val="nil"/>
              <w:left w:val="single" w:sz="4" w:space="0" w:color="FFFFFF"/>
              <w:bottom w:val="single" w:sz="4" w:space="0" w:color="FFFFFF"/>
              <w:right w:val="single" w:sz="4" w:space="0" w:color="FFFFFF"/>
            </w:tcBorders>
            <w:shd w:val="clear" w:color="000000" w:fill="C4D79B"/>
            <w:noWrap/>
            <w:vAlign w:val="bottom"/>
            <w:hideMark/>
          </w:tcPr>
          <w:p w14:paraId="0A652274" w14:textId="77777777" w:rsidR="001726F4" w:rsidRPr="001726F4" w:rsidRDefault="001726F4" w:rsidP="001726F4">
            <w:pPr>
              <w:jc w:val="right"/>
              <w:rPr>
                <w:rFonts w:ascii="Calibri" w:hAnsi="Calibri"/>
                <w:color w:val="000000"/>
                <w:lang w:eastAsia="en-GB"/>
              </w:rPr>
            </w:pPr>
            <w:r w:rsidRPr="001726F4">
              <w:rPr>
                <w:rFonts w:ascii="Calibri" w:hAnsi="Calibri"/>
                <w:color w:val="000000"/>
                <w:lang w:eastAsia="en-GB"/>
              </w:rPr>
              <w:t>£'000</w:t>
            </w:r>
          </w:p>
        </w:tc>
      </w:tr>
      <w:tr w:rsidR="001726F4" w:rsidRPr="001726F4" w14:paraId="4140B37E" w14:textId="77777777" w:rsidTr="00FB2EEF">
        <w:trPr>
          <w:trHeight w:val="255"/>
        </w:trPr>
        <w:tc>
          <w:tcPr>
            <w:tcW w:w="1960" w:type="dxa"/>
            <w:tcBorders>
              <w:top w:val="nil"/>
              <w:left w:val="nil"/>
              <w:bottom w:val="nil"/>
              <w:right w:val="nil"/>
            </w:tcBorders>
            <w:shd w:val="clear" w:color="000000" w:fill="EBF1DE"/>
            <w:noWrap/>
            <w:vAlign w:val="bottom"/>
            <w:hideMark/>
          </w:tcPr>
          <w:p w14:paraId="1D80F445" w14:textId="77777777" w:rsidR="001726F4" w:rsidRPr="001726F4" w:rsidRDefault="001726F4" w:rsidP="001726F4">
            <w:pPr>
              <w:rPr>
                <w:rFonts w:ascii="Calibri" w:hAnsi="Calibri"/>
                <w:b/>
                <w:bCs/>
                <w:color w:val="000000"/>
                <w:lang w:eastAsia="en-GB"/>
              </w:rPr>
            </w:pPr>
            <w:r w:rsidRPr="001726F4">
              <w:rPr>
                <w:rFonts w:ascii="Calibri" w:hAnsi="Calibri"/>
                <w:b/>
                <w:bCs/>
                <w:color w:val="000000"/>
                <w:lang w:eastAsia="en-GB"/>
              </w:rPr>
              <w:t> </w:t>
            </w:r>
          </w:p>
        </w:tc>
        <w:tc>
          <w:tcPr>
            <w:tcW w:w="5400" w:type="dxa"/>
            <w:tcBorders>
              <w:top w:val="nil"/>
              <w:left w:val="nil"/>
              <w:bottom w:val="nil"/>
              <w:right w:val="nil"/>
            </w:tcBorders>
            <w:shd w:val="clear" w:color="000000" w:fill="EBF1DE"/>
            <w:noWrap/>
            <w:vAlign w:val="bottom"/>
            <w:hideMark/>
          </w:tcPr>
          <w:p w14:paraId="7727CDC9" w14:textId="77777777" w:rsidR="001726F4" w:rsidRPr="001726F4" w:rsidRDefault="001726F4" w:rsidP="001726F4">
            <w:pPr>
              <w:rPr>
                <w:rFonts w:ascii="Calibri" w:hAnsi="Calibri"/>
                <w:b/>
                <w:bCs/>
                <w:color w:val="000000"/>
                <w:lang w:eastAsia="en-GB"/>
              </w:rPr>
            </w:pPr>
            <w:r w:rsidRPr="001726F4">
              <w:rPr>
                <w:rFonts w:ascii="Calibri" w:hAnsi="Calibri"/>
                <w:b/>
                <w:bCs/>
                <w:color w:val="000000"/>
                <w:lang w:eastAsia="en-GB"/>
              </w:rPr>
              <w:t>Expenditure</w:t>
            </w:r>
          </w:p>
        </w:tc>
        <w:tc>
          <w:tcPr>
            <w:tcW w:w="1900" w:type="dxa"/>
            <w:tcBorders>
              <w:top w:val="nil"/>
              <w:left w:val="nil"/>
              <w:bottom w:val="nil"/>
              <w:right w:val="nil"/>
            </w:tcBorders>
            <w:shd w:val="clear" w:color="000000" w:fill="D8E4BC"/>
            <w:noWrap/>
            <w:vAlign w:val="bottom"/>
          </w:tcPr>
          <w:p w14:paraId="4D0E863D" w14:textId="46692D31" w:rsidR="001726F4" w:rsidRPr="001726F4" w:rsidRDefault="001726F4" w:rsidP="001726F4">
            <w:pPr>
              <w:rPr>
                <w:rFonts w:ascii="Calibri" w:hAnsi="Calibri"/>
                <w:b/>
                <w:bCs/>
                <w:color w:val="000000"/>
                <w:lang w:eastAsia="en-GB"/>
              </w:rPr>
            </w:pPr>
          </w:p>
        </w:tc>
      </w:tr>
      <w:tr w:rsidR="001726F4" w:rsidRPr="001726F4" w14:paraId="0228DB9A" w14:textId="77777777" w:rsidTr="00845765">
        <w:trPr>
          <w:trHeight w:val="255"/>
        </w:trPr>
        <w:tc>
          <w:tcPr>
            <w:tcW w:w="1960" w:type="dxa"/>
            <w:tcBorders>
              <w:top w:val="single" w:sz="4" w:space="0" w:color="FFFFFF"/>
              <w:left w:val="single" w:sz="4" w:space="0" w:color="FFFFFF"/>
              <w:bottom w:val="single" w:sz="4" w:space="0" w:color="FFFFFF"/>
              <w:right w:val="single" w:sz="4" w:space="0" w:color="FFFFFF"/>
            </w:tcBorders>
            <w:shd w:val="clear" w:color="000000" w:fill="EBF1DE"/>
            <w:noWrap/>
            <w:vAlign w:val="center"/>
            <w:hideMark/>
          </w:tcPr>
          <w:p w14:paraId="6A32C0BD" w14:textId="530032D1" w:rsidR="001726F4" w:rsidRPr="001726F4" w:rsidRDefault="00593838" w:rsidP="006C630A">
            <w:pPr>
              <w:jc w:val="right"/>
              <w:rPr>
                <w:rFonts w:ascii="Calibri" w:hAnsi="Calibri"/>
                <w:color w:val="000000"/>
                <w:lang w:eastAsia="en-GB"/>
              </w:rPr>
            </w:pPr>
            <w:r>
              <w:rPr>
                <w:rFonts w:ascii="Calibri" w:hAnsi="Calibri"/>
                <w:color w:val="000000"/>
                <w:lang w:eastAsia="en-GB"/>
              </w:rPr>
              <w:t>9</w:t>
            </w:r>
            <w:r w:rsidR="00845765">
              <w:rPr>
                <w:rFonts w:ascii="Calibri" w:hAnsi="Calibri"/>
                <w:color w:val="000000"/>
                <w:lang w:eastAsia="en-GB"/>
              </w:rPr>
              <w:t>,</w:t>
            </w:r>
            <w:r>
              <w:rPr>
                <w:rFonts w:ascii="Calibri" w:hAnsi="Calibri"/>
                <w:color w:val="000000"/>
                <w:lang w:eastAsia="en-GB"/>
              </w:rPr>
              <w:t>996</w:t>
            </w:r>
            <w:r w:rsidR="001726F4" w:rsidRPr="001726F4">
              <w:rPr>
                <w:rFonts w:ascii="Calibri" w:hAnsi="Calibri"/>
                <w:color w:val="000000"/>
                <w:lang w:eastAsia="en-GB"/>
              </w:rPr>
              <w:t> </w:t>
            </w:r>
          </w:p>
        </w:tc>
        <w:tc>
          <w:tcPr>
            <w:tcW w:w="5400" w:type="dxa"/>
            <w:tcBorders>
              <w:top w:val="single" w:sz="4" w:space="0" w:color="FFFFFF"/>
              <w:left w:val="nil"/>
              <w:bottom w:val="single" w:sz="4" w:space="0" w:color="FFFFFF"/>
              <w:right w:val="single" w:sz="4" w:space="0" w:color="FFFFFF"/>
            </w:tcBorders>
            <w:shd w:val="clear" w:color="000000" w:fill="EBF1DE"/>
            <w:noWrap/>
            <w:vAlign w:val="bottom"/>
            <w:hideMark/>
          </w:tcPr>
          <w:p w14:paraId="3818F5F1"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Employee Benefit Expenses</w:t>
            </w:r>
          </w:p>
        </w:tc>
        <w:tc>
          <w:tcPr>
            <w:tcW w:w="1900" w:type="dxa"/>
            <w:tcBorders>
              <w:top w:val="single" w:sz="4" w:space="0" w:color="FFFFFF"/>
              <w:left w:val="nil"/>
              <w:bottom w:val="single" w:sz="4" w:space="0" w:color="FFFFFF"/>
              <w:right w:val="single" w:sz="4" w:space="0" w:color="FFFFFF"/>
            </w:tcBorders>
            <w:shd w:val="clear" w:color="000000" w:fill="D8E4BC"/>
            <w:noWrap/>
            <w:vAlign w:val="center"/>
          </w:tcPr>
          <w:p w14:paraId="309FEBE1" w14:textId="4C47A8B4" w:rsidR="001726F4" w:rsidRPr="001726F4" w:rsidRDefault="003E3BE2" w:rsidP="004B2D39">
            <w:pPr>
              <w:jc w:val="right"/>
              <w:rPr>
                <w:rFonts w:ascii="Calibri" w:hAnsi="Calibri"/>
                <w:color w:val="000000"/>
                <w:lang w:eastAsia="en-GB"/>
              </w:rPr>
            </w:pPr>
            <w:r>
              <w:rPr>
                <w:rFonts w:ascii="Calibri" w:hAnsi="Calibri"/>
                <w:color w:val="000000"/>
                <w:lang w:eastAsia="en-GB"/>
              </w:rPr>
              <w:t>10,126</w:t>
            </w:r>
          </w:p>
        </w:tc>
      </w:tr>
      <w:tr w:rsidR="001726F4" w:rsidRPr="001726F4" w14:paraId="5C932C81"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747D53A5" w14:textId="139D9FEC" w:rsidR="001726F4" w:rsidRPr="001726F4" w:rsidRDefault="00953374" w:rsidP="00C01D9F">
            <w:pPr>
              <w:jc w:val="right"/>
              <w:rPr>
                <w:rFonts w:ascii="Calibri" w:hAnsi="Calibri"/>
                <w:color w:val="000000"/>
                <w:lang w:eastAsia="en-GB"/>
              </w:rPr>
            </w:pPr>
            <w:r>
              <w:rPr>
                <w:rFonts w:ascii="Calibri" w:hAnsi="Calibri"/>
                <w:color w:val="000000"/>
                <w:lang w:eastAsia="en-GB"/>
              </w:rPr>
              <w:t>1</w:t>
            </w:r>
            <w:r w:rsidR="00593838">
              <w:rPr>
                <w:rFonts w:ascii="Calibri" w:hAnsi="Calibri"/>
                <w:color w:val="000000"/>
                <w:lang w:eastAsia="en-GB"/>
              </w:rPr>
              <w:t>6,223</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06FEE3B3"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Other Service Expen</w:t>
            </w:r>
            <w:r>
              <w:rPr>
                <w:rFonts w:ascii="Calibri" w:hAnsi="Calibri"/>
                <w:color w:val="000000"/>
                <w:lang w:eastAsia="en-GB"/>
              </w:rPr>
              <w:t>s</w:t>
            </w:r>
            <w:r w:rsidRPr="001726F4">
              <w:rPr>
                <w:rFonts w:ascii="Calibri" w:hAnsi="Calibri"/>
                <w:color w:val="000000"/>
                <w:lang w:eastAsia="en-GB"/>
              </w:rPr>
              <w:t>es</w:t>
            </w:r>
          </w:p>
        </w:tc>
        <w:tc>
          <w:tcPr>
            <w:tcW w:w="1900" w:type="dxa"/>
            <w:tcBorders>
              <w:top w:val="nil"/>
              <w:left w:val="nil"/>
              <w:bottom w:val="single" w:sz="4" w:space="0" w:color="FFFFFF"/>
              <w:right w:val="single" w:sz="4" w:space="0" w:color="FFFFFF"/>
            </w:tcBorders>
            <w:shd w:val="clear" w:color="000000" w:fill="D8E4BC"/>
            <w:noWrap/>
            <w:vAlign w:val="center"/>
          </w:tcPr>
          <w:p w14:paraId="7B71ECB7" w14:textId="36472EFA" w:rsidR="001726F4" w:rsidRPr="001726F4" w:rsidRDefault="003E3BE2" w:rsidP="00EA3C9B">
            <w:pPr>
              <w:jc w:val="right"/>
              <w:rPr>
                <w:rFonts w:ascii="Calibri" w:hAnsi="Calibri"/>
                <w:color w:val="000000"/>
                <w:lang w:eastAsia="en-GB"/>
              </w:rPr>
            </w:pPr>
            <w:r>
              <w:rPr>
                <w:rFonts w:ascii="Calibri" w:hAnsi="Calibri"/>
                <w:color w:val="000000"/>
                <w:lang w:eastAsia="en-GB"/>
              </w:rPr>
              <w:t>15,383</w:t>
            </w:r>
          </w:p>
        </w:tc>
      </w:tr>
      <w:tr w:rsidR="001726F4" w:rsidRPr="001726F4" w14:paraId="17DA76CC"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151F2CCE" w14:textId="73D4BAFC" w:rsidR="001726F4" w:rsidRPr="001726F4" w:rsidRDefault="006C630A" w:rsidP="00C01D9F">
            <w:pPr>
              <w:jc w:val="right"/>
              <w:rPr>
                <w:rFonts w:ascii="Calibri" w:hAnsi="Calibri"/>
                <w:color w:val="000000"/>
                <w:lang w:eastAsia="en-GB"/>
              </w:rPr>
            </w:pPr>
            <w:r>
              <w:rPr>
                <w:rFonts w:ascii="Calibri" w:hAnsi="Calibri"/>
                <w:color w:val="000000"/>
                <w:lang w:eastAsia="en-GB"/>
              </w:rPr>
              <w:t>2,</w:t>
            </w:r>
            <w:r w:rsidR="00593838">
              <w:rPr>
                <w:rFonts w:ascii="Calibri" w:hAnsi="Calibri"/>
                <w:color w:val="000000"/>
                <w:lang w:eastAsia="en-GB"/>
              </w:rPr>
              <w:t>042</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68068970" w14:textId="3F114B15" w:rsidR="001726F4" w:rsidRPr="001726F4" w:rsidRDefault="001726F4" w:rsidP="001726F4">
            <w:pPr>
              <w:rPr>
                <w:rFonts w:ascii="Calibri" w:hAnsi="Calibri"/>
                <w:color w:val="000000"/>
                <w:lang w:eastAsia="en-GB"/>
              </w:rPr>
            </w:pPr>
            <w:r w:rsidRPr="001726F4">
              <w:rPr>
                <w:rFonts w:ascii="Calibri" w:hAnsi="Calibri"/>
                <w:color w:val="000000"/>
                <w:lang w:eastAsia="en-GB"/>
              </w:rPr>
              <w:t>Depreciation, Amorti</w:t>
            </w:r>
            <w:r w:rsidR="00953374">
              <w:rPr>
                <w:rFonts w:ascii="Calibri" w:hAnsi="Calibri"/>
                <w:color w:val="000000"/>
                <w:lang w:eastAsia="en-GB"/>
              </w:rPr>
              <w:t>sation</w:t>
            </w:r>
            <w:r w:rsidR="00F144EC">
              <w:rPr>
                <w:rFonts w:ascii="Calibri" w:hAnsi="Calibri"/>
                <w:color w:val="000000"/>
                <w:lang w:eastAsia="en-GB"/>
              </w:rPr>
              <w:t>, Revaluation</w:t>
            </w:r>
            <w:r w:rsidR="00953374">
              <w:rPr>
                <w:rFonts w:ascii="Calibri" w:hAnsi="Calibri"/>
                <w:color w:val="000000"/>
                <w:lang w:eastAsia="en-GB"/>
              </w:rPr>
              <w:t xml:space="preserve"> </w:t>
            </w:r>
            <w:r w:rsidR="00704A70">
              <w:rPr>
                <w:rFonts w:ascii="Calibri" w:hAnsi="Calibri"/>
                <w:color w:val="000000"/>
                <w:lang w:eastAsia="en-GB"/>
              </w:rPr>
              <w:t>and</w:t>
            </w:r>
            <w:r w:rsidR="00953374">
              <w:rPr>
                <w:rFonts w:ascii="Calibri" w:hAnsi="Calibri"/>
                <w:color w:val="000000"/>
                <w:lang w:eastAsia="en-GB"/>
              </w:rPr>
              <w:t xml:space="preserve"> Impairment</w:t>
            </w:r>
          </w:p>
        </w:tc>
        <w:tc>
          <w:tcPr>
            <w:tcW w:w="1900" w:type="dxa"/>
            <w:tcBorders>
              <w:top w:val="nil"/>
              <w:left w:val="nil"/>
              <w:bottom w:val="single" w:sz="4" w:space="0" w:color="FFFFFF"/>
              <w:right w:val="single" w:sz="4" w:space="0" w:color="FFFFFF"/>
            </w:tcBorders>
            <w:shd w:val="clear" w:color="000000" w:fill="D8E4BC"/>
            <w:noWrap/>
            <w:vAlign w:val="center"/>
          </w:tcPr>
          <w:p w14:paraId="5DD38D24" w14:textId="3F2CDD71" w:rsidR="001726F4" w:rsidRPr="001726F4" w:rsidRDefault="003E3BE2" w:rsidP="00F144EC">
            <w:pPr>
              <w:jc w:val="right"/>
              <w:rPr>
                <w:rFonts w:ascii="Calibri" w:hAnsi="Calibri"/>
                <w:color w:val="000000"/>
                <w:lang w:eastAsia="en-GB"/>
              </w:rPr>
            </w:pPr>
            <w:r>
              <w:rPr>
                <w:rFonts w:ascii="Calibri" w:hAnsi="Calibri"/>
                <w:color w:val="000000"/>
                <w:lang w:eastAsia="en-GB"/>
              </w:rPr>
              <w:t>2,660</w:t>
            </w:r>
          </w:p>
        </w:tc>
      </w:tr>
      <w:tr w:rsidR="001726F4" w:rsidRPr="001726F4" w14:paraId="17632419"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330C25FC" w14:textId="77777777" w:rsidR="001726F4" w:rsidRPr="001726F4" w:rsidRDefault="001726F4" w:rsidP="00360D97">
            <w:pPr>
              <w:jc w:val="right"/>
              <w:rPr>
                <w:rFonts w:ascii="Calibri" w:hAnsi="Calibri"/>
                <w:color w:val="000000"/>
                <w:lang w:eastAsia="en-GB"/>
              </w:rPr>
            </w:pPr>
            <w:r>
              <w:rPr>
                <w:rFonts w:ascii="Calibri" w:hAnsi="Calibri"/>
                <w:color w:val="000000"/>
                <w:lang w:eastAsia="en-GB"/>
              </w:rPr>
              <w:t>1,16</w:t>
            </w:r>
            <w:r w:rsidR="00845765">
              <w:rPr>
                <w:rFonts w:ascii="Calibri" w:hAnsi="Calibri"/>
                <w:color w:val="000000"/>
                <w:lang w:eastAsia="en-GB"/>
              </w:rPr>
              <w:t>8</w:t>
            </w:r>
            <w:r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7419FF06"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Interest Payments</w:t>
            </w:r>
          </w:p>
        </w:tc>
        <w:tc>
          <w:tcPr>
            <w:tcW w:w="1900" w:type="dxa"/>
            <w:tcBorders>
              <w:top w:val="nil"/>
              <w:left w:val="nil"/>
              <w:bottom w:val="single" w:sz="4" w:space="0" w:color="FFFFFF"/>
              <w:right w:val="single" w:sz="4" w:space="0" w:color="FFFFFF"/>
            </w:tcBorders>
            <w:shd w:val="clear" w:color="000000" w:fill="D8E4BC"/>
            <w:noWrap/>
            <w:vAlign w:val="center"/>
          </w:tcPr>
          <w:p w14:paraId="24597827" w14:textId="311DA961" w:rsidR="001726F4" w:rsidRPr="001726F4" w:rsidRDefault="003E3BE2" w:rsidP="001726F4">
            <w:pPr>
              <w:jc w:val="right"/>
              <w:rPr>
                <w:rFonts w:ascii="Calibri" w:hAnsi="Calibri"/>
                <w:color w:val="000000"/>
                <w:lang w:eastAsia="en-GB"/>
              </w:rPr>
            </w:pPr>
            <w:r>
              <w:rPr>
                <w:rFonts w:ascii="Calibri" w:hAnsi="Calibri"/>
                <w:color w:val="000000"/>
                <w:lang w:eastAsia="en-GB"/>
              </w:rPr>
              <w:t>1,</w:t>
            </w:r>
            <w:r w:rsidR="002A0BE6">
              <w:rPr>
                <w:rFonts w:ascii="Calibri" w:hAnsi="Calibri"/>
                <w:color w:val="000000"/>
                <w:lang w:eastAsia="en-GB"/>
              </w:rPr>
              <w:t>533</w:t>
            </w:r>
          </w:p>
        </w:tc>
      </w:tr>
      <w:tr w:rsidR="001726F4" w:rsidRPr="001726F4" w14:paraId="0280D79F"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516C81D6" w14:textId="49800888" w:rsidR="001726F4" w:rsidRPr="001726F4" w:rsidRDefault="006C630A" w:rsidP="00360D97">
            <w:pPr>
              <w:jc w:val="right"/>
              <w:rPr>
                <w:rFonts w:ascii="Calibri" w:hAnsi="Calibri"/>
                <w:color w:val="000000"/>
                <w:lang w:eastAsia="en-GB"/>
              </w:rPr>
            </w:pPr>
            <w:r>
              <w:rPr>
                <w:rFonts w:ascii="Calibri" w:hAnsi="Calibri"/>
                <w:color w:val="000000"/>
                <w:lang w:eastAsia="en-GB"/>
              </w:rPr>
              <w:t>6</w:t>
            </w:r>
            <w:r w:rsidR="00586607">
              <w:rPr>
                <w:rFonts w:ascii="Calibri" w:hAnsi="Calibri"/>
                <w:color w:val="000000"/>
                <w:lang w:eastAsia="en-GB"/>
              </w:rPr>
              <w:t>9</w:t>
            </w:r>
            <w:r w:rsidR="00593838">
              <w:rPr>
                <w:rFonts w:ascii="Calibri" w:hAnsi="Calibri"/>
                <w:color w:val="000000"/>
                <w:lang w:eastAsia="en-GB"/>
              </w:rPr>
              <w:t>9</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4ABDD5C5" w14:textId="0C6262CA" w:rsidR="001726F4" w:rsidRPr="001726F4" w:rsidRDefault="001726F4" w:rsidP="001726F4">
            <w:pPr>
              <w:rPr>
                <w:rFonts w:ascii="Calibri" w:hAnsi="Calibri"/>
                <w:color w:val="000000"/>
                <w:lang w:eastAsia="en-GB"/>
              </w:rPr>
            </w:pPr>
            <w:r w:rsidRPr="001726F4">
              <w:rPr>
                <w:rFonts w:ascii="Calibri" w:hAnsi="Calibri"/>
                <w:color w:val="000000"/>
                <w:lang w:eastAsia="en-GB"/>
              </w:rPr>
              <w:t xml:space="preserve">Precepts </w:t>
            </w:r>
            <w:r w:rsidR="00704A70">
              <w:rPr>
                <w:rFonts w:ascii="Calibri" w:hAnsi="Calibri"/>
                <w:color w:val="000000"/>
                <w:lang w:eastAsia="en-GB"/>
              </w:rPr>
              <w:t>and</w:t>
            </w:r>
            <w:r w:rsidRPr="001726F4">
              <w:rPr>
                <w:rFonts w:ascii="Calibri" w:hAnsi="Calibri"/>
                <w:color w:val="000000"/>
                <w:lang w:eastAsia="en-GB"/>
              </w:rPr>
              <w:t xml:space="preserve"> Levies</w:t>
            </w:r>
          </w:p>
        </w:tc>
        <w:tc>
          <w:tcPr>
            <w:tcW w:w="1900" w:type="dxa"/>
            <w:tcBorders>
              <w:top w:val="nil"/>
              <w:left w:val="nil"/>
              <w:bottom w:val="single" w:sz="4" w:space="0" w:color="FFFFFF"/>
              <w:right w:val="single" w:sz="4" w:space="0" w:color="FFFFFF"/>
            </w:tcBorders>
            <w:shd w:val="clear" w:color="000000" w:fill="D8E4BC"/>
            <w:noWrap/>
            <w:vAlign w:val="center"/>
          </w:tcPr>
          <w:p w14:paraId="6FBEB709" w14:textId="5121A914" w:rsidR="001726F4" w:rsidRPr="001726F4" w:rsidRDefault="003E3BE2" w:rsidP="007663A3">
            <w:pPr>
              <w:jc w:val="right"/>
              <w:rPr>
                <w:rFonts w:ascii="Calibri" w:hAnsi="Calibri"/>
                <w:color w:val="000000"/>
                <w:lang w:eastAsia="en-GB"/>
              </w:rPr>
            </w:pPr>
            <w:r>
              <w:rPr>
                <w:rFonts w:ascii="Calibri" w:hAnsi="Calibri"/>
                <w:color w:val="000000"/>
                <w:lang w:eastAsia="en-GB"/>
              </w:rPr>
              <w:t>736</w:t>
            </w:r>
          </w:p>
        </w:tc>
      </w:tr>
      <w:tr w:rsidR="001726F4" w:rsidRPr="001726F4" w14:paraId="41C0927B"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23DCB246" w14:textId="5D9AC6B9" w:rsidR="001726F4" w:rsidRPr="001726F4" w:rsidRDefault="00845765" w:rsidP="00C01D9F">
            <w:pPr>
              <w:jc w:val="right"/>
              <w:rPr>
                <w:rFonts w:ascii="Calibri" w:hAnsi="Calibri"/>
                <w:color w:val="000000"/>
                <w:lang w:eastAsia="en-GB"/>
              </w:rPr>
            </w:pPr>
            <w:r>
              <w:rPr>
                <w:rFonts w:ascii="Calibri" w:hAnsi="Calibri"/>
                <w:color w:val="000000"/>
                <w:lang w:eastAsia="en-GB"/>
              </w:rPr>
              <w:t>1</w:t>
            </w:r>
            <w:r w:rsidR="00593838">
              <w:rPr>
                <w:rFonts w:ascii="Calibri" w:hAnsi="Calibri"/>
                <w:color w:val="000000"/>
                <w:lang w:eastAsia="en-GB"/>
              </w:rPr>
              <w:t>72</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64AFF428"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Payments to Housing Capital Receipts Pool</w:t>
            </w:r>
          </w:p>
        </w:tc>
        <w:tc>
          <w:tcPr>
            <w:tcW w:w="1900" w:type="dxa"/>
            <w:tcBorders>
              <w:top w:val="nil"/>
              <w:left w:val="nil"/>
              <w:bottom w:val="single" w:sz="4" w:space="0" w:color="FFFFFF"/>
              <w:right w:val="single" w:sz="4" w:space="0" w:color="FFFFFF"/>
            </w:tcBorders>
            <w:shd w:val="clear" w:color="000000" w:fill="D8E4BC"/>
            <w:noWrap/>
            <w:vAlign w:val="center"/>
          </w:tcPr>
          <w:p w14:paraId="4D36935F" w14:textId="1360393D" w:rsidR="001726F4" w:rsidRPr="001726F4" w:rsidRDefault="003E3BE2" w:rsidP="001726F4">
            <w:pPr>
              <w:jc w:val="right"/>
              <w:rPr>
                <w:rFonts w:ascii="Calibri" w:hAnsi="Calibri"/>
                <w:color w:val="000000"/>
                <w:lang w:eastAsia="en-GB"/>
              </w:rPr>
            </w:pPr>
            <w:r>
              <w:rPr>
                <w:rFonts w:ascii="Calibri" w:hAnsi="Calibri"/>
                <w:color w:val="000000"/>
                <w:lang w:eastAsia="en-GB"/>
              </w:rPr>
              <w:t>0</w:t>
            </w:r>
          </w:p>
        </w:tc>
      </w:tr>
      <w:tr w:rsidR="001726F4" w:rsidRPr="001726F4" w14:paraId="5657193B"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13C052E6" w14:textId="0541102C" w:rsidR="001726F4" w:rsidRPr="001726F4" w:rsidRDefault="006C630A" w:rsidP="001726F4">
            <w:pPr>
              <w:jc w:val="right"/>
              <w:rPr>
                <w:rFonts w:ascii="Calibri" w:hAnsi="Calibri"/>
                <w:color w:val="000000"/>
                <w:lang w:eastAsia="en-GB"/>
              </w:rPr>
            </w:pPr>
            <w:r>
              <w:rPr>
                <w:rFonts w:ascii="Calibri" w:hAnsi="Calibri"/>
                <w:color w:val="000000"/>
                <w:lang w:eastAsia="en-GB"/>
              </w:rPr>
              <w:t>-1</w:t>
            </w:r>
            <w:r w:rsidR="00593838">
              <w:rPr>
                <w:rFonts w:ascii="Calibri" w:hAnsi="Calibri"/>
                <w:color w:val="000000"/>
                <w:lang w:eastAsia="en-GB"/>
              </w:rPr>
              <w:t>49</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54390FB4"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Gain on the Disposal of Assets</w:t>
            </w:r>
          </w:p>
        </w:tc>
        <w:tc>
          <w:tcPr>
            <w:tcW w:w="1900" w:type="dxa"/>
            <w:tcBorders>
              <w:top w:val="nil"/>
              <w:left w:val="nil"/>
              <w:bottom w:val="single" w:sz="4" w:space="0" w:color="FFFFFF"/>
              <w:right w:val="single" w:sz="4" w:space="0" w:color="FFFFFF"/>
            </w:tcBorders>
            <w:shd w:val="clear" w:color="000000" w:fill="D8E4BC"/>
            <w:noWrap/>
            <w:vAlign w:val="center"/>
          </w:tcPr>
          <w:p w14:paraId="2C1C578A" w14:textId="78D102D2" w:rsidR="001726F4" w:rsidRPr="001726F4" w:rsidRDefault="003E3BE2" w:rsidP="001726F4">
            <w:pPr>
              <w:jc w:val="right"/>
              <w:rPr>
                <w:rFonts w:ascii="Calibri" w:hAnsi="Calibri"/>
                <w:color w:val="000000"/>
                <w:lang w:eastAsia="en-GB"/>
              </w:rPr>
            </w:pPr>
            <w:r>
              <w:rPr>
                <w:rFonts w:ascii="Calibri" w:hAnsi="Calibri"/>
                <w:color w:val="000000"/>
                <w:lang w:eastAsia="en-GB"/>
              </w:rPr>
              <w:t>-93</w:t>
            </w:r>
          </w:p>
        </w:tc>
      </w:tr>
      <w:tr w:rsidR="001726F4" w:rsidRPr="001726F4" w14:paraId="027CAD05"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666FCCF0" w14:textId="4CDBB035" w:rsidR="001726F4" w:rsidRPr="001726F4" w:rsidRDefault="00586607" w:rsidP="001726F4">
            <w:pPr>
              <w:jc w:val="right"/>
              <w:rPr>
                <w:rFonts w:ascii="Calibri" w:hAnsi="Calibri"/>
                <w:color w:val="000000"/>
                <w:lang w:eastAsia="en-GB"/>
              </w:rPr>
            </w:pPr>
            <w:r>
              <w:rPr>
                <w:rFonts w:ascii="Calibri" w:hAnsi="Calibri"/>
                <w:color w:val="000000"/>
                <w:lang w:eastAsia="en-GB"/>
              </w:rPr>
              <w:t>3</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6A161197"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De-recognition of Fixed Assets</w:t>
            </w:r>
          </w:p>
        </w:tc>
        <w:tc>
          <w:tcPr>
            <w:tcW w:w="1900" w:type="dxa"/>
            <w:tcBorders>
              <w:top w:val="nil"/>
              <w:left w:val="nil"/>
              <w:bottom w:val="single" w:sz="4" w:space="0" w:color="FFFFFF"/>
              <w:right w:val="single" w:sz="4" w:space="0" w:color="FFFFFF"/>
            </w:tcBorders>
            <w:shd w:val="clear" w:color="000000" w:fill="D8E4BC"/>
            <w:noWrap/>
            <w:vAlign w:val="center"/>
          </w:tcPr>
          <w:p w14:paraId="6BADB81A" w14:textId="2A772AF4" w:rsidR="001726F4" w:rsidRPr="001726F4" w:rsidRDefault="003E3BE2" w:rsidP="001726F4">
            <w:pPr>
              <w:jc w:val="right"/>
              <w:rPr>
                <w:rFonts w:ascii="Calibri" w:hAnsi="Calibri"/>
                <w:color w:val="000000"/>
                <w:lang w:eastAsia="en-GB"/>
              </w:rPr>
            </w:pPr>
            <w:r>
              <w:rPr>
                <w:rFonts w:ascii="Calibri" w:hAnsi="Calibri"/>
                <w:color w:val="000000"/>
                <w:lang w:eastAsia="en-GB"/>
              </w:rPr>
              <w:t>13</w:t>
            </w:r>
          </w:p>
        </w:tc>
      </w:tr>
      <w:tr w:rsidR="001726F4" w:rsidRPr="001726F4" w14:paraId="377C95F1"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040637C4" w14:textId="77777777" w:rsidR="001726F4" w:rsidRPr="00272F06" w:rsidRDefault="006C630A" w:rsidP="001726F4">
            <w:pPr>
              <w:jc w:val="right"/>
              <w:rPr>
                <w:rFonts w:ascii="Calibri" w:hAnsi="Calibri"/>
                <w:color w:val="000000"/>
                <w:highlight w:val="yellow"/>
                <w:lang w:eastAsia="en-GB"/>
              </w:rPr>
            </w:pPr>
            <w:r>
              <w:rPr>
                <w:rFonts w:ascii="Calibri" w:hAnsi="Calibri"/>
                <w:color w:val="000000"/>
                <w:lang w:eastAsia="en-GB"/>
              </w:rPr>
              <w:t>0</w:t>
            </w:r>
            <w:r w:rsidR="001726F4" w:rsidRPr="00DA25B3">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7D960E5A" w14:textId="77777777" w:rsidR="001726F4" w:rsidRPr="001726F4" w:rsidRDefault="00DA25B3" w:rsidP="001726F4">
            <w:pPr>
              <w:rPr>
                <w:rFonts w:ascii="Calibri" w:hAnsi="Calibri"/>
                <w:color w:val="000000"/>
                <w:lang w:eastAsia="en-GB"/>
              </w:rPr>
            </w:pPr>
            <w:r>
              <w:rPr>
                <w:rFonts w:ascii="Calibri" w:hAnsi="Calibri"/>
                <w:color w:val="000000"/>
                <w:lang w:eastAsia="en-GB"/>
              </w:rPr>
              <w:t>Other Expenditure</w:t>
            </w:r>
          </w:p>
        </w:tc>
        <w:tc>
          <w:tcPr>
            <w:tcW w:w="1900" w:type="dxa"/>
            <w:tcBorders>
              <w:top w:val="nil"/>
              <w:left w:val="nil"/>
              <w:bottom w:val="single" w:sz="4" w:space="0" w:color="FFFFFF"/>
              <w:right w:val="single" w:sz="4" w:space="0" w:color="FFFFFF"/>
            </w:tcBorders>
            <w:shd w:val="clear" w:color="000000" w:fill="D8E4BC"/>
            <w:noWrap/>
            <w:vAlign w:val="center"/>
          </w:tcPr>
          <w:p w14:paraId="00B193B7" w14:textId="056619EB" w:rsidR="001726F4" w:rsidRPr="001726F4" w:rsidRDefault="003E3BE2" w:rsidP="001726F4">
            <w:pPr>
              <w:jc w:val="right"/>
              <w:rPr>
                <w:rFonts w:ascii="Calibri" w:hAnsi="Calibri"/>
                <w:color w:val="000000"/>
                <w:lang w:eastAsia="en-GB"/>
              </w:rPr>
            </w:pPr>
            <w:r>
              <w:rPr>
                <w:rFonts w:ascii="Calibri" w:hAnsi="Calibri"/>
                <w:color w:val="000000"/>
                <w:lang w:eastAsia="en-GB"/>
              </w:rPr>
              <w:t>0</w:t>
            </w:r>
          </w:p>
        </w:tc>
      </w:tr>
      <w:tr w:rsidR="001726F4" w:rsidRPr="001726F4" w14:paraId="6E289ADC" w14:textId="77777777" w:rsidTr="00845765">
        <w:trPr>
          <w:trHeight w:val="255"/>
        </w:trPr>
        <w:tc>
          <w:tcPr>
            <w:tcW w:w="1960" w:type="dxa"/>
            <w:tcBorders>
              <w:top w:val="nil"/>
              <w:left w:val="nil"/>
              <w:bottom w:val="single" w:sz="4" w:space="0" w:color="FFFFFF"/>
              <w:right w:val="nil"/>
            </w:tcBorders>
            <w:shd w:val="clear" w:color="000000" w:fill="D8E4BC"/>
            <w:noWrap/>
            <w:vAlign w:val="center"/>
            <w:hideMark/>
          </w:tcPr>
          <w:p w14:paraId="41911CD0" w14:textId="64B74590" w:rsidR="001726F4" w:rsidRPr="001726F4" w:rsidRDefault="00593838" w:rsidP="006C630A">
            <w:pPr>
              <w:jc w:val="right"/>
              <w:rPr>
                <w:rFonts w:ascii="Calibri" w:hAnsi="Calibri"/>
                <w:b/>
                <w:bCs/>
                <w:color w:val="000000"/>
                <w:lang w:eastAsia="en-GB"/>
              </w:rPr>
            </w:pPr>
            <w:r>
              <w:rPr>
                <w:rFonts w:ascii="Calibri" w:hAnsi="Calibri"/>
                <w:b/>
                <w:bCs/>
                <w:color w:val="000000"/>
                <w:lang w:eastAsia="en-GB"/>
              </w:rPr>
              <w:t>30,154</w:t>
            </w:r>
            <w:r w:rsidR="001726F4" w:rsidRPr="001726F4">
              <w:rPr>
                <w:rFonts w:ascii="Calibri" w:hAnsi="Calibri"/>
                <w:b/>
                <w:bCs/>
                <w:color w:val="000000"/>
                <w:lang w:eastAsia="en-GB"/>
              </w:rPr>
              <w:t> </w:t>
            </w:r>
          </w:p>
        </w:tc>
        <w:tc>
          <w:tcPr>
            <w:tcW w:w="5400" w:type="dxa"/>
            <w:tcBorders>
              <w:top w:val="nil"/>
              <w:left w:val="nil"/>
              <w:bottom w:val="single" w:sz="4" w:space="0" w:color="FFFFFF"/>
              <w:right w:val="nil"/>
            </w:tcBorders>
            <w:shd w:val="clear" w:color="000000" w:fill="D8E4BC"/>
            <w:noWrap/>
            <w:vAlign w:val="bottom"/>
            <w:hideMark/>
          </w:tcPr>
          <w:p w14:paraId="770B29D5" w14:textId="77777777" w:rsidR="001726F4" w:rsidRPr="001726F4" w:rsidRDefault="001726F4" w:rsidP="001726F4">
            <w:pPr>
              <w:rPr>
                <w:rFonts w:ascii="Calibri" w:hAnsi="Calibri"/>
                <w:b/>
                <w:bCs/>
                <w:color w:val="000000"/>
                <w:lang w:eastAsia="en-GB"/>
              </w:rPr>
            </w:pPr>
            <w:r w:rsidRPr="001726F4">
              <w:rPr>
                <w:rFonts w:ascii="Calibri" w:hAnsi="Calibri"/>
                <w:b/>
                <w:bCs/>
                <w:color w:val="000000"/>
                <w:lang w:eastAsia="en-GB"/>
              </w:rPr>
              <w:t>Total Expenditure</w:t>
            </w:r>
          </w:p>
        </w:tc>
        <w:tc>
          <w:tcPr>
            <w:tcW w:w="1900" w:type="dxa"/>
            <w:tcBorders>
              <w:top w:val="nil"/>
              <w:left w:val="nil"/>
              <w:bottom w:val="single" w:sz="4" w:space="0" w:color="FFFFFF"/>
              <w:right w:val="nil"/>
            </w:tcBorders>
            <w:shd w:val="clear" w:color="000000" w:fill="D8E4BC"/>
            <w:noWrap/>
            <w:vAlign w:val="center"/>
          </w:tcPr>
          <w:p w14:paraId="0250BB28" w14:textId="289E0D59" w:rsidR="001726F4" w:rsidRPr="001726F4" w:rsidRDefault="002A0BE6" w:rsidP="007663A3">
            <w:pPr>
              <w:jc w:val="right"/>
              <w:rPr>
                <w:rFonts w:ascii="Calibri" w:hAnsi="Calibri"/>
                <w:b/>
                <w:bCs/>
                <w:color w:val="000000"/>
                <w:lang w:eastAsia="en-GB"/>
              </w:rPr>
            </w:pPr>
            <w:r>
              <w:rPr>
                <w:rFonts w:ascii="Calibri" w:hAnsi="Calibri"/>
                <w:b/>
                <w:bCs/>
                <w:color w:val="000000"/>
                <w:lang w:eastAsia="en-GB"/>
              </w:rPr>
              <w:t>30,358</w:t>
            </w:r>
          </w:p>
        </w:tc>
      </w:tr>
      <w:tr w:rsidR="001726F4" w:rsidRPr="001726F4" w14:paraId="46B9F966" w14:textId="77777777" w:rsidTr="00845765">
        <w:trPr>
          <w:trHeight w:val="255"/>
        </w:trPr>
        <w:tc>
          <w:tcPr>
            <w:tcW w:w="1960" w:type="dxa"/>
            <w:tcBorders>
              <w:top w:val="nil"/>
              <w:left w:val="nil"/>
              <w:bottom w:val="nil"/>
              <w:right w:val="nil"/>
            </w:tcBorders>
            <w:shd w:val="clear" w:color="000000" w:fill="EBF1DE"/>
            <w:noWrap/>
            <w:vAlign w:val="center"/>
            <w:hideMark/>
          </w:tcPr>
          <w:p w14:paraId="26C9E602" w14:textId="77777777" w:rsidR="001726F4" w:rsidRPr="001726F4" w:rsidRDefault="001726F4" w:rsidP="001726F4">
            <w:pPr>
              <w:jc w:val="right"/>
              <w:rPr>
                <w:rFonts w:ascii="Calibri" w:hAnsi="Calibri"/>
                <w:b/>
                <w:bCs/>
                <w:color w:val="000000"/>
                <w:lang w:eastAsia="en-GB"/>
              </w:rPr>
            </w:pPr>
            <w:r w:rsidRPr="001726F4">
              <w:rPr>
                <w:rFonts w:ascii="Calibri" w:hAnsi="Calibri"/>
                <w:b/>
                <w:bCs/>
                <w:color w:val="000000"/>
                <w:lang w:eastAsia="en-GB"/>
              </w:rPr>
              <w:t> </w:t>
            </w:r>
          </w:p>
        </w:tc>
        <w:tc>
          <w:tcPr>
            <w:tcW w:w="5400" w:type="dxa"/>
            <w:tcBorders>
              <w:top w:val="nil"/>
              <w:left w:val="nil"/>
              <w:bottom w:val="nil"/>
              <w:right w:val="nil"/>
            </w:tcBorders>
            <w:shd w:val="clear" w:color="000000" w:fill="EBF1DE"/>
            <w:noWrap/>
            <w:vAlign w:val="bottom"/>
            <w:hideMark/>
          </w:tcPr>
          <w:p w14:paraId="2A899D7D" w14:textId="77777777" w:rsidR="001726F4" w:rsidRPr="001726F4" w:rsidRDefault="001726F4" w:rsidP="001726F4">
            <w:pPr>
              <w:rPr>
                <w:rFonts w:ascii="Calibri" w:hAnsi="Calibri"/>
                <w:b/>
                <w:bCs/>
                <w:color w:val="000000"/>
                <w:lang w:eastAsia="en-GB"/>
              </w:rPr>
            </w:pPr>
            <w:r w:rsidRPr="001726F4">
              <w:rPr>
                <w:rFonts w:ascii="Calibri" w:hAnsi="Calibri"/>
                <w:b/>
                <w:bCs/>
                <w:color w:val="000000"/>
                <w:lang w:eastAsia="en-GB"/>
              </w:rPr>
              <w:t>Income</w:t>
            </w:r>
          </w:p>
        </w:tc>
        <w:tc>
          <w:tcPr>
            <w:tcW w:w="1900" w:type="dxa"/>
            <w:tcBorders>
              <w:top w:val="nil"/>
              <w:left w:val="nil"/>
              <w:bottom w:val="nil"/>
              <w:right w:val="nil"/>
            </w:tcBorders>
            <w:shd w:val="clear" w:color="000000" w:fill="D8E4BC"/>
            <w:noWrap/>
            <w:vAlign w:val="center"/>
          </w:tcPr>
          <w:p w14:paraId="7C6B982D" w14:textId="77777777" w:rsidR="001726F4" w:rsidRPr="001726F4" w:rsidRDefault="001726F4" w:rsidP="001726F4">
            <w:pPr>
              <w:jc w:val="right"/>
              <w:rPr>
                <w:rFonts w:ascii="Calibri" w:hAnsi="Calibri"/>
                <w:b/>
                <w:bCs/>
                <w:color w:val="000000"/>
                <w:lang w:eastAsia="en-GB"/>
              </w:rPr>
            </w:pPr>
          </w:p>
        </w:tc>
      </w:tr>
      <w:tr w:rsidR="001726F4" w:rsidRPr="001726F4" w14:paraId="7FA59B08" w14:textId="77777777" w:rsidTr="00845765">
        <w:trPr>
          <w:trHeight w:val="255"/>
        </w:trPr>
        <w:tc>
          <w:tcPr>
            <w:tcW w:w="1960" w:type="dxa"/>
            <w:tcBorders>
              <w:top w:val="single" w:sz="4" w:space="0" w:color="FFFFFF"/>
              <w:left w:val="single" w:sz="4" w:space="0" w:color="FFFFFF"/>
              <w:bottom w:val="single" w:sz="4" w:space="0" w:color="FFFFFF"/>
              <w:right w:val="single" w:sz="4" w:space="0" w:color="FFFFFF"/>
            </w:tcBorders>
            <w:shd w:val="clear" w:color="000000" w:fill="EBF1DE"/>
            <w:noWrap/>
            <w:vAlign w:val="center"/>
            <w:hideMark/>
          </w:tcPr>
          <w:p w14:paraId="67A18C0E" w14:textId="4CB1852B" w:rsidR="001726F4" w:rsidRPr="001726F4" w:rsidRDefault="006C630A" w:rsidP="006C630A">
            <w:pPr>
              <w:jc w:val="right"/>
              <w:rPr>
                <w:rFonts w:ascii="Calibri" w:hAnsi="Calibri"/>
                <w:color w:val="000000"/>
                <w:lang w:eastAsia="en-GB"/>
              </w:rPr>
            </w:pPr>
            <w:r>
              <w:rPr>
                <w:rFonts w:ascii="Calibri" w:hAnsi="Calibri"/>
                <w:color w:val="000000"/>
                <w:lang w:eastAsia="en-GB"/>
              </w:rPr>
              <w:t>1</w:t>
            </w:r>
            <w:r w:rsidR="00593838">
              <w:rPr>
                <w:rFonts w:ascii="Calibri" w:hAnsi="Calibri"/>
                <w:color w:val="000000"/>
                <w:lang w:eastAsia="en-GB"/>
              </w:rPr>
              <w:t>3,627</w:t>
            </w:r>
            <w:r w:rsidR="001726F4" w:rsidRPr="001726F4">
              <w:rPr>
                <w:rFonts w:ascii="Calibri" w:hAnsi="Calibri"/>
                <w:color w:val="000000"/>
                <w:lang w:eastAsia="en-GB"/>
              </w:rPr>
              <w:t> </w:t>
            </w:r>
          </w:p>
        </w:tc>
        <w:tc>
          <w:tcPr>
            <w:tcW w:w="5400" w:type="dxa"/>
            <w:tcBorders>
              <w:top w:val="single" w:sz="4" w:space="0" w:color="FFFFFF"/>
              <w:left w:val="nil"/>
              <w:bottom w:val="single" w:sz="4" w:space="0" w:color="FFFFFF"/>
              <w:right w:val="single" w:sz="4" w:space="0" w:color="FFFFFF"/>
            </w:tcBorders>
            <w:shd w:val="clear" w:color="000000" w:fill="EBF1DE"/>
            <w:noWrap/>
            <w:vAlign w:val="bottom"/>
            <w:hideMark/>
          </w:tcPr>
          <w:p w14:paraId="3B86D24C" w14:textId="53809B9C" w:rsidR="001726F4" w:rsidRPr="001726F4" w:rsidRDefault="001726F4" w:rsidP="001726F4">
            <w:pPr>
              <w:rPr>
                <w:rFonts w:ascii="Calibri" w:hAnsi="Calibri"/>
                <w:color w:val="000000"/>
                <w:lang w:eastAsia="en-GB"/>
              </w:rPr>
            </w:pPr>
            <w:r w:rsidRPr="001726F4">
              <w:rPr>
                <w:rFonts w:ascii="Calibri" w:hAnsi="Calibri"/>
                <w:color w:val="000000"/>
                <w:lang w:eastAsia="en-GB"/>
              </w:rPr>
              <w:t xml:space="preserve">Fees, Charges </w:t>
            </w:r>
            <w:r w:rsidR="00704A70">
              <w:rPr>
                <w:rFonts w:ascii="Calibri" w:hAnsi="Calibri"/>
                <w:color w:val="000000"/>
                <w:lang w:eastAsia="en-GB"/>
              </w:rPr>
              <w:t>and</w:t>
            </w:r>
            <w:r w:rsidRPr="001726F4">
              <w:rPr>
                <w:rFonts w:ascii="Calibri" w:hAnsi="Calibri"/>
                <w:color w:val="000000"/>
                <w:lang w:eastAsia="en-GB"/>
              </w:rPr>
              <w:t xml:space="preserve"> Other Services</w:t>
            </w:r>
          </w:p>
        </w:tc>
        <w:tc>
          <w:tcPr>
            <w:tcW w:w="1900" w:type="dxa"/>
            <w:tcBorders>
              <w:top w:val="single" w:sz="4" w:space="0" w:color="FFFFFF"/>
              <w:left w:val="nil"/>
              <w:bottom w:val="single" w:sz="4" w:space="0" w:color="FFFFFF"/>
              <w:right w:val="single" w:sz="4" w:space="0" w:color="FFFFFF"/>
            </w:tcBorders>
            <w:shd w:val="clear" w:color="000000" w:fill="D8E4BC"/>
            <w:noWrap/>
            <w:vAlign w:val="center"/>
          </w:tcPr>
          <w:p w14:paraId="3E3E85F3" w14:textId="68CF710A" w:rsidR="001726F4" w:rsidRPr="001726F4" w:rsidRDefault="003E3BE2" w:rsidP="004B2D39">
            <w:pPr>
              <w:jc w:val="right"/>
              <w:rPr>
                <w:rFonts w:ascii="Calibri" w:hAnsi="Calibri"/>
                <w:color w:val="000000"/>
                <w:lang w:eastAsia="en-GB"/>
              </w:rPr>
            </w:pPr>
            <w:r>
              <w:rPr>
                <w:rFonts w:ascii="Calibri" w:hAnsi="Calibri"/>
                <w:color w:val="000000"/>
                <w:lang w:eastAsia="en-GB"/>
              </w:rPr>
              <w:t>11,608</w:t>
            </w:r>
          </w:p>
        </w:tc>
      </w:tr>
      <w:tr w:rsidR="001726F4" w:rsidRPr="001726F4" w14:paraId="722AFE3B"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0F39875B" w14:textId="256532F3" w:rsidR="001726F4" w:rsidRPr="001726F4" w:rsidRDefault="00593838" w:rsidP="00C01D9F">
            <w:pPr>
              <w:jc w:val="right"/>
              <w:rPr>
                <w:rFonts w:ascii="Calibri" w:hAnsi="Calibri"/>
                <w:color w:val="000000"/>
                <w:lang w:eastAsia="en-GB"/>
              </w:rPr>
            </w:pPr>
            <w:r>
              <w:rPr>
                <w:rFonts w:ascii="Calibri" w:hAnsi="Calibri"/>
                <w:color w:val="000000"/>
                <w:lang w:eastAsia="en-GB"/>
              </w:rPr>
              <w:t>543</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2D0A74DE"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Interest and Investment Income</w:t>
            </w:r>
          </w:p>
        </w:tc>
        <w:tc>
          <w:tcPr>
            <w:tcW w:w="1900" w:type="dxa"/>
            <w:tcBorders>
              <w:top w:val="nil"/>
              <w:left w:val="nil"/>
              <w:bottom w:val="single" w:sz="4" w:space="0" w:color="FFFFFF"/>
              <w:right w:val="single" w:sz="4" w:space="0" w:color="FFFFFF"/>
            </w:tcBorders>
            <w:shd w:val="clear" w:color="000000" w:fill="D8E4BC"/>
            <w:noWrap/>
            <w:vAlign w:val="center"/>
          </w:tcPr>
          <w:p w14:paraId="05323514" w14:textId="0BD8F217" w:rsidR="001726F4" w:rsidRPr="001726F4" w:rsidRDefault="002A0BE6" w:rsidP="001726F4">
            <w:pPr>
              <w:jc w:val="right"/>
              <w:rPr>
                <w:rFonts w:ascii="Calibri" w:hAnsi="Calibri"/>
                <w:color w:val="000000"/>
                <w:lang w:eastAsia="en-GB"/>
              </w:rPr>
            </w:pPr>
            <w:r>
              <w:rPr>
                <w:rFonts w:ascii="Calibri" w:hAnsi="Calibri"/>
                <w:color w:val="000000"/>
                <w:lang w:eastAsia="en-GB"/>
              </w:rPr>
              <w:t>662</w:t>
            </w:r>
          </w:p>
        </w:tc>
      </w:tr>
      <w:tr w:rsidR="001726F4" w:rsidRPr="001726F4" w14:paraId="40BC3A20"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7667FF96" w14:textId="523981C0" w:rsidR="001726F4" w:rsidRPr="001726F4" w:rsidRDefault="00593838" w:rsidP="00C01D9F">
            <w:pPr>
              <w:jc w:val="right"/>
              <w:rPr>
                <w:rFonts w:ascii="Calibri" w:hAnsi="Calibri"/>
                <w:color w:val="000000"/>
                <w:lang w:eastAsia="en-GB"/>
              </w:rPr>
            </w:pPr>
            <w:r>
              <w:rPr>
                <w:rFonts w:ascii="Calibri" w:hAnsi="Calibri"/>
                <w:color w:val="000000"/>
                <w:lang w:eastAsia="en-GB"/>
              </w:rPr>
              <w:t>5,562</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0EC51BE6" w14:textId="77777777" w:rsidR="001726F4" w:rsidRPr="001726F4" w:rsidRDefault="001726F4" w:rsidP="001726F4">
            <w:pPr>
              <w:rPr>
                <w:rFonts w:ascii="Calibri" w:hAnsi="Calibri"/>
                <w:color w:val="000000"/>
                <w:lang w:eastAsia="en-GB"/>
              </w:rPr>
            </w:pPr>
            <w:r w:rsidRPr="001726F4">
              <w:rPr>
                <w:rFonts w:ascii="Calibri" w:hAnsi="Calibri"/>
                <w:color w:val="000000"/>
                <w:lang w:eastAsia="en-GB"/>
              </w:rPr>
              <w:t>Income from Council Tax and Non-domestic Rates</w:t>
            </w:r>
          </w:p>
        </w:tc>
        <w:tc>
          <w:tcPr>
            <w:tcW w:w="1900" w:type="dxa"/>
            <w:tcBorders>
              <w:top w:val="nil"/>
              <w:left w:val="nil"/>
              <w:bottom w:val="single" w:sz="4" w:space="0" w:color="FFFFFF"/>
              <w:right w:val="single" w:sz="4" w:space="0" w:color="FFFFFF"/>
            </w:tcBorders>
            <w:shd w:val="clear" w:color="000000" w:fill="D8E4BC"/>
            <w:noWrap/>
            <w:vAlign w:val="center"/>
          </w:tcPr>
          <w:p w14:paraId="3ACC0A84" w14:textId="0C8E073F" w:rsidR="001726F4" w:rsidRPr="001726F4" w:rsidRDefault="003E3BE2" w:rsidP="00360D97">
            <w:pPr>
              <w:jc w:val="right"/>
              <w:rPr>
                <w:rFonts w:ascii="Calibri" w:hAnsi="Calibri"/>
                <w:color w:val="000000"/>
                <w:lang w:eastAsia="en-GB"/>
              </w:rPr>
            </w:pPr>
            <w:r>
              <w:rPr>
                <w:rFonts w:ascii="Calibri" w:hAnsi="Calibri"/>
                <w:color w:val="000000"/>
                <w:lang w:eastAsia="en-GB"/>
              </w:rPr>
              <w:t>5,447</w:t>
            </w:r>
          </w:p>
        </w:tc>
      </w:tr>
      <w:tr w:rsidR="001726F4" w:rsidRPr="001726F4" w14:paraId="4921CDD4"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EBF1DE"/>
            <w:noWrap/>
            <w:vAlign w:val="center"/>
            <w:hideMark/>
          </w:tcPr>
          <w:p w14:paraId="100EC51B" w14:textId="6B434E74" w:rsidR="001726F4" w:rsidRPr="001726F4" w:rsidRDefault="00593838" w:rsidP="00C01D9F">
            <w:pPr>
              <w:jc w:val="right"/>
              <w:rPr>
                <w:rFonts w:ascii="Calibri" w:hAnsi="Calibri"/>
                <w:color w:val="000000"/>
                <w:lang w:eastAsia="en-GB"/>
              </w:rPr>
            </w:pPr>
            <w:r>
              <w:rPr>
                <w:rFonts w:ascii="Calibri" w:hAnsi="Calibri"/>
                <w:color w:val="000000"/>
                <w:lang w:eastAsia="en-GB"/>
              </w:rPr>
              <w:t>9,889</w:t>
            </w:r>
            <w:r w:rsidR="001726F4" w:rsidRPr="001726F4">
              <w:rPr>
                <w:rFonts w:ascii="Calibri" w:hAnsi="Calibri"/>
                <w:color w:val="000000"/>
                <w:lang w:eastAsia="en-GB"/>
              </w:rPr>
              <w:t> </w:t>
            </w:r>
          </w:p>
        </w:tc>
        <w:tc>
          <w:tcPr>
            <w:tcW w:w="5400" w:type="dxa"/>
            <w:tcBorders>
              <w:top w:val="nil"/>
              <w:left w:val="nil"/>
              <w:bottom w:val="single" w:sz="4" w:space="0" w:color="FFFFFF"/>
              <w:right w:val="single" w:sz="4" w:space="0" w:color="FFFFFF"/>
            </w:tcBorders>
            <w:shd w:val="clear" w:color="000000" w:fill="EBF1DE"/>
            <w:noWrap/>
            <w:vAlign w:val="bottom"/>
            <w:hideMark/>
          </w:tcPr>
          <w:p w14:paraId="21AC4A5E" w14:textId="03088D54" w:rsidR="001726F4" w:rsidRPr="001726F4" w:rsidRDefault="001726F4" w:rsidP="001726F4">
            <w:pPr>
              <w:rPr>
                <w:rFonts w:ascii="Calibri" w:hAnsi="Calibri"/>
                <w:color w:val="000000"/>
                <w:lang w:eastAsia="en-GB"/>
              </w:rPr>
            </w:pPr>
            <w:r w:rsidRPr="001726F4">
              <w:rPr>
                <w:rFonts w:ascii="Calibri" w:hAnsi="Calibri"/>
                <w:color w:val="000000"/>
                <w:lang w:eastAsia="en-GB"/>
              </w:rPr>
              <w:t xml:space="preserve">Government Grants </w:t>
            </w:r>
            <w:r w:rsidR="00704A70">
              <w:rPr>
                <w:rFonts w:ascii="Calibri" w:hAnsi="Calibri"/>
                <w:color w:val="000000"/>
                <w:lang w:eastAsia="en-GB"/>
              </w:rPr>
              <w:t>and</w:t>
            </w:r>
            <w:r w:rsidRPr="001726F4">
              <w:rPr>
                <w:rFonts w:ascii="Calibri" w:hAnsi="Calibri"/>
                <w:color w:val="000000"/>
                <w:lang w:eastAsia="en-GB"/>
              </w:rPr>
              <w:t xml:space="preserve"> Other Contributions</w:t>
            </w:r>
          </w:p>
        </w:tc>
        <w:tc>
          <w:tcPr>
            <w:tcW w:w="1900" w:type="dxa"/>
            <w:tcBorders>
              <w:top w:val="nil"/>
              <w:left w:val="nil"/>
              <w:bottom w:val="single" w:sz="4" w:space="0" w:color="FFFFFF"/>
              <w:right w:val="single" w:sz="4" w:space="0" w:color="FFFFFF"/>
            </w:tcBorders>
            <w:shd w:val="clear" w:color="000000" w:fill="D8E4BC"/>
            <w:noWrap/>
            <w:vAlign w:val="center"/>
          </w:tcPr>
          <w:p w14:paraId="69ADBC68" w14:textId="5AD05FC0" w:rsidR="001726F4" w:rsidRPr="001726F4" w:rsidRDefault="003E3BE2" w:rsidP="004B2D39">
            <w:pPr>
              <w:jc w:val="right"/>
              <w:rPr>
                <w:rFonts w:ascii="Calibri" w:hAnsi="Calibri"/>
                <w:color w:val="000000"/>
                <w:lang w:eastAsia="en-GB"/>
              </w:rPr>
            </w:pPr>
            <w:r>
              <w:rPr>
                <w:rFonts w:ascii="Calibri" w:hAnsi="Calibri"/>
                <w:color w:val="000000"/>
                <w:lang w:eastAsia="en-GB"/>
              </w:rPr>
              <w:t>9,638</w:t>
            </w:r>
          </w:p>
        </w:tc>
      </w:tr>
      <w:tr w:rsidR="001726F4" w:rsidRPr="001726F4" w14:paraId="5D67E33F" w14:textId="77777777" w:rsidTr="00845765">
        <w:trPr>
          <w:trHeight w:val="255"/>
        </w:trPr>
        <w:tc>
          <w:tcPr>
            <w:tcW w:w="1960" w:type="dxa"/>
            <w:tcBorders>
              <w:top w:val="nil"/>
              <w:left w:val="single" w:sz="4" w:space="0" w:color="FFFFFF"/>
              <w:bottom w:val="single" w:sz="4" w:space="0" w:color="FFFFFF"/>
              <w:right w:val="single" w:sz="4" w:space="0" w:color="FFFFFF"/>
            </w:tcBorders>
            <w:shd w:val="clear" w:color="000000" w:fill="D8E4BC"/>
            <w:noWrap/>
            <w:vAlign w:val="center"/>
            <w:hideMark/>
          </w:tcPr>
          <w:p w14:paraId="30E21502" w14:textId="10D796E5" w:rsidR="001726F4" w:rsidRPr="001726F4" w:rsidRDefault="007455B5" w:rsidP="00C01D9F">
            <w:pPr>
              <w:jc w:val="right"/>
              <w:rPr>
                <w:rFonts w:ascii="Calibri" w:hAnsi="Calibri"/>
                <w:b/>
                <w:bCs/>
                <w:color w:val="000000"/>
                <w:lang w:eastAsia="en-GB"/>
              </w:rPr>
            </w:pPr>
            <w:r>
              <w:rPr>
                <w:rFonts w:ascii="Calibri" w:hAnsi="Calibri"/>
                <w:b/>
                <w:bCs/>
                <w:color w:val="000000"/>
                <w:lang w:eastAsia="en-GB"/>
              </w:rPr>
              <w:t>2</w:t>
            </w:r>
            <w:r w:rsidR="00593838">
              <w:rPr>
                <w:rFonts w:ascii="Calibri" w:hAnsi="Calibri"/>
                <w:b/>
                <w:bCs/>
                <w:color w:val="000000"/>
                <w:lang w:eastAsia="en-GB"/>
              </w:rPr>
              <w:t>9,621</w:t>
            </w:r>
            <w:r w:rsidR="001726F4" w:rsidRPr="001726F4">
              <w:rPr>
                <w:rFonts w:ascii="Calibri" w:hAnsi="Calibri"/>
                <w:b/>
                <w:bCs/>
                <w:color w:val="000000"/>
                <w:lang w:eastAsia="en-GB"/>
              </w:rPr>
              <w:t> </w:t>
            </w:r>
          </w:p>
        </w:tc>
        <w:tc>
          <w:tcPr>
            <w:tcW w:w="5400" w:type="dxa"/>
            <w:tcBorders>
              <w:top w:val="nil"/>
              <w:left w:val="nil"/>
              <w:bottom w:val="single" w:sz="4" w:space="0" w:color="FFFFFF"/>
              <w:right w:val="single" w:sz="4" w:space="0" w:color="FFFFFF"/>
            </w:tcBorders>
            <w:shd w:val="clear" w:color="000000" w:fill="D8E4BC"/>
            <w:noWrap/>
            <w:vAlign w:val="bottom"/>
            <w:hideMark/>
          </w:tcPr>
          <w:p w14:paraId="6C4CC324" w14:textId="77777777" w:rsidR="001726F4" w:rsidRPr="001726F4" w:rsidRDefault="001726F4" w:rsidP="001726F4">
            <w:pPr>
              <w:rPr>
                <w:rFonts w:ascii="Calibri" w:hAnsi="Calibri"/>
                <w:b/>
                <w:bCs/>
                <w:color w:val="000000"/>
                <w:lang w:eastAsia="en-GB"/>
              </w:rPr>
            </w:pPr>
            <w:r w:rsidRPr="001726F4">
              <w:rPr>
                <w:rFonts w:ascii="Calibri" w:hAnsi="Calibri"/>
                <w:b/>
                <w:bCs/>
                <w:color w:val="000000"/>
                <w:lang w:eastAsia="en-GB"/>
              </w:rPr>
              <w:t>Total Income</w:t>
            </w:r>
          </w:p>
        </w:tc>
        <w:tc>
          <w:tcPr>
            <w:tcW w:w="1900" w:type="dxa"/>
            <w:tcBorders>
              <w:top w:val="nil"/>
              <w:left w:val="nil"/>
              <w:bottom w:val="single" w:sz="4" w:space="0" w:color="FFFFFF"/>
              <w:right w:val="single" w:sz="4" w:space="0" w:color="FFFFFF"/>
            </w:tcBorders>
            <w:shd w:val="clear" w:color="000000" w:fill="D8E4BC"/>
            <w:noWrap/>
            <w:vAlign w:val="center"/>
          </w:tcPr>
          <w:p w14:paraId="57E73EFA" w14:textId="0125EBC7" w:rsidR="001726F4" w:rsidRPr="001726F4" w:rsidRDefault="002A0BE6" w:rsidP="00436CCB">
            <w:pPr>
              <w:jc w:val="right"/>
              <w:rPr>
                <w:rFonts w:ascii="Calibri" w:hAnsi="Calibri"/>
                <w:b/>
                <w:bCs/>
                <w:color w:val="000000"/>
                <w:lang w:eastAsia="en-GB"/>
              </w:rPr>
            </w:pPr>
            <w:r>
              <w:rPr>
                <w:rFonts w:ascii="Calibri" w:hAnsi="Calibri"/>
                <w:b/>
                <w:bCs/>
                <w:color w:val="000000"/>
                <w:lang w:eastAsia="en-GB"/>
              </w:rPr>
              <w:t>27,355</w:t>
            </w:r>
          </w:p>
        </w:tc>
      </w:tr>
      <w:tr w:rsidR="001726F4" w:rsidRPr="001726F4" w14:paraId="04A8C389" w14:textId="77777777" w:rsidTr="00D83E40">
        <w:trPr>
          <w:trHeight w:val="255"/>
        </w:trPr>
        <w:tc>
          <w:tcPr>
            <w:tcW w:w="1960" w:type="dxa"/>
            <w:tcBorders>
              <w:top w:val="nil"/>
              <w:left w:val="single" w:sz="4" w:space="0" w:color="FFFFFF"/>
              <w:bottom w:val="nil"/>
              <w:right w:val="single" w:sz="4" w:space="0" w:color="FFFFFF"/>
            </w:tcBorders>
            <w:shd w:val="clear" w:color="000000" w:fill="D8E4BC"/>
            <w:noWrap/>
            <w:vAlign w:val="center"/>
            <w:hideMark/>
          </w:tcPr>
          <w:p w14:paraId="7585CD56" w14:textId="28EF602D" w:rsidR="001726F4" w:rsidRPr="001726F4" w:rsidRDefault="00593838" w:rsidP="00C01D9F">
            <w:pPr>
              <w:jc w:val="right"/>
              <w:rPr>
                <w:rFonts w:ascii="Calibri" w:hAnsi="Calibri"/>
                <w:b/>
                <w:bCs/>
                <w:color w:val="000000"/>
                <w:lang w:eastAsia="en-GB"/>
              </w:rPr>
            </w:pPr>
            <w:r>
              <w:rPr>
                <w:rFonts w:ascii="Calibri" w:hAnsi="Calibri"/>
                <w:b/>
                <w:bCs/>
                <w:color w:val="000000"/>
                <w:lang w:eastAsia="en-GB"/>
              </w:rPr>
              <w:t>533</w:t>
            </w:r>
            <w:r w:rsidR="001726F4" w:rsidRPr="001726F4">
              <w:rPr>
                <w:rFonts w:ascii="Calibri" w:hAnsi="Calibri"/>
                <w:b/>
                <w:bCs/>
                <w:color w:val="000000"/>
                <w:lang w:eastAsia="en-GB"/>
              </w:rPr>
              <w:t> </w:t>
            </w:r>
          </w:p>
        </w:tc>
        <w:tc>
          <w:tcPr>
            <w:tcW w:w="5400" w:type="dxa"/>
            <w:tcBorders>
              <w:top w:val="nil"/>
              <w:left w:val="nil"/>
              <w:bottom w:val="nil"/>
              <w:right w:val="single" w:sz="4" w:space="0" w:color="FFFFFF"/>
            </w:tcBorders>
            <w:shd w:val="clear" w:color="000000" w:fill="D8E4BC"/>
            <w:noWrap/>
            <w:vAlign w:val="bottom"/>
            <w:hideMark/>
          </w:tcPr>
          <w:p w14:paraId="29235A33" w14:textId="42293BC4" w:rsidR="001726F4" w:rsidRPr="001726F4" w:rsidRDefault="001726F4" w:rsidP="001726F4">
            <w:pPr>
              <w:rPr>
                <w:rFonts w:ascii="Calibri" w:hAnsi="Calibri"/>
                <w:b/>
                <w:bCs/>
                <w:color w:val="000000"/>
                <w:lang w:eastAsia="en-GB"/>
              </w:rPr>
            </w:pPr>
            <w:proofErr w:type="gramStart"/>
            <w:r w:rsidRPr="001726F4">
              <w:rPr>
                <w:rFonts w:ascii="Calibri" w:hAnsi="Calibri"/>
                <w:b/>
                <w:bCs/>
                <w:color w:val="000000"/>
                <w:lang w:eastAsia="en-GB"/>
              </w:rPr>
              <w:t>Surplus</w:t>
            </w:r>
            <w:r w:rsidR="00A4128D">
              <w:rPr>
                <w:rFonts w:ascii="Calibri" w:hAnsi="Calibri"/>
                <w:b/>
                <w:bCs/>
                <w:color w:val="000000"/>
                <w:lang w:eastAsia="en-GB"/>
              </w:rPr>
              <w:t>(</w:t>
            </w:r>
            <w:proofErr w:type="gramEnd"/>
            <w:r w:rsidR="00A4128D">
              <w:rPr>
                <w:rFonts w:ascii="Calibri" w:hAnsi="Calibri"/>
                <w:b/>
                <w:bCs/>
                <w:color w:val="000000"/>
                <w:lang w:eastAsia="en-GB"/>
              </w:rPr>
              <w:t>-)</w:t>
            </w:r>
            <w:r w:rsidRPr="001726F4">
              <w:rPr>
                <w:rFonts w:ascii="Calibri" w:hAnsi="Calibri"/>
                <w:b/>
                <w:bCs/>
                <w:color w:val="000000"/>
                <w:lang w:eastAsia="en-GB"/>
              </w:rPr>
              <w:t>/Deficit on the Provision of Services</w:t>
            </w:r>
          </w:p>
        </w:tc>
        <w:tc>
          <w:tcPr>
            <w:tcW w:w="1900" w:type="dxa"/>
            <w:tcBorders>
              <w:top w:val="nil"/>
              <w:left w:val="nil"/>
              <w:bottom w:val="nil"/>
              <w:right w:val="single" w:sz="4" w:space="0" w:color="FFFFFF"/>
            </w:tcBorders>
            <w:shd w:val="clear" w:color="000000" w:fill="D8E4BC"/>
            <w:noWrap/>
            <w:vAlign w:val="center"/>
          </w:tcPr>
          <w:p w14:paraId="4C48170A" w14:textId="1AF04E34" w:rsidR="001726F4" w:rsidRPr="001726F4" w:rsidRDefault="003E3BE2" w:rsidP="007663A3">
            <w:pPr>
              <w:jc w:val="right"/>
              <w:rPr>
                <w:rFonts w:ascii="Calibri" w:hAnsi="Calibri"/>
                <w:b/>
                <w:bCs/>
                <w:color w:val="000000"/>
                <w:lang w:eastAsia="en-GB"/>
              </w:rPr>
            </w:pPr>
            <w:r>
              <w:rPr>
                <w:rFonts w:ascii="Calibri" w:hAnsi="Calibri"/>
                <w:b/>
                <w:bCs/>
                <w:color w:val="000000"/>
                <w:lang w:eastAsia="en-GB"/>
              </w:rPr>
              <w:t>3,003</w:t>
            </w:r>
          </w:p>
        </w:tc>
      </w:tr>
    </w:tbl>
    <w:p w14:paraId="3D1D42B8" w14:textId="3B9F0847" w:rsidR="007D6368" w:rsidRPr="003B759E" w:rsidRDefault="00805549" w:rsidP="00704A70">
      <w:pPr>
        <w:pStyle w:val="Heading2"/>
      </w:pPr>
      <w:r>
        <w:lastRenderedPageBreak/>
        <w:t>5</w:t>
      </w:r>
      <w:r w:rsidR="006C630A">
        <w:tab/>
      </w:r>
      <w:r w:rsidR="00674A27" w:rsidRPr="003B759E">
        <w:t>O</w:t>
      </w:r>
      <w:r w:rsidR="003B759E">
        <w:t xml:space="preserve">ther </w:t>
      </w:r>
      <w:r w:rsidR="00674A27" w:rsidRPr="003B759E">
        <w:t>O</w:t>
      </w:r>
      <w:r w:rsidR="003B759E">
        <w:t>perating Expenditure</w:t>
      </w:r>
    </w:p>
    <w:p w14:paraId="26956DA7" w14:textId="77777777" w:rsidR="003B759E" w:rsidRDefault="003B759E" w:rsidP="00EB1FC3">
      <w:pPr>
        <w:widowControl w:val="0"/>
        <w:tabs>
          <w:tab w:val="left" w:pos="0"/>
          <w:tab w:val="left" w:pos="720"/>
          <w:tab w:val="left" w:pos="1800"/>
          <w:tab w:val="left" w:pos="2520"/>
          <w:tab w:val="left" w:pos="2592"/>
          <w:tab w:val="left" w:pos="6768"/>
          <w:tab w:val="left" w:pos="8640"/>
        </w:tabs>
        <w:ind w:right="-57"/>
        <w:rPr>
          <w:rFonts w:ascii="Arial" w:hAnsi="Arial" w:cs="Arial"/>
        </w:rPr>
      </w:pPr>
    </w:p>
    <w:tbl>
      <w:tblPr>
        <w:tblW w:w="9240" w:type="dxa"/>
        <w:tblInd w:w="93" w:type="dxa"/>
        <w:tblLook w:val="04A0" w:firstRow="1" w:lastRow="0" w:firstColumn="1" w:lastColumn="0" w:noHBand="0" w:noVBand="1"/>
        <w:tblCaption w:val="Other Operating Expenditure"/>
        <w:tblDescription w:val="Other Operating Expenditure for 2022-2023 with 2021-2022 comparatives"/>
      </w:tblPr>
      <w:tblGrid>
        <w:gridCol w:w="1680"/>
        <w:gridCol w:w="5840"/>
        <w:gridCol w:w="1720"/>
      </w:tblGrid>
      <w:tr w:rsidR="003B759E" w:rsidRPr="003B759E" w14:paraId="3A6BC9E3"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p w14:paraId="4D9C6D38" w14:textId="4EB763B7" w:rsidR="003B759E" w:rsidRPr="003B759E" w:rsidRDefault="003B759E" w:rsidP="006C630A">
            <w:pPr>
              <w:jc w:val="right"/>
              <w:rPr>
                <w:rFonts w:ascii="Calibri" w:hAnsi="Calibri"/>
                <w:color w:val="000000"/>
                <w:lang w:eastAsia="en-GB"/>
              </w:rPr>
            </w:pPr>
            <w:r w:rsidRPr="003B759E">
              <w:rPr>
                <w:rFonts w:ascii="Calibri" w:hAnsi="Calibri"/>
                <w:color w:val="000000"/>
                <w:lang w:eastAsia="en-GB"/>
              </w:rPr>
              <w:t>20</w:t>
            </w:r>
            <w:r w:rsidR="00586607">
              <w:rPr>
                <w:rFonts w:ascii="Calibri" w:hAnsi="Calibri"/>
                <w:color w:val="000000"/>
                <w:lang w:eastAsia="en-GB"/>
              </w:rPr>
              <w:t>2</w:t>
            </w:r>
            <w:r w:rsidR="008706DA">
              <w:rPr>
                <w:rFonts w:ascii="Calibri" w:hAnsi="Calibri"/>
                <w:color w:val="000000"/>
                <w:lang w:eastAsia="en-GB"/>
              </w:rPr>
              <w:t>1</w:t>
            </w:r>
            <w:r w:rsidRPr="003B759E">
              <w:rPr>
                <w:rFonts w:ascii="Calibri" w:hAnsi="Calibri"/>
                <w:color w:val="000000"/>
                <w:lang w:eastAsia="en-GB"/>
              </w:rPr>
              <w:t>-</w:t>
            </w:r>
            <w:r w:rsidR="006C630A">
              <w:rPr>
                <w:rFonts w:ascii="Calibri" w:hAnsi="Calibri"/>
                <w:color w:val="000000"/>
                <w:lang w:eastAsia="en-GB"/>
              </w:rPr>
              <w:t>2</w:t>
            </w:r>
            <w:r w:rsidR="008706D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0516D71D"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584717E0" w14:textId="73668CC3" w:rsidR="003B759E" w:rsidRPr="003B759E" w:rsidRDefault="00845765" w:rsidP="004F22C2">
            <w:pPr>
              <w:jc w:val="right"/>
              <w:rPr>
                <w:rFonts w:ascii="Calibri" w:hAnsi="Calibri"/>
                <w:color w:val="000000"/>
                <w:lang w:eastAsia="en-GB"/>
              </w:rPr>
            </w:pPr>
            <w:r>
              <w:rPr>
                <w:rFonts w:ascii="Calibri" w:hAnsi="Calibri"/>
                <w:color w:val="000000"/>
                <w:lang w:eastAsia="en-GB"/>
              </w:rPr>
              <w:t>20</w:t>
            </w:r>
            <w:r w:rsidR="004F22C2">
              <w:rPr>
                <w:rFonts w:ascii="Calibri" w:hAnsi="Calibri"/>
                <w:color w:val="000000"/>
                <w:lang w:eastAsia="en-GB"/>
              </w:rPr>
              <w:t>2</w:t>
            </w:r>
            <w:r w:rsidR="008706DA">
              <w:rPr>
                <w:rFonts w:ascii="Calibri" w:hAnsi="Calibri"/>
                <w:color w:val="000000"/>
                <w:lang w:eastAsia="en-GB"/>
              </w:rPr>
              <w:t>2</w:t>
            </w:r>
            <w:r w:rsidR="003B759E" w:rsidRPr="003B759E">
              <w:rPr>
                <w:rFonts w:ascii="Calibri" w:hAnsi="Calibri"/>
                <w:color w:val="000000"/>
                <w:lang w:eastAsia="en-GB"/>
              </w:rPr>
              <w:t>-</w:t>
            </w:r>
            <w:r w:rsidR="00FB2EEF">
              <w:rPr>
                <w:rFonts w:ascii="Calibri" w:hAnsi="Calibri"/>
                <w:color w:val="000000"/>
                <w:lang w:eastAsia="en-GB"/>
              </w:rPr>
              <w:t>2</w:t>
            </w:r>
            <w:r w:rsidR="008706DA">
              <w:rPr>
                <w:rFonts w:ascii="Calibri" w:hAnsi="Calibri"/>
                <w:color w:val="000000"/>
                <w:lang w:eastAsia="en-GB"/>
              </w:rPr>
              <w:t>3</w:t>
            </w:r>
          </w:p>
        </w:tc>
      </w:tr>
      <w:tr w:rsidR="003B759E" w:rsidRPr="003B759E" w14:paraId="7E3A7BAD" w14:textId="77777777" w:rsidTr="003B759E">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542CD750"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574D0DB3"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42136C9C"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£’000</w:t>
            </w:r>
          </w:p>
        </w:tc>
      </w:tr>
      <w:tr w:rsidR="003B759E" w:rsidRPr="003B759E" w14:paraId="453E3B00"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24A7A857" w14:textId="12B32E8E" w:rsidR="003B759E" w:rsidRPr="003B759E" w:rsidRDefault="00FB2EEF" w:rsidP="004F22C2">
            <w:pPr>
              <w:jc w:val="right"/>
              <w:rPr>
                <w:rFonts w:ascii="Calibri" w:hAnsi="Calibri"/>
                <w:color w:val="000000"/>
                <w:lang w:eastAsia="en-GB"/>
              </w:rPr>
            </w:pPr>
            <w:r>
              <w:rPr>
                <w:rFonts w:ascii="Calibri" w:hAnsi="Calibri"/>
                <w:color w:val="000000"/>
                <w:lang w:eastAsia="en-GB"/>
              </w:rPr>
              <w:t>6</w:t>
            </w:r>
            <w:r w:rsidR="008706DA">
              <w:rPr>
                <w:rFonts w:ascii="Calibri" w:hAnsi="Calibri"/>
                <w:color w:val="000000"/>
                <w:lang w:eastAsia="en-GB"/>
              </w:rPr>
              <w:t>79</w:t>
            </w:r>
          </w:p>
        </w:tc>
        <w:tc>
          <w:tcPr>
            <w:tcW w:w="5840" w:type="dxa"/>
            <w:tcBorders>
              <w:top w:val="nil"/>
              <w:left w:val="nil"/>
              <w:bottom w:val="single" w:sz="4" w:space="0" w:color="FFFFFF"/>
              <w:right w:val="single" w:sz="4" w:space="0" w:color="FFFFFF"/>
            </w:tcBorders>
            <w:shd w:val="clear" w:color="000000" w:fill="EBF1DE"/>
            <w:noWrap/>
            <w:vAlign w:val="center"/>
            <w:hideMark/>
          </w:tcPr>
          <w:p w14:paraId="4EF1DB42"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Parish Council Precepts</w:t>
            </w:r>
          </w:p>
        </w:tc>
        <w:tc>
          <w:tcPr>
            <w:tcW w:w="1720" w:type="dxa"/>
            <w:tcBorders>
              <w:top w:val="nil"/>
              <w:left w:val="nil"/>
              <w:bottom w:val="single" w:sz="4" w:space="0" w:color="FFFFFF"/>
              <w:right w:val="single" w:sz="4" w:space="0" w:color="FFFFFF"/>
            </w:tcBorders>
            <w:shd w:val="clear" w:color="000000" w:fill="D8E4BC"/>
            <w:noWrap/>
            <w:vAlign w:val="center"/>
          </w:tcPr>
          <w:p w14:paraId="2F756206" w14:textId="785798D4" w:rsidR="003B759E" w:rsidRPr="003B759E" w:rsidRDefault="00A27CE7" w:rsidP="003B759E">
            <w:pPr>
              <w:jc w:val="right"/>
              <w:rPr>
                <w:rFonts w:ascii="Calibri" w:hAnsi="Calibri"/>
                <w:color w:val="000000"/>
                <w:lang w:eastAsia="en-GB"/>
              </w:rPr>
            </w:pPr>
            <w:r>
              <w:rPr>
                <w:rFonts w:ascii="Calibri" w:hAnsi="Calibri"/>
                <w:color w:val="000000"/>
                <w:lang w:eastAsia="en-GB"/>
              </w:rPr>
              <w:t>715</w:t>
            </w:r>
          </w:p>
        </w:tc>
      </w:tr>
      <w:tr w:rsidR="003B759E" w:rsidRPr="003B759E" w14:paraId="417A64E3"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7F6A3907" w14:textId="39BD6FBA" w:rsidR="003B759E" w:rsidRPr="003B759E" w:rsidRDefault="00845765" w:rsidP="000733A7">
            <w:pPr>
              <w:jc w:val="right"/>
              <w:rPr>
                <w:rFonts w:ascii="Calibri" w:hAnsi="Calibri"/>
                <w:color w:val="000000"/>
                <w:lang w:eastAsia="en-GB"/>
              </w:rPr>
            </w:pPr>
            <w:r>
              <w:rPr>
                <w:rFonts w:ascii="Calibri" w:hAnsi="Calibri"/>
                <w:color w:val="000000"/>
                <w:lang w:eastAsia="en-GB"/>
              </w:rPr>
              <w:t>1</w:t>
            </w:r>
            <w:r w:rsidR="008706DA">
              <w:rPr>
                <w:rFonts w:ascii="Calibri" w:hAnsi="Calibri"/>
                <w:color w:val="000000"/>
                <w:lang w:eastAsia="en-GB"/>
              </w:rPr>
              <w:t>72</w:t>
            </w:r>
          </w:p>
        </w:tc>
        <w:tc>
          <w:tcPr>
            <w:tcW w:w="5840" w:type="dxa"/>
            <w:tcBorders>
              <w:top w:val="nil"/>
              <w:left w:val="nil"/>
              <w:bottom w:val="single" w:sz="4" w:space="0" w:color="FFFFFF"/>
              <w:right w:val="single" w:sz="4" w:space="0" w:color="FFFFFF"/>
            </w:tcBorders>
            <w:shd w:val="clear" w:color="000000" w:fill="EBF1DE"/>
            <w:noWrap/>
            <w:vAlign w:val="center"/>
            <w:hideMark/>
          </w:tcPr>
          <w:p w14:paraId="291AAD11"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Payments to Government Housing Capital Receipts Pool</w:t>
            </w:r>
          </w:p>
        </w:tc>
        <w:tc>
          <w:tcPr>
            <w:tcW w:w="1720" w:type="dxa"/>
            <w:tcBorders>
              <w:top w:val="nil"/>
              <w:left w:val="nil"/>
              <w:bottom w:val="single" w:sz="4" w:space="0" w:color="FFFFFF"/>
              <w:right w:val="single" w:sz="4" w:space="0" w:color="FFFFFF"/>
            </w:tcBorders>
            <w:shd w:val="clear" w:color="000000" w:fill="D8E4BC"/>
            <w:noWrap/>
            <w:vAlign w:val="center"/>
          </w:tcPr>
          <w:p w14:paraId="7F6E31D3" w14:textId="538F0130" w:rsidR="003B759E" w:rsidRPr="003B759E" w:rsidRDefault="00A27CE7" w:rsidP="003B759E">
            <w:pPr>
              <w:jc w:val="right"/>
              <w:rPr>
                <w:rFonts w:ascii="Calibri" w:hAnsi="Calibri"/>
                <w:color w:val="000000"/>
                <w:lang w:eastAsia="en-GB"/>
              </w:rPr>
            </w:pPr>
            <w:r>
              <w:rPr>
                <w:rFonts w:ascii="Calibri" w:hAnsi="Calibri"/>
                <w:color w:val="000000"/>
                <w:lang w:eastAsia="en-GB"/>
              </w:rPr>
              <w:t>0</w:t>
            </w:r>
          </w:p>
        </w:tc>
      </w:tr>
      <w:tr w:rsidR="003B759E" w:rsidRPr="003B759E" w14:paraId="65B5DC94"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0F7D2E69" w14:textId="2F8791E0" w:rsidR="003B759E" w:rsidRPr="003B759E" w:rsidRDefault="008706DA" w:rsidP="003B759E">
            <w:pPr>
              <w:jc w:val="right"/>
              <w:rPr>
                <w:rFonts w:ascii="Calibri" w:hAnsi="Calibri"/>
                <w:color w:val="000000"/>
                <w:lang w:eastAsia="en-GB"/>
              </w:rPr>
            </w:pPr>
            <w:r>
              <w:rPr>
                <w:rFonts w:ascii="Calibri" w:hAnsi="Calibri"/>
                <w:color w:val="000000"/>
                <w:lang w:eastAsia="en-GB"/>
              </w:rPr>
              <w:t>20</w:t>
            </w:r>
          </w:p>
        </w:tc>
        <w:tc>
          <w:tcPr>
            <w:tcW w:w="5840" w:type="dxa"/>
            <w:tcBorders>
              <w:top w:val="nil"/>
              <w:left w:val="nil"/>
              <w:bottom w:val="single" w:sz="4" w:space="0" w:color="FFFFFF"/>
              <w:right w:val="single" w:sz="4" w:space="0" w:color="FFFFFF"/>
            </w:tcBorders>
            <w:shd w:val="clear" w:color="000000" w:fill="EBF1DE"/>
            <w:noWrap/>
            <w:vAlign w:val="center"/>
            <w:hideMark/>
          </w:tcPr>
          <w:p w14:paraId="506A32BB"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Drainage Rates Levy</w:t>
            </w:r>
          </w:p>
        </w:tc>
        <w:tc>
          <w:tcPr>
            <w:tcW w:w="1720" w:type="dxa"/>
            <w:tcBorders>
              <w:top w:val="nil"/>
              <w:left w:val="nil"/>
              <w:bottom w:val="single" w:sz="4" w:space="0" w:color="FFFFFF"/>
              <w:right w:val="single" w:sz="4" w:space="0" w:color="FFFFFF"/>
            </w:tcBorders>
            <w:shd w:val="clear" w:color="000000" w:fill="D8E4BC"/>
            <w:noWrap/>
            <w:vAlign w:val="center"/>
          </w:tcPr>
          <w:p w14:paraId="15291FCE" w14:textId="5B67A20C" w:rsidR="003B759E" w:rsidRPr="003B759E" w:rsidRDefault="00A27CE7" w:rsidP="003B759E">
            <w:pPr>
              <w:jc w:val="right"/>
              <w:rPr>
                <w:rFonts w:ascii="Calibri" w:hAnsi="Calibri"/>
                <w:color w:val="000000"/>
                <w:lang w:eastAsia="en-GB"/>
              </w:rPr>
            </w:pPr>
            <w:r>
              <w:rPr>
                <w:rFonts w:ascii="Calibri" w:hAnsi="Calibri"/>
                <w:color w:val="000000"/>
                <w:lang w:eastAsia="en-GB"/>
              </w:rPr>
              <w:t>21</w:t>
            </w:r>
          </w:p>
        </w:tc>
      </w:tr>
      <w:tr w:rsidR="003B759E" w:rsidRPr="003B759E" w14:paraId="278C3FE1"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0CDC0331" w14:textId="11469B02" w:rsidR="003B759E" w:rsidRPr="003B759E" w:rsidRDefault="004F22C2" w:rsidP="003B759E">
            <w:pPr>
              <w:jc w:val="right"/>
              <w:rPr>
                <w:rFonts w:ascii="Calibri" w:hAnsi="Calibri"/>
                <w:color w:val="000000"/>
                <w:lang w:eastAsia="en-GB"/>
              </w:rPr>
            </w:pPr>
            <w:r>
              <w:rPr>
                <w:rFonts w:ascii="Calibri" w:hAnsi="Calibri"/>
                <w:color w:val="000000"/>
                <w:lang w:eastAsia="en-GB"/>
              </w:rPr>
              <w:t>-1</w:t>
            </w:r>
            <w:r w:rsidR="008706DA">
              <w:rPr>
                <w:rFonts w:ascii="Calibri" w:hAnsi="Calibri"/>
                <w:color w:val="000000"/>
                <w:lang w:eastAsia="en-GB"/>
              </w:rPr>
              <w:t>49</w:t>
            </w:r>
          </w:p>
        </w:tc>
        <w:tc>
          <w:tcPr>
            <w:tcW w:w="5840" w:type="dxa"/>
            <w:tcBorders>
              <w:top w:val="nil"/>
              <w:left w:val="nil"/>
              <w:bottom w:val="single" w:sz="4" w:space="0" w:color="FFFFFF"/>
              <w:right w:val="single" w:sz="4" w:space="0" w:color="FFFFFF"/>
            </w:tcBorders>
            <w:shd w:val="clear" w:color="000000" w:fill="EBF1DE"/>
            <w:noWrap/>
            <w:vAlign w:val="center"/>
            <w:hideMark/>
          </w:tcPr>
          <w:p w14:paraId="6F733814"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 xml:space="preserve">Gains on the disposal of non-current assets </w:t>
            </w:r>
          </w:p>
        </w:tc>
        <w:tc>
          <w:tcPr>
            <w:tcW w:w="1720" w:type="dxa"/>
            <w:tcBorders>
              <w:top w:val="nil"/>
              <w:left w:val="nil"/>
              <w:bottom w:val="single" w:sz="4" w:space="0" w:color="FFFFFF"/>
              <w:right w:val="single" w:sz="4" w:space="0" w:color="FFFFFF"/>
            </w:tcBorders>
            <w:shd w:val="clear" w:color="000000" w:fill="D8E4BC"/>
            <w:noWrap/>
            <w:vAlign w:val="center"/>
          </w:tcPr>
          <w:p w14:paraId="323B49D5" w14:textId="0BED5BE5" w:rsidR="003B759E" w:rsidRPr="003B759E" w:rsidRDefault="00A27CE7" w:rsidP="003B759E">
            <w:pPr>
              <w:jc w:val="right"/>
              <w:rPr>
                <w:rFonts w:ascii="Calibri" w:hAnsi="Calibri"/>
                <w:color w:val="000000"/>
                <w:lang w:eastAsia="en-GB"/>
              </w:rPr>
            </w:pPr>
            <w:r>
              <w:rPr>
                <w:rFonts w:ascii="Calibri" w:hAnsi="Calibri"/>
                <w:color w:val="000000"/>
                <w:lang w:eastAsia="en-GB"/>
              </w:rPr>
              <w:t>-93</w:t>
            </w:r>
          </w:p>
        </w:tc>
      </w:tr>
      <w:tr w:rsidR="003B759E" w:rsidRPr="003B759E" w14:paraId="6C0555A5"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4A7B69DD" w14:textId="130BE33D" w:rsidR="003B759E" w:rsidRPr="00272F06" w:rsidRDefault="003A097F" w:rsidP="003B759E">
            <w:pPr>
              <w:jc w:val="right"/>
              <w:rPr>
                <w:rFonts w:ascii="Calibri" w:hAnsi="Calibri"/>
                <w:color w:val="000000"/>
                <w:highlight w:val="yellow"/>
                <w:lang w:eastAsia="en-GB"/>
              </w:rPr>
            </w:pPr>
            <w:r>
              <w:rPr>
                <w:rFonts w:ascii="Calibri" w:hAnsi="Calibri"/>
                <w:color w:val="000000"/>
                <w:lang w:eastAsia="en-GB"/>
              </w:rPr>
              <w:t>3</w:t>
            </w:r>
          </w:p>
        </w:tc>
        <w:tc>
          <w:tcPr>
            <w:tcW w:w="5840" w:type="dxa"/>
            <w:tcBorders>
              <w:top w:val="nil"/>
              <w:left w:val="nil"/>
              <w:bottom w:val="single" w:sz="4" w:space="0" w:color="FFFFFF"/>
              <w:right w:val="single" w:sz="4" w:space="0" w:color="FFFFFF"/>
            </w:tcBorders>
            <w:shd w:val="clear" w:color="000000" w:fill="EBF1DE"/>
            <w:noWrap/>
            <w:vAlign w:val="center"/>
            <w:hideMark/>
          </w:tcPr>
          <w:p w14:paraId="7B9915EE" w14:textId="77777777" w:rsidR="003B759E" w:rsidRPr="003B759E" w:rsidRDefault="008D67EE" w:rsidP="003B759E">
            <w:pPr>
              <w:rPr>
                <w:rFonts w:ascii="Calibri" w:hAnsi="Calibri"/>
                <w:color w:val="000000"/>
                <w:lang w:eastAsia="en-GB"/>
              </w:rPr>
            </w:pPr>
            <w:r>
              <w:rPr>
                <w:rFonts w:ascii="Calibri" w:hAnsi="Calibri"/>
                <w:color w:val="000000"/>
                <w:lang w:eastAsia="en-GB"/>
              </w:rPr>
              <w:t>Other Expenditure</w:t>
            </w:r>
            <w:r w:rsidR="003B759E" w:rsidRPr="003B759E">
              <w:rPr>
                <w:rFonts w:ascii="Calibri" w:hAnsi="Calibri"/>
                <w:color w:val="000000"/>
                <w:lang w:eastAsia="en-GB"/>
              </w:rPr>
              <w:t xml:space="preserve"> </w:t>
            </w:r>
          </w:p>
        </w:tc>
        <w:tc>
          <w:tcPr>
            <w:tcW w:w="1720" w:type="dxa"/>
            <w:tcBorders>
              <w:top w:val="nil"/>
              <w:left w:val="nil"/>
              <w:bottom w:val="single" w:sz="4" w:space="0" w:color="FFFFFF"/>
              <w:right w:val="single" w:sz="4" w:space="0" w:color="FFFFFF"/>
            </w:tcBorders>
            <w:shd w:val="clear" w:color="000000" w:fill="D8E4BC"/>
            <w:noWrap/>
            <w:vAlign w:val="center"/>
          </w:tcPr>
          <w:p w14:paraId="3AEB32B6" w14:textId="730E07EC" w:rsidR="003B759E" w:rsidRPr="003B759E" w:rsidRDefault="00A27CE7" w:rsidP="003B759E">
            <w:pPr>
              <w:jc w:val="right"/>
              <w:rPr>
                <w:rFonts w:ascii="Calibri" w:hAnsi="Calibri"/>
                <w:color w:val="000000"/>
                <w:lang w:eastAsia="en-GB"/>
              </w:rPr>
            </w:pPr>
            <w:r>
              <w:rPr>
                <w:rFonts w:ascii="Calibri" w:hAnsi="Calibri"/>
                <w:color w:val="000000"/>
                <w:lang w:eastAsia="en-GB"/>
              </w:rPr>
              <w:t>13</w:t>
            </w:r>
          </w:p>
        </w:tc>
      </w:tr>
      <w:tr w:rsidR="003B759E" w:rsidRPr="003B759E" w14:paraId="09175411" w14:textId="77777777" w:rsidTr="00845765">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23B37981" w14:textId="3FD229C2" w:rsidR="003B759E" w:rsidRPr="003B759E" w:rsidRDefault="003A097F" w:rsidP="00756734">
            <w:pPr>
              <w:jc w:val="right"/>
              <w:rPr>
                <w:rFonts w:ascii="Calibri" w:hAnsi="Calibri"/>
                <w:b/>
                <w:bCs/>
                <w:color w:val="000000"/>
                <w:lang w:eastAsia="en-GB"/>
              </w:rPr>
            </w:pPr>
            <w:r>
              <w:rPr>
                <w:rFonts w:ascii="Calibri" w:hAnsi="Calibri"/>
                <w:b/>
                <w:bCs/>
                <w:color w:val="000000"/>
                <w:lang w:eastAsia="en-GB"/>
              </w:rPr>
              <w:t>725</w:t>
            </w:r>
          </w:p>
        </w:tc>
        <w:tc>
          <w:tcPr>
            <w:tcW w:w="5840" w:type="dxa"/>
            <w:tcBorders>
              <w:top w:val="nil"/>
              <w:left w:val="nil"/>
              <w:bottom w:val="single" w:sz="4" w:space="0" w:color="FFFFFF"/>
              <w:right w:val="single" w:sz="4" w:space="0" w:color="FFFFFF"/>
            </w:tcBorders>
            <w:shd w:val="clear" w:color="000000" w:fill="D8E4BC"/>
            <w:noWrap/>
            <w:vAlign w:val="center"/>
            <w:hideMark/>
          </w:tcPr>
          <w:p w14:paraId="37490655" w14:textId="77777777" w:rsidR="003B759E" w:rsidRPr="003B759E" w:rsidRDefault="003B759E" w:rsidP="003B759E">
            <w:pPr>
              <w:rPr>
                <w:rFonts w:ascii="Calibri" w:hAnsi="Calibri"/>
                <w:b/>
                <w:bCs/>
                <w:color w:val="000000"/>
                <w:lang w:eastAsia="en-GB"/>
              </w:rPr>
            </w:pPr>
            <w:r w:rsidRPr="003B759E">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0784B4C3" w14:textId="5B86BC34" w:rsidR="003B759E" w:rsidRPr="003B759E" w:rsidRDefault="00A27CE7" w:rsidP="00436CCB">
            <w:pPr>
              <w:jc w:val="right"/>
              <w:rPr>
                <w:rFonts w:ascii="Calibri" w:hAnsi="Calibri"/>
                <w:b/>
                <w:bCs/>
                <w:color w:val="000000"/>
                <w:lang w:eastAsia="en-GB"/>
              </w:rPr>
            </w:pPr>
            <w:r>
              <w:rPr>
                <w:rFonts w:ascii="Calibri" w:hAnsi="Calibri"/>
                <w:b/>
                <w:bCs/>
                <w:color w:val="000000"/>
                <w:lang w:eastAsia="en-GB"/>
              </w:rPr>
              <w:t>656</w:t>
            </w:r>
          </w:p>
        </w:tc>
      </w:tr>
    </w:tbl>
    <w:p w14:paraId="5F00BEA1" w14:textId="77777777" w:rsidR="007D6368" w:rsidRDefault="00D44B71" w:rsidP="00EB1FC3">
      <w:pPr>
        <w:widowControl w:val="0"/>
        <w:tabs>
          <w:tab w:val="left" w:pos="0"/>
          <w:tab w:val="left" w:pos="720"/>
          <w:tab w:val="left" w:pos="1800"/>
          <w:tab w:val="left" w:pos="2520"/>
          <w:tab w:val="left" w:pos="2592"/>
          <w:tab w:val="left" w:pos="6768"/>
          <w:tab w:val="left" w:pos="8640"/>
        </w:tabs>
        <w:ind w:right="-57"/>
        <w:rPr>
          <w:rFonts w:ascii="Arial" w:hAnsi="Arial" w:cs="Arial"/>
        </w:rPr>
      </w:pPr>
      <w:r>
        <w:rPr>
          <w:rFonts w:ascii="Arial" w:hAnsi="Arial" w:cs="Arial"/>
        </w:rPr>
        <w:tab/>
      </w:r>
    </w:p>
    <w:p w14:paraId="3A9E1801" w14:textId="357B9464" w:rsidR="007D6368" w:rsidRPr="003B759E" w:rsidRDefault="00805549" w:rsidP="00704A70">
      <w:pPr>
        <w:pStyle w:val="Heading2"/>
      </w:pPr>
      <w:r>
        <w:t>6</w:t>
      </w:r>
      <w:r w:rsidR="00A64A60" w:rsidRPr="003B759E">
        <w:t xml:space="preserve"> </w:t>
      </w:r>
      <w:r w:rsidR="00A64A60" w:rsidRPr="003B759E">
        <w:tab/>
      </w:r>
      <w:r w:rsidR="00AB666E" w:rsidRPr="003B759E">
        <w:t>F</w:t>
      </w:r>
      <w:r w:rsidR="00BA69EF">
        <w:t xml:space="preserve">inancing </w:t>
      </w:r>
      <w:r w:rsidR="00704A70">
        <w:t>and</w:t>
      </w:r>
      <w:r w:rsidR="00BA69EF">
        <w:t xml:space="preserve"> Investment Income </w:t>
      </w:r>
      <w:r w:rsidR="00704A70">
        <w:t>and</w:t>
      </w:r>
      <w:r w:rsidR="00BA69EF">
        <w:t xml:space="preserve"> Expenditure</w:t>
      </w:r>
    </w:p>
    <w:p w14:paraId="5E0BBF52" w14:textId="77777777" w:rsidR="0013790D" w:rsidRDefault="0013790D" w:rsidP="00EB1FC3">
      <w:pPr>
        <w:widowControl w:val="0"/>
        <w:tabs>
          <w:tab w:val="left" w:pos="0"/>
          <w:tab w:val="left" w:pos="720"/>
          <w:tab w:val="left" w:pos="1800"/>
          <w:tab w:val="left" w:pos="2520"/>
          <w:tab w:val="left" w:pos="2592"/>
          <w:tab w:val="left" w:pos="6768"/>
          <w:tab w:val="left" w:pos="8640"/>
        </w:tabs>
        <w:ind w:right="-57"/>
        <w:rPr>
          <w:rFonts w:ascii="Arial" w:hAnsi="Arial" w:cs="Arial"/>
          <w:b/>
        </w:rPr>
      </w:pPr>
    </w:p>
    <w:tbl>
      <w:tblPr>
        <w:tblW w:w="9240" w:type="dxa"/>
        <w:tblInd w:w="93" w:type="dxa"/>
        <w:tblLook w:val="04A0" w:firstRow="1" w:lastRow="0" w:firstColumn="1" w:lastColumn="0" w:noHBand="0" w:noVBand="1"/>
        <w:tblCaption w:val="Financing and Investment Income and Expenditure"/>
        <w:tblDescription w:val="Financing and Investment Income and Expenditure for 2022-2023 with 2021-2022 comparatives"/>
      </w:tblPr>
      <w:tblGrid>
        <w:gridCol w:w="1680"/>
        <w:gridCol w:w="5840"/>
        <w:gridCol w:w="1720"/>
      </w:tblGrid>
      <w:tr w:rsidR="003B759E" w:rsidRPr="003B759E" w14:paraId="15328935"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p w14:paraId="03B78848" w14:textId="69C8F06D" w:rsidR="003B759E" w:rsidRPr="003B759E" w:rsidRDefault="003B759E" w:rsidP="004F22C2">
            <w:pPr>
              <w:jc w:val="right"/>
              <w:rPr>
                <w:rFonts w:ascii="Calibri" w:hAnsi="Calibri"/>
                <w:color w:val="000000"/>
                <w:lang w:eastAsia="en-GB"/>
              </w:rPr>
            </w:pPr>
            <w:r w:rsidRPr="003B759E">
              <w:rPr>
                <w:rFonts w:ascii="Calibri" w:hAnsi="Calibri"/>
                <w:color w:val="000000"/>
                <w:lang w:eastAsia="en-GB"/>
              </w:rPr>
              <w:t>20</w:t>
            </w:r>
            <w:r w:rsidR="00586607">
              <w:rPr>
                <w:rFonts w:ascii="Calibri" w:hAnsi="Calibri"/>
                <w:color w:val="000000"/>
                <w:lang w:eastAsia="en-GB"/>
              </w:rPr>
              <w:t>2</w:t>
            </w:r>
            <w:r w:rsidR="003A097F">
              <w:rPr>
                <w:rFonts w:ascii="Calibri" w:hAnsi="Calibri"/>
                <w:color w:val="000000"/>
                <w:lang w:eastAsia="en-GB"/>
              </w:rPr>
              <w:t>1</w:t>
            </w:r>
            <w:r w:rsidRPr="003B759E">
              <w:rPr>
                <w:rFonts w:ascii="Calibri" w:hAnsi="Calibri"/>
                <w:color w:val="000000"/>
                <w:lang w:eastAsia="en-GB"/>
              </w:rPr>
              <w:t>-</w:t>
            </w:r>
            <w:r w:rsidR="004F22C2">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32F3DD51"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507E37E1" w14:textId="3C103FC2" w:rsidR="003B759E" w:rsidRPr="003B759E" w:rsidRDefault="003B759E" w:rsidP="004F22C2">
            <w:pPr>
              <w:jc w:val="right"/>
              <w:rPr>
                <w:rFonts w:ascii="Calibri" w:hAnsi="Calibri"/>
                <w:color w:val="000000"/>
                <w:lang w:eastAsia="en-GB"/>
              </w:rPr>
            </w:pPr>
            <w:r w:rsidRPr="003B759E">
              <w:rPr>
                <w:rFonts w:ascii="Calibri" w:hAnsi="Calibri"/>
                <w:color w:val="000000"/>
                <w:lang w:eastAsia="en-GB"/>
              </w:rPr>
              <w:t>20</w:t>
            </w:r>
            <w:r w:rsidR="004F22C2">
              <w:rPr>
                <w:rFonts w:ascii="Calibri" w:hAnsi="Calibri"/>
                <w:color w:val="000000"/>
                <w:lang w:eastAsia="en-GB"/>
              </w:rPr>
              <w:t>2</w:t>
            </w:r>
            <w:r w:rsidR="003A097F">
              <w:rPr>
                <w:rFonts w:ascii="Calibri" w:hAnsi="Calibri"/>
                <w:color w:val="000000"/>
                <w:lang w:eastAsia="en-GB"/>
              </w:rPr>
              <w:t>2</w:t>
            </w:r>
            <w:r w:rsidRPr="003B759E">
              <w:rPr>
                <w:rFonts w:ascii="Calibri" w:hAnsi="Calibri"/>
                <w:color w:val="000000"/>
                <w:lang w:eastAsia="en-GB"/>
              </w:rPr>
              <w:t>-</w:t>
            </w:r>
            <w:r w:rsidR="00FB2EEF">
              <w:rPr>
                <w:rFonts w:ascii="Calibri" w:hAnsi="Calibri"/>
                <w:color w:val="000000"/>
                <w:lang w:eastAsia="en-GB"/>
              </w:rPr>
              <w:t>2</w:t>
            </w:r>
            <w:r w:rsidR="003A097F">
              <w:rPr>
                <w:rFonts w:ascii="Calibri" w:hAnsi="Calibri"/>
                <w:color w:val="000000"/>
                <w:lang w:eastAsia="en-GB"/>
              </w:rPr>
              <w:t>3</w:t>
            </w:r>
          </w:p>
        </w:tc>
      </w:tr>
      <w:tr w:rsidR="003B759E" w:rsidRPr="003B759E" w14:paraId="5762C3EC" w14:textId="77777777" w:rsidTr="003B759E">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4EC68142"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30599400"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778F815D" w14:textId="77777777" w:rsidR="003B759E" w:rsidRPr="003B759E" w:rsidRDefault="003B759E" w:rsidP="003B759E">
            <w:pPr>
              <w:jc w:val="right"/>
              <w:rPr>
                <w:rFonts w:ascii="Calibri" w:hAnsi="Calibri"/>
                <w:color w:val="000000"/>
                <w:lang w:eastAsia="en-GB"/>
              </w:rPr>
            </w:pPr>
            <w:r w:rsidRPr="003B759E">
              <w:rPr>
                <w:rFonts w:ascii="Calibri" w:hAnsi="Calibri"/>
                <w:color w:val="000000"/>
                <w:lang w:eastAsia="en-GB"/>
              </w:rPr>
              <w:t>£’000</w:t>
            </w:r>
          </w:p>
        </w:tc>
      </w:tr>
      <w:tr w:rsidR="003B759E" w:rsidRPr="003B759E" w14:paraId="732A6001"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03030762" w14:textId="77777777" w:rsidR="003B759E" w:rsidRPr="003B759E" w:rsidRDefault="003B759E" w:rsidP="0027595C">
            <w:pPr>
              <w:jc w:val="right"/>
              <w:rPr>
                <w:rFonts w:ascii="Calibri" w:hAnsi="Calibri"/>
                <w:color w:val="000000"/>
                <w:lang w:eastAsia="en-GB"/>
              </w:rPr>
            </w:pPr>
            <w:r w:rsidRPr="003B759E">
              <w:rPr>
                <w:rFonts w:ascii="Calibri" w:hAnsi="Calibri"/>
                <w:color w:val="000000"/>
                <w:lang w:eastAsia="en-GB"/>
              </w:rPr>
              <w:t>1,16</w:t>
            </w:r>
            <w:r w:rsidR="0027595C">
              <w:rPr>
                <w:rFonts w:ascii="Calibri" w:hAnsi="Calibri"/>
                <w:color w:val="000000"/>
                <w:lang w:eastAsia="en-GB"/>
              </w:rPr>
              <w:t>8</w:t>
            </w:r>
          </w:p>
        </w:tc>
        <w:tc>
          <w:tcPr>
            <w:tcW w:w="5840" w:type="dxa"/>
            <w:tcBorders>
              <w:top w:val="nil"/>
              <w:left w:val="nil"/>
              <w:bottom w:val="single" w:sz="4" w:space="0" w:color="FFFFFF"/>
              <w:right w:val="single" w:sz="4" w:space="0" w:color="FFFFFF"/>
            </w:tcBorders>
            <w:shd w:val="clear" w:color="000000" w:fill="EBF1DE"/>
            <w:noWrap/>
            <w:vAlign w:val="center"/>
            <w:hideMark/>
          </w:tcPr>
          <w:p w14:paraId="263EFB7E" w14:textId="77777777" w:rsidR="003B759E" w:rsidRPr="003B759E" w:rsidRDefault="003B759E" w:rsidP="003B759E">
            <w:pPr>
              <w:jc w:val="both"/>
              <w:rPr>
                <w:rFonts w:ascii="Calibri" w:hAnsi="Calibri"/>
                <w:color w:val="000000"/>
                <w:lang w:eastAsia="en-GB"/>
              </w:rPr>
            </w:pPr>
            <w:r w:rsidRPr="003B759E">
              <w:rPr>
                <w:rFonts w:ascii="Calibri" w:hAnsi="Calibri"/>
                <w:color w:val="000000"/>
                <w:lang w:eastAsia="en-GB"/>
              </w:rPr>
              <w:t>Interest payable and similar charges</w:t>
            </w:r>
          </w:p>
        </w:tc>
        <w:tc>
          <w:tcPr>
            <w:tcW w:w="1720" w:type="dxa"/>
            <w:tcBorders>
              <w:top w:val="nil"/>
              <w:left w:val="nil"/>
              <w:bottom w:val="single" w:sz="4" w:space="0" w:color="FFFFFF"/>
              <w:right w:val="single" w:sz="4" w:space="0" w:color="FFFFFF"/>
            </w:tcBorders>
            <w:shd w:val="clear" w:color="000000" w:fill="D8E4BC"/>
            <w:noWrap/>
            <w:vAlign w:val="center"/>
          </w:tcPr>
          <w:p w14:paraId="5942CFCA" w14:textId="2CD60B0B" w:rsidR="003B759E" w:rsidRPr="003B759E" w:rsidRDefault="00A27CE7" w:rsidP="003B759E">
            <w:pPr>
              <w:jc w:val="right"/>
              <w:rPr>
                <w:rFonts w:ascii="Calibri" w:hAnsi="Calibri"/>
                <w:color w:val="000000"/>
                <w:lang w:eastAsia="en-GB"/>
              </w:rPr>
            </w:pPr>
            <w:r>
              <w:rPr>
                <w:rFonts w:ascii="Calibri" w:hAnsi="Calibri"/>
                <w:color w:val="000000"/>
                <w:lang w:eastAsia="en-GB"/>
              </w:rPr>
              <w:t>1,</w:t>
            </w:r>
            <w:r w:rsidR="002A0BE6">
              <w:rPr>
                <w:rFonts w:ascii="Calibri" w:hAnsi="Calibri"/>
                <w:color w:val="000000"/>
                <w:lang w:eastAsia="en-GB"/>
              </w:rPr>
              <w:t>533</w:t>
            </w:r>
          </w:p>
        </w:tc>
      </w:tr>
      <w:tr w:rsidR="003B759E" w:rsidRPr="003B759E" w14:paraId="08BDFDEA"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3BB20E95" w14:textId="7314FCC1" w:rsidR="003B759E" w:rsidRPr="003B759E" w:rsidRDefault="003A097F" w:rsidP="00FB2EEF">
            <w:pPr>
              <w:jc w:val="right"/>
              <w:rPr>
                <w:rFonts w:ascii="Calibri" w:hAnsi="Calibri"/>
                <w:color w:val="000000"/>
                <w:lang w:eastAsia="en-GB"/>
              </w:rPr>
            </w:pPr>
            <w:r>
              <w:rPr>
                <w:rFonts w:ascii="Calibri" w:hAnsi="Calibri"/>
                <w:color w:val="000000"/>
                <w:lang w:eastAsia="en-GB"/>
              </w:rPr>
              <w:t>566</w:t>
            </w:r>
          </w:p>
        </w:tc>
        <w:tc>
          <w:tcPr>
            <w:tcW w:w="5840" w:type="dxa"/>
            <w:tcBorders>
              <w:top w:val="nil"/>
              <w:left w:val="nil"/>
              <w:bottom w:val="single" w:sz="4" w:space="0" w:color="FFFFFF"/>
              <w:right w:val="single" w:sz="4" w:space="0" w:color="FFFFFF"/>
            </w:tcBorders>
            <w:shd w:val="clear" w:color="000000" w:fill="EBF1DE"/>
            <w:noWrap/>
            <w:vAlign w:val="center"/>
            <w:hideMark/>
          </w:tcPr>
          <w:p w14:paraId="38E64CA9" w14:textId="77777777" w:rsidR="003B759E" w:rsidRPr="003B759E" w:rsidRDefault="003B759E" w:rsidP="003B759E">
            <w:pPr>
              <w:jc w:val="both"/>
              <w:rPr>
                <w:rFonts w:ascii="Calibri" w:hAnsi="Calibri"/>
                <w:color w:val="000000"/>
                <w:lang w:eastAsia="en-GB"/>
              </w:rPr>
            </w:pPr>
            <w:r w:rsidRPr="003B759E">
              <w:rPr>
                <w:rFonts w:ascii="Calibri" w:hAnsi="Calibri"/>
                <w:color w:val="000000"/>
                <w:lang w:eastAsia="en-GB"/>
              </w:rPr>
              <w:t>Net interest on the net defined benefit liability (asset)</w:t>
            </w:r>
          </w:p>
        </w:tc>
        <w:tc>
          <w:tcPr>
            <w:tcW w:w="1720" w:type="dxa"/>
            <w:tcBorders>
              <w:top w:val="nil"/>
              <w:left w:val="nil"/>
              <w:bottom w:val="single" w:sz="4" w:space="0" w:color="FFFFFF"/>
              <w:right w:val="single" w:sz="4" w:space="0" w:color="FFFFFF"/>
            </w:tcBorders>
            <w:shd w:val="clear" w:color="000000" w:fill="D8E4BC"/>
            <w:noWrap/>
            <w:vAlign w:val="center"/>
          </w:tcPr>
          <w:p w14:paraId="7617C3C3" w14:textId="6B7E99F5" w:rsidR="003B759E" w:rsidRPr="003B759E" w:rsidRDefault="00BD7A8C" w:rsidP="00847423">
            <w:pPr>
              <w:jc w:val="right"/>
              <w:rPr>
                <w:rFonts w:ascii="Calibri" w:hAnsi="Calibri"/>
                <w:color w:val="000000"/>
                <w:lang w:eastAsia="en-GB"/>
              </w:rPr>
            </w:pPr>
            <w:r>
              <w:rPr>
                <w:rFonts w:ascii="Calibri" w:hAnsi="Calibri"/>
                <w:color w:val="000000"/>
                <w:lang w:eastAsia="en-GB"/>
              </w:rPr>
              <w:t>568</w:t>
            </w:r>
          </w:p>
        </w:tc>
      </w:tr>
      <w:tr w:rsidR="003B759E" w:rsidRPr="003B759E" w14:paraId="0A148DAA"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7BC2A709" w14:textId="0C7565D8" w:rsidR="003B759E" w:rsidRPr="003B759E" w:rsidRDefault="0027595C" w:rsidP="000733A7">
            <w:pPr>
              <w:jc w:val="right"/>
              <w:rPr>
                <w:rFonts w:ascii="Calibri" w:hAnsi="Calibri"/>
                <w:color w:val="000000"/>
                <w:lang w:eastAsia="en-GB"/>
              </w:rPr>
            </w:pPr>
            <w:r>
              <w:rPr>
                <w:rFonts w:ascii="Calibri" w:hAnsi="Calibri"/>
                <w:color w:val="000000"/>
                <w:lang w:eastAsia="en-GB"/>
              </w:rPr>
              <w:t>-</w:t>
            </w:r>
            <w:r w:rsidR="003A097F">
              <w:rPr>
                <w:rFonts w:ascii="Calibri" w:hAnsi="Calibri"/>
                <w:color w:val="000000"/>
                <w:lang w:eastAsia="en-GB"/>
              </w:rPr>
              <w:t>543</w:t>
            </w:r>
          </w:p>
        </w:tc>
        <w:tc>
          <w:tcPr>
            <w:tcW w:w="5840" w:type="dxa"/>
            <w:tcBorders>
              <w:top w:val="nil"/>
              <w:left w:val="nil"/>
              <w:bottom w:val="single" w:sz="4" w:space="0" w:color="FFFFFF"/>
              <w:right w:val="single" w:sz="4" w:space="0" w:color="FFFFFF"/>
            </w:tcBorders>
            <w:shd w:val="clear" w:color="000000" w:fill="EBF1DE"/>
            <w:noWrap/>
            <w:vAlign w:val="center"/>
            <w:hideMark/>
          </w:tcPr>
          <w:p w14:paraId="758F0AD6" w14:textId="77777777" w:rsidR="003B759E" w:rsidRPr="003B759E" w:rsidRDefault="003B759E" w:rsidP="003B759E">
            <w:pPr>
              <w:jc w:val="both"/>
              <w:rPr>
                <w:rFonts w:ascii="Calibri" w:hAnsi="Calibri"/>
                <w:color w:val="000000"/>
                <w:lang w:eastAsia="en-GB"/>
              </w:rPr>
            </w:pPr>
            <w:r w:rsidRPr="003B759E">
              <w:rPr>
                <w:rFonts w:ascii="Calibri" w:hAnsi="Calibri"/>
                <w:color w:val="000000"/>
                <w:lang w:eastAsia="en-GB"/>
              </w:rPr>
              <w:t>Interest receivable and similar income</w:t>
            </w:r>
          </w:p>
        </w:tc>
        <w:tc>
          <w:tcPr>
            <w:tcW w:w="1720" w:type="dxa"/>
            <w:tcBorders>
              <w:top w:val="nil"/>
              <w:left w:val="nil"/>
              <w:bottom w:val="single" w:sz="4" w:space="0" w:color="FFFFFF"/>
              <w:right w:val="single" w:sz="4" w:space="0" w:color="FFFFFF"/>
            </w:tcBorders>
            <w:shd w:val="clear" w:color="000000" w:fill="D8E4BC"/>
            <w:noWrap/>
            <w:vAlign w:val="center"/>
          </w:tcPr>
          <w:p w14:paraId="0B9FBCA4" w14:textId="6D73EE38" w:rsidR="003B759E" w:rsidRPr="003B759E" w:rsidRDefault="00BD7A8C" w:rsidP="003B759E">
            <w:pPr>
              <w:jc w:val="right"/>
              <w:rPr>
                <w:rFonts w:ascii="Calibri" w:hAnsi="Calibri"/>
                <w:color w:val="000000"/>
                <w:lang w:eastAsia="en-GB"/>
              </w:rPr>
            </w:pPr>
            <w:r>
              <w:rPr>
                <w:rFonts w:ascii="Calibri" w:hAnsi="Calibri"/>
                <w:color w:val="000000"/>
                <w:lang w:eastAsia="en-GB"/>
              </w:rPr>
              <w:t>-</w:t>
            </w:r>
            <w:r w:rsidR="002A0BE6">
              <w:rPr>
                <w:rFonts w:ascii="Calibri" w:hAnsi="Calibri"/>
                <w:color w:val="000000"/>
                <w:lang w:eastAsia="en-GB"/>
              </w:rPr>
              <w:t>662</w:t>
            </w:r>
          </w:p>
        </w:tc>
      </w:tr>
      <w:tr w:rsidR="003B759E" w:rsidRPr="003B759E" w14:paraId="7DCE6C8E" w14:textId="77777777" w:rsidTr="0027595C">
        <w:trPr>
          <w:trHeight w:val="51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518B5B12" w14:textId="773FEAEE" w:rsidR="003B759E" w:rsidRPr="003B759E" w:rsidRDefault="003A097F" w:rsidP="000733A7">
            <w:pPr>
              <w:jc w:val="right"/>
              <w:rPr>
                <w:rFonts w:ascii="Calibri" w:hAnsi="Calibri"/>
                <w:color w:val="000000"/>
                <w:lang w:eastAsia="en-GB"/>
              </w:rPr>
            </w:pPr>
            <w:r>
              <w:rPr>
                <w:rFonts w:ascii="Calibri" w:hAnsi="Calibri"/>
                <w:color w:val="000000"/>
                <w:lang w:eastAsia="en-GB"/>
              </w:rPr>
              <w:t>1</w:t>
            </w:r>
          </w:p>
        </w:tc>
        <w:tc>
          <w:tcPr>
            <w:tcW w:w="5840" w:type="dxa"/>
            <w:tcBorders>
              <w:top w:val="nil"/>
              <w:left w:val="nil"/>
              <w:bottom w:val="single" w:sz="4" w:space="0" w:color="FFFFFF"/>
              <w:right w:val="single" w:sz="4" w:space="0" w:color="FFFFFF"/>
            </w:tcBorders>
            <w:shd w:val="clear" w:color="000000" w:fill="EBF1DE"/>
            <w:vAlign w:val="center"/>
            <w:hideMark/>
          </w:tcPr>
          <w:p w14:paraId="6A3190BC" w14:textId="3845A313" w:rsidR="003B759E" w:rsidRPr="003B759E" w:rsidRDefault="003B759E" w:rsidP="003B759E">
            <w:pPr>
              <w:jc w:val="both"/>
              <w:rPr>
                <w:rFonts w:ascii="Calibri" w:hAnsi="Calibri"/>
                <w:color w:val="000000"/>
                <w:lang w:eastAsia="en-GB"/>
              </w:rPr>
            </w:pPr>
            <w:r w:rsidRPr="003B759E">
              <w:rPr>
                <w:rFonts w:ascii="Calibri" w:hAnsi="Calibri"/>
                <w:color w:val="000000"/>
                <w:lang w:eastAsia="en-GB"/>
              </w:rPr>
              <w:t xml:space="preserve">Income </w:t>
            </w:r>
            <w:r w:rsidR="00704A70">
              <w:rPr>
                <w:rFonts w:ascii="Calibri" w:hAnsi="Calibri"/>
                <w:color w:val="000000"/>
                <w:lang w:eastAsia="en-GB"/>
              </w:rPr>
              <w:t>and</w:t>
            </w:r>
            <w:r w:rsidRPr="003B759E">
              <w:rPr>
                <w:rFonts w:ascii="Calibri" w:hAnsi="Calibri"/>
                <w:color w:val="000000"/>
                <w:lang w:eastAsia="en-GB"/>
              </w:rPr>
              <w:t xml:space="preserve"> expenditure in relation to investment properties and changes in their fair value</w:t>
            </w:r>
          </w:p>
        </w:tc>
        <w:tc>
          <w:tcPr>
            <w:tcW w:w="1720" w:type="dxa"/>
            <w:tcBorders>
              <w:top w:val="nil"/>
              <w:left w:val="nil"/>
              <w:bottom w:val="single" w:sz="4" w:space="0" w:color="FFFFFF"/>
              <w:right w:val="single" w:sz="4" w:space="0" w:color="FFFFFF"/>
            </w:tcBorders>
            <w:shd w:val="clear" w:color="000000" w:fill="D8E4BC"/>
            <w:noWrap/>
            <w:vAlign w:val="center"/>
          </w:tcPr>
          <w:p w14:paraId="0A8A7C47" w14:textId="222DDB5C" w:rsidR="003B759E" w:rsidRPr="003B759E" w:rsidRDefault="00BD7A8C" w:rsidP="003B759E">
            <w:pPr>
              <w:jc w:val="right"/>
              <w:rPr>
                <w:rFonts w:ascii="Calibri" w:hAnsi="Calibri"/>
                <w:color w:val="000000"/>
                <w:lang w:eastAsia="en-GB"/>
              </w:rPr>
            </w:pPr>
            <w:r>
              <w:rPr>
                <w:rFonts w:ascii="Calibri" w:hAnsi="Calibri"/>
                <w:color w:val="000000"/>
                <w:lang w:eastAsia="en-GB"/>
              </w:rPr>
              <w:t>0</w:t>
            </w:r>
          </w:p>
        </w:tc>
      </w:tr>
      <w:tr w:rsidR="003B759E" w:rsidRPr="003B759E" w14:paraId="755C226F"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73278FB3" w14:textId="279A1598" w:rsidR="003B759E" w:rsidRPr="003B759E" w:rsidRDefault="003A097F" w:rsidP="000733A7">
            <w:pPr>
              <w:jc w:val="right"/>
              <w:rPr>
                <w:rFonts w:ascii="Calibri" w:hAnsi="Calibri"/>
                <w:color w:val="000000"/>
                <w:lang w:eastAsia="en-GB"/>
              </w:rPr>
            </w:pPr>
            <w:r>
              <w:rPr>
                <w:rFonts w:ascii="Calibri" w:hAnsi="Calibri"/>
                <w:color w:val="000000"/>
                <w:lang w:eastAsia="en-GB"/>
              </w:rPr>
              <w:t>70</w:t>
            </w:r>
          </w:p>
        </w:tc>
        <w:tc>
          <w:tcPr>
            <w:tcW w:w="5840" w:type="dxa"/>
            <w:tcBorders>
              <w:top w:val="nil"/>
              <w:left w:val="nil"/>
              <w:bottom w:val="single" w:sz="4" w:space="0" w:color="FFFFFF"/>
              <w:right w:val="single" w:sz="4" w:space="0" w:color="FFFFFF"/>
            </w:tcBorders>
            <w:shd w:val="clear" w:color="000000" w:fill="EBF1DE"/>
            <w:noWrap/>
            <w:vAlign w:val="center"/>
            <w:hideMark/>
          </w:tcPr>
          <w:p w14:paraId="4FC0B9A4" w14:textId="77777777" w:rsidR="003B759E" w:rsidRPr="003B759E" w:rsidRDefault="003B759E" w:rsidP="003B759E">
            <w:pPr>
              <w:jc w:val="both"/>
              <w:rPr>
                <w:rFonts w:ascii="Calibri" w:hAnsi="Calibri"/>
                <w:color w:val="000000"/>
                <w:lang w:eastAsia="en-GB"/>
              </w:rPr>
            </w:pPr>
            <w:r w:rsidRPr="003B759E">
              <w:rPr>
                <w:rFonts w:ascii="Calibri" w:hAnsi="Calibri"/>
                <w:color w:val="000000"/>
                <w:lang w:eastAsia="en-GB"/>
              </w:rPr>
              <w:t>Gains and Losses on Trading Accounts</w:t>
            </w:r>
          </w:p>
        </w:tc>
        <w:tc>
          <w:tcPr>
            <w:tcW w:w="1720" w:type="dxa"/>
            <w:tcBorders>
              <w:top w:val="nil"/>
              <w:left w:val="nil"/>
              <w:bottom w:val="single" w:sz="4" w:space="0" w:color="FFFFFF"/>
              <w:right w:val="single" w:sz="4" w:space="0" w:color="FFFFFF"/>
            </w:tcBorders>
            <w:shd w:val="clear" w:color="000000" w:fill="D8E4BC"/>
            <w:noWrap/>
            <w:vAlign w:val="center"/>
          </w:tcPr>
          <w:p w14:paraId="2F9EACE9" w14:textId="7B308255" w:rsidR="003B759E" w:rsidRPr="003B759E" w:rsidRDefault="00BD7A8C" w:rsidP="00436CCB">
            <w:pPr>
              <w:jc w:val="right"/>
              <w:rPr>
                <w:rFonts w:ascii="Calibri" w:hAnsi="Calibri"/>
                <w:color w:val="000000"/>
                <w:lang w:eastAsia="en-GB"/>
              </w:rPr>
            </w:pPr>
            <w:r>
              <w:rPr>
                <w:rFonts w:ascii="Calibri" w:hAnsi="Calibri"/>
                <w:color w:val="000000"/>
                <w:lang w:eastAsia="en-GB"/>
              </w:rPr>
              <w:t>37</w:t>
            </w:r>
          </w:p>
        </w:tc>
      </w:tr>
      <w:tr w:rsidR="003B759E" w:rsidRPr="003B759E" w14:paraId="086BE6DC"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6AA1FA93" w14:textId="4EB8C7D1" w:rsidR="003B759E" w:rsidRPr="003B759E" w:rsidRDefault="004F22C2" w:rsidP="000733A7">
            <w:pPr>
              <w:jc w:val="right"/>
              <w:rPr>
                <w:rFonts w:ascii="Calibri" w:hAnsi="Calibri"/>
                <w:b/>
                <w:bCs/>
                <w:color w:val="000000"/>
                <w:lang w:eastAsia="en-GB"/>
              </w:rPr>
            </w:pPr>
            <w:r>
              <w:rPr>
                <w:rFonts w:ascii="Calibri" w:hAnsi="Calibri"/>
                <w:b/>
                <w:bCs/>
                <w:color w:val="000000"/>
                <w:lang w:eastAsia="en-GB"/>
              </w:rPr>
              <w:t>1,</w:t>
            </w:r>
            <w:r w:rsidR="003A097F">
              <w:rPr>
                <w:rFonts w:ascii="Calibri" w:hAnsi="Calibri"/>
                <w:b/>
                <w:bCs/>
                <w:color w:val="000000"/>
                <w:lang w:eastAsia="en-GB"/>
              </w:rPr>
              <w:t>262</w:t>
            </w:r>
          </w:p>
        </w:tc>
        <w:tc>
          <w:tcPr>
            <w:tcW w:w="5840" w:type="dxa"/>
            <w:tcBorders>
              <w:top w:val="nil"/>
              <w:left w:val="nil"/>
              <w:bottom w:val="single" w:sz="4" w:space="0" w:color="FFFFFF"/>
              <w:right w:val="single" w:sz="4" w:space="0" w:color="FFFFFF"/>
            </w:tcBorders>
            <w:shd w:val="clear" w:color="000000" w:fill="D8E4BC"/>
            <w:noWrap/>
            <w:vAlign w:val="center"/>
            <w:hideMark/>
          </w:tcPr>
          <w:p w14:paraId="6316DC27" w14:textId="77777777" w:rsidR="003B759E" w:rsidRPr="003B759E" w:rsidRDefault="003B759E" w:rsidP="003B759E">
            <w:pPr>
              <w:rPr>
                <w:rFonts w:ascii="Calibri" w:hAnsi="Calibri"/>
                <w:b/>
                <w:bCs/>
                <w:color w:val="000000"/>
                <w:lang w:eastAsia="en-GB"/>
              </w:rPr>
            </w:pPr>
            <w:r w:rsidRPr="003B759E">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7F089C94" w14:textId="5C129F5E" w:rsidR="003B759E" w:rsidRPr="003B759E" w:rsidRDefault="00BD7A8C" w:rsidP="00847423">
            <w:pPr>
              <w:jc w:val="right"/>
              <w:rPr>
                <w:rFonts w:ascii="Calibri" w:hAnsi="Calibri"/>
                <w:b/>
                <w:bCs/>
                <w:color w:val="000000"/>
                <w:lang w:eastAsia="en-GB"/>
              </w:rPr>
            </w:pPr>
            <w:r>
              <w:rPr>
                <w:rFonts w:ascii="Calibri" w:hAnsi="Calibri"/>
                <w:b/>
                <w:bCs/>
                <w:color w:val="000000"/>
                <w:lang w:eastAsia="en-GB"/>
              </w:rPr>
              <w:t>1,476</w:t>
            </w:r>
          </w:p>
        </w:tc>
      </w:tr>
    </w:tbl>
    <w:p w14:paraId="2E843A99" w14:textId="77777777" w:rsidR="00ED47CD" w:rsidRPr="004F22C2" w:rsidRDefault="00ED47CD" w:rsidP="003B759E">
      <w:pPr>
        <w:widowControl w:val="0"/>
        <w:tabs>
          <w:tab w:val="left" w:pos="0"/>
          <w:tab w:val="left" w:pos="709"/>
          <w:tab w:val="left" w:pos="2520"/>
          <w:tab w:val="left" w:pos="2592"/>
          <w:tab w:val="left" w:pos="6768"/>
          <w:tab w:val="left" w:pos="8640"/>
        </w:tabs>
        <w:ind w:right="-57"/>
        <w:rPr>
          <w:rFonts w:asciiTheme="minorHAnsi" w:hAnsiTheme="minorHAnsi" w:cs="Arial"/>
          <w:b/>
          <w:sz w:val="22"/>
          <w:szCs w:val="22"/>
        </w:rPr>
      </w:pPr>
    </w:p>
    <w:p w14:paraId="21C8CDA9" w14:textId="7963EEA8" w:rsidR="0013790D" w:rsidRDefault="00805549" w:rsidP="00704A70">
      <w:pPr>
        <w:pStyle w:val="Heading2"/>
      </w:pPr>
      <w:r>
        <w:t>7</w:t>
      </w:r>
      <w:r w:rsidR="00A64A60" w:rsidRPr="003B759E">
        <w:t xml:space="preserve"> </w:t>
      </w:r>
      <w:r w:rsidR="00A64A60" w:rsidRPr="003B759E">
        <w:tab/>
      </w:r>
      <w:r w:rsidR="0013790D" w:rsidRPr="003B759E">
        <w:t>T</w:t>
      </w:r>
      <w:r w:rsidR="00BA69EF">
        <w:t xml:space="preserve">axation </w:t>
      </w:r>
      <w:r w:rsidR="00704A70">
        <w:t>and</w:t>
      </w:r>
      <w:r w:rsidR="00BA69EF">
        <w:t xml:space="preserve"> Non-Specific Grant Income</w:t>
      </w:r>
    </w:p>
    <w:p w14:paraId="2F868A36" w14:textId="77777777" w:rsidR="008A48A4" w:rsidRPr="004F22C2" w:rsidRDefault="008A48A4" w:rsidP="003B759E">
      <w:pPr>
        <w:widowControl w:val="0"/>
        <w:tabs>
          <w:tab w:val="left" w:pos="0"/>
          <w:tab w:val="left" w:pos="709"/>
          <w:tab w:val="left" w:pos="2520"/>
          <w:tab w:val="left" w:pos="2592"/>
          <w:tab w:val="left" w:pos="6768"/>
          <w:tab w:val="left" w:pos="8640"/>
        </w:tabs>
        <w:ind w:right="-57"/>
        <w:rPr>
          <w:rFonts w:asciiTheme="minorHAnsi" w:hAnsiTheme="minorHAnsi" w:cs="Arial"/>
          <w:b/>
          <w:sz w:val="22"/>
          <w:szCs w:val="22"/>
        </w:rPr>
      </w:pPr>
    </w:p>
    <w:p w14:paraId="57710DD6" w14:textId="77777777" w:rsidR="008A48A4" w:rsidRPr="008A48A4" w:rsidRDefault="008A48A4" w:rsidP="00144AD5">
      <w:pPr>
        <w:widowControl w:val="0"/>
        <w:tabs>
          <w:tab w:val="left" w:pos="0"/>
          <w:tab w:val="left" w:pos="709"/>
          <w:tab w:val="left" w:pos="2520"/>
          <w:tab w:val="left" w:pos="2592"/>
          <w:tab w:val="left" w:pos="6768"/>
          <w:tab w:val="left" w:pos="8640"/>
        </w:tabs>
        <w:ind w:right="-57"/>
        <w:jc w:val="both"/>
        <w:rPr>
          <w:rFonts w:asciiTheme="minorHAnsi" w:hAnsiTheme="minorHAnsi" w:cs="Arial"/>
          <w:sz w:val="22"/>
          <w:szCs w:val="22"/>
        </w:rPr>
      </w:pPr>
      <w:r>
        <w:rPr>
          <w:rFonts w:asciiTheme="minorHAnsi" w:hAnsiTheme="minorHAnsi" w:cs="Arial"/>
          <w:sz w:val="22"/>
          <w:szCs w:val="22"/>
        </w:rPr>
        <w:t>The council raises Council Tax, Non-Domestic Rates (NDR) and receives grants from central government each year to support revenue expenditure which is not attributable to specific services.  The grants, NDR and Council Tax received in the year were:</w:t>
      </w:r>
    </w:p>
    <w:p w14:paraId="272CAAE1" w14:textId="77777777" w:rsidR="007D6368" w:rsidRDefault="0013790D" w:rsidP="00EB1FC3">
      <w:pPr>
        <w:widowControl w:val="0"/>
        <w:tabs>
          <w:tab w:val="left" w:pos="0"/>
          <w:tab w:val="left" w:pos="720"/>
          <w:tab w:val="left" w:pos="1800"/>
          <w:tab w:val="left" w:pos="2520"/>
          <w:tab w:val="left" w:pos="2592"/>
          <w:tab w:val="left" w:pos="6768"/>
          <w:tab w:val="left" w:pos="8640"/>
        </w:tabs>
        <w:ind w:right="-57"/>
        <w:rPr>
          <w:rFonts w:ascii="Arial" w:hAnsi="Arial" w:cs="Arial"/>
        </w:rPr>
      </w:pPr>
      <w:r>
        <w:rPr>
          <w:rFonts w:ascii="Arial" w:hAnsi="Arial" w:cs="Arial"/>
          <w:b/>
        </w:rPr>
        <w:tab/>
      </w:r>
    </w:p>
    <w:tbl>
      <w:tblPr>
        <w:tblW w:w="9240" w:type="dxa"/>
        <w:tblInd w:w="93" w:type="dxa"/>
        <w:tblLook w:val="04A0" w:firstRow="1" w:lastRow="0" w:firstColumn="1" w:lastColumn="0" w:noHBand="0" w:noVBand="1"/>
        <w:tblCaption w:val="Taxation and Non-Specific Grant Income"/>
        <w:tblDescription w:val="Taxation and Non-Specific Grant Income for 2022-2023 with 2021-2022 comparatives"/>
      </w:tblPr>
      <w:tblGrid>
        <w:gridCol w:w="1680"/>
        <w:gridCol w:w="5840"/>
        <w:gridCol w:w="1720"/>
      </w:tblGrid>
      <w:tr w:rsidR="003B759E" w:rsidRPr="003B759E" w14:paraId="13E82A49"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p w14:paraId="77A42EEF" w14:textId="416EBF5D" w:rsidR="003B759E" w:rsidRPr="003B759E" w:rsidRDefault="003B759E" w:rsidP="004F22C2">
            <w:pPr>
              <w:jc w:val="right"/>
              <w:rPr>
                <w:rFonts w:ascii="Calibri" w:hAnsi="Calibri"/>
                <w:lang w:eastAsia="en-GB"/>
              </w:rPr>
            </w:pPr>
            <w:r w:rsidRPr="003B759E">
              <w:rPr>
                <w:rFonts w:ascii="Calibri" w:hAnsi="Calibri"/>
                <w:lang w:eastAsia="en-GB"/>
              </w:rPr>
              <w:t>20</w:t>
            </w:r>
            <w:r w:rsidR="00586607">
              <w:rPr>
                <w:rFonts w:ascii="Calibri" w:hAnsi="Calibri"/>
                <w:lang w:eastAsia="en-GB"/>
              </w:rPr>
              <w:t>2</w:t>
            </w:r>
            <w:r w:rsidR="003A097F">
              <w:rPr>
                <w:rFonts w:ascii="Calibri" w:hAnsi="Calibri"/>
                <w:lang w:eastAsia="en-GB"/>
              </w:rPr>
              <w:t>1</w:t>
            </w:r>
            <w:r w:rsidRPr="003B759E">
              <w:rPr>
                <w:rFonts w:ascii="Calibri" w:hAnsi="Calibri"/>
                <w:lang w:eastAsia="en-GB"/>
              </w:rPr>
              <w:t>-</w:t>
            </w:r>
            <w:r w:rsidR="004F22C2">
              <w:rPr>
                <w:rFonts w:ascii="Calibri" w:hAnsi="Calibri"/>
                <w:lang w:eastAsia="en-GB"/>
              </w:rPr>
              <w:t>2</w:t>
            </w:r>
            <w:r w:rsidR="003A097F">
              <w:rPr>
                <w:rFonts w:ascii="Calibri" w:hAnsi="Calibri"/>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70A985AD" w14:textId="77777777" w:rsidR="003B759E" w:rsidRPr="003B759E" w:rsidRDefault="003B759E" w:rsidP="003B759E">
            <w:pPr>
              <w:jc w:val="right"/>
              <w:rPr>
                <w:rFonts w:ascii="Calibri" w:hAnsi="Calibri"/>
                <w:lang w:eastAsia="en-GB"/>
              </w:rPr>
            </w:pPr>
            <w:r w:rsidRPr="003B759E">
              <w:rPr>
                <w:rFonts w:ascii="Calibri" w:hAnsi="Calibri"/>
                <w:lang w:eastAsia="en-GB"/>
              </w:rPr>
              <w:t> </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327A2B9E" w14:textId="03F3260C" w:rsidR="003B759E" w:rsidRPr="003B759E" w:rsidRDefault="003B759E" w:rsidP="004F22C2">
            <w:pPr>
              <w:jc w:val="right"/>
              <w:rPr>
                <w:rFonts w:ascii="Calibri" w:hAnsi="Calibri"/>
                <w:lang w:eastAsia="en-GB"/>
              </w:rPr>
            </w:pPr>
            <w:r w:rsidRPr="003B759E">
              <w:rPr>
                <w:rFonts w:ascii="Calibri" w:hAnsi="Calibri"/>
                <w:lang w:eastAsia="en-GB"/>
              </w:rPr>
              <w:t>20</w:t>
            </w:r>
            <w:r w:rsidR="004F22C2">
              <w:rPr>
                <w:rFonts w:ascii="Calibri" w:hAnsi="Calibri"/>
                <w:lang w:eastAsia="en-GB"/>
              </w:rPr>
              <w:t>2</w:t>
            </w:r>
            <w:r w:rsidR="003A097F">
              <w:rPr>
                <w:rFonts w:ascii="Calibri" w:hAnsi="Calibri"/>
                <w:lang w:eastAsia="en-GB"/>
              </w:rPr>
              <w:t>2</w:t>
            </w:r>
            <w:r w:rsidRPr="003B759E">
              <w:rPr>
                <w:rFonts w:ascii="Calibri" w:hAnsi="Calibri"/>
                <w:lang w:eastAsia="en-GB"/>
              </w:rPr>
              <w:t>-</w:t>
            </w:r>
            <w:r w:rsidR="00FB2EEF">
              <w:rPr>
                <w:rFonts w:ascii="Calibri" w:hAnsi="Calibri"/>
                <w:lang w:eastAsia="en-GB"/>
              </w:rPr>
              <w:t>2</w:t>
            </w:r>
            <w:r w:rsidR="003A097F">
              <w:rPr>
                <w:rFonts w:ascii="Calibri" w:hAnsi="Calibri"/>
                <w:lang w:eastAsia="en-GB"/>
              </w:rPr>
              <w:t>3</w:t>
            </w:r>
          </w:p>
        </w:tc>
      </w:tr>
      <w:tr w:rsidR="003B759E" w:rsidRPr="003B759E" w14:paraId="4C4B7F6D" w14:textId="77777777" w:rsidTr="003B759E">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4CAAFCD9" w14:textId="77777777" w:rsidR="003B759E" w:rsidRPr="003B759E" w:rsidRDefault="003B759E" w:rsidP="003B759E">
            <w:pPr>
              <w:jc w:val="right"/>
              <w:rPr>
                <w:rFonts w:ascii="Calibri" w:hAnsi="Calibri"/>
                <w:lang w:eastAsia="en-GB"/>
              </w:rPr>
            </w:pPr>
            <w:r w:rsidRPr="003B759E">
              <w:rPr>
                <w:rFonts w:ascii="Calibri" w:hAnsi="Calibri"/>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56B2F1DD" w14:textId="77777777" w:rsidR="003B759E" w:rsidRPr="003B759E" w:rsidRDefault="003B759E" w:rsidP="003B759E">
            <w:pPr>
              <w:jc w:val="right"/>
              <w:rPr>
                <w:rFonts w:ascii="Calibri" w:hAnsi="Calibri"/>
                <w:lang w:eastAsia="en-GB"/>
              </w:rPr>
            </w:pPr>
            <w:r w:rsidRPr="003B759E">
              <w:rPr>
                <w:rFonts w:ascii="Calibri" w:hAnsi="Calibri"/>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29F58DBE" w14:textId="77777777" w:rsidR="003B759E" w:rsidRPr="003B759E" w:rsidRDefault="003B759E" w:rsidP="003B759E">
            <w:pPr>
              <w:jc w:val="right"/>
              <w:rPr>
                <w:rFonts w:ascii="Calibri" w:hAnsi="Calibri"/>
                <w:lang w:eastAsia="en-GB"/>
              </w:rPr>
            </w:pPr>
            <w:r w:rsidRPr="003B759E">
              <w:rPr>
                <w:rFonts w:ascii="Calibri" w:hAnsi="Calibri"/>
                <w:lang w:eastAsia="en-GB"/>
              </w:rPr>
              <w:t>£’000</w:t>
            </w:r>
          </w:p>
        </w:tc>
      </w:tr>
      <w:tr w:rsidR="003B759E" w:rsidRPr="003B759E" w14:paraId="251BC1DF"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0764446E" w14:textId="67EFA64F" w:rsidR="003B759E" w:rsidRPr="003B759E" w:rsidRDefault="00212684" w:rsidP="004F22C2">
            <w:pPr>
              <w:jc w:val="right"/>
              <w:rPr>
                <w:rFonts w:ascii="Calibri" w:hAnsi="Calibri"/>
                <w:color w:val="000000"/>
                <w:lang w:eastAsia="en-GB"/>
              </w:rPr>
            </w:pPr>
            <w:r>
              <w:rPr>
                <w:rFonts w:ascii="Calibri" w:hAnsi="Calibri"/>
                <w:color w:val="000000"/>
                <w:lang w:eastAsia="en-GB"/>
              </w:rPr>
              <w:t>-</w:t>
            </w:r>
            <w:r w:rsidR="0060255D">
              <w:rPr>
                <w:rFonts w:ascii="Calibri" w:hAnsi="Calibri"/>
                <w:color w:val="000000"/>
                <w:lang w:eastAsia="en-GB"/>
              </w:rPr>
              <w:t>4</w:t>
            </w:r>
            <w:r>
              <w:rPr>
                <w:rFonts w:ascii="Calibri" w:hAnsi="Calibri"/>
                <w:color w:val="000000"/>
                <w:lang w:eastAsia="en-GB"/>
              </w:rPr>
              <w:t>,</w:t>
            </w:r>
            <w:r w:rsidR="003A097F">
              <w:rPr>
                <w:rFonts w:ascii="Calibri" w:hAnsi="Calibri"/>
                <w:color w:val="000000"/>
                <w:lang w:eastAsia="en-GB"/>
              </w:rPr>
              <w:t>747</w:t>
            </w:r>
          </w:p>
        </w:tc>
        <w:tc>
          <w:tcPr>
            <w:tcW w:w="5840" w:type="dxa"/>
            <w:tcBorders>
              <w:top w:val="nil"/>
              <w:left w:val="nil"/>
              <w:bottom w:val="single" w:sz="4" w:space="0" w:color="FFFFFF"/>
              <w:right w:val="single" w:sz="4" w:space="0" w:color="FFFFFF"/>
            </w:tcBorders>
            <w:shd w:val="clear" w:color="000000" w:fill="EBF1DE"/>
            <w:noWrap/>
            <w:vAlign w:val="center"/>
            <w:hideMark/>
          </w:tcPr>
          <w:p w14:paraId="2CA1DC8B"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Council Tax Income</w:t>
            </w:r>
          </w:p>
        </w:tc>
        <w:tc>
          <w:tcPr>
            <w:tcW w:w="1720" w:type="dxa"/>
            <w:tcBorders>
              <w:top w:val="nil"/>
              <w:left w:val="nil"/>
              <w:bottom w:val="single" w:sz="4" w:space="0" w:color="FFFFFF"/>
              <w:right w:val="single" w:sz="4" w:space="0" w:color="FFFFFF"/>
            </w:tcBorders>
            <w:shd w:val="clear" w:color="000000" w:fill="D8E4BC"/>
            <w:noWrap/>
            <w:vAlign w:val="center"/>
          </w:tcPr>
          <w:p w14:paraId="58969D42" w14:textId="1A7397E0" w:rsidR="00027B48" w:rsidRPr="003B759E" w:rsidRDefault="00BD7A8C" w:rsidP="003A3049">
            <w:pPr>
              <w:jc w:val="right"/>
              <w:rPr>
                <w:rFonts w:ascii="Calibri" w:hAnsi="Calibri"/>
                <w:color w:val="000000"/>
                <w:lang w:eastAsia="en-GB"/>
              </w:rPr>
            </w:pPr>
            <w:r>
              <w:rPr>
                <w:rFonts w:ascii="Calibri" w:hAnsi="Calibri"/>
                <w:color w:val="000000"/>
                <w:lang w:eastAsia="en-GB"/>
              </w:rPr>
              <w:t>-4,946</w:t>
            </w:r>
          </w:p>
        </w:tc>
      </w:tr>
      <w:tr w:rsidR="003B759E" w:rsidRPr="003B759E" w14:paraId="3E283020"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34E95A22" w14:textId="0D9F992B" w:rsidR="003B759E" w:rsidRPr="003B759E" w:rsidRDefault="003A097F" w:rsidP="0060255D">
            <w:pPr>
              <w:jc w:val="right"/>
              <w:rPr>
                <w:rFonts w:ascii="Calibri" w:hAnsi="Calibri"/>
                <w:color w:val="000000"/>
                <w:lang w:eastAsia="en-GB"/>
              </w:rPr>
            </w:pPr>
            <w:r>
              <w:rPr>
                <w:rFonts w:ascii="Calibri" w:hAnsi="Calibri"/>
                <w:color w:val="000000"/>
                <w:lang w:eastAsia="en-GB"/>
              </w:rPr>
              <w:t>-815</w:t>
            </w:r>
          </w:p>
        </w:tc>
        <w:tc>
          <w:tcPr>
            <w:tcW w:w="5840" w:type="dxa"/>
            <w:tcBorders>
              <w:top w:val="nil"/>
              <w:left w:val="nil"/>
              <w:bottom w:val="single" w:sz="4" w:space="0" w:color="FFFFFF"/>
              <w:right w:val="single" w:sz="4" w:space="0" w:color="FFFFFF"/>
            </w:tcBorders>
            <w:shd w:val="clear" w:color="000000" w:fill="EBF1DE"/>
            <w:noWrap/>
            <w:vAlign w:val="center"/>
            <w:hideMark/>
          </w:tcPr>
          <w:p w14:paraId="7733A72F"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Non-Domestic Rates Income and Expenditure</w:t>
            </w:r>
          </w:p>
        </w:tc>
        <w:tc>
          <w:tcPr>
            <w:tcW w:w="1720" w:type="dxa"/>
            <w:tcBorders>
              <w:top w:val="nil"/>
              <w:left w:val="nil"/>
              <w:bottom w:val="single" w:sz="4" w:space="0" w:color="FFFFFF"/>
              <w:right w:val="single" w:sz="4" w:space="0" w:color="FFFFFF"/>
            </w:tcBorders>
            <w:shd w:val="clear" w:color="000000" w:fill="D8E4BC"/>
            <w:noWrap/>
            <w:vAlign w:val="center"/>
          </w:tcPr>
          <w:p w14:paraId="13A1B84D" w14:textId="65CED1C0" w:rsidR="00027B48" w:rsidRPr="003B759E" w:rsidRDefault="00BD7A8C" w:rsidP="002E1EA8">
            <w:pPr>
              <w:jc w:val="right"/>
              <w:rPr>
                <w:rFonts w:ascii="Calibri" w:hAnsi="Calibri"/>
                <w:color w:val="000000"/>
                <w:lang w:eastAsia="en-GB"/>
              </w:rPr>
            </w:pPr>
            <w:r>
              <w:rPr>
                <w:rFonts w:ascii="Calibri" w:hAnsi="Calibri"/>
                <w:color w:val="000000"/>
                <w:lang w:eastAsia="en-GB"/>
              </w:rPr>
              <w:t>-501</w:t>
            </w:r>
          </w:p>
        </w:tc>
      </w:tr>
      <w:tr w:rsidR="003B759E" w:rsidRPr="003B759E" w14:paraId="673A95F2"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26CB0069" w14:textId="27238A3D" w:rsidR="003B759E" w:rsidRPr="003B759E" w:rsidRDefault="0027595C" w:rsidP="0060255D">
            <w:pPr>
              <w:jc w:val="right"/>
              <w:rPr>
                <w:rFonts w:ascii="Calibri" w:hAnsi="Calibri"/>
                <w:color w:val="000000"/>
                <w:lang w:eastAsia="en-GB"/>
              </w:rPr>
            </w:pPr>
            <w:r>
              <w:rPr>
                <w:rFonts w:ascii="Calibri" w:hAnsi="Calibri"/>
                <w:color w:val="000000"/>
                <w:lang w:eastAsia="en-GB"/>
              </w:rPr>
              <w:t>-</w:t>
            </w:r>
            <w:r w:rsidR="003A097F">
              <w:rPr>
                <w:rFonts w:ascii="Calibri" w:hAnsi="Calibri"/>
                <w:color w:val="000000"/>
                <w:lang w:eastAsia="en-GB"/>
              </w:rPr>
              <w:t>279</w:t>
            </w:r>
          </w:p>
        </w:tc>
        <w:tc>
          <w:tcPr>
            <w:tcW w:w="5840" w:type="dxa"/>
            <w:tcBorders>
              <w:top w:val="nil"/>
              <w:left w:val="nil"/>
              <w:bottom w:val="single" w:sz="4" w:space="0" w:color="FFFFFF"/>
              <w:right w:val="single" w:sz="4" w:space="0" w:color="FFFFFF"/>
            </w:tcBorders>
            <w:shd w:val="clear" w:color="000000" w:fill="EBF1DE"/>
            <w:noWrap/>
            <w:vAlign w:val="center"/>
            <w:hideMark/>
          </w:tcPr>
          <w:p w14:paraId="54DB8C3E"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Non-</w:t>
            </w:r>
            <w:proofErr w:type="gramStart"/>
            <w:r w:rsidRPr="003B759E">
              <w:rPr>
                <w:rFonts w:ascii="Calibri" w:hAnsi="Calibri"/>
                <w:color w:val="000000"/>
                <w:lang w:eastAsia="en-GB"/>
              </w:rPr>
              <w:t>ring fenced</w:t>
            </w:r>
            <w:proofErr w:type="gramEnd"/>
            <w:r w:rsidRPr="003B759E">
              <w:rPr>
                <w:rFonts w:ascii="Calibri" w:hAnsi="Calibri"/>
                <w:color w:val="000000"/>
                <w:lang w:eastAsia="en-GB"/>
              </w:rPr>
              <w:t xml:space="preserve"> government grants</w:t>
            </w:r>
          </w:p>
        </w:tc>
        <w:tc>
          <w:tcPr>
            <w:tcW w:w="1720" w:type="dxa"/>
            <w:tcBorders>
              <w:top w:val="nil"/>
              <w:left w:val="nil"/>
              <w:bottom w:val="single" w:sz="4" w:space="0" w:color="FFFFFF"/>
              <w:right w:val="single" w:sz="4" w:space="0" w:color="FFFFFF"/>
            </w:tcBorders>
            <w:shd w:val="clear" w:color="000000" w:fill="D8E4BC"/>
            <w:noWrap/>
            <w:vAlign w:val="center"/>
          </w:tcPr>
          <w:p w14:paraId="05A00709" w14:textId="542A07AC" w:rsidR="003B759E" w:rsidRPr="003B759E" w:rsidRDefault="00BD7A8C" w:rsidP="00F638F3">
            <w:pPr>
              <w:jc w:val="right"/>
              <w:rPr>
                <w:rFonts w:ascii="Calibri" w:hAnsi="Calibri"/>
                <w:color w:val="000000"/>
                <w:lang w:eastAsia="en-GB"/>
              </w:rPr>
            </w:pPr>
            <w:r>
              <w:rPr>
                <w:rFonts w:ascii="Calibri" w:hAnsi="Calibri"/>
                <w:color w:val="000000"/>
                <w:lang w:eastAsia="en-GB"/>
              </w:rPr>
              <w:t>-533</w:t>
            </w:r>
          </w:p>
        </w:tc>
      </w:tr>
      <w:tr w:rsidR="003B759E" w:rsidRPr="003B759E" w14:paraId="1A83D9C7"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EBF1DE"/>
            <w:noWrap/>
            <w:vAlign w:val="center"/>
            <w:hideMark/>
          </w:tcPr>
          <w:p w14:paraId="4D974F29" w14:textId="146C98CA" w:rsidR="003B759E" w:rsidRPr="003B759E" w:rsidRDefault="0027595C" w:rsidP="003B759E">
            <w:pPr>
              <w:jc w:val="right"/>
              <w:rPr>
                <w:rFonts w:ascii="Calibri" w:hAnsi="Calibri"/>
                <w:color w:val="000000"/>
                <w:lang w:eastAsia="en-GB"/>
              </w:rPr>
            </w:pPr>
            <w:bookmarkStart w:id="2" w:name="_Hlk107326690"/>
            <w:r>
              <w:rPr>
                <w:rFonts w:ascii="Calibri" w:hAnsi="Calibri"/>
                <w:color w:val="000000"/>
                <w:lang w:eastAsia="en-GB"/>
              </w:rPr>
              <w:t>-</w:t>
            </w:r>
            <w:r w:rsidR="003A097F">
              <w:rPr>
                <w:rFonts w:ascii="Calibri" w:hAnsi="Calibri"/>
                <w:color w:val="000000"/>
                <w:lang w:eastAsia="en-GB"/>
              </w:rPr>
              <w:t>296</w:t>
            </w:r>
          </w:p>
        </w:tc>
        <w:tc>
          <w:tcPr>
            <w:tcW w:w="5840" w:type="dxa"/>
            <w:tcBorders>
              <w:top w:val="nil"/>
              <w:left w:val="nil"/>
              <w:bottom w:val="single" w:sz="4" w:space="0" w:color="FFFFFF"/>
              <w:right w:val="single" w:sz="4" w:space="0" w:color="FFFFFF"/>
            </w:tcBorders>
            <w:shd w:val="clear" w:color="000000" w:fill="EBF1DE"/>
            <w:noWrap/>
            <w:vAlign w:val="center"/>
            <w:hideMark/>
          </w:tcPr>
          <w:p w14:paraId="40C4C777" w14:textId="77777777" w:rsidR="003B759E" w:rsidRPr="003B759E" w:rsidRDefault="003B759E" w:rsidP="003B759E">
            <w:pPr>
              <w:rPr>
                <w:rFonts w:ascii="Calibri" w:hAnsi="Calibri"/>
                <w:color w:val="000000"/>
                <w:lang w:eastAsia="en-GB"/>
              </w:rPr>
            </w:pPr>
            <w:r w:rsidRPr="003B759E">
              <w:rPr>
                <w:rFonts w:ascii="Calibri" w:hAnsi="Calibri"/>
                <w:color w:val="000000"/>
                <w:lang w:eastAsia="en-GB"/>
              </w:rPr>
              <w:t>Capital grants and contributions</w:t>
            </w:r>
          </w:p>
        </w:tc>
        <w:tc>
          <w:tcPr>
            <w:tcW w:w="1720" w:type="dxa"/>
            <w:tcBorders>
              <w:top w:val="nil"/>
              <w:left w:val="nil"/>
              <w:bottom w:val="single" w:sz="4" w:space="0" w:color="FFFFFF"/>
              <w:right w:val="single" w:sz="4" w:space="0" w:color="FFFFFF"/>
            </w:tcBorders>
            <w:shd w:val="clear" w:color="000000" w:fill="D8E4BC"/>
            <w:noWrap/>
            <w:vAlign w:val="center"/>
          </w:tcPr>
          <w:p w14:paraId="5824E577" w14:textId="698E48A5" w:rsidR="003B759E" w:rsidRPr="003B759E" w:rsidRDefault="00BD7A8C" w:rsidP="00EA3C9B">
            <w:pPr>
              <w:jc w:val="right"/>
              <w:rPr>
                <w:rFonts w:ascii="Calibri" w:hAnsi="Calibri"/>
                <w:color w:val="000000"/>
                <w:lang w:eastAsia="en-GB"/>
              </w:rPr>
            </w:pPr>
            <w:r>
              <w:rPr>
                <w:rFonts w:ascii="Calibri" w:hAnsi="Calibri"/>
                <w:color w:val="000000"/>
                <w:lang w:eastAsia="en-GB"/>
              </w:rPr>
              <w:t>-911</w:t>
            </w:r>
          </w:p>
        </w:tc>
      </w:tr>
      <w:bookmarkEnd w:id="2"/>
      <w:tr w:rsidR="003B759E" w:rsidRPr="003B759E" w14:paraId="639ED065" w14:textId="77777777" w:rsidTr="0027595C">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4F466F13" w14:textId="277315BB" w:rsidR="003B759E" w:rsidRPr="003B759E" w:rsidRDefault="00212684" w:rsidP="003B759E">
            <w:pPr>
              <w:jc w:val="right"/>
              <w:rPr>
                <w:rFonts w:ascii="Calibri" w:hAnsi="Calibri"/>
                <w:b/>
                <w:bCs/>
                <w:color w:val="000000"/>
                <w:lang w:eastAsia="en-GB"/>
              </w:rPr>
            </w:pPr>
            <w:r>
              <w:rPr>
                <w:rFonts w:ascii="Calibri" w:hAnsi="Calibri"/>
                <w:b/>
                <w:bCs/>
                <w:color w:val="000000"/>
                <w:lang w:eastAsia="en-GB"/>
              </w:rPr>
              <w:t>-</w:t>
            </w:r>
            <w:r w:rsidR="003A097F">
              <w:rPr>
                <w:rFonts w:ascii="Calibri" w:hAnsi="Calibri"/>
                <w:b/>
                <w:bCs/>
                <w:color w:val="000000"/>
                <w:lang w:eastAsia="en-GB"/>
              </w:rPr>
              <w:t>6,137</w:t>
            </w:r>
          </w:p>
        </w:tc>
        <w:tc>
          <w:tcPr>
            <w:tcW w:w="5840" w:type="dxa"/>
            <w:tcBorders>
              <w:top w:val="nil"/>
              <w:left w:val="nil"/>
              <w:bottom w:val="single" w:sz="4" w:space="0" w:color="FFFFFF"/>
              <w:right w:val="single" w:sz="4" w:space="0" w:color="FFFFFF"/>
            </w:tcBorders>
            <w:shd w:val="clear" w:color="000000" w:fill="D8E4BC"/>
            <w:noWrap/>
            <w:vAlign w:val="center"/>
            <w:hideMark/>
          </w:tcPr>
          <w:p w14:paraId="5C200631" w14:textId="77777777" w:rsidR="003B759E" w:rsidRPr="003B759E" w:rsidRDefault="003B759E" w:rsidP="003B759E">
            <w:pPr>
              <w:rPr>
                <w:rFonts w:ascii="Calibri" w:hAnsi="Calibri"/>
                <w:b/>
                <w:bCs/>
                <w:color w:val="000000"/>
                <w:lang w:eastAsia="en-GB"/>
              </w:rPr>
            </w:pPr>
            <w:r w:rsidRPr="003B759E">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539A5AEB" w14:textId="4BBAC9E0" w:rsidR="003B759E" w:rsidRPr="003B759E" w:rsidRDefault="00BD7A8C" w:rsidP="008D7ED6">
            <w:pPr>
              <w:jc w:val="right"/>
              <w:rPr>
                <w:rFonts w:ascii="Calibri" w:hAnsi="Calibri"/>
                <w:b/>
                <w:bCs/>
                <w:color w:val="000000"/>
                <w:lang w:eastAsia="en-GB"/>
              </w:rPr>
            </w:pPr>
            <w:r>
              <w:rPr>
                <w:rFonts w:ascii="Calibri" w:hAnsi="Calibri"/>
                <w:b/>
                <w:bCs/>
                <w:color w:val="000000"/>
                <w:lang w:eastAsia="en-GB"/>
              </w:rPr>
              <w:t>-6,891</w:t>
            </w:r>
          </w:p>
        </w:tc>
      </w:tr>
    </w:tbl>
    <w:p w14:paraId="5EADA987" w14:textId="77777777" w:rsidR="007D6368" w:rsidRDefault="007D6368" w:rsidP="00F100E3">
      <w:pPr>
        <w:widowControl w:val="0"/>
        <w:tabs>
          <w:tab w:val="left" w:pos="720"/>
          <w:tab w:val="left" w:pos="1800"/>
          <w:tab w:val="left" w:pos="2520"/>
          <w:tab w:val="left" w:pos="2592"/>
          <w:tab w:val="left" w:pos="6768"/>
          <w:tab w:val="left" w:pos="8640"/>
        </w:tabs>
        <w:ind w:right="-57"/>
        <w:rPr>
          <w:rFonts w:ascii="Arial" w:hAnsi="Arial" w:cs="Arial"/>
        </w:rPr>
      </w:pPr>
    </w:p>
    <w:p w14:paraId="474D7D07" w14:textId="55A0A2C4" w:rsidR="00707761" w:rsidRPr="00707761" w:rsidRDefault="00805549" w:rsidP="00704A70">
      <w:pPr>
        <w:pStyle w:val="Heading2"/>
      </w:pPr>
      <w:r>
        <w:t>8</w:t>
      </w:r>
      <w:r w:rsidR="00707761" w:rsidRPr="00707761">
        <w:tab/>
        <w:t>G</w:t>
      </w:r>
      <w:r w:rsidR="00707761">
        <w:t>rant Income</w:t>
      </w:r>
    </w:p>
    <w:p w14:paraId="02C25F59" w14:textId="77777777" w:rsidR="00707761" w:rsidRDefault="00707761" w:rsidP="00707761">
      <w:pPr>
        <w:widowControl w:val="0"/>
        <w:tabs>
          <w:tab w:val="left" w:pos="2520"/>
          <w:tab w:val="left" w:pos="7200"/>
          <w:tab w:val="left" w:pos="8460"/>
        </w:tabs>
        <w:rPr>
          <w:rFonts w:ascii="Arial" w:hAnsi="Arial" w:cs="Arial"/>
        </w:rPr>
      </w:pPr>
    </w:p>
    <w:p w14:paraId="75D078B9" w14:textId="77777777" w:rsidR="006F20B8" w:rsidRPr="00B921B9" w:rsidRDefault="006F20B8" w:rsidP="006F20B8">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Whether paid on account, by instalments or in arrears, government grants and </w:t>
      </w:r>
      <w:proofErr w:type="gramStart"/>
      <w:r w:rsidRPr="00B921B9">
        <w:rPr>
          <w:rFonts w:asciiTheme="minorHAnsi" w:hAnsiTheme="minorHAnsi" w:cs="Arial"/>
          <w:sz w:val="22"/>
          <w:szCs w:val="22"/>
        </w:rPr>
        <w:t>third party</w:t>
      </w:r>
      <w:proofErr w:type="gramEnd"/>
      <w:r w:rsidRPr="00B921B9">
        <w:rPr>
          <w:rFonts w:asciiTheme="minorHAnsi" w:hAnsiTheme="minorHAnsi" w:cs="Arial"/>
          <w:sz w:val="22"/>
          <w:szCs w:val="22"/>
        </w:rPr>
        <w:t xml:space="preserve"> contributions and donations are recognised as due to the Council when there is reasonable assurance that: </w:t>
      </w:r>
    </w:p>
    <w:p w14:paraId="59B45588" w14:textId="77777777" w:rsidR="006F20B8" w:rsidRPr="00B921B9" w:rsidRDefault="006F20B8" w:rsidP="006F20B8">
      <w:pPr>
        <w:widowControl w:val="0"/>
        <w:spacing w:line="228" w:lineRule="auto"/>
        <w:jc w:val="both"/>
        <w:rPr>
          <w:rFonts w:asciiTheme="minorHAnsi" w:hAnsiTheme="minorHAnsi" w:cs="Arial"/>
          <w:sz w:val="22"/>
          <w:szCs w:val="22"/>
        </w:rPr>
      </w:pPr>
    </w:p>
    <w:p w14:paraId="76422AC7" w14:textId="77777777" w:rsidR="006F20B8" w:rsidRPr="00B921B9" w:rsidRDefault="006F20B8" w:rsidP="00C76AD3">
      <w:pPr>
        <w:widowControl w:val="0"/>
        <w:numPr>
          <w:ilvl w:val="0"/>
          <w:numId w:val="10"/>
        </w:numPr>
        <w:spacing w:line="228" w:lineRule="auto"/>
        <w:ind w:left="0" w:firstLine="567"/>
        <w:jc w:val="both"/>
        <w:rPr>
          <w:rFonts w:asciiTheme="minorHAnsi" w:hAnsiTheme="minorHAnsi" w:cs="Arial"/>
          <w:sz w:val="22"/>
          <w:szCs w:val="22"/>
        </w:rPr>
      </w:pPr>
      <w:r w:rsidRPr="00B921B9">
        <w:rPr>
          <w:rFonts w:asciiTheme="minorHAnsi" w:hAnsiTheme="minorHAnsi" w:cs="Arial"/>
          <w:sz w:val="22"/>
          <w:szCs w:val="22"/>
        </w:rPr>
        <w:t>the Council will comply with the conditions attached to the payments, and</w:t>
      </w:r>
    </w:p>
    <w:p w14:paraId="63701578" w14:textId="77777777" w:rsidR="006F20B8" w:rsidRPr="00B921B9" w:rsidRDefault="006F20B8" w:rsidP="006F20B8">
      <w:pPr>
        <w:widowControl w:val="0"/>
        <w:spacing w:line="228" w:lineRule="auto"/>
        <w:jc w:val="both"/>
        <w:rPr>
          <w:rFonts w:asciiTheme="minorHAnsi" w:hAnsiTheme="minorHAnsi" w:cs="Arial"/>
          <w:sz w:val="22"/>
          <w:szCs w:val="22"/>
        </w:rPr>
      </w:pPr>
    </w:p>
    <w:p w14:paraId="5DF47C20" w14:textId="77777777" w:rsidR="006F20B8" w:rsidRPr="00B921B9" w:rsidRDefault="006F20B8" w:rsidP="00C76AD3">
      <w:pPr>
        <w:widowControl w:val="0"/>
        <w:numPr>
          <w:ilvl w:val="0"/>
          <w:numId w:val="10"/>
        </w:numPr>
        <w:spacing w:line="228" w:lineRule="auto"/>
        <w:ind w:left="0" w:firstLine="567"/>
        <w:jc w:val="both"/>
        <w:rPr>
          <w:rFonts w:asciiTheme="minorHAnsi" w:hAnsiTheme="minorHAnsi" w:cs="Arial"/>
          <w:sz w:val="22"/>
          <w:szCs w:val="22"/>
        </w:rPr>
      </w:pPr>
      <w:r w:rsidRPr="00B921B9">
        <w:rPr>
          <w:rFonts w:asciiTheme="minorHAnsi" w:hAnsiTheme="minorHAnsi" w:cs="Arial"/>
          <w:sz w:val="22"/>
          <w:szCs w:val="22"/>
        </w:rPr>
        <w:t xml:space="preserve">the grants or contributions will be received. </w:t>
      </w:r>
    </w:p>
    <w:p w14:paraId="074AC82C" w14:textId="77777777" w:rsidR="006F20B8" w:rsidRPr="00B921B9" w:rsidRDefault="006F20B8" w:rsidP="006F20B8">
      <w:pPr>
        <w:widowControl w:val="0"/>
        <w:spacing w:line="228" w:lineRule="auto"/>
        <w:jc w:val="both"/>
        <w:rPr>
          <w:rFonts w:asciiTheme="minorHAnsi" w:hAnsiTheme="minorHAnsi" w:cs="Arial"/>
          <w:sz w:val="22"/>
          <w:szCs w:val="22"/>
        </w:rPr>
      </w:pPr>
    </w:p>
    <w:p w14:paraId="5AEDECB7" w14:textId="77777777" w:rsidR="006F20B8" w:rsidRPr="00B921B9" w:rsidRDefault="006F20B8" w:rsidP="006F20B8">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Amounts recognised as due to the Council are not credited to the Comprehensive Income and Expenditure Statement until conditions attached to the grant or contribution have been satisfied. Conditions are stipulations that specify that the future economic benefits or service potential embodied in the asset received in the form of the grant or contribution are required to be consumed by the recipient as specified, or future economic benefits or service potential must be returned to the transferor.  </w:t>
      </w:r>
    </w:p>
    <w:p w14:paraId="749F132D" w14:textId="77777777" w:rsidR="006F20B8" w:rsidRPr="00B921B9" w:rsidRDefault="006F20B8" w:rsidP="006F20B8">
      <w:pPr>
        <w:widowControl w:val="0"/>
        <w:spacing w:line="228" w:lineRule="auto"/>
        <w:jc w:val="both"/>
        <w:rPr>
          <w:rFonts w:asciiTheme="minorHAnsi" w:hAnsiTheme="minorHAnsi" w:cs="Arial"/>
          <w:sz w:val="22"/>
          <w:szCs w:val="22"/>
        </w:rPr>
      </w:pPr>
    </w:p>
    <w:p w14:paraId="15AF985E" w14:textId="77777777" w:rsidR="006F20B8" w:rsidRPr="00B921B9" w:rsidRDefault="006F20B8" w:rsidP="006F20B8">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w:t>
      </w:r>
      <w:proofErr w:type="spellStart"/>
      <w:proofErr w:type="gramStart"/>
      <w:r w:rsidRPr="00B921B9">
        <w:rPr>
          <w:rFonts w:asciiTheme="minorHAnsi" w:hAnsiTheme="minorHAnsi" w:cs="Arial"/>
          <w:sz w:val="22"/>
          <w:szCs w:val="22"/>
        </w:rPr>
        <w:t>non ring-fenced</w:t>
      </w:r>
      <w:proofErr w:type="spellEnd"/>
      <w:proofErr w:type="gramEnd"/>
      <w:r w:rsidRPr="00B921B9">
        <w:rPr>
          <w:rFonts w:asciiTheme="minorHAnsi" w:hAnsiTheme="minorHAnsi" w:cs="Arial"/>
          <w:sz w:val="22"/>
          <w:szCs w:val="22"/>
        </w:rPr>
        <w:t xml:space="preserve"> revenue grants and all capital grants) in the Comprehensive Income and Expenditure Statement.</w:t>
      </w:r>
    </w:p>
    <w:p w14:paraId="0C74FABC" w14:textId="77777777" w:rsidR="006F20B8" w:rsidRPr="00B921B9" w:rsidRDefault="006F20B8" w:rsidP="006F20B8">
      <w:pPr>
        <w:widowControl w:val="0"/>
        <w:spacing w:line="228" w:lineRule="auto"/>
        <w:jc w:val="both"/>
        <w:rPr>
          <w:rFonts w:asciiTheme="minorHAnsi" w:hAnsiTheme="minorHAnsi" w:cs="Arial"/>
          <w:sz w:val="22"/>
          <w:szCs w:val="22"/>
        </w:rPr>
      </w:pPr>
    </w:p>
    <w:p w14:paraId="7EC3B4B1" w14:textId="77777777" w:rsidR="006F20B8" w:rsidRPr="00B921B9" w:rsidRDefault="006F20B8" w:rsidP="006F20B8">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14:paraId="34F7E58F" w14:textId="77777777" w:rsidR="006F20B8" w:rsidRDefault="006F20B8" w:rsidP="00707761">
      <w:pPr>
        <w:widowControl w:val="0"/>
        <w:tabs>
          <w:tab w:val="left" w:pos="2520"/>
          <w:tab w:val="left" w:pos="7200"/>
          <w:tab w:val="left" w:pos="8460"/>
        </w:tabs>
        <w:rPr>
          <w:rFonts w:ascii="Arial" w:hAnsi="Arial" w:cs="Arial"/>
        </w:rPr>
      </w:pPr>
    </w:p>
    <w:p w14:paraId="252E7126" w14:textId="77777777" w:rsidR="00707761" w:rsidRPr="00707761" w:rsidRDefault="00707761" w:rsidP="00707761">
      <w:pPr>
        <w:widowControl w:val="0"/>
        <w:tabs>
          <w:tab w:val="left" w:pos="2520"/>
          <w:tab w:val="left" w:pos="7200"/>
          <w:tab w:val="left" w:pos="8460"/>
        </w:tabs>
        <w:jc w:val="both"/>
        <w:rPr>
          <w:rFonts w:asciiTheme="minorHAnsi" w:hAnsiTheme="minorHAnsi" w:cs="Arial"/>
          <w:sz w:val="22"/>
          <w:szCs w:val="22"/>
        </w:rPr>
      </w:pPr>
      <w:r w:rsidRPr="00707761">
        <w:rPr>
          <w:rFonts w:asciiTheme="minorHAnsi" w:hAnsiTheme="minorHAnsi" w:cs="Arial"/>
          <w:sz w:val="22"/>
          <w:szCs w:val="22"/>
        </w:rPr>
        <w:t>The Council credited the following grants and contributions to the Comprehensive Income and Expenditure Statement in the year:</w:t>
      </w:r>
    </w:p>
    <w:p w14:paraId="01B77C40" w14:textId="77777777" w:rsidR="001B2FF6" w:rsidRDefault="001B2FF6" w:rsidP="00707761">
      <w:pPr>
        <w:widowControl w:val="0"/>
        <w:tabs>
          <w:tab w:val="left" w:pos="2520"/>
          <w:tab w:val="left" w:pos="7200"/>
          <w:tab w:val="left" w:pos="8460"/>
        </w:tabs>
        <w:jc w:val="both"/>
        <w:rPr>
          <w:rFonts w:ascii="Arial" w:hAnsi="Arial" w:cs="Arial"/>
        </w:rPr>
      </w:pPr>
    </w:p>
    <w:tbl>
      <w:tblPr>
        <w:tblW w:w="9240" w:type="dxa"/>
        <w:tblInd w:w="93" w:type="dxa"/>
        <w:tblLook w:val="04A0" w:firstRow="1" w:lastRow="0" w:firstColumn="1" w:lastColumn="0" w:noHBand="0" w:noVBand="1"/>
        <w:tblCaption w:val="Grant Income credited to Taxation and Non-Specific Grant Income"/>
        <w:tblDescription w:val="Grant Income credited to Taxation and Non-Specific Grant Income for 2022-2023 with 2021-2022 comparatives"/>
      </w:tblPr>
      <w:tblGrid>
        <w:gridCol w:w="1680"/>
        <w:gridCol w:w="5840"/>
        <w:gridCol w:w="1720"/>
      </w:tblGrid>
      <w:tr w:rsidR="00147A1D" w:rsidRPr="00D90154" w14:paraId="7818CFB8"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p w14:paraId="772654A0" w14:textId="7B032D54" w:rsidR="00147A1D" w:rsidRPr="00D90154" w:rsidRDefault="00147A1D" w:rsidP="004E1817">
            <w:pPr>
              <w:jc w:val="right"/>
              <w:rPr>
                <w:rFonts w:ascii="Calibri" w:hAnsi="Calibri"/>
                <w:color w:val="000000"/>
                <w:lang w:eastAsia="en-GB"/>
              </w:rPr>
            </w:pPr>
            <w:bookmarkStart w:id="3" w:name="_Hlk107470695"/>
            <w:r w:rsidRPr="00D90154">
              <w:rPr>
                <w:rFonts w:ascii="Calibri" w:hAnsi="Calibri"/>
                <w:color w:val="000000"/>
                <w:lang w:eastAsia="en-GB"/>
              </w:rPr>
              <w:t>20</w:t>
            </w:r>
            <w:r w:rsidR="00586607">
              <w:rPr>
                <w:rFonts w:ascii="Calibri" w:hAnsi="Calibri"/>
                <w:color w:val="000000"/>
                <w:lang w:eastAsia="en-GB"/>
              </w:rPr>
              <w:t>2</w:t>
            </w:r>
            <w:r w:rsidR="003A097F">
              <w:rPr>
                <w:rFonts w:ascii="Calibri" w:hAnsi="Calibri"/>
                <w:color w:val="000000"/>
                <w:lang w:eastAsia="en-GB"/>
              </w:rPr>
              <w:t>1</w:t>
            </w:r>
            <w:r w:rsidR="00586607">
              <w:rPr>
                <w:rFonts w:ascii="Calibri" w:hAnsi="Calibri"/>
                <w:color w:val="000000"/>
                <w:lang w:eastAsia="en-GB"/>
              </w:rPr>
              <w:t>-</w:t>
            </w:r>
            <w:r w:rsidR="004E1817">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single" w:sz="4" w:space="0" w:color="FFFFFF"/>
              <w:right w:val="single" w:sz="4" w:space="0" w:color="FFFFFF"/>
            </w:tcBorders>
            <w:shd w:val="clear" w:color="000000" w:fill="C4D79B"/>
            <w:noWrap/>
            <w:vAlign w:val="center"/>
            <w:hideMark/>
          </w:tcPr>
          <w:p w14:paraId="148972DE" w14:textId="77777777" w:rsidR="00147A1D" w:rsidRPr="00D90154" w:rsidRDefault="00147A1D" w:rsidP="00147A1D">
            <w:pPr>
              <w:rPr>
                <w:rFonts w:ascii="Calibri" w:hAnsi="Calibri"/>
                <w:color w:val="000000"/>
                <w:lang w:eastAsia="en-GB"/>
              </w:rPr>
            </w:pPr>
            <w:r w:rsidRPr="00D90154">
              <w:rPr>
                <w:rFonts w:ascii="Calibri" w:hAnsi="Calibri"/>
                <w:color w:val="000000"/>
                <w:lang w:eastAsia="en-GB"/>
              </w:rPr>
              <w:t>Credited to Taxation and Non-specific Grant Income</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7808790D" w14:textId="1BB54E69" w:rsidR="00147A1D" w:rsidRPr="00D90154" w:rsidRDefault="00147A1D" w:rsidP="004E1817">
            <w:pPr>
              <w:jc w:val="right"/>
              <w:rPr>
                <w:rFonts w:ascii="Calibri" w:hAnsi="Calibri"/>
                <w:color w:val="000000"/>
                <w:lang w:eastAsia="en-GB"/>
              </w:rPr>
            </w:pPr>
            <w:r w:rsidRPr="00D90154">
              <w:rPr>
                <w:rFonts w:ascii="Calibri" w:hAnsi="Calibri"/>
                <w:color w:val="000000"/>
                <w:lang w:eastAsia="en-GB"/>
              </w:rPr>
              <w:t>20</w:t>
            </w:r>
            <w:r w:rsidR="004E1817">
              <w:rPr>
                <w:rFonts w:ascii="Calibri" w:hAnsi="Calibri"/>
                <w:color w:val="000000"/>
                <w:lang w:eastAsia="en-GB"/>
              </w:rPr>
              <w:t>2</w:t>
            </w:r>
            <w:r w:rsidR="003A097F">
              <w:rPr>
                <w:rFonts w:ascii="Calibri" w:hAnsi="Calibri"/>
                <w:color w:val="000000"/>
                <w:lang w:eastAsia="en-GB"/>
              </w:rPr>
              <w:t>2</w:t>
            </w:r>
            <w:r w:rsidRPr="00D90154">
              <w:rPr>
                <w:rFonts w:ascii="Calibri" w:hAnsi="Calibri"/>
                <w:color w:val="000000"/>
                <w:lang w:eastAsia="en-GB"/>
              </w:rPr>
              <w:t>-</w:t>
            </w:r>
            <w:r>
              <w:rPr>
                <w:rFonts w:ascii="Calibri" w:hAnsi="Calibri"/>
                <w:color w:val="000000"/>
                <w:lang w:eastAsia="en-GB"/>
              </w:rPr>
              <w:t>2</w:t>
            </w:r>
            <w:r w:rsidR="003A097F">
              <w:rPr>
                <w:rFonts w:ascii="Calibri" w:hAnsi="Calibri"/>
                <w:color w:val="000000"/>
                <w:lang w:eastAsia="en-GB"/>
              </w:rPr>
              <w:t>3</w:t>
            </w:r>
          </w:p>
        </w:tc>
      </w:tr>
      <w:tr w:rsidR="00147A1D" w:rsidRPr="00D90154" w14:paraId="6F738FC2"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6AE5CA8A" w14:textId="77777777" w:rsidR="00147A1D" w:rsidRPr="00D90154" w:rsidRDefault="00147A1D" w:rsidP="00147A1D">
            <w:pPr>
              <w:jc w:val="right"/>
              <w:rPr>
                <w:rFonts w:ascii="Calibri" w:hAnsi="Calibri"/>
                <w:color w:val="000000"/>
                <w:lang w:eastAsia="en-GB"/>
              </w:rPr>
            </w:pPr>
            <w:r w:rsidRPr="00D90154">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0C98045A" w14:textId="77777777" w:rsidR="00147A1D" w:rsidRPr="00D90154" w:rsidRDefault="00147A1D" w:rsidP="00147A1D">
            <w:pPr>
              <w:rPr>
                <w:rFonts w:ascii="Calibri" w:hAnsi="Calibri"/>
                <w:color w:val="000000"/>
                <w:lang w:eastAsia="en-GB"/>
              </w:rPr>
            </w:pPr>
            <w:r w:rsidRPr="00D90154">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3EEB99AE" w14:textId="77777777" w:rsidR="00147A1D" w:rsidRPr="00D90154" w:rsidRDefault="00147A1D" w:rsidP="00147A1D">
            <w:pPr>
              <w:jc w:val="right"/>
              <w:rPr>
                <w:rFonts w:ascii="Calibri" w:hAnsi="Calibri"/>
                <w:color w:val="000000"/>
                <w:lang w:eastAsia="en-GB"/>
              </w:rPr>
            </w:pPr>
            <w:r w:rsidRPr="00D90154">
              <w:rPr>
                <w:rFonts w:ascii="Calibri" w:hAnsi="Calibri"/>
                <w:color w:val="000000"/>
                <w:lang w:eastAsia="en-GB"/>
              </w:rPr>
              <w:t>£'000</w:t>
            </w:r>
          </w:p>
        </w:tc>
      </w:tr>
      <w:tr w:rsidR="00147A1D" w:rsidRPr="00D90154" w14:paraId="425514BA"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3F5F06BA" w14:textId="2A05D6CE" w:rsidR="00147A1D" w:rsidRPr="00D90154" w:rsidRDefault="003A097F" w:rsidP="004E1817">
            <w:pPr>
              <w:jc w:val="right"/>
              <w:rPr>
                <w:rFonts w:ascii="Calibri" w:hAnsi="Calibri"/>
                <w:color w:val="000000"/>
                <w:lang w:eastAsia="en-GB"/>
              </w:rPr>
            </w:pPr>
            <w:r>
              <w:rPr>
                <w:rFonts w:ascii="Calibri" w:hAnsi="Calibri"/>
                <w:color w:val="000000"/>
                <w:lang w:eastAsia="en-GB"/>
              </w:rPr>
              <w:t>279</w:t>
            </w:r>
          </w:p>
        </w:tc>
        <w:tc>
          <w:tcPr>
            <w:tcW w:w="5840" w:type="dxa"/>
            <w:tcBorders>
              <w:top w:val="nil"/>
              <w:left w:val="nil"/>
              <w:bottom w:val="single" w:sz="4" w:space="0" w:color="FFFFFF"/>
              <w:right w:val="single" w:sz="4" w:space="0" w:color="FFFFFF"/>
            </w:tcBorders>
            <w:shd w:val="clear" w:color="000000" w:fill="EBF1DE"/>
            <w:noWrap/>
            <w:vAlign w:val="center"/>
            <w:hideMark/>
          </w:tcPr>
          <w:p w14:paraId="3B91F426" w14:textId="77777777" w:rsidR="00147A1D" w:rsidRPr="00D90154" w:rsidRDefault="00147A1D" w:rsidP="00147A1D">
            <w:pPr>
              <w:rPr>
                <w:rFonts w:ascii="Calibri" w:hAnsi="Calibri"/>
                <w:color w:val="000000"/>
                <w:lang w:eastAsia="en-GB"/>
              </w:rPr>
            </w:pPr>
            <w:r>
              <w:rPr>
                <w:rFonts w:ascii="Calibri" w:hAnsi="Calibri"/>
                <w:bCs/>
                <w:color w:val="000000"/>
                <w:lang w:eastAsia="en-GB"/>
              </w:rPr>
              <w:t>New Homes Bonus</w:t>
            </w:r>
          </w:p>
        </w:tc>
        <w:tc>
          <w:tcPr>
            <w:tcW w:w="1720" w:type="dxa"/>
            <w:tcBorders>
              <w:top w:val="nil"/>
              <w:left w:val="nil"/>
              <w:bottom w:val="single" w:sz="4" w:space="0" w:color="FFFFFF"/>
              <w:right w:val="single" w:sz="4" w:space="0" w:color="FFFFFF"/>
            </w:tcBorders>
            <w:shd w:val="clear" w:color="000000" w:fill="D8E4BC"/>
            <w:noWrap/>
            <w:vAlign w:val="center"/>
          </w:tcPr>
          <w:p w14:paraId="695022D4" w14:textId="18CA66ED" w:rsidR="00147A1D" w:rsidRPr="00D90154" w:rsidRDefault="002025C2" w:rsidP="00147A1D">
            <w:pPr>
              <w:jc w:val="right"/>
              <w:rPr>
                <w:rFonts w:ascii="Calibri" w:hAnsi="Calibri"/>
                <w:color w:val="000000"/>
                <w:lang w:eastAsia="en-GB"/>
              </w:rPr>
            </w:pPr>
            <w:r>
              <w:rPr>
                <w:rFonts w:ascii="Calibri" w:hAnsi="Calibri"/>
                <w:color w:val="000000"/>
                <w:lang w:eastAsia="en-GB"/>
              </w:rPr>
              <w:t>52</w:t>
            </w:r>
            <w:r w:rsidR="00533E5E">
              <w:rPr>
                <w:rFonts w:ascii="Calibri" w:hAnsi="Calibri"/>
                <w:color w:val="000000"/>
                <w:lang w:eastAsia="en-GB"/>
              </w:rPr>
              <w:t>2</w:t>
            </w:r>
          </w:p>
        </w:tc>
      </w:tr>
      <w:tr w:rsidR="00147A1D" w:rsidRPr="00D90154" w14:paraId="2A6C8BC2"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55090B1F" w14:textId="6149D7E9" w:rsidR="00147A1D" w:rsidRPr="00B21947" w:rsidRDefault="00586607" w:rsidP="00147A1D">
            <w:pPr>
              <w:jc w:val="right"/>
              <w:rPr>
                <w:rFonts w:ascii="Calibri" w:hAnsi="Calibri"/>
                <w:bCs/>
                <w:color w:val="000000"/>
                <w:lang w:eastAsia="en-GB"/>
              </w:rPr>
            </w:pPr>
            <w:r>
              <w:rPr>
                <w:rFonts w:ascii="Calibri" w:hAnsi="Calibri"/>
                <w:bCs/>
                <w:color w:val="000000"/>
                <w:lang w:eastAsia="en-GB"/>
              </w:rPr>
              <w:t>2</w:t>
            </w:r>
            <w:r w:rsidR="003A097F">
              <w:rPr>
                <w:rFonts w:ascii="Calibri" w:hAnsi="Calibri"/>
                <w:bCs/>
                <w:color w:val="000000"/>
                <w:lang w:eastAsia="en-GB"/>
              </w:rPr>
              <w:t>29</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56FC7F26" w14:textId="77777777" w:rsidR="00147A1D" w:rsidRPr="00B21947" w:rsidRDefault="00147A1D" w:rsidP="00147A1D">
            <w:pPr>
              <w:rPr>
                <w:rFonts w:ascii="Calibri" w:hAnsi="Calibri"/>
                <w:bCs/>
                <w:color w:val="000000"/>
                <w:lang w:eastAsia="en-GB"/>
              </w:rPr>
            </w:pPr>
            <w:r>
              <w:rPr>
                <w:rFonts w:ascii="Calibri" w:hAnsi="Calibri"/>
                <w:bCs/>
                <w:color w:val="000000"/>
                <w:lang w:eastAsia="en-GB"/>
              </w:rPr>
              <w:t xml:space="preserve">Disabled Facilities Grants </w:t>
            </w:r>
          </w:p>
        </w:tc>
        <w:tc>
          <w:tcPr>
            <w:tcW w:w="1720" w:type="dxa"/>
            <w:tcBorders>
              <w:top w:val="nil"/>
              <w:left w:val="nil"/>
              <w:bottom w:val="single" w:sz="4" w:space="0" w:color="FFFFFF"/>
              <w:right w:val="single" w:sz="4" w:space="0" w:color="FFFFFF"/>
            </w:tcBorders>
            <w:shd w:val="clear" w:color="000000" w:fill="D8E4BC"/>
            <w:noWrap/>
            <w:vAlign w:val="center"/>
          </w:tcPr>
          <w:p w14:paraId="2FA6BB4F" w14:textId="649B81AB" w:rsidR="00147A1D" w:rsidRPr="00B21947" w:rsidRDefault="00533E5E" w:rsidP="00D30E15">
            <w:pPr>
              <w:jc w:val="right"/>
              <w:rPr>
                <w:rFonts w:ascii="Calibri" w:hAnsi="Calibri"/>
                <w:bCs/>
                <w:color w:val="000000"/>
                <w:lang w:eastAsia="en-GB"/>
              </w:rPr>
            </w:pPr>
            <w:r>
              <w:rPr>
                <w:rFonts w:ascii="Calibri" w:hAnsi="Calibri"/>
                <w:bCs/>
                <w:color w:val="000000"/>
                <w:lang w:eastAsia="en-GB"/>
              </w:rPr>
              <w:t>278</w:t>
            </w:r>
          </w:p>
        </w:tc>
      </w:tr>
      <w:tr w:rsidR="00DA7E1B" w:rsidRPr="00D90154" w14:paraId="4794FAF2"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213A64F3" w14:textId="360F6D1A" w:rsidR="004E1817" w:rsidRDefault="003A097F" w:rsidP="004E1817">
            <w:pPr>
              <w:jc w:val="right"/>
              <w:rPr>
                <w:rFonts w:ascii="Calibri" w:hAnsi="Calibri"/>
                <w:bCs/>
                <w:color w:val="000000"/>
                <w:lang w:eastAsia="en-GB"/>
              </w:rPr>
            </w:pPr>
            <w:r>
              <w:rPr>
                <w:rFonts w:ascii="Calibri" w:hAnsi="Calibri"/>
                <w:bCs/>
                <w:color w:val="000000"/>
                <w:lang w:eastAsia="en-GB"/>
              </w:rPr>
              <w:t>32</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583F7F17" w14:textId="77777777" w:rsidR="00DA7E1B" w:rsidRDefault="00DA7E1B" w:rsidP="00147A1D">
            <w:pPr>
              <w:rPr>
                <w:rFonts w:ascii="Calibri" w:hAnsi="Calibri"/>
                <w:bCs/>
                <w:color w:val="000000"/>
                <w:lang w:eastAsia="en-GB"/>
              </w:rPr>
            </w:pPr>
            <w:r>
              <w:rPr>
                <w:rFonts w:ascii="Calibri" w:hAnsi="Calibri"/>
                <w:bCs/>
                <w:color w:val="000000"/>
                <w:lang w:eastAsia="en-GB"/>
              </w:rPr>
              <w:t>S106 Contributions</w:t>
            </w:r>
          </w:p>
        </w:tc>
        <w:tc>
          <w:tcPr>
            <w:tcW w:w="1720" w:type="dxa"/>
            <w:tcBorders>
              <w:top w:val="nil"/>
              <w:left w:val="nil"/>
              <w:bottom w:val="single" w:sz="4" w:space="0" w:color="FFFFFF"/>
              <w:right w:val="single" w:sz="4" w:space="0" w:color="FFFFFF"/>
            </w:tcBorders>
            <w:shd w:val="clear" w:color="000000" w:fill="D8E4BC"/>
            <w:noWrap/>
            <w:vAlign w:val="center"/>
          </w:tcPr>
          <w:p w14:paraId="16FB73C5" w14:textId="3D22E2C0" w:rsidR="00DA7E1B" w:rsidRDefault="00533E5E" w:rsidP="00147A1D">
            <w:pPr>
              <w:jc w:val="right"/>
              <w:rPr>
                <w:rFonts w:ascii="Calibri" w:hAnsi="Calibri"/>
                <w:bCs/>
                <w:color w:val="000000"/>
                <w:lang w:eastAsia="en-GB"/>
              </w:rPr>
            </w:pPr>
            <w:r>
              <w:rPr>
                <w:rFonts w:ascii="Calibri" w:hAnsi="Calibri"/>
                <w:bCs/>
                <w:color w:val="000000"/>
                <w:lang w:eastAsia="en-GB"/>
              </w:rPr>
              <w:t>10</w:t>
            </w:r>
          </w:p>
        </w:tc>
      </w:tr>
      <w:tr w:rsidR="00147A1D" w:rsidRPr="00D90154" w14:paraId="50248F96"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396C0076" w14:textId="34550045" w:rsidR="00147A1D" w:rsidRPr="00B21947" w:rsidRDefault="003A097F" w:rsidP="00147A1D">
            <w:pPr>
              <w:jc w:val="right"/>
              <w:rPr>
                <w:rFonts w:ascii="Calibri" w:hAnsi="Calibri"/>
                <w:bCs/>
                <w:color w:val="000000"/>
                <w:lang w:eastAsia="en-GB"/>
              </w:rPr>
            </w:pPr>
            <w:r>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7F5A93F1" w14:textId="6E399085" w:rsidR="00147A1D" w:rsidRPr="00B21947" w:rsidRDefault="00533E5E" w:rsidP="00147A1D">
            <w:pPr>
              <w:rPr>
                <w:rFonts w:ascii="Calibri" w:hAnsi="Calibri"/>
                <w:bCs/>
                <w:color w:val="000000"/>
                <w:lang w:eastAsia="en-GB"/>
              </w:rPr>
            </w:pPr>
            <w:r>
              <w:rPr>
                <w:rFonts w:ascii="Calibri" w:hAnsi="Calibri"/>
                <w:bCs/>
                <w:color w:val="000000"/>
                <w:lang w:eastAsia="en-GB"/>
              </w:rPr>
              <w:t>Insurance Contributions</w:t>
            </w:r>
          </w:p>
        </w:tc>
        <w:tc>
          <w:tcPr>
            <w:tcW w:w="1720" w:type="dxa"/>
            <w:tcBorders>
              <w:top w:val="nil"/>
              <w:left w:val="nil"/>
              <w:bottom w:val="single" w:sz="4" w:space="0" w:color="FFFFFF"/>
              <w:right w:val="single" w:sz="4" w:space="0" w:color="FFFFFF"/>
            </w:tcBorders>
            <w:shd w:val="clear" w:color="000000" w:fill="D8E4BC"/>
            <w:noWrap/>
            <w:vAlign w:val="center"/>
          </w:tcPr>
          <w:p w14:paraId="50EA8607" w14:textId="6AD4A648" w:rsidR="00147A1D" w:rsidRPr="00B21947" w:rsidRDefault="00533E5E" w:rsidP="00147A1D">
            <w:pPr>
              <w:jc w:val="right"/>
              <w:rPr>
                <w:rFonts w:ascii="Calibri" w:hAnsi="Calibri"/>
                <w:bCs/>
                <w:color w:val="000000"/>
                <w:lang w:eastAsia="en-GB"/>
              </w:rPr>
            </w:pPr>
            <w:r>
              <w:rPr>
                <w:rFonts w:ascii="Calibri" w:hAnsi="Calibri"/>
                <w:bCs/>
                <w:color w:val="000000"/>
                <w:lang w:eastAsia="en-GB"/>
              </w:rPr>
              <w:t>73</w:t>
            </w:r>
          </w:p>
        </w:tc>
      </w:tr>
      <w:tr w:rsidR="00533E5E" w:rsidRPr="00D90154" w14:paraId="7B83251D"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7EAB1F7A" w14:textId="7E486E20" w:rsidR="00533E5E" w:rsidRDefault="00533E5E" w:rsidP="00147A1D">
            <w:pPr>
              <w:jc w:val="right"/>
              <w:rPr>
                <w:rFonts w:ascii="Calibri" w:hAnsi="Calibri"/>
                <w:bCs/>
                <w:color w:val="000000"/>
                <w:lang w:eastAsia="en-GB"/>
              </w:rPr>
            </w:pPr>
            <w:r>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05E3805D" w14:textId="6A5A2850" w:rsidR="00533E5E" w:rsidRDefault="00923EF6" w:rsidP="00147A1D">
            <w:pPr>
              <w:rPr>
                <w:rFonts w:ascii="Calibri" w:hAnsi="Calibri"/>
                <w:bCs/>
                <w:color w:val="000000"/>
                <w:lang w:eastAsia="en-GB"/>
              </w:rPr>
            </w:pPr>
            <w:r w:rsidRPr="007471F4">
              <w:rPr>
                <w:rFonts w:ascii="Calibri" w:hAnsi="Calibri"/>
                <w:bCs/>
                <w:color w:val="000000"/>
                <w:lang w:eastAsia="en-GB"/>
              </w:rPr>
              <w:t>LADs Energy Efficiency (</w:t>
            </w:r>
            <w:r>
              <w:rPr>
                <w:rFonts w:ascii="Calibri" w:hAnsi="Calibri"/>
                <w:bCs/>
                <w:color w:val="000000"/>
                <w:lang w:eastAsia="en-GB"/>
              </w:rPr>
              <w:t>Cap</w:t>
            </w:r>
            <w:r w:rsidRPr="007471F4">
              <w:rPr>
                <w:rFonts w:ascii="Calibri" w:hAnsi="Calibri"/>
                <w:bCs/>
                <w:color w:val="000000"/>
                <w:lang w:eastAsia="en-GB"/>
              </w:rPr>
              <w:t>)</w:t>
            </w:r>
          </w:p>
        </w:tc>
        <w:tc>
          <w:tcPr>
            <w:tcW w:w="1720" w:type="dxa"/>
            <w:tcBorders>
              <w:top w:val="nil"/>
              <w:left w:val="nil"/>
              <w:bottom w:val="single" w:sz="4" w:space="0" w:color="FFFFFF"/>
              <w:right w:val="single" w:sz="4" w:space="0" w:color="FFFFFF"/>
            </w:tcBorders>
            <w:shd w:val="clear" w:color="000000" w:fill="D8E4BC"/>
            <w:noWrap/>
            <w:vAlign w:val="center"/>
          </w:tcPr>
          <w:p w14:paraId="03C018C6" w14:textId="04133C97" w:rsidR="00533E5E" w:rsidRDefault="00533E5E" w:rsidP="00147A1D">
            <w:pPr>
              <w:jc w:val="right"/>
              <w:rPr>
                <w:rFonts w:ascii="Calibri" w:hAnsi="Calibri"/>
                <w:bCs/>
                <w:color w:val="000000"/>
                <w:lang w:eastAsia="en-GB"/>
              </w:rPr>
            </w:pPr>
            <w:r>
              <w:rPr>
                <w:rFonts w:ascii="Calibri" w:hAnsi="Calibri"/>
                <w:bCs/>
                <w:color w:val="000000"/>
                <w:lang w:eastAsia="en-GB"/>
              </w:rPr>
              <w:t>471</w:t>
            </w:r>
          </w:p>
        </w:tc>
      </w:tr>
      <w:tr w:rsidR="00533E5E" w:rsidRPr="00D90154" w14:paraId="410880F8"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7133CAC9" w14:textId="3BB5BF21" w:rsidR="00533E5E" w:rsidRDefault="00533E5E" w:rsidP="00147A1D">
            <w:pPr>
              <w:jc w:val="right"/>
              <w:rPr>
                <w:rFonts w:ascii="Calibri" w:hAnsi="Calibri"/>
                <w:bCs/>
                <w:color w:val="000000"/>
                <w:lang w:eastAsia="en-GB"/>
              </w:rPr>
            </w:pPr>
            <w:r>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6AF76798" w14:textId="2FD970EF" w:rsidR="00533E5E" w:rsidRDefault="00533E5E" w:rsidP="00147A1D">
            <w:pPr>
              <w:rPr>
                <w:rFonts w:ascii="Calibri" w:hAnsi="Calibri"/>
                <w:bCs/>
                <w:color w:val="000000"/>
                <w:lang w:eastAsia="en-GB"/>
              </w:rPr>
            </w:pPr>
            <w:r>
              <w:rPr>
                <w:rFonts w:ascii="Calibri" w:hAnsi="Calibri"/>
                <w:bCs/>
                <w:color w:val="000000"/>
                <w:lang w:eastAsia="en-GB"/>
              </w:rPr>
              <w:t>Safer Streets Capital Grant</w:t>
            </w:r>
          </w:p>
        </w:tc>
        <w:tc>
          <w:tcPr>
            <w:tcW w:w="1720" w:type="dxa"/>
            <w:tcBorders>
              <w:top w:val="nil"/>
              <w:left w:val="nil"/>
              <w:bottom w:val="single" w:sz="4" w:space="0" w:color="FFFFFF"/>
              <w:right w:val="single" w:sz="4" w:space="0" w:color="FFFFFF"/>
            </w:tcBorders>
            <w:shd w:val="clear" w:color="000000" w:fill="D8E4BC"/>
            <w:noWrap/>
            <w:vAlign w:val="center"/>
          </w:tcPr>
          <w:p w14:paraId="304E25AF" w14:textId="6253F173" w:rsidR="00533E5E" w:rsidRDefault="00533E5E" w:rsidP="00147A1D">
            <w:pPr>
              <w:jc w:val="right"/>
              <w:rPr>
                <w:rFonts w:ascii="Calibri" w:hAnsi="Calibri"/>
                <w:bCs/>
                <w:color w:val="000000"/>
                <w:lang w:eastAsia="en-GB"/>
              </w:rPr>
            </w:pPr>
            <w:r>
              <w:rPr>
                <w:rFonts w:ascii="Calibri" w:hAnsi="Calibri"/>
                <w:bCs/>
                <w:color w:val="000000"/>
                <w:lang w:eastAsia="en-GB"/>
              </w:rPr>
              <w:t>25</w:t>
            </w:r>
          </w:p>
        </w:tc>
      </w:tr>
      <w:tr w:rsidR="00533E5E" w:rsidRPr="00D90154" w14:paraId="26B7323A"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63D6C08A" w14:textId="626A2026" w:rsidR="00533E5E" w:rsidRDefault="00533E5E" w:rsidP="00147A1D">
            <w:pPr>
              <w:jc w:val="right"/>
              <w:rPr>
                <w:rFonts w:ascii="Calibri" w:hAnsi="Calibri"/>
                <w:bCs/>
                <w:color w:val="000000"/>
                <w:lang w:eastAsia="en-GB"/>
              </w:rPr>
            </w:pPr>
            <w:r>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0A56BB7" w14:textId="2C63AA58" w:rsidR="00533E5E" w:rsidRDefault="00533E5E" w:rsidP="00147A1D">
            <w:pPr>
              <w:rPr>
                <w:rFonts w:ascii="Calibri" w:hAnsi="Calibri"/>
                <w:bCs/>
                <w:color w:val="000000"/>
                <w:lang w:eastAsia="en-GB"/>
              </w:rPr>
            </w:pPr>
            <w:r>
              <w:rPr>
                <w:rFonts w:ascii="Calibri" w:hAnsi="Calibri"/>
                <w:bCs/>
                <w:color w:val="000000"/>
                <w:lang w:eastAsia="en-GB"/>
              </w:rPr>
              <w:t>Leicester &amp; Leicestershire Enterprise Partnership Grant</w:t>
            </w:r>
          </w:p>
        </w:tc>
        <w:tc>
          <w:tcPr>
            <w:tcW w:w="1720" w:type="dxa"/>
            <w:tcBorders>
              <w:top w:val="nil"/>
              <w:left w:val="nil"/>
              <w:bottom w:val="single" w:sz="4" w:space="0" w:color="FFFFFF"/>
              <w:right w:val="single" w:sz="4" w:space="0" w:color="FFFFFF"/>
            </w:tcBorders>
            <w:shd w:val="clear" w:color="000000" w:fill="D8E4BC"/>
            <w:noWrap/>
            <w:vAlign w:val="center"/>
          </w:tcPr>
          <w:p w14:paraId="25220F71" w14:textId="566653A3" w:rsidR="00533E5E" w:rsidRDefault="00533E5E" w:rsidP="00147A1D">
            <w:pPr>
              <w:jc w:val="right"/>
              <w:rPr>
                <w:rFonts w:ascii="Calibri" w:hAnsi="Calibri"/>
                <w:bCs/>
                <w:color w:val="000000"/>
                <w:lang w:eastAsia="en-GB"/>
              </w:rPr>
            </w:pPr>
            <w:r>
              <w:rPr>
                <w:rFonts w:ascii="Calibri" w:hAnsi="Calibri"/>
                <w:bCs/>
                <w:color w:val="000000"/>
                <w:lang w:eastAsia="en-GB"/>
              </w:rPr>
              <w:t>39</w:t>
            </w:r>
          </w:p>
        </w:tc>
      </w:tr>
      <w:tr w:rsidR="00533E5E" w:rsidRPr="00D90154" w14:paraId="6C78693C"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5D0E9C2E" w14:textId="12602FD4" w:rsidR="00533E5E" w:rsidRDefault="002A0BE6" w:rsidP="00147A1D">
            <w:pPr>
              <w:jc w:val="right"/>
              <w:rPr>
                <w:rFonts w:ascii="Calibri" w:hAnsi="Calibri"/>
                <w:bCs/>
                <w:color w:val="000000"/>
                <w:lang w:eastAsia="en-GB"/>
              </w:rPr>
            </w:pPr>
            <w:r>
              <w:rPr>
                <w:rFonts w:ascii="Calibri" w:hAnsi="Calibri"/>
                <w:bCs/>
                <w:color w:val="000000"/>
                <w:lang w:eastAsia="en-GB"/>
              </w:rPr>
              <w:t>35</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148A8AFF" w14:textId="1B1F8014" w:rsidR="00533E5E" w:rsidRDefault="002A0BE6" w:rsidP="00147A1D">
            <w:pPr>
              <w:rPr>
                <w:rFonts w:ascii="Calibri" w:hAnsi="Calibri"/>
                <w:bCs/>
                <w:color w:val="000000"/>
                <w:lang w:eastAsia="en-GB"/>
              </w:rPr>
            </w:pPr>
            <w:r>
              <w:rPr>
                <w:rFonts w:ascii="Calibri" w:hAnsi="Calibri"/>
                <w:bCs/>
                <w:color w:val="000000"/>
                <w:lang w:eastAsia="en-GB"/>
              </w:rPr>
              <w:t>Additional Restrictions Grant</w:t>
            </w:r>
          </w:p>
        </w:tc>
        <w:tc>
          <w:tcPr>
            <w:tcW w:w="1720" w:type="dxa"/>
            <w:tcBorders>
              <w:top w:val="nil"/>
              <w:left w:val="nil"/>
              <w:bottom w:val="single" w:sz="4" w:space="0" w:color="FFFFFF"/>
              <w:right w:val="single" w:sz="4" w:space="0" w:color="FFFFFF"/>
            </w:tcBorders>
            <w:shd w:val="clear" w:color="000000" w:fill="D8E4BC"/>
            <w:noWrap/>
            <w:vAlign w:val="center"/>
          </w:tcPr>
          <w:p w14:paraId="22031CE6" w14:textId="6BF5AB77" w:rsidR="00533E5E" w:rsidRDefault="002A0BE6" w:rsidP="00147A1D">
            <w:pPr>
              <w:jc w:val="right"/>
              <w:rPr>
                <w:rFonts w:ascii="Calibri" w:hAnsi="Calibri"/>
                <w:bCs/>
                <w:color w:val="000000"/>
                <w:lang w:eastAsia="en-GB"/>
              </w:rPr>
            </w:pPr>
            <w:r>
              <w:rPr>
                <w:rFonts w:ascii="Calibri" w:hAnsi="Calibri"/>
                <w:bCs/>
                <w:color w:val="000000"/>
                <w:lang w:eastAsia="en-GB"/>
              </w:rPr>
              <w:t>0</w:t>
            </w:r>
          </w:p>
        </w:tc>
      </w:tr>
      <w:tr w:rsidR="003B28C5" w:rsidRPr="00D90154" w14:paraId="147C672F"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4FDC1850" w14:textId="3D45D098" w:rsidR="003B28C5" w:rsidRDefault="002A0BE6" w:rsidP="00147A1D">
            <w:pPr>
              <w:jc w:val="right"/>
              <w:rPr>
                <w:rFonts w:ascii="Calibri" w:hAnsi="Calibri"/>
                <w:bCs/>
                <w:color w:val="000000"/>
                <w:lang w:eastAsia="en-GB"/>
              </w:rPr>
            </w:pPr>
            <w:r>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99D8C34" w14:textId="56B28EAE" w:rsidR="003B28C5" w:rsidRDefault="002A0BE6" w:rsidP="00147A1D">
            <w:pPr>
              <w:rPr>
                <w:rFonts w:ascii="Calibri" w:hAnsi="Calibri"/>
                <w:bCs/>
                <w:color w:val="000000"/>
                <w:lang w:eastAsia="en-GB"/>
              </w:rPr>
            </w:pPr>
            <w:r>
              <w:rPr>
                <w:rFonts w:ascii="Calibri" w:hAnsi="Calibri"/>
                <w:bCs/>
                <w:color w:val="000000"/>
                <w:lang w:eastAsia="en-GB"/>
              </w:rPr>
              <w:t>Other Small Grants Credited to Taxation and Non-Specific Income</w:t>
            </w:r>
          </w:p>
        </w:tc>
        <w:tc>
          <w:tcPr>
            <w:tcW w:w="1720" w:type="dxa"/>
            <w:tcBorders>
              <w:top w:val="nil"/>
              <w:left w:val="nil"/>
              <w:bottom w:val="single" w:sz="4" w:space="0" w:color="FFFFFF"/>
              <w:right w:val="single" w:sz="4" w:space="0" w:color="FFFFFF"/>
            </w:tcBorders>
            <w:shd w:val="clear" w:color="000000" w:fill="D8E4BC"/>
            <w:noWrap/>
            <w:vAlign w:val="center"/>
          </w:tcPr>
          <w:p w14:paraId="3C188A3F" w14:textId="40930D6C" w:rsidR="003B28C5" w:rsidRDefault="002A0BE6" w:rsidP="00147A1D">
            <w:pPr>
              <w:jc w:val="right"/>
              <w:rPr>
                <w:rFonts w:ascii="Calibri" w:hAnsi="Calibri"/>
                <w:bCs/>
                <w:color w:val="000000"/>
                <w:lang w:eastAsia="en-GB"/>
              </w:rPr>
            </w:pPr>
            <w:r>
              <w:rPr>
                <w:rFonts w:ascii="Calibri" w:hAnsi="Calibri"/>
                <w:bCs/>
                <w:color w:val="000000"/>
                <w:lang w:eastAsia="en-GB"/>
              </w:rPr>
              <w:t>26</w:t>
            </w:r>
          </w:p>
        </w:tc>
      </w:tr>
      <w:tr w:rsidR="00147A1D" w:rsidRPr="00D90154" w14:paraId="0AEF0918" w14:textId="77777777" w:rsidTr="00147A1D">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25A54D8D" w14:textId="02158122" w:rsidR="00147A1D" w:rsidRPr="00D90154" w:rsidRDefault="003A097F" w:rsidP="00147A1D">
            <w:pPr>
              <w:jc w:val="right"/>
              <w:rPr>
                <w:rFonts w:ascii="Calibri" w:hAnsi="Calibri"/>
                <w:b/>
                <w:bCs/>
                <w:color w:val="000000"/>
                <w:lang w:eastAsia="en-GB"/>
              </w:rPr>
            </w:pPr>
            <w:r>
              <w:rPr>
                <w:rFonts w:ascii="Calibri" w:hAnsi="Calibri"/>
                <w:b/>
                <w:bCs/>
                <w:color w:val="000000"/>
                <w:lang w:eastAsia="en-GB"/>
              </w:rPr>
              <w:t>575</w:t>
            </w:r>
          </w:p>
        </w:tc>
        <w:tc>
          <w:tcPr>
            <w:tcW w:w="5840" w:type="dxa"/>
            <w:tcBorders>
              <w:top w:val="nil"/>
              <w:left w:val="nil"/>
              <w:bottom w:val="single" w:sz="4" w:space="0" w:color="FFFFFF"/>
              <w:right w:val="single" w:sz="4" w:space="0" w:color="FFFFFF"/>
            </w:tcBorders>
            <w:shd w:val="clear" w:color="000000" w:fill="D8E4BC"/>
            <w:noWrap/>
            <w:vAlign w:val="center"/>
            <w:hideMark/>
          </w:tcPr>
          <w:p w14:paraId="519CEED1" w14:textId="77777777" w:rsidR="00147A1D" w:rsidRPr="00D90154" w:rsidRDefault="00147A1D" w:rsidP="00147A1D">
            <w:pPr>
              <w:rPr>
                <w:rFonts w:ascii="Calibri" w:hAnsi="Calibri"/>
                <w:b/>
                <w:bCs/>
                <w:color w:val="000000"/>
                <w:lang w:eastAsia="en-GB"/>
              </w:rPr>
            </w:pPr>
            <w:r w:rsidRPr="00D90154">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0C82A48A" w14:textId="1C5F8370" w:rsidR="00147A1D" w:rsidRPr="00D90154" w:rsidRDefault="008004D0" w:rsidP="00147A1D">
            <w:pPr>
              <w:jc w:val="right"/>
              <w:rPr>
                <w:rFonts w:ascii="Calibri" w:hAnsi="Calibri"/>
                <w:b/>
                <w:bCs/>
                <w:color w:val="000000"/>
                <w:lang w:eastAsia="en-GB"/>
              </w:rPr>
            </w:pPr>
            <w:r>
              <w:rPr>
                <w:rFonts w:ascii="Calibri" w:hAnsi="Calibri"/>
                <w:b/>
                <w:bCs/>
                <w:color w:val="000000"/>
                <w:lang w:eastAsia="en-GB"/>
              </w:rPr>
              <w:t>1,444</w:t>
            </w:r>
          </w:p>
        </w:tc>
      </w:tr>
    </w:tbl>
    <w:p w14:paraId="0F3C91B9" w14:textId="77777777" w:rsidR="00652B18" w:rsidRDefault="00652B18" w:rsidP="00707761">
      <w:pPr>
        <w:widowControl w:val="0"/>
        <w:tabs>
          <w:tab w:val="left" w:pos="2520"/>
          <w:tab w:val="left" w:pos="7200"/>
          <w:tab w:val="left" w:pos="8460"/>
        </w:tabs>
        <w:jc w:val="both"/>
        <w:rPr>
          <w:rFonts w:ascii="Arial" w:hAnsi="Arial" w:cs="Arial"/>
        </w:rPr>
      </w:pPr>
    </w:p>
    <w:tbl>
      <w:tblPr>
        <w:tblW w:w="9240" w:type="dxa"/>
        <w:tblInd w:w="93" w:type="dxa"/>
        <w:tblLook w:val="04A0" w:firstRow="1" w:lastRow="0" w:firstColumn="1" w:lastColumn="0" w:noHBand="0" w:noVBand="1"/>
        <w:tblCaption w:val="Grant Income Credited to Services"/>
        <w:tblDescription w:val="Grant Income Credited to Services for 2022-2023 with 2021-2022 comparatives"/>
      </w:tblPr>
      <w:tblGrid>
        <w:gridCol w:w="1680"/>
        <w:gridCol w:w="5840"/>
        <w:gridCol w:w="1720"/>
      </w:tblGrid>
      <w:tr w:rsidR="00214329" w:rsidRPr="00D90154" w14:paraId="2244139A" w14:textId="77777777" w:rsidTr="00040239">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bookmarkEnd w:id="3"/>
          <w:p w14:paraId="62630190" w14:textId="65AF525D" w:rsidR="00214329" w:rsidRPr="00D90154" w:rsidRDefault="00214329" w:rsidP="00040239">
            <w:pPr>
              <w:jc w:val="right"/>
              <w:rPr>
                <w:rFonts w:ascii="Calibri" w:hAnsi="Calibri"/>
                <w:color w:val="000000"/>
                <w:lang w:eastAsia="en-GB"/>
              </w:rPr>
            </w:pPr>
            <w:r w:rsidRPr="00D90154">
              <w:rPr>
                <w:rFonts w:ascii="Calibri" w:hAnsi="Calibri"/>
                <w:color w:val="000000"/>
                <w:lang w:eastAsia="en-GB"/>
              </w:rPr>
              <w:t>20</w:t>
            </w:r>
            <w:r>
              <w:rPr>
                <w:rFonts w:ascii="Calibri" w:hAnsi="Calibri"/>
                <w:color w:val="000000"/>
                <w:lang w:eastAsia="en-GB"/>
              </w:rPr>
              <w:t>2</w:t>
            </w:r>
            <w:r w:rsidR="003A097F">
              <w:rPr>
                <w:rFonts w:ascii="Calibri" w:hAnsi="Calibri"/>
                <w:color w:val="000000"/>
                <w:lang w:eastAsia="en-GB"/>
              </w:rPr>
              <w:t>1</w:t>
            </w:r>
            <w:r>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0B3FE262" w14:textId="77777777" w:rsidR="00214329" w:rsidRPr="00D90154" w:rsidRDefault="00214329" w:rsidP="00040239">
            <w:pPr>
              <w:rPr>
                <w:rFonts w:ascii="Calibri" w:hAnsi="Calibri"/>
                <w:color w:val="000000"/>
                <w:lang w:eastAsia="en-GB"/>
              </w:rPr>
            </w:pPr>
            <w:r w:rsidRPr="00D90154">
              <w:rPr>
                <w:rFonts w:ascii="Calibri" w:hAnsi="Calibri"/>
                <w:color w:val="000000"/>
                <w:lang w:eastAsia="en-GB"/>
              </w:rPr>
              <w:t>Credited to Services</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2CDC80C0" w14:textId="0EBB21CD" w:rsidR="00214329" w:rsidRPr="00D90154" w:rsidRDefault="00214329" w:rsidP="00040239">
            <w:pPr>
              <w:jc w:val="right"/>
              <w:rPr>
                <w:rFonts w:ascii="Calibri" w:hAnsi="Calibri"/>
                <w:color w:val="000000"/>
                <w:lang w:eastAsia="en-GB"/>
              </w:rPr>
            </w:pPr>
            <w:r w:rsidRPr="00D90154">
              <w:rPr>
                <w:rFonts w:ascii="Calibri" w:hAnsi="Calibri"/>
                <w:color w:val="000000"/>
                <w:lang w:eastAsia="en-GB"/>
              </w:rPr>
              <w:t>20</w:t>
            </w:r>
            <w:r>
              <w:rPr>
                <w:rFonts w:ascii="Calibri" w:hAnsi="Calibri"/>
                <w:color w:val="000000"/>
                <w:lang w:eastAsia="en-GB"/>
              </w:rPr>
              <w:t>2</w:t>
            </w:r>
            <w:r w:rsidR="003A097F">
              <w:rPr>
                <w:rFonts w:ascii="Calibri" w:hAnsi="Calibri"/>
                <w:color w:val="000000"/>
                <w:lang w:eastAsia="en-GB"/>
              </w:rPr>
              <w:t>2</w:t>
            </w:r>
            <w:r w:rsidRPr="00D90154">
              <w:rPr>
                <w:rFonts w:ascii="Calibri" w:hAnsi="Calibri"/>
                <w:color w:val="000000"/>
                <w:lang w:eastAsia="en-GB"/>
              </w:rPr>
              <w:t>-</w:t>
            </w:r>
            <w:r>
              <w:rPr>
                <w:rFonts w:ascii="Calibri" w:hAnsi="Calibri"/>
                <w:color w:val="000000"/>
                <w:lang w:eastAsia="en-GB"/>
              </w:rPr>
              <w:t>2</w:t>
            </w:r>
            <w:r w:rsidR="003A097F">
              <w:rPr>
                <w:rFonts w:ascii="Calibri" w:hAnsi="Calibri"/>
                <w:color w:val="000000"/>
                <w:lang w:eastAsia="en-GB"/>
              </w:rPr>
              <w:t>3</w:t>
            </w:r>
          </w:p>
        </w:tc>
      </w:tr>
      <w:tr w:rsidR="00214329" w:rsidRPr="00D90154" w14:paraId="44813EF0"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28B0CA39" w14:textId="77777777" w:rsidR="00214329" w:rsidRPr="00D90154" w:rsidRDefault="00214329" w:rsidP="00040239">
            <w:pPr>
              <w:jc w:val="right"/>
              <w:rPr>
                <w:rFonts w:ascii="Calibri" w:hAnsi="Calibri"/>
                <w:color w:val="000000"/>
                <w:lang w:eastAsia="en-GB"/>
              </w:rPr>
            </w:pPr>
            <w:r w:rsidRPr="00D90154">
              <w:rPr>
                <w:rFonts w:ascii="Calibri" w:hAnsi="Calibri"/>
                <w:color w:val="000000"/>
                <w:lang w:eastAsia="en-GB"/>
              </w:rPr>
              <w:t xml:space="preserve">     £’000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214AA6EE" w14:textId="77777777" w:rsidR="00214329" w:rsidRPr="00D90154" w:rsidRDefault="00214329" w:rsidP="00040239">
            <w:pPr>
              <w:rPr>
                <w:rFonts w:ascii="Calibri" w:hAnsi="Calibri"/>
                <w:color w:val="000000"/>
                <w:lang w:eastAsia="en-GB"/>
              </w:rPr>
            </w:pPr>
            <w:r w:rsidRPr="00D90154">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47F2B11B" w14:textId="77777777" w:rsidR="00214329" w:rsidRPr="00D90154" w:rsidRDefault="00214329" w:rsidP="00040239">
            <w:pPr>
              <w:jc w:val="right"/>
              <w:rPr>
                <w:rFonts w:ascii="Calibri" w:hAnsi="Calibri"/>
                <w:color w:val="000000"/>
                <w:lang w:eastAsia="en-GB"/>
              </w:rPr>
            </w:pPr>
            <w:r w:rsidRPr="00D90154">
              <w:rPr>
                <w:rFonts w:ascii="Calibri" w:hAnsi="Calibri"/>
                <w:color w:val="000000"/>
                <w:lang w:eastAsia="en-GB"/>
              </w:rPr>
              <w:t>£'000</w:t>
            </w:r>
          </w:p>
        </w:tc>
      </w:tr>
      <w:tr w:rsidR="00214329" w:rsidRPr="00D90154" w14:paraId="7FF96ABC"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2D5846C5" w14:textId="4DED3BE3" w:rsidR="00214329" w:rsidRPr="00D90154" w:rsidRDefault="003A097F" w:rsidP="00040239">
            <w:pPr>
              <w:jc w:val="right"/>
              <w:rPr>
                <w:rFonts w:ascii="Calibri" w:hAnsi="Calibri"/>
                <w:color w:val="000000"/>
                <w:lang w:eastAsia="en-GB"/>
              </w:rPr>
            </w:pPr>
            <w:r>
              <w:rPr>
                <w:rFonts w:ascii="Calibri" w:hAnsi="Calibri"/>
                <w:color w:val="000000"/>
                <w:lang w:eastAsia="en-GB"/>
              </w:rPr>
              <w:t>4</w:t>
            </w:r>
            <w:r w:rsidR="00214329">
              <w:rPr>
                <w:rFonts w:ascii="Calibri" w:hAnsi="Calibri"/>
                <w:color w:val="000000"/>
                <w:lang w:eastAsia="en-GB"/>
              </w:rPr>
              <w:t>,</w:t>
            </w:r>
            <w:r>
              <w:rPr>
                <w:rFonts w:ascii="Calibri" w:hAnsi="Calibri"/>
                <w:color w:val="000000"/>
                <w:lang w:eastAsia="en-GB"/>
              </w:rPr>
              <w:t>957</w:t>
            </w:r>
          </w:p>
        </w:tc>
        <w:tc>
          <w:tcPr>
            <w:tcW w:w="5840" w:type="dxa"/>
            <w:tcBorders>
              <w:top w:val="nil"/>
              <w:left w:val="nil"/>
              <w:bottom w:val="single" w:sz="4" w:space="0" w:color="FFFFFF"/>
              <w:right w:val="single" w:sz="4" w:space="0" w:color="FFFFFF"/>
            </w:tcBorders>
            <w:shd w:val="clear" w:color="000000" w:fill="EBF1DE"/>
            <w:noWrap/>
            <w:vAlign w:val="center"/>
            <w:hideMark/>
          </w:tcPr>
          <w:p w14:paraId="2E9FB548" w14:textId="77777777" w:rsidR="00214329" w:rsidRPr="00D90154" w:rsidRDefault="00214329" w:rsidP="00040239">
            <w:pPr>
              <w:rPr>
                <w:rFonts w:ascii="Calibri" w:hAnsi="Calibri"/>
                <w:color w:val="000000"/>
                <w:lang w:eastAsia="en-GB"/>
              </w:rPr>
            </w:pPr>
            <w:r>
              <w:rPr>
                <w:rFonts w:ascii="Calibri" w:hAnsi="Calibri"/>
                <w:color w:val="000000"/>
                <w:lang w:eastAsia="en-GB"/>
              </w:rPr>
              <w:t>Housing Benefit Subsidy</w:t>
            </w:r>
          </w:p>
        </w:tc>
        <w:tc>
          <w:tcPr>
            <w:tcW w:w="1720" w:type="dxa"/>
            <w:tcBorders>
              <w:top w:val="nil"/>
              <w:left w:val="nil"/>
              <w:bottom w:val="single" w:sz="4" w:space="0" w:color="FFFFFF"/>
              <w:right w:val="single" w:sz="4" w:space="0" w:color="FFFFFF"/>
            </w:tcBorders>
            <w:shd w:val="clear" w:color="000000" w:fill="D8E4BC"/>
            <w:noWrap/>
            <w:vAlign w:val="center"/>
          </w:tcPr>
          <w:p w14:paraId="3FFA4A19" w14:textId="64FC6114" w:rsidR="00214329" w:rsidRPr="00D90154" w:rsidRDefault="00180BFF" w:rsidP="00040239">
            <w:pPr>
              <w:jc w:val="right"/>
              <w:rPr>
                <w:rFonts w:ascii="Calibri" w:hAnsi="Calibri"/>
                <w:color w:val="000000"/>
                <w:lang w:eastAsia="en-GB"/>
              </w:rPr>
            </w:pPr>
            <w:r>
              <w:rPr>
                <w:rFonts w:ascii="Calibri" w:hAnsi="Calibri"/>
                <w:color w:val="000000"/>
                <w:lang w:eastAsia="en-GB"/>
              </w:rPr>
              <w:t>4,867</w:t>
            </w:r>
          </w:p>
        </w:tc>
      </w:tr>
      <w:tr w:rsidR="00214329" w:rsidRPr="00D90154" w14:paraId="33CDB973"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1E809D58" w14:textId="3B08EBBA" w:rsidR="00214329" w:rsidRPr="00D90154" w:rsidRDefault="003A097F" w:rsidP="00040239">
            <w:pPr>
              <w:jc w:val="right"/>
              <w:rPr>
                <w:rFonts w:ascii="Calibri" w:hAnsi="Calibri"/>
                <w:color w:val="000000"/>
                <w:lang w:eastAsia="en-GB"/>
              </w:rPr>
            </w:pPr>
            <w:r>
              <w:rPr>
                <w:rFonts w:ascii="Calibri" w:hAnsi="Calibri"/>
                <w:color w:val="000000"/>
                <w:lang w:eastAsia="en-GB"/>
              </w:rPr>
              <w:t>842</w:t>
            </w:r>
          </w:p>
        </w:tc>
        <w:tc>
          <w:tcPr>
            <w:tcW w:w="5840" w:type="dxa"/>
            <w:tcBorders>
              <w:top w:val="nil"/>
              <w:left w:val="nil"/>
              <w:bottom w:val="single" w:sz="4" w:space="0" w:color="FFFFFF"/>
              <w:right w:val="single" w:sz="4" w:space="0" w:color="FFFFFF"/>
            </w:tcBorders>
            <w:shd w:val="clear" w:color="000000" w:fill="EBF1DE"/>
            <w:noWrap/>
            <w:vAlign w:val="center"/>
            <w:hideMark/>
          </w:tcPr>
          <w:p w14:paraId="4720F3F0" w14:textId="77777777" w:rsidR="00214329" w:rsidRPr="00D90154" w:rsidRDefault="00214329" w:rsidP="00040239">
            <w:pPr>
              <w:rPr>
                <w:rFonts w:ascii="Calibri" w:hAnsi="Calibri"/>
                <w:color w:val="000000"/>
                <w:lang w:eastAsia="en-GB"/>
              </w:rPr>
            </w:pPr>
            <w:r w:rsidRPr="0044737F">
              <w:rPr>
                <w:rFonts w:ascii="Calibri" w:hAnsi="Calibri"/>
                <w:color w:val="000000"/>
                <w:lang w:eastAsia="en-GB"/>
              </w:rPr>
              <w:t>Section 31 Grants</w:t>
            </w:r>
          </w:p>
        </w:tc>
        <w:tc>
          <w:tcPr>
            <w:tcW w:w="1720" w:type="dxa"/>
            <w:tcBorders>
              <w:top w:val="nil"/>
              <w:left w:val="nil"/>
              <w:bottom w:val="single" w:sz="4" w:space="0" w:color="FFFFFF"/>
              <w:right w:val="single" w:sz="4" w:space="0" w:color="FFFFFF"/>
            </w:tcBorders>
            <w:shd w:val="clear" w:color="000000" w:fill="D8E4BC"/>
            <w:noWrap/>
            <w:vAlign w:val="center"/>
          </w:tcPr>
          <w:p w14:paraId="563B1627" w14:textId="4E861A03" w:rsidR="00214329" w:rsidRPr="00D90154" w:rsidRDefault="00923EF6" w:rsidP="00040239">
            <w:pPr>
              <w:jc w:val="right"/>
              <w:rPr>
                <w:rFonts w:ascii="Calibri" w:hAnsi="Calibri"/>
                <w:color w:val="000000"/>
                <w:lang w:eastAsia="en-GB"/>
              </w:rPr>
            </w:pPr>
            <w:r>
              <w:rPr>
                <w:rFonts w:ascii="Calibri" w:hAnsi="Calibri"/>
                <w:color w:val="000000"/>
                <w:lang w:eastAsia="en-GB"/>
              </w:rPr>
              <w:t>1,918</w:t>
            </w:r>
          </w:p>
        </w:tc>
      </w:tr>
      <w:tr w:rsidR="00214329" w:rsidRPr="00D90154" w14:paraId="217EAEC6"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76503E1A" w14:textId="0FC93E81" w:rsidR="00214329" w:rsidRPr="00D90154" w:rsidRDefault="003A097F" w:rsidP="00040239">
            <w:pPr>
              <w:jc w:val="right"/>
              <w:rPr>
                <w:rFonts w:ascii="Calibri" w:hAnsi="Calibri"/>
                <w:color w:val="000000"/>
                <w:lang w:eastAsia="en-GB"/>
              </w:rPr>
            </w:pPr>
            <w:r>
              <w:rPr>
                <w:rFonts w:ascii="Calibri" w:hAnsi="Calibri"/>
                <w:color w:val="000000"/>
                <w:lang w:eastAsia="en-GB"/>
              </w:rPr>
              <w:t>142</w:t>
            </w:r>
          </w:p>
        </w:tc>
        <w:tc>
          <w:tcPr>
            <w:tcW w:w="5840" w:type="dxa"/>
            <w:tcBorders>
              <w:top w:val="nil"/>
              <w:left w:val="nil"/>
              <w:bottom w:val="single" w:sz="4" w:space="0" w:color="FFFFFF"/>
              <w:right w:val="single" w:sz="4" w:space="0" w:color="FFFFFF"/>
            </w:tcBorders>
            <w:shd w:val="clear" w:color="000000" w:fill="EBF1DE"/>
            <w:noWrap/>
            <w:vAlign w:val="center"/>
            <w:hideMark/>
          </w:tcPr>
          <w:p w14:paraId="7F6B56AA" w14:textId="77777777" w:rsidR="00214329" w:rsidRPr="00D90154" w:rsidRDefault="00214329" w:rsidP="00040239">
            <w:pPr>
              <w:rPr>
                <w:rFonts w:ascii="Calibri" w:hAnsi="Calibri"/>
                <w:color w:val="000000"/>
                <w:lang w:eastAsia="en-GB"/>
              </w:rPr>
            </w:pPr>
            <w:r>
              <w:rPr>
                <w:rFonts w:ascii="Calibri" w:hAnsi="Calibri"/>
                <w:color w:val="000000"/>
                <w:lang w:eastAsia="en-GB"/>
              </w:rPr>
              <w:t>Flexible Homelessness Support</w:t>
            </w:r>
          </w:p>
        </w:tc>
        <w:tc>
          <w:tcPr>
            <w:tcW w:w="1720" w:type="dxa"/>
            <w:tcBorders>
              <w:top w:val="nil"/>
              <w:left w:val="nil"/>
              <w:bottom w:val="single" w:sz="4" w:space="0" w:color="FFFFFF"/>
              <w:right w:val="single" w:sz="4" w:space="0" w:color="FFFFFF"/>
            </w:tcBorders>
            <w:shd w:val="clear" w:color="000000" w:fill="D8E4BC"/>
            <w:noWrap/>
            <w:vAlign w:val="center"/>
          </w:tcPr>
          <w:p w14:paraId="53E8B543" w14:textId="7A299BF0" w:rsidR="00214329" w:rsidRPr="00D90154" w:rsidRDefault="00923EF6" w:rsidP="00040239">
            <w:pPr>
              <w:jc w:val="right"/>
              <w:rPr>
                <w:rFonts w:ascii="Calibri" w:hAnsi="Calibri"/>
                <w:color w:val="000000"/>
                <w:lang w:eastAsia="en-GB"/>
              </w:rPr>
            </w:pPr>
            <w:r>
              <w:rPr>
                <w:rFonts w:ascii="Calibri" w:hAnsi="Calibri"/>
                <w:color w:val="000000"/>
                <w:lang w:eastAsia="en-GB"/>
              </w:rPr>
              <w:t>153</w:t>
            </w:r>
          </w:p>
        </w:tc>
      </w:tr>
      <w:tr w:rsidR="00214329" w:rsidRPr="00D90154" w14:paraId="4A5A5A7C"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140396D5" w14:textId="35DA7743" w:rsidR="00214329" w:rsidRPr="00D90154" w:rsidRDefault="003A097F" w:rsidP="00040239">
            <w:pPr>
              <w:jc w:val="right"/>
              <w:rPr>
                <w:rFonts w:ascii="Calibri" w:hAnsi="Calibri"/>
                <w:color w:val="000000"/>
                <w:lang w:eastAsia="en-GB"/>
              </w:rPr>
            </w:pPr>
            <w:r>
              <w:rPr>
                <w:rFonts w:ascii="Calibri" w:hAnsi="Calibri"/>
                <w:color w:val="000000"/>
                <w:lang w:eastAsia="en-GB"/>
              </w:rPr>
              <w:t>65</w:t>
            </w:r>
          </w:p>
        </w:tc>
        <w:tc>
          <w:tcPr>
            <w:tcW w:w="5840" w:type="dxa"/>
            <w:tcBorders>
              <w:top w:val="nil"/>
              <w:left w:val="nil"/>
              <w:bottom w:val="single" w:sz="4" w:space="0" w:color="FFFFFF"/>
              <w:right w:val="single" w:sz="4" w:space="0" w:color="FFFFFF"/>
            </w:tcBorders>
            <w:shd w:val="clear" w:color="000000" w:fill="EBF1DE"/>
            <w:noWrap/>
            <w:vAlign w:val="center"/>
            <w:hideMark/>
          </w:tcPr>
          <w:p w14:paraId="68BE25FE" w14:textId="77777777" w:rsidR="00214329" w:rsidRPr="00D90154" w:rsidRDefault="00214329" w:rsidP="00040239">
            <w:pPr>
              <w:rPr>
                <w:rFonts w:ascii="Calibri" w:hAnsi="Calibri"/>
                <w:color w:val="000000"/>
                <w:lang w:eastAsia="en-GB"/>
              </w:rPr>
            </w:pPr>
            <w:r>
              <w:rPr>
                <w:rFonts w:ascii="Calibri" w:hAnsi="Calibri"/>
                <w:color w:val="000000"/>
                <w:lang w:eastAsia="en-GB"/>
              </w:rPr>
              <w:t>Housing Benefit Admin Subsidy</w:t>
            </w:r>
          </w:p>
        </w:tc>
        <w:tc>
          <w:tcPr>
            <w:tcW w:w="1720" w:type="dxa"/>
            <w:tcBorders>
              <w:top w:val="nil"/>
              <w:left w:val="nil"/>
              <w:bottom w:val="single" w:sz="4" w:space="0" w:color="FFFFFF"/>
              <w:right w:val="single" w:sz="4" w:space="0" w:color="FFFFFF"/>
            </w:tcBorders>
            <w:shd w:val="clear" w:color="000000" w:fill="D8E4BC"/>
            <w:noWrap/>
            <w:vAlign w:val="center"/>
          </w:tcPr>
          <w:p w14:paraId="61C47F73" w14:textId="615BAD83" w:rsidR="00214329" w:rsidRPr="00D90154" w:rsidRDefault="00923EF6" w:rsidP="00040239">
            <w:pPr>
              <w:jc w:val="right"/>
              <w:rPr>
                <w:rFonts w:ascii="Calibri" w:hAnsi="Calibri"/>
                <w:color w:val="000000"/>
                <w:lang w:eastAsia="en-GB"/>
              </w:rPr>
            </w:pPr>
            <w:r>
              <w:rPr>
                <w:rFonts w:ascii="Calibri" w:hAnsi="Calibri"/>
                <w:color w:val="000000"/>
                <w:lang w:eastAsia="en-GB"/>
              </w:rPr>
              <w:t>93</w:t>
            </w:r>
          </w:p>
        </w:tc>
      </w:tr>
      <w:tr w:rsidR="00214329" w:rsidRPr="00D90154" w14:paraId="07805C7B"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074E1C9E" w14:textId="34DE0B07" w:rsidR="00214329" w:rsidRDefault="00214329" w:rsidP="00040239">
            <w:pPr>
              <w:jc w:val="right"/>
              <w:rPr>
                <w:rFonts w:ascii="Calibri" w:hAnsi="Calibri"/>
                <w:color w:val="000000"/>
                <w:lang w:eastAsia="en-GB"/>
              </w:rPr>
            </w:pPr>
            <w:r>
              <w:rPr>
                <w:rFonts w:ascii="Calibri" w:hAnsi="Calibri"/>
                <w:color w:val="000000"/>
                <w:lang w:eastAsia="en-GB"/>
              </w:rPr>
              <w:t>6</w:t>
            </w:r>
            <w:r w:rsidR="003A097F">
              <w:rPr>
                <w:rFonts w:ascii="Calibri" w:hAnsi="Calibri"/>
                <w:color w:val="000000"/>
                <w:lang w:eastAsia="en-GB"/>
              </w:rPr>
              <w:t>9</w:t>
            </w:r>
          </w:p>
        </w:tc>
        <w:tc>
          <w:tcPr>
            <w:tcW w:w="5840" w:type="dxa"/>
            <w:tcBorders>
              <w:top w:val="nil"/>
              <w:left w:val="nil"/>
              <w:bottom w:val="single" w:sz="4" w:space="0" w:color="FFFFFF"/>
              <w:right w:val="single" w:sz="4" w:space="0" w:color="FFFFFF"/>
            </w:tcBorders>
            <w:shd w:val="clear" w:color="000000" w:fill="EBF1DE"/>
            <w:noWrap/>
            <w:vAlign w:val="center"/>
          </w:tcPr>
          <w:p w14:paraId="5AAC9D82" w14:textId="77777777" w:rsidR="00214329" w:rsidRPr="00D53FD7" w:rsidRDefault="00214329" w:rsidP="00040239">
            <w:pPr>
              <w:rPr>
                <w:rFonts w:ascii="Calibri" w:hAnsi="Calibri"/>
                <w:color w:val="000000"/>
                <w:lang w:eastAsia="en-GB"/>
              </w:rPr>
            </w:pPr>
            <w:r w:rsidRPr="00D90154">
              <w:rPr>
                <w:rFonts w:ascii="Calibri" w:hAnsi="Calibri"/>
                <w:color w:val="000000"/>
                <w:lang w:eastAsia="en-GB"/>
              </w:rPr>
              <w:t>Sport and Physical Activity Commissioning</w:t>
            </w:r>
          </w:p>
        </w:tc>
        <w:tc>
          <w:tcPr>
            <w:tcW w:w="1720" w:type="dxa"/>
            <w:tcBorders>
              <w:top w:val="nil"/>
              <w:left w:val="nil"/>
              <w:bottom w:val="single" w:sz="4" w:space="0" w:color="FFFFFF"/>
              <w:right w:val="single" w:sz="4" w:space="0" w:color="FFFFFF"/>
            </w:tcBorders>
            <w:shd w:val="clear" w:color="000000" w:fill="D8E4BC"/>
            <w:noWrap/>
            <w:vAlign w:val="center"/>
          </w:tcPr>
          <w:p w14:paraId="2B236257" w14:textId="4FB200AD" w:rsidR="00214329" w:rsidRPr="00D90154" w:rsidRDefault="00923EF6" w:rsidP="00040239">
            <w:pPr>
              <w:jc w:val="right"/>
              <w:rPr>
                <w:rFonts w:ascii="Calibri" w:hAnsi="Calibri"/>
                <w:color w:val="000000"/>
                <w:lang w:eastAsia="en-GB"/>
              </w:rPr>
            </w:pPr>
            <w:r>
              <w:rPr>
                <w:rFonts w:ascii="Calibri" w:hAnsi="Calibri"/>
                <w:color w:val="000000"/>
                <w:lang w:eastAsia="en-GB"/>
              </w:rPr>
              <w:t>66</w:t>
            </w:r>
          </w:p>
        </w:tc>
      </w:tr>
      <w:tr w:rsidR="00214329" w:rsidRPr="00D90154" w14:paraId="25816C69"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626888FD" w14:textId="35D6C884" w:rsidR="00214329" w:rsidRPr="00D90154" w:rsidRDefault="003A097F" w:rsidP="00040239">
            <w:pPr>
              <w:jc w:val="right"/>
              <w:rPr>
                <w:rFonts w:ascii="Calibri" w:hAnsi="Calibri"/>
                <w:color w:val="000000"/>
                <w:lang w:eastAsia="en-GB"/>
              </w:rPr>
            </w:pPr>
            <w:r>
              <w:rPr>
                <w:rFonts w:ascii="Calibri" w:hAnsi="Calibri"/>
                <w:color w:val="000000"/>
                <w:lang w:eastAsia="en-GB"/>
              </w:rPr>
              <w:t>131</w:t>
            </w:r>
          </w:p>
        </w:tc>
        <w:tc>
          <w:tcPr>
            <w:tcW w:w="5840" w:type="dxa"/>
            <w:tcBorders>
              <w:top w:val="nil"/>
              <w:left w:val="nil"/>
              <w:bottom w:val="single" w:sz="4" w:space="0" w:color="FFFFFF"/>
              <w:right w:val="single" w:sz="4" w:space="0" w:color="FFFFFF"/>
            </w:tcBorders>
            <w:shd w:val="clear" w:color="000000" w:fill="EBF1DE"/>
            <w:noWrap/>
            <w:vAlign w:val="center"/>
            <w:hideMark/>
          </w:tcPr>
          <w:p w14:paraId="5F5C357D" w14:textId="77777777" w:rsidR="00214329" w:rsidRPr="00D90154" w:rsidRDefault="00214329" w:rsidP="00040239">
            <w:pPr>
              <w:rPr>
                <w:rFonts w:ascii="Calibri" w:hAnsi="Calibri"/>
                <w:color w:val="000000"/>
                <w:lang w:eastAsia="en-GB"/>
              </w:rPr>
            </w:pPr>
            <w:r>
              <w:rPr>
                <w:rFonts w:ascii="Calibri" w:hAnsi="Calibri"/>
                <w:color w:val="000000"/>
                <w:lang w:eastAsia="en-GB"/>
              </w:rPr>
              <w:t>New Burdens Grant</w:t>
            </w:r>
          </w:p>
        </w:tc>
        <w:tc>
          <w:tcPr>
            <w:tcW w:w="1720" w:type="dxa"/>
            <w:tcBorders>
              <w:top w:val="nil"/>
              <w:left w:val="nil"/>
              <w:bottom w:val="single" w:sz="4" w:space="0" w:color="FFFFFF"/>
              <w:right w:val="single" w:sz="4" w:space="0" w:color="FFFFFF"/>
            </w:tcBorders>
            <w:shd w:val="clear" w:color="000000" w:fill="D8E4BC"/>
            <w:noWrap/>
            <w:vAlign w:val="center"/>
          </w:tcPr>
          <w:p w14:paraId="6F7CE59B" w14:textId="3737D60A" w:rsidR="00214329" w:rsidRPr="00D90154" w:rsidRDefault="00923EF6" w:rsidP="00040239">
            <w:pPr>
              <w:jc w:val="right"/>
              <w:rPr>
                <w:rFonts w:ascii="Calibri" w:hAnsi="Calibri"/>
                <w:color w:val="000000"/>
                <w:lang w:eastAsia="en-GB"/>
              </w:rPr>
            </w:pPr>
            <w:r>
              <w:rPr>
                <w:rFonts w:ascii="Calibri" w:hAnsi="Calibri"/>
                <w:color w:val="000000"/>
                <w:lang w:eastAsia="en-GB"/>
              </w:rPr>
              <w:t>65</w:t>
            </w:r>
          </w:p>
        </w:tc>
      </w:tr>
      <w:tr w:rsidR="00214329" w:rsidRPr="00D90154" w14:paraId="1DFAF206"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7128D0C8" w14:textId="02431326" w:rsidR="00214329" w:rsidRPr="00D90154" w:rsidRDefault="003A097F" w:rsidP="00040239">
            <w:pPr>
              <w:jc w:val="right"/>
              <w:rPr>
                <w:rFonts w:ascii="Calibri" w:hAnsi="Calibri"/>
                <w:color w:val="000000"/>
                <w:lang w:eastAsia="en-GB"/>
              </w:rPr>
            </w:pPr>
            <w:r>
              <w:rPr>
                <w:rFonts w:ascii="Calibri" w:hAnsi="Calibri"/>
                <w:color w:val="000000"/>
                <w:lang w:eastAsia="en-GB"/>
              </w:rPr>
              <w:t>51</w:t>
            </w:r>
          </w:p>
        </w:tc>
        <w:tc>
          <w:tcPr>
            <w:tcW w:w="5840" w:type="dxa"/>
            <w:tcBorders>
              <w:top w:val="nil"/>
              <w:left w:val="nil"/>
              <w:bottom w:val="single" w:sz="4" w:space="0" w:color="FFFFFF"/>
              <w:right w:val="single" w:sz="4" w:space="0" w:color="FFFFFF"/>
            </w:tcBorders>
            <w:shd w:val="clear" w:color="000000" w:fill="EBF1DE"/>
            <w:noWrap/>
            <w:vAlign w:val="center"/>
            <w:hideMark/>
          </w:tcPr>
          <w:p w14:paraId="45DE844A" w14:textId="77777777" w:rsidR="00214329" w:rsidRPr="00D90154" w:rsidRDefault="00214329" w:rsidP="00040239">
            <w:pPr>
              <w:rPr>
                <w:rFonts w:ascii="Calibri" w:hAnsi="Calibri"/>
                <w:color w:val="000000"/>
                <w:lang w:eastAsia="en-GB"/>
              </w:rPr>
            </w:pPr>
            <w:r>
              <w:rPr>
                <w:rFonts w:ascii="Calibri" w:hAnsi="Calibri"/>
                <w:color w:val="000000"/>
                <w:lang w:eastAsia="en-GB"/>
              </w:rPr>
              <w:t>Discretionary Housing Payments</w:t>
            </w:r>
          </w:p>
        </w:tc>
        <w:tc>
          <w:tcPr>
            <w:tcW w:w="1720" w:type="dxa"/>
            <w:tcBorders>
              <w:top w:val="nil"/>
              <w:left w:val="nil"/>
              <w:bottom w:val="single" w:sz="4" w:space="0" w:color="FFFFFF"/>
              <w:right w:val="single" w:sz="4" w:space="0" w:color="FFFFFF"/>
            </w:tcBorders>
            <w:shd w:val="clear" w:color="000000" w:fill="D8E4BC"/>
            <w:noWrap/>
            <w:vAlign w:val="center"/>
          </w:tcPr>
          <w:p w14:paraId="0485D9A3" w14:textId="741B18F8" w:rsidR="00214329" w:rsidRPr="00D90154" w:rsidRDefault="00923EF6" w:rsidP="00040239">
            <w:pPr>
              <w:jc w:val="right"/>
              <w:rPr>
                <w:rFonts w:ascii="Calibri" w:hAnsi="Calibri"/>
                <w:color w:val="000000"/>
                <w:lang w:eastAsia="en-GB"/>
              </w:rPr>
            </w:pPr>
            <w:r>
              <w:rPr>
                <w:rFonts w:ascii="Calibri" w:hAnsi="Calibri"/>
                <w:color w:val="000000"/>
                <w:lang w:eastAsia="en-GB"/>
              </w:rPr>
              <w:t>0</w:t>
            </w:r>
          </w:p>
        </w:tc>
      </w:tr>
      <w:tr w:rsidR="00214329" w:rsidRPr="00D90154" w14:paraId="74E7E21E"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3F237F4F" w14:textId="20E39DE5" w:rsidR="00214329" w:rsidRPr="00D90154" w:rsidRDefault="003A097F" w:rsidP="00040239">
            <w:pPr>
              <w:jc w:val="right"/>
              <w:rPr>
                <w:rFonts w:ascii="Calibri" w:hAnsi="Calibri"/>
                <w:color w:val="000000"/>
                <w:lang w:eastAsia="en-GB"/>
              </w:rPr>
            </w:pPr>
            <w:r>
              <w:rPr>
                <w:rFonts w:ascii="Calibri" w:hAnsi="Calibri"/>
                <w:color w:val="000000"/>
                <w:lang w:eastAsia="en-GB"/>
              </w:rPr>
              <w:t>38</w:t>
            </w:r>
          </w:p>
        </w:tc>
        <w:tc>
          <w:tcPr>
            <w:tcW w:w="5840" w:type="dxa"/>
            <w:tcBorders>
              <w:top w:val="nil"/>
              <w:left w:val="nil"/>
              <w:bottom w:val="single" w:sz="4" w:space="0" w:color="FFFFFF"/>
              <w:right w:val="single" w:sz="4" w:space="0" w:color="FFFFFF"/>
            </w:tcBorders>
            <w:shd w:val="clear" w:color="000000" w:fill="EBF1DE"/>
            <w:noWrap/>
            <w:vAlign w:val="center"/>
          </w:tcPr>
          <w:p w14:paraId="4FD7DD34" w14:textId="77777777" w:rsidR="00214329" w:rsidRPr="00D90154" w:rsidRDefault="00214329" w:rsidP="00040239">
            <w:pPr>
              <w:rPr>
                <w:rFonts w:ascii="Calibri" w:hAnsi="Calibri"/>
                <w:color w:val="000000"/>
                <w:lang w:eastAsia="en-GB"/>
              </w:rPr>
            </w:pPr>
            <w:r>
              <w:rPr>
                <w:rFonts w:ascii="Calibri" w:hAnsi="Calibri"/>
                <w:color w:val="000000"/>
                <w:lang w:eastAsia="en-GB"/>
              </w:rPr>
              <w:t>Council Tax Support Admin Grant</w:t>
            </w:r>
          </w:p>
        </w:tc>
        <w:tc>
          <w:tcPr>
            <w:tcW w:w="1720" w:type="dxa"/>
            <w:tcBorders>
              <w:top w:val="nil"/>
              <w:left w:val="nil"/>
              <w:bottom w:val="single" w:sz="4" w:space="0" w:color="FFFFFF"/>
              <w:right w:val="single" w:sz="4" w:space="0" w:color="FFFFFF"/>
            </w:tcBorders>
            <w:shd w:val="clear" w:color="000000" w:fill="D8E4BC"/>
            <w:noWrap/>
            <w:vAlign w:val="center"/>
          </w:tcPr>
          <w:p w14:paraId="274DF620" w14:textId="7E1BAC62" w:rsidR="00214329" w:rsidRPr="00D90154" w:rsidRDefault="00923EF6" w:rsidP="00040239">
            <w:pPr>
              <w:jc w:val="right"/>
              <w:rPr>
                <w:rFonts w:ascii="Calibri" w:hAnsi="Calibri"/>
                <w:color w:val="000000"/>
                <w:lang w:eastAsia="en-GB"/>
              </w:rPr>
            </w:pPr>
            <w:r>
              <w:rPr>
                <w:rFonts w:ascii="Calibri" w:hAnsi="Calibri"/>
                <w:color w:val="000000"/>
                <w:lang w:eastAsia="en-GB"/>
              </w:rPr>
              <w:t>37</w:t>
            </w:r>
          </w:p>
        </w:tc>
      </w:tr>
      <w:tr w:rsidR="00214329" w:rsidRPr="00D90154" w14:paraId="2636EE69"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7EDA9773" w14:textId="7EF452AD" w:rsidR="00214329" w:rsidRDefault="00180BFF" w:rsidP="00040239">
            <w:pPr>
              <w:jc w:val="right"/>
              <w:rPr>
                <w:rFonts w:ascii="Calibri" w:hAnsi="Calibri"/>
                <w:color w:val="000000"/>
                <w:lang w:eastAsia="en-GB"/>
              </w:rPr>
            </w:pPr>
            <w:r>
              <w:rPr>
                <w:rFonts w:ascii="Calibri" w:hAnsi="Calibri"/>
                <w:color w:val="000000"/>
                <w:lang w:eastAsia="en-GB"/>
              </w:rPr>
              <w:t>40</w:t>
            </w:r>
          </w:p>
        </w:tc>
        <w:tc>
          <w:tcPr>
            <w:tcW w:w="5840" w:type="dxa"/>
            <w:tcBorders>
              <w:top w:val="nil"/>
              <w:left w:val="nil"/>
              <w:bottom w:val="single" w:sz="4" w:space="0" w:color="FFFFFF"/>
              <w:right w:val="single" w:sz="4" w:space="0" w:color="FFFFFF"/>
            </w:tcBorders>
            <w:shd w:val="clear" w:color="000000" w:fill="EBF1DE"/>
            <w:noWrap/>
            <w:vAlign w:val="center"/>
          </w:tcPr>
          <w:p w14:paraId="22F10F0A" w14:textId="77777777" w:rsidR="00214329" w:rsidRPr="00D90154" w:rsidRDefault="00214329" w:rsidP="00040239">
            <w:pPr>
              <w:rPr>
                <w:rFonts w:ascii="Calibri" w:hAnsi="Calibri"/>
                <w:color w:val="000000"/>
                <w:lang w:eastAsia="en-GB"/>
              </w:rPr>
            </w:pPr>
            <w:r w:rsidRPr="00A715FF">
              <w:rPr>
                <w:rFonts w:ascii="Calibri" w:hAnsi="Calibri"/>
                <w:color w:val="000000"/>
                <w:lang w:eastAsia="en-GB"/>
              </w:rPr>
              <w:t xml:space="preserve">Family Intervention Project Funding </w:t>
            </w:r>
            <w:r>
              <w:rPr>
                <w:rFonts w:ascii="Calibri" w:hAnsi="Calibri"/>
                <w:color w:val="000000"/>
                <w:lang w:eastAsia="en-GB"/>
              </w:rPr>
              <w:t>and</w:t>
            </w:r>
            <w:r w:rsidRPr="00A715FF">
              <w:rPr>
                <w:rFonts w:ascii="Calibri" w:hAnsi="Calibri"/>
                <w:color w:val="000000"/>
                <w:lang w:eastAsia="en-GB"/>
              </w:rPr>
              <w:t xml:space="preserve"> Supporting </w:t>
            </w:r>
            <w:proofErr w:type="spellStart"/>
            <w:r w:rsidRPr="00A715FF">
              <w:rPr>
                <w:rFonts w:ascii="Calibri" w:hAnsi="Calibri"/>
                <w:color w:val="000000"/>
                <w:lang w:eastAsia="en-GB"/>
              </w:rPr>
              <w:t>Leics</w:t>
            </w:r>
            <w:proofErr w:type="spellEnd"/>
            <w:r w:rsidRPr="00A715FF">
              <w:rPr>
                <w:rFonts w:ascii="Calibri" w:hAnsi="Calibri"/>
                <w:color w:val="000000"/>
                <w:lang w:eastAsia="en-GB"/>
              </w:rPr>
              <w:t xml:space="preserve"> Families</w:t>
            </w:r>
          </w:p>
        </w:tc>
        <w:tc>
          <w:tcPr>
            <w:tcW w:w="1720" w:type="dxa"/>
            <w:tcBorders>
              <w:top w:val="nil"/>
              <w:left w:val="nil"/>
              <w:bottom w:val="single" w:sz="4" w:space="0" w:color="FFFFFF"/>
              <w:right w:val="single" w:sz="4" w:space="0" w:color="FFFFFF"/>
            </w:tcBorders>
            <w:shd w:val="clear" w:color="000000" w:fill="D8E4BC"/>
            <w:noWrap/>
            <w:vAlign w:val="center"/>
          </w:tcPr>
          <w:p w14:paraId="14DABAA4" w14:textId="4E99CC0B" w:rsidR="00214329" w:rsidRDefault="00923EF6" w:rsidP="00040239">
            <w:pPr>
              <w:jc w:val="right"/>
              <w:rPr>
                <w:rFonts w:ascii="Calibri" w:hAnsi="Calibri"/>
                <w:color w:val="000000"/>
                <w:lang w:eastAsia="en-GB"/>
              </w:rPr>
            </w:pPr>
            <w:r>
              <w:rPr>
                <w:rFonts w:ascii="Calibri" w:hAnsi="Calibri"/>
                <w:color w:val="000000"/>
                <w:lang w:eastAsia="en-GB"/>
              </w:rPr>
              <w:t>0</w:t>
            </w:r>
          </w:p>
        </w:tc>
      </w:tr>
      <w:tr w:rsidR="00180BFF" w:rsidRPr="00D90154" w14:paraId="67B07651"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10B27425" w14:textId="6596F806" w:rsidR="00180BFF" w:rsidRDefault="00180BFF" w:rsidP="00040239">
            <w:pPr>
              <w:jc w:val="right"/>
              <w:rPr>
                <w:rFonts w:ascii="Calibri" w:hAnsi="Calibri"/>
                <w:color w:val="000000"/>
                <w:lang w:eastAsia="en-GB"/>
              </w:rPr>
            </w:pPr>
            <w:r>
              <w:rPr>
                <w:rFonts w:ascii="Calibri" w:hAnsi="Calibri"/>
                <w:color w:val="000000"/>
                <w:lang w:eastAsia="en-GB"/>
              </w:rPr>
              <w:t>68</w:t>
            </w:r>
          </w:p>
        </w:tc>
        <w:tc>
          <w:tcPr>
            <w:tcW w:w="5840" w:type="dxa"/>
            <w:tcBorders>
              <w:top w:val="nil"/>
              <w:left w:val="nil"/>
              <w:bottom w:val="single" w:sz="4" w:space="0" w:color="FFFFFF"/>
              <w:right w:val="single" w:sz="4" w:space="0" w:color="FFFFFF"/>
            </w:tcBorders>
            <w:shd w:val="clear" w:color="000000" w:fill="EBF1DE"/>
            <w:noWrap/>
            <w:vAlign w:val="center"/>
          </w:tcPr>
          <w:p w14:paraId="291E7786" w14:textId="4BD1954D" w:rsidR="00180BFF" w:rsidRDefault="00180BFF" w:rsidP="00040239">
            <w:pPr>
              <w:rPr>
                <w:rFonts w:ascii="Calibri" w:hAnsi="Calibri"/>
                <w:color w:val="000000"/>
                <w:lang w:eastAsia="en-GB"/>
              </w:rPr>
            </w:pPr>
            <w:r>
              <w:rPr>
                <w:rFonts w:ascii="Calibri" w:hAnsi="Calibri"/>
                <w:color w:val="000000"/>
                <w:lang w:eastAsia="en-GB"/>
              </w:rPr>
              <w:t>Safer Streets Revenue Grant</w:t>
            </w:r>
          </w:p>
        </w:tc>
        <w:tc>
          <w:tcPr>
            <w:tcW w:w="1720" w:type="dxa"/>
            <w:tcBorders>
              <w:top w:val="nil"/>
              <w:left w:val="nil"/>
              <w:bottom w:val="single" w:sz="4" w:space="0" w:color="FFFFFF"/>
              <w:right w:val="single" w:sz="4" w:space="0" w:color="FFFFFF"/>
            </w:tcBorders>
            <w:shd w:val="clear" w:color="000000" w:fill="D8E4BC"/>
            <w:noWrap/>
            <w:vAlign w:val="center"/>
          </w:tcPr>
          <w:p w14:paraId="10DC1F7B" w14:textId="095E286C" w:rsidR="00180BFF" w:rsidRPr="00D90154" w:rsidRDefault="00923EF6" w:rsidP="00040239">
            <w:pPr>
              <w:jc w:val="right"/>
              <w:rPr>
                <w:rFonts w:ascii="Calibri" w:hAnsi="Calibri"/>
                <w:color w:val="000000"/>
                <w:lang w:eastAsia="en-GB"/>
              </w:rPr>
            </w:pPr>
            <w:r>
              <w:rPr>
                <w:rFonts w:ascii="Calibri" w:hAnsi="Calibri"/>
                <w:color w:val="000000"/>
                <w:lang w:eastAsia="en-GB"/>
              </w:rPr>
              <w:t>60</w:t>
            </w:r>
          </w:p>
        </w:tc>
      </w:tr>
      <w:tr w:rsidR="00214329" w:rsidRPr="00D90154" w14:paraId="3E3FE94B"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2464FAE7" w14:textId="1A0C3E6E" w:rsidR="00214329" w:rsidRDefault="003A097F" w:rsidP="00040239">
            <w:pPr>
              <w:jc w:val="right"/>
              <w:rPr>
                <w:rFonts w:ascii="Calibri" w:hAnsi="Calibri"/>
                <w:color w:val="000000"/>
                <w:lang w:eastAsia="en-GB"/>
              </w:rPr>
            </w:pPr>
            <w:r>
              <w:rPr>
                <w:rFonts w:ascii="Calibri" w:hAnsi="Calibri"/>
                <w:color w:val="000000"/>
                <w:lang w:eastAsia="en-GB"/>
              </w:rPr>
              <w:t>2,146</w:t>
            </w:r>
          </w:p>
        </w:tc>
        <w:tc>
          <w:tcPr>
            <w:tcW w:w="5840" w:type="dxa"/>
            <w:tcBorders>
              <w:top w:val="nil"/>
              <w:left w:val="nil"/>
              <w:bottom w:val="single" w:sz="4" w:space="0" w:color="FFFFFF"/>
              <w:right w:val="single" w:sz="4" w:space="0" w:color="FFFFFF"/>
            </w:tcBorders>
            <w:shd w:val="clear" w:color="000000" w:fill="EBF1DE"/>
            <w:noWrap/>
            <w:vAlign w:val="center"/>
          </w:tcPr>
          <w:p w14:paraId="50FA31B4" w14:textId="77777777" w:rsidR="00214329" w:rsidRPr="00D90154" w:rsidRDefault="00214329" w:rsidP="00040239">
            <w:pPr>
              <w:rPr>
                <w:rFonts w:ascii="Calibri" w:hAnsi="Calibri"/>
                <w:color w:val="000000"/>
                <w:lang w:eastAsia="en-GB"/>
              </w:rPr>
            </w:pPr>
            <w:r>
              <w:rPr>
                <w:rFonts w:ascii="Calibri" w:hAnsi="Calibri"/>
                <w:color w:val="000000"/>
                <w:lang w:eastAsia="en-GB"/>
              </w:rPr>
              <w:t>Covid-19 Grant</w:t>
            </w:r>
          </w:p>
        </w:tc>
        <w:tc>
          <w:tcPr>
            <w:tcW w:w="1720" w:type="dxa"/>
            <w:tcBorders>
              <w:top w:val="nil"/>
              <w:left w:val="nil"/>
              <w:bottom w:val="single" w:sz="4" w:space="0" w:color="FFFFFF"/>
              <w:right w:val="single" w:sz="4" w:space="0" w:color="FFFFFF"/>
            </w:tcBorders>
            <w:shd w:val="clear" w:color="000000" w:fill="D8E4BC"/>
            <w:noWrap/>
            <w:vAlign w:val="center"/>
          </w:tcPr>
          <w:p w14:paraId="2951B2AA" w14:textId="1FBAEC02" w:rsidR="00214329" w:rsidRPr="00D90154" w:rsidRDefault="00180BFF" w:rsidP="00040239">
            <w:pPr>
              <w:jc w:val="right"/>
              <w:rPr>
                <w:rFonts w:ascii="Calibri" w:hAnsi="Calibri"/>
                <w:color w:val="000000"/>
                <w:lang w:eastAsia="en-GB"/>
              </w:rPr>
            </w:pPr>
            <w:r>
              <w:rPr>
                <w:rFonts w:ascii="Calibri" w:hAnsi="Calibri"/>
                <w:color w:val="000000"/>
                <w:lang w:eastAsia="en-GB"/>
              </w:rPr>
              <w:t>37</w:t>
            </w:r>
          </w:p>
        </w:tc>
      </w:tr>
      <w:tr w:rsidR="00214329" w:rsidRPr="00D90154" w14:paraId="04F6EA9D"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34E5AB4D" w14:textId="22450065" w:rsidR="00214329" w:rsidRDefault="003A097F" w:rsidP="00040239">
            <w:pPr>
              <w:jc w:val="right"/>
              <w:rPr>
                <w:rFonts w:ascii="Calibri" w:hAnsi="Calibri"/>
                <w:color w:val="000000"/>
                <w:lang w:eastAsia="en-GB"/>
              </w:rPr>
            </w:pPr>
            <w:r>
              <w:rPr>
                <w:rFonts w:ascii="Calibri" w:hAnsi="Calibri"/>
                <w:color w:val="000000"/>
                <w:lang w:eastAsia="en-GB"/>
              </w:rPr>
              <w:t>60</w:t>
            </w:r>
          </w:p>
        </w:tc>
        <w:tc>
          <w:tcPr>
            <w:tcW w:w="5840" w:type="dxa"/>
            <w:tcBorders>
              <w:top w:val="nil"/>
              <w:left w:val="nil"/>
              <w:bottom w:val="single" w:sz="4" w:space="0" w:color="FFFFFF"/>
              <w:right w:val="single" w:sz="4" w:space="0" w:color="FFFFFF"/>
            </w:tcBorders>
            <w:shd w:val="clear" w:color="000000" w:fill="EBF1DE"/>
            <w:noWrap/>
            <w:vAlign w:val="center"/>
          </w:tcPr>
          <w:p w14:paraId="69E986A1" w14:textId="77777777" w:rsidR="00214329" w:rsidRPr="00D90154" w:rsidRDefault="00214329" w:rsidP="00040239">
            <w:pPr>
              <w:rPr>
                <w:rFonts w:ascii="Calibri" w:hAnsi="Calibri"/>
                <w:color w:val="000000"/>
                <w:lang w:eastAsia="en-GB"/>
              </w:rPr>
            </w:pPr>
            <w:r>
              <w:rPr>
                <w:rFonts w:ascii="Calibri" w:hAnsi="Calibri"/>
                <w:color w:val="000000"/>
                <w:lang w:eastAsia="en-GB"/>
              </w:rPr>
              <w:t>Neighbourhood Planning</w:t>
            </w:r>
          </w:p>
        </w:tc>
        <w:tc>
          <w:tcPr>
            <w:tcW w:w="1720" w:type="dxa"/>
            <w:tcBorders>
              <w:top w:val="nil"/>
              <w:left w:val="nil"/>
              <w:bottom w:val="single" w:sz="4" w:space="0" w:color="FFFFFF"/>
              <w:right w:val="single" w:sz="4" w:space="0" w:color="FFFFFF"/>
            </w:tcBorders>
            <w:shd w:val="clear" w:color="000000" w:fill="D8E4BC"/>
            <w:noWrap/>
            <w:vAlign w:val="center"/>
          </w:tcPr>
          <w:p w14:paraId="3EDED0A4" w14:textId="5AC16914" w:rsidR="00214329" w:rsidRDefault="00180BFF" w:rsidP="00040239">
            <w:pPr>
              <w:jc w:val="right"/>
              <w:rPr>
                <w:rFonts w:ascii="Calibri" w:hAnsi="Calibri"/>
                <w:color w:val="000000"/>
                <w:lang w:eastAsia="en-GB"/>
              </w:rPr>
            </w:pPr>
            <w:r>
              <w:rPr>
                <w:rFonts w:ascii="Calibri" w:hAnsi="Calibri"/>
                <w:color w:val="000000"/>
                <w:lang w:eastAsia="en-GB"/>
              </w:rPr>
              <w:t>20</w:t>
            </w:r>
          </w:p>
        </w:tc>
      </w:tr>
      <w:tr w:rsidR="00214329" w:rsidRPr="00D90154" w14:paraId="791C166F"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0F934402" w14:textId="7035D2AD" w:rsidR="00214329" w:rsidRDefault="003A097F" w:rsidP="00040239">
            <w:pPr>
              <w:jc w:val="right"/>
              <w:rPr>
                <w:rFonts w:ascii="Calibri" w:hAnsi="Calibri"/>
                <w:color w:val="000000"/>
                <w:lang w:eastAsia="en-GB"/>
              </w:rPr>
            </w:pPr>
            <w:r>
              <w:rPr>
                <w:rFonts w:ascii="Calibri" w:hAnsi="Calibri"/>
                <w:color w:val="000000"/>
                <w:lang w:eastAsia="en-GB"/>
              </w:rPr>
              <w:t>145</w:t>
            </w:r>
          </w:p>
        </w:tc>
        <w:tc>
          <w:tcPr>
            <w:tcW w:w="5840" w:type="dxa"/>
            <w:tcBorders>
              <w:top w:val="nil"/>
              <w:left w:val="nil"/>
              <w:bottom w:val="single" w:sz="4" w:space="0" w:color="FFFFFF"/>
              <w:right w:val="single" w:sz="4" w:space="0" w:color="FFFFFF"/>
            </w:tcBorders>
            <w:shd w:val="clear" w:color="000000" w:fill="EBF1DE"/>
            <w:noWrap/>
            <w:vAlign w:val="center"/>
          </w:tcPr>
          <w:p w14:paraId="1FA4B255" w14:textId="77777777" w:rsidR="00214329" w:rsidRDefault="00214329" w:rsidP="00040239">
            <w:pPr>
              <w:rPr>
                <w:rFonts w:ascii="Calibri" w:hAnsi="Calibri"/>
                <w:color w:val="000000"/>
                <w:lang w:eastAsia="en-GB"/>
              </w:rPr>
            </w:pPr>
            <w:r>
              <w:rPr>
                <w:rFonts w:ascii="Calibri" w:hAnsi="Calibri"/>
                <w:color w:val="000000"/>
                <w:lang w:eastAsia="en-GB"/>
              </w:rPr>
              <w:t>Election contributions</w:t>
            </w:r>
          </w:p>
        </w:tc>
        <w:tc>
          <w:tcPr>
            <w:tcW w:w="1720" w:type="dxa"/>
            <w:tcBorders>
              <w:top w:val="nil"/>
              <w:left w:val="nil"/>
              <w:bottom w:val="single" w:sz="4" w:space="0" w:color="FFFFFF"/>
              <w:right w:val="single" w:sz="4" w:space="0" w:color="FFFFFF"/>
            </w:tcBorders>
            <w:shd w:val="clear" w:color="000000" w:fill="D8E4BC"/>
            <w:noWrap/>
            <w:vAlign w:val="center"/>
          </w:tcPr>
          <w:p w14:paraId="0C5A23CD" w14:textId="69061745" w:rsidR="00214329" w:rsidRDefault="00180BFF" w:rsidP="00040239">
            <w:pPr>
              <w:jc w:val="right"/>
              <w:rPr>
                <w:rFonts w:ascii="Calibri" w:hAnsi="Calibri"/>
                <w:color w:val="000000"/>
                <w:lang w:eastAsia="en-GB"/>
              </w:rPr>
            </w:pPr>
            <w:r>
              <w:rPr>
                <w:rFonts w:ascii="Calibri" w:hAnsi="Calibri"/>
                <w:color w:val="000000"/>
                <w:lang w:eastAsia="en-GB"/>
              </w:rPr>
              <w:t>24</w:t>
            </w:r>
          </w:p>
        </w:tc>
      </w:tr>
      <w:tr w:rsidR="00214329" w:rsidRPr="00D90154" w14:paraId="0D96875B"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45958B8C" w14:textId="637E3E7C" w:rsidR="00214329" w:rsidRDefault="00214329" w:rsidP="00040239">
            <w:pPr>
              <w:jc w:val="right"/>
              <w:rPr>
                <w:rFonts w:ascii="Calibri" w:hAnsi="Calibri"/>
                <w:color w:val="000000"/>
                <w:lang w:eastAsia="en-GB"/>
              </w:rPr>
            </w:pPr>
            <w:r>
              <w:rPr>
                <w:rFonts w:ascii="Calibri" w:hAnsi="Calibri"/>
                <w:color w:val="000000"/>
                <w:lang w:eastAsia="en-GB"/>
              </w:rPr>
              <w:t>1</w:t>
            </w:r>
            <w:r w:rsidR="003A097F">
              <w:rPr>
                <w:rFonts w:ascii="Calibri" w:hAnsi="Calibri"/>
                <w:color w:val="000000"/>
                <w:lang w:eastAsia="en-GB"/>
              </w:rPr>
              <w:t>91</w:t>
            </w:r>
          </w:p>
        </w:tc>
        <w:tc>
          <w:tcPr>
            <w:tcW w:w="5840" w:type="dxa"/>
            <w:tcBorders>
              <w:top w:val="nil"/>
              <w:left w:val="nil"/>
              <w:bottom w:val="single" w:sz="4" w:space="0" w:color="FFFFFF"/>
              <w:right w:val="single" w:sz="4" w:space="0" w:color="FFFFFF"/>
            </w:tcBorders>
            <w:shd w:val="clear" w:color="000000" w:fill="EBF1DE"/>
            <w:noWrap/>
            <w:vAlign w:val="center"/>
          </w:tcPr>
          <w:p w14:paraId="15175101" w14:textId="77777777" w:rsidR="00214329" w:rsidRDefault="00214329" w:rsidP="00040239">
            <w:pPr>
              <w:rPr>
                <w:rFonts w:ascii="Calibri" w:hAnsi="Calibri"/>
                <w:color w:val="000000"/>
                <w:lang w:eastAsia="en-GB"/>
              </w:rPr>
            </w:pPr>
            <w:r>
              <w:rPr>
                <w:rFonts w:ascii="Calibri" w:hAnsi="Calibri"/>
                <w:color w:val="000000"/>
                <w:lang w:eastAsia="en-GB"/>
              </w:rPr>
              <w:t>Rural Services Delivery Grant</w:t>
            </w:r>
          </w:p>
        </w:tc>
        <w:tc>
          <w:tcPr>
            <w:tcW w:w="1720" w:type="dxa"/>
            <w:tcBorders>
              <w:top w:val="nil"/>
              <w:left w:val="nil"/>
              <w:bottom w:val="single" w:sz="4" w:space="0" w:color="FFFFFF"/>
              <w:right w:val="single" w:sz="4" w:space="0" w:color="FFFFFF"/>
            </w:tcBorders>
            <w:shd w:val="clear" w:color="000000" w:fill="D8E4BC"/>
            <w:noWrap/>
            <w:vAlign w:val="center"/>
          </w:tcPr>
          <w:p w14:paraId="3A8B505B" w14:textId="13063DD3" w:rsidR="00214329" w:rsidRDefault="00180BFF" w:rsidP="00040239">
            <w:pPr>
              <w:jc w:val="right"/>
              <w:rPr>
                <w:rFonts w:ascii="Calibri" w:hAnsi="Calibri"/>
                <w:color w:val="000000"/>
                <w:lang w:eastAsia="en-GB"/>
              </w:rPr>
            </w:pPr>
            <w:r>
              <w:rPr>
                <w:rFonts w:ascii="Calibri" w:hAnsi="Calibri"/>
                <w:color w:val="000000"/>
                <w:lang w:eastAsia="en-GB"/>
              </w:rPr>
              <w:t>191</w:t>
            </w:r>
          </w:p>
        </w:tc>
      </w:tr>
      <w:tr w:rsidR="00214329" w:rsidRPr="00D90154" w14:paraId="002F9F2B"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62D36ECB" w14:textId="7A8AC156" w:rsidR="00214329" w:rsidRDefault="003A097F" w:rsidP="00040239">
            <w:pPr>
              <w:jc w:val="right"/>
              <w:rPr>
                <w:rFonts w:ascii="Calibri" w:hAnsi="Calibri"/>
                <w:color w:val="000000"/>
                <w:lang w:eastAsia="en-GB"/>
              </w:rPr>
            </w:pPr>
            <w:r>
              <w:rPr>
                <w:rFonts w:ascii="Calibri" w:hAnsi="Calibri"/>
                <w:color w:val="000000"/>
                <w:lang w:eastAsia="en-GB"/>
              </w:rPr>
              <w:t>57</w:t>
            </w:r>
          </w:p>
        </w:tc>
        <w:tc>
          <w:tcPr>
            <w:tcW w:w="5840" w:type="dxa"/>
            <w:tcBorders>
              <w:top w:val="nil"/>
              <w:left w:val="nil"/>
              <w:bottom w:val="single" w:sz="4" w:space="0" w:color="FFFFFF"/>
              <w:right w:val="single" w:sz="4" w:space="0" w:color="FFFFFF"/>
            </w:tcBorders>
            <w:shd w:val="clear" w:color="000000" w:fill="EBF1DE"/>
            <w:noWrap/>
            <w:vAlign w:val="center"/>
          </w:tcPr>
          <w:p w14:paraId="644E5F8C" w14:textId="77777777" w:rsidR="00214329" w:rsidRDefault="00214329" w:rsidP="00040239">
            <w:pPr>
              <w:rPr>
                <w:rFonts w:ascii="Calibri" w:hAnsi="Calibri"/>
                <w:color w:val="000000"/>
                <w:lang w:eastAsia="en-GB"/>
              </w:rPr>
            </w:pPr>
            <w:r>
              <w:rPr>
                <w:rFonts w:ascii="Calibri" w:hAnsi="Calibri"/>
                <w:color w:val="000000"/>
                <w:lang w:eastAsia="en-GB"/>
              </w:rPr>
              <w:t>Lower Tier Services Grant</w:t>
            </w:r>
          </w:p>
        </w:tc>
        <w:tc>
          <w:tcPr>
            <w:tcW w:w="1720" w:type="dxa"/>
            <w:tcBorders>
              <w:top w:val="nil"/>
              <w:left w:val="nil"/>
              <w:bottom w:val="single" w:sz="4" w:space="0" w:color="FFFFFF"/>
              <w:right w:val="single" w:sz="4" w:space="0" w:color="FFFFFF"/>
            </w:tcBorders>
            <w:shd w:val="clear" w:color="000000" w:fill="D8E4BC"/>
            <w:noWrap/>
            <w:vAlign w:val="center"/>
          </w:tcPr>
          <w:p w14:paraId="2DB47D17" w14:textId="08921DE2" w:rsidR="00214329" w:rsidRDefault="00180BFF" w:rsidP="00040239">
            <w:pPr>
              <w:jc w:val="right"/>
              <w:rPr>
                <w:rFonts w:ascii="Calibri" w:hAnsi="Calibri"/>
                <w:color w:val="000000"/>
                <w:lang w:eastAsia="en-GB"/>
              </w:rPr>
            </w:pPr>
            <w:r>
              <w:rPr>
                <w:rFonts w:ascii="Calibri" w:hAnsi="Calibri"/>
                <w:color w:val="000000"/>
                <w:lang w:eastAsia="en-GB"/>
              </w:rPr>
              <w:t>152</w:t>
            </w:r>
          </w:p>
        </w:tc>
      </w:tr>
      <w:tr w:rsidR="00214329" w:rsidRPr="00D90154" w14:paraId="4DDEEB34"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3DF9F6DC" w14:textId="5E6F0D52" w:rsidR="00214329" w:rsidRDefault="003A097F" w:rsidP="00040239">
            <w:pPr>
              <w:jc w:val="right"/>
              <w:rPr>
                <w:rFonts w:ascii="Calibri" w:hAnsi="Calibri"/>
                <w:color w:val="000000"/>
                <w:lang w:eastAsia="en-GB"/>
              </w:rPr>
            </w:pPr>
            <w:r>
              <w:rPr>
                <w:rFonts w:ascii="Calibri" w:hAnsi="Calibri"/>
                <w:color w:val="000000"/>
                <w:lang w:eastAsia="en-GB"/>
              </w:rPr>
              <w:t>79</w:t>
            </w:r>
          </w:p>
        </w:tc>
        <w:tc>
          <w:tcPr>
            <w:tcW w:w="5840" w:type="dxa"/>
            <w:tcBorders>
              <w:top w:val="nil"/>
              <w:left w:val="nil"/>
              <w:bottom w:val="single" w:sz="4" w:space="0" w:color="FFFFFF"/>
              <w:right w:val="single" w:sz="4" w:space="0" w:color="FFFFFF"/>
            </w:tcBorders>
            <w:shd w:val="clear" w:color="000000" w:fill="EBF1DE"/>
            <w:noWrap/>
            <w:vAlign w:val="center"/>
          </w:tcPr>
          <w:p w14:paraId="39801F47" w14:textId="77777777" w:rsidR="00214329" w:rsidRDefault="00214329" w:rsidP="00040239">
            <w:pPr>
              <w:rPr>
                <w:rFonts w:ascii="Calibri" w:hAnsi="Calibri"/>
                <w:color w:val="000000"/>
                <w:lang w:eastAsia="en-GB"/>
              </w:rPr>
            </w:pPr>
            <w:r>
              <w:rPr>
                <w:rFonts w:ascii="Calibri" w:hAnsi="Calibri"/>
                <w:color w:val="000000"/>
                <w:lang w:eastAsia="en-GB"/>
              </w:rPr>
              <w:t>Council Tax Support</w:t>
            </w:r>
          </w:p>
        </w:tc>
        <w:tc>
          <w:tcPr>
            <w:tcW w:w="1720" w:type="dxa"/>
            <w:tcBorders>
              <w:top w:val="nil"/>
              <w:left w:val="nil"/>
              <w:bottom w:val="single" w:sz="4" w:space="0" w:color="FFFFFF"/>
              <w:right w:val="single" w:sz="4" w:space="0" w:color="FFFFFF"/>
            </w:tcBorders>
            <w:shd w:val="clear" w:color="000000" w:fill="D8E4BC"/>
            <w:noWrap/>
            <w:vAlign w:val="center"/>
          </w:tcPr>
          <w:p w14:paraId="033CC85B" w14:textId="56350C38" w:rsidR="00214329" w:rsidRDefault="00923EF6" w:rsidP="00040239">
            <w:pPr>
              <w:jc w:val="right"/>
              <w:rPr>
                <w:rFonts w:ascii="Calibri" w:hAnsi="Calibri"/>
                <w:color w:val="000000"/>
                <w:lang w:eastAsia="en-GB"/>
              </w:rPr>
            </w:pPr>
            <w:r>
              <w:rPr>
                <w:rFonts w:ascii="Calibri" w:hAnsi="Calibri"/>
                <w:color w:val="000000"/>
                <w:lang w:eastAsia="en-GB"/>
              </w:rPr>
              <w:t>33</w:t>
            </w:r>
          </w:p>
        </w:tc>
      </w:tr>
      <w:tr w:rsidR="00214329" w:rsidRPr="00D90154" w14:paraId="69C8EA84"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7BF200CE" w14:textId="5EF3223A" w:rsidR="00214329" w:rsidRDefault="003A097F" w:rsidP="00040239">
            <w:pPr>
              <w:jc w:val="right"/>
              <w:rPr>
                <w:rFonts w:ascii="Calibri" w:hAnsi="Calibri"/>
                <w:color w:val="000000"/>
                <w:lang w:eastAsia="en-GB"/>
              </w:rPr>
            </w:pPr>
            <w:r>
              <w:rPr>
                <w:rFonts w:ascii="Calibri" w:hAnsi="Calibri"/>
                <w:color w:val="000000"/>
                <w:lang w:eastAsia="en-GB"/>
              </w:rPr>
              <w:t>27</w:t>
            </w:r>
          </w:p>
        </w:tc>
        <w:tc>
          <w:tcPr>
            <w:tcW w:w="5840" w:type="dxa"/>
            <w:tcBorders>
              <w:top w:val="nil"/>
              <w:left w:val="nil"/>
              <w:bottom w:val="single" w:sz="4" w:space="0" w:color="FFFFFF"/>
              <w:right w:val="single" w:sz="4" w:space="0" w:color="FFFFFF"/>
            </w:tcBorders>
            <w:shd w:val="clear" w:color="000000" w:fill="EBF1DE"/>
            <w:noWrap/>
            <w:vAlign w:val="center"/>
          </w:tcPr>
          <w:p w14:paraId="0E15EAA8" w14:textId="77777777" w:rsidR="00214329" w:rsidRDefault="00214329" w:rsidP="00040239">
            <w:pPr>
              <w:rPr>
                <w:rFonts w:ascii="Calibri" w:hAnsi="Calibri"/>
                <w:color w:val="000000"/>
                <w:lang w:eastAsia="en-GB"/>
              </w:rPr>
            </w:pPr>
            <w:r>
              <w:rPr>
                <w:rFonts w:ascii="Calibri" w:hAnsi="Calibri"/>
                <w:color w:val="000000"/>
                <w:lang w:eastAsia="en-GB"/>
              </w:rPr>
              <w:t>Contribution from 2019-20 Business Rates Pilot</w:t>
            </w:r>
          </w:p>
        </w:tc>
        <w:tc>
          <w:tcPr>
            <w:tcW w:w="1720" w:type="dxa"/>
            <w:tcBorders>
              <w:top w:val="nil"/>
              <w:left w:val="nil"/>
              <w:bottom w:val="single" w:sz="4" w:space="0" w:color="FFFFFF"/>
              <w:right w:val="single" w:sz="4" w:space="0" w:color="FFFFFF"/>
            </w:tcBorders>
            <w:shd w:val="clear" w:color="000000" w:fill="D8E4BC"/>
            <w:noWrap/>
            <w:vAlign w:val="center"/>
          </w:tcPr>
          <w:p w14:paraId="79D7E068" w14:textId="7D3595D6" w:rsidR="00214329" w:rsidRDefault="00923EF6" w:rsidP="00040239">
            <w:pPr>
              <w:jc w:val="right"/>
              <w:rPr>
                <w:rFonts w:ascii="Calibri" w:hAnsi="Calibri"/>
                <w:color w:val="000000"/>
                <w:lang w:eastAsia="en-GB"/>
              </w:rPr>
            </w:pPr>
            <w:r>
              <w:rPr>
                <w:rFonts w:ascii="Calibri" w:hAnsi="Calibri"/>
                <w:color w:val="000000"/>
                <w:lang w:eastAsia="en-GB"/>
              </w:rPr>
              <w:t>0</w:t>
            </w:r>
          </w:p>
        </w:tc>
      </w:tr>
      <w:tr w:rsidR="00214329" w:rsidRPr="00D90154" w14:paraId="46556E62"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5BD9CA27" w14:textId="1338E562" w:rsidR="00214329" w:rsidRDefault="00214329" w:rsidP="00040239">
            <w:pPr>
              <w:jc w:val="right"/>
              <w:rPr>
                <w:rFonts w:ascii="Calibri" w:hAnsi="Calibri"/>
                <w:color w:val="000000"/>
                <w:lang w:eastAsia="en-GB"/>
              </w:rPr>
            </w:pPr>
            <w:r>
              <w:rPr>
                <w:rFonts w:ascii="Calibri" w:hAnsi="Calibri"/>
                <w:color w:val="000000"/>
                <w:lang w:eastAsia="en-GB"/>
              </w:rPr>
              <w:t>6</w:t>
            </w:r>
            <w:r w:rsidR="003A097F">
              <w:rPr>
                <w:rFonts w:ascii="Calibri" w:hAnsi="Calibri"/>
                <w:color w:val="000000"/>
                <w:lang w:eastAsia="en-GB"/>
              </w:rPr>
              <w:t>2</w:t>
            </w:r>
          </w:p>
        </w:tc>
        <w:tc>
          <w:tcPr>
            <w:tcW w:w="5840" w:type="dxa"/>
            <w:tcBorders>
              <w:top w:val="nil"/>
              <w:left w:val="nil"/>
              <w:bottom w:val="single" w:sz="4" w:space="0" w:color="FFFFFF"/>
              <w:right w:val="single" w:sz="4" w:space="0" w:color="FFFFFF"/>
            </w:tcBorders>
            <w:shd w:val="clear" w:color="000000" w:fill="EBF1DE"/>
            <w:noWrap/>
            <w:vAlign w:val="center"/>
          </w:tcPr>
          <w:p w14:paraId="4D2D3234" w14:textId="77777777" w:rsidR="00214329" w:rsidRDefault="00214329" w:rsidP="00040239">
            <w:pPr>
              <w:rPr>
                <w:rFonts w:ascii="Calibri" w:hAnsi="Calibri"/>
                <w:color w:val="000000"/>
                <w:lang w:eastAsia="en-GB"/>
              </w:rPr>
            </w:pPr>
            <w:r>
              <w:rPr>
                <w:rFonts w:ascii="Calibri" w:hAnsi="Calibri"/>
                <w:color w:val="000000"/>
                <w:lang w:eastAsia="en-GB"/>
              </w:rPr>
              <w:t>Cost of Collection Allowance</w:t>
            </w:r>
          </w:p>
        </w:tc>
        <w:tc>
          <w:tcPr>
            <w:tcW w:w="1720" w:type="dxa"/>
            <w:tcBorders>
              <w:top w:val="nil"/>
              <w:left w:val="nil"/>
              <w:bottom w:val="single" w:sz="4" w:space="0" w:color="FFFFFF"/>
              <w:right w:val="single" w:sz="4" w:space="0" w:color="FFFFFF"/>
            </w:tcBorders>
            <w:shd w:val="clear" w:color="000000" w:fill="D8E4BC"/>
            <w:noWrap/>
            <w:vAlign w:val="center"/>
          </w:tcPr>
          <w:p w14:paraId="59EBCE47" w14:textId="198C0CDB" w:rsidR="00214329" w:rsidRDefault="00923EF6" w:rsidP="00040239">
            <w:pPr>
              <w:jc w:val="right"/>
              <w:rPr>
                <w:rFonts w:ascii="Calibri" w:hAnsi="Calibri"/>
                <w:color w:val="000000"/>
                <w:lang w:eastAsia="en-GB"/>
              </w:rPr>
            </w:pPr>
            <w:r>
              <w:rPr>
                <w:rFonts w:ascii="Calibri" w:hAnsi="Calibri"/>
                <w:color w:val="000000"/>
                <w:lang w:eastAsia="en-GB"/>
              </w:rPr>
              <w:t>59</w:t>
            </w:r>
          </w:p>
        </w:tc>
      </w:tr>
      <w:tr w:rsidR="00214329" w:rsidRPr="00D90154" w14:paraId="53238322"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147CA795" w14:textId="724587E1" w:rsidR="00214329" w:rsidRDefault="003A097F" w:rsidP="00040239">
            <w:pPr>
              <w:jc w:val="right"/>
              <w:rPr>
                <w:rFonts w:ascii="Calibri" w:hAnsi="Calibri"/>
                <w:color w:val="000000"/>
                <w:lang w:eastAsia="en-GB"/>
              </w:rPr>
            </w:pPr>
            <w:r>
              <w:rPr>
                <w:rFonts w:ascii="Calibri" w:hAnsi="Calibri"/>
                <w:color w:val="000000"/>
                <w:lang w:eastAsia="en-GB"/>
              </w:rPr>
              <w:t>30</w:t>
            </w:r>
          </w:p>
        </w:tc>
        <w:tc>
          <w:tcPr>
            <w:tcW w:w="5840" w:type="dxa"/>
            <w:tcBorders>
              <w:top w:val="nil"/>
              <w:left w:val="nil"/>
              <w:bottom w:val="single" w:sz="4" w:space="0" w:color="FFFFFF"/>
              <w:right w:val="single" w:sz="4" w:space="0" w:color="FFFFFF"/>
            </w:tcBorders>
            <w:shd w:val="clear" w:color="000000" w:fill="EBF1DE"/>
            <w:noWrap/>
            <w:vAlign w:val="center"/>
          </w:tcPr>
          <w:p w14:paraId="0D35CA36" w14:textId="77777777" w:rsidR="00214329" w:rsidRDefault="00214329" w:rsidP="00040239">
            <w:pPr>
              <w:rPr>
                <w:rFonts w:ascii="Calibri" w:hAnsi="Calibri"/>
                <w:color w:val="000000"/>
                <w:lang w:eastAsia="en-GB"/>
              </w:rPr>
            </w:pPr>
            <w:r>
              <w:rPr>
                <w:rFonts w:ascii="Calibri" w:hAnsi="Calibri"/>
                <w:color w:val="000000"/>
                <w:lang w:eastAsia="en-GB"/>
              </w:rPr>
              <w:t>Kick-Start Funding</w:t>
            </w:r>
          </w:p>
        </w:tc>
        <w:tc>
          <w:tcPr>
            <w:tcW w:w="1720" w:type="dxa"/>
            <w:tcBorders>
              <w:top w:val="nil"/>
              <w:left w:val="nil"/>
              <w:bottom w:val="single" w:sz="4" w:space="0" w:color="FFFFFF"/>
              <w:right w:val="single" w:sz="4" w:space="0" w:color="FFFFFF"/>
            </w:tcBorders>
            <w:shd w:val="clear" w:color="000000" w:fill="D8E4BC"/>
            <w:noWrap/>
            <w:vAlign w:val="center"/>
          </w:tcPr>
          <w:p w14:paraId="639B2D3E" w14:textId="73BEC443" w:rsidR="00214329" w:rsidRDefault="00923EF6" w:rsidP="00040239">
            <w:pPr>
              <w:jc w:val="right"/>
              <w:rPr>
                <w:rFonts w:ascii="Calibri" w:hAnsi="Calibri"/>
                <w:color w:val="000000"/>
                <w:lang w:eastAsia="en-GB"/>
              </w:rPr>
            </w:pPr>
            <w:r>
              <w:rPr>
                <w:rFonts w:ascii="Calibri" w:hAnsi="Calibri"/>
                <w:color w:val="000000"/>
                <w:lang w:eastAsia="en-GB"/>
              </w:rPr>
              <w:t>15</w:t>
            </w:r>
          </w:p>
        </w:tc>
      </w:tr>
      <w:tr w:rsidR="00214329" w:rsidRPr="00D90154" w14:paraId="583EDA09"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146A8080" w14:textId="25F041B4" w:rsidR="00214329" w:rsidRDefault="003A097F" w:rsidP="00040239">
            <w:pPr>
              <w:jc w:val="right"/>
              <w:rPr>
                <w:rFonts w:ascii="Calibri" w:hAnsi="Calibri"/>
                <w:color w:val="000000"/>
                <w:lang w:eastAsia="en-GB"/>
              </w:rPr>
            </w:pPr>
            <w:r>
              <w:rPr>
                <w:rFonts w:ascii="Calibri" w:hAnsi="Calibri"/>
                <w:color w:val="000000"/>
                <w:lang w:eastAsia="en-GB"/>
              </w:rPr>
              <w:t>67</w:t>
            </w:r>
          </w:p>
        </w:tc>
        <w:tc>
          <w:tcPr>
            <w:tcW w:w="5840" w:type="dxa"/>
            <w:tcBorders>
              <w:top w:val="nil"/>
              <w:left w:val="nil"/>
              <w:bottom w:val="single" w:sz="4" w:space="0" w:color="FFFFFF"/>
              <w:right w:val="single" w:sz="4" w:space="0" w:color="FFFFFF"/>
            </w:tcBorders>
            <w:shd w:val="clear" w:color="000000" w:fill="EBF1DE"/>
            <w:noWrap/>
            <w:vAlign w:val="center"/>
          </w:tcPr>
          <w:p w14:paraId="54D07D79" w14:textId="77777777" w:rsidR="00214329" w:rsidRDefault="00214329" w:rsidP="00040239">
            <w:pPr>
              <w:rPr>
                <w:rFonts w:ascii="Calibri" w:hAnsi="Calibri"/>
                <w:color w:val="000000"/>
                <w:lang w:eastAsia="en-GB"/>
              </w:rPr>
            </w:pPr>
            <w:r>
              <w:rPr>
                <w:rFonts w:ascii="Calibri" w:hAnsi="Calibri"/>
                <w:color w:val="000000"/>
                <w:lang w:eastAsia="en-GB"/>
              </w:rPr>
              <w:t>Home England Capacity Funding</w:t>
            </w:r>
          </w:p>
        </w:tc>
        <w:tc>
          <w:tcPr>
            <w:tcW w:w="1720" w:type="dxa"/>
            <w:tcBorders>
              <w:top w:val="nil"/>
              <w:left w:val="nil"/>
              <w:bottom w:val="single" w:sz="4" w:space="0" w:color="FFFFFF"/>
              <w:right w:val="single" w:sz="4" w:space="0" w:color="FFFFFF"/>
            </w:tcBorders>
            <w:shd w:val="clear" w:color="000000" w:fill="D8E4BC"/>
            <w:noWrap/>
            <w:vAlign w:val="center"/>
          </w:tcPr>
          <w:p w14:paraId="5D6A7607" w14:textId="35A1CECC" w:rsidR="00214329" w:rsidRDefault="00923EF6" w:rsidP="00040239">
            <w:pPr>
              <w:jc w:val="right"/>
              <w:rPr>
                <w:rFonts w:ascii="Calibri" w:hAnsi="Calibri"/>
                <w:color w:val="000000"/>
                <w:lang w:eastAsia="en-GB"/>
              </w:rPr>
            </w:pPr>
            <w:r>
              <w:rPr>
                <w:rFonts w:ascii="Calibri" w:hAnsi="Calibri"/>
                <w:color w:val="000000"/>
                <w:lang w:eastAsia="en-GB"/>
              </w:rPr>
              <w:t>0</w:t>
            </w:r>
          </w:p>
        </w:tc>
      </w:tr>
      <w:tr w:rsidR="00214329" w:rsidRPr="00D90154" w14:paraId="556EF216"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7E3F6FE5" w14:textId="3DBD8A9A" w:rsidR="00214329" w:rsidRDefault="003A097F" w:rsidP="00040239">
            <w:pPr>
              <w:jc w:val="right"/>
              <w:rPr>
                <w:rFonts w:ascii="Calibri" w:hAnsi="Calibri"/>
                <w:color w:val="000000"/>
                <w:lang w:eastAsia="en-GB"/>
              </w:rPr>
            </w:pPr>
            <w:r>
              <w:rPr>
                <w:rFonts w:ascii="Calibri" w:hAnsi="Calibri"/>
                <w:color w:val="000000"/>
                <w:lang w:eastAsia="en-GB"/>
              </w:rPr>
              <w:lastRenderedPageBreak/>
              <w:t>25</w:t>
            </w:r>
          </w:p>
        </w:tc>
        <w:tc>
          <w:tcPr>
            <w:tcW w:w="5840" w:type="dxa"/>
            <w:tcBorders>
              <w:top w:val="nil"/>
              <w:left w:val="nil"/>
              <w:bottom w:val="single" w:sz="4" w:space="0" w:color="FFFFFF"/>
              <w:right w:val="single" w:sz="4" w:space="0" w:color="FFFFFF"/>
            </w:tcBorders>
            <w:shd w:val="clear" w:color="000000" w:fill="EBF1DE"/>
            <w:noWrap/>
            <w:vAlign w:val="center"/>
          </w:tcPr>
          <w:p w14:paraId="62B4A238" w14:textId="77777777" w:rsidR="00214329" w:rsidRDefault="00214329" w:rsidP="00040239">
            <w:pPr>
              <w:rPr>
                <w:rFonts w:ascii="Calibri" w:hAnsi="Calibri"/>
                <w:color w:val="000000"/>
                <w:lang w:eastAsia="en-GB"/>
              </w:rPr>
            </w:pPr>
            <w:r>
              <w:rPr>
                <w:rFonts w:ascii="Calibri" w:hAnsi="Calibri"/>
                <w:color w:val="000000"/>
                <w:lang w:eastAsia="en-GB"/>
              </w:rPr>
              <w:t>Resource Management</w:t>
            </w:r>
          </w:p>
        </w:tc>
        <w:tc>
          <w:tcPr>
            <w:tcW w:w="1720" w:type="dxa"/>
            <w:tcBorders>
              <w:top w:val="nil"/>
              <w:left w:val="nil"/>
              <w:bottom w:val="single" w:sz="4" w:space="0" w:color="FFFFFF"/>
              <w:right w:val="single" w:sz="4" w:space="0" w:color="FFFFFF"/>
            </w:tcBorders>
            <w:shd w:val="clear" w:color="000000" w:fill="D8E4BC"/>
            <w:noWrap/>
            <w:vAlign w:val="center"/>
          </w:tcPr>
          <w:p w14:paraId="46C02C43" w14:textId="1B87264D" w:rsidR="00214329" w:rsidRDefault="00923EF6" w:rsidP="00040239">
            <w:pPr>
              <w:jc w:val="right"/>
              <w:rPr>
                <w:rFonts w:ascii="Calibri" w:hAnsi="Calibri"/>
                <w:color w:val="000000"/>
                <w:lang w:eastAsia="en-GB"/>
              </w:rPr>
            </w:pPr>
            <w:r>
              <w:rPr>
                <w:rFonts w:ascii="Calibri" w:hAnsi="Calibri"/>
                <w:color w:val="000000"/>
                <w:lang w:eastAsia="en-GB"/>
              </w:rPr>
              <w:t>0</w:t>
            </w:r>
          </w:p>
        </w:tc>
      </w:tr>
      <w:tr w:rsidR="00180BFF" w:rsidRPr="00D90154" w14:paraId="1E36FFCD"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5743A54D" w14:textId="3F0026ED" w:rsidR="00180BFF" w:rsidRDefault="00180BFF" w:rsidP="00040239">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tcPr>
          <w:p w14:paraId="59295BEE" w14:textId="72547495" w:rsidR="00180BFF" w:rsidRPr="00D90154" w:rsidRDefault="00180BFF" w:rsidP="00040239">
            <w:pPr>
              <w:rPr>
                <w:rFonts w:ascii="Calibri" w:hAnsi="Calibri"/>
                <w:color w:val="000000"/>
                <w:lang w:eastAsia="en-GB"/>
              </w:rPr>
            </w:pPr>
            <w:r>
              <w:rPr>
                <w:rFonts w:ascii="Calibri" w:hAnsi="Calibri"/>
                <w:color w:val="000000"/>
                <w:lang w:eastAsia="en-GB"/>
              </w:rPr>
              <w:t>Leicester &amp; Leicestershire Enterprise Partnership Revenue Grants</w:t>
            </w:r>
          </w:p>
        </w:tc>
        <w:tc>
          <w:tcPr>
            <w:tcW w:w="1720" w:type="dxa"/>
            <w:tcBorders>
              <w:top w:val="nil"/>
              <w:left w:val="nil"/>
              <w:bottom w:val="single" w:sz="4" w:space="0" w:color="FFFFFF"/>
              <w:right w:val="single" w:sz="4" w:space="0" w:color="FFFFFF"/>
            </w:tcBorders>
            <w:shd w:val="clear" w:color="000000" w:fill="D8E4BC"/>
            <w:noWrap/>
            <w:vAlign w:val="center"/>
          </w:tcPr>
          <w:p w14:paraId="22B894F3" w14:textId="5A72EAF1" w:rsidR="00180BFF" w:rsidRDefault="00180BFF" w:rsidP="00040239">
            <w:pPr>
              <w:jc w:val="right"/>
              <w:rPr>
                <w:rFonts w:ascii="Calibri" w:hAnsi="Calibri"/>
                <w:color w:val="000000"/>
                <w:lang w:eastAsia="en-GB"/>
              </w:rPr>
            </w:pPr>
            <w:r>
              <w:rPr>
                <w:rFonts w:ascii="Calibri" w:hAnsi="Calibri"/>
                <w:color w:val="000000"/>
                <w:lang w:eastAsia="en-GB"/>
              </w:rPr>
              <w:t>208</w:t>
            </w:r>
          </w:p>
        </w:tc>
      </w:tr>
      <w:tr w:rsidR="00180BFF" w:rsidRPr="00D90154" w14:paraId="21BDABAA"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437CC5E9" w14:textId="046F524F" w:rsidR="00180BFF" w:rsidRDefault="00180BFF" w:rsidP="00040239">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tcPr>
          <w:p w14:paraId="24C14201" w14:textId="2D6757E4" w:rsidR="00180BFF" w:rsidRPr="00D90154" w:rsidRDefault="00180BFF" w:rsidP="00040239">
            <w:pPr>
              <w:rPr>
                <w:rFonts w:ascii="Calibri" w:hAnsi="Calibri"/>
                <w:color w:val="000000"/>
                <w:lang w:eastAsia="en-GB"/>
              </w:rPr>
            </w:pPr>
            <w:r>
              <w:rPr>
                <w:rFonts w:ascii="Calibri" w:hAnsi="Calibri"/>
                <w:color w:val="000000"/>
                <w:lang w:eastAsia="en-GB"/>
              </w:rPr>
              <w:t>UK Shared Prosperity Fund</w:t>
            </w:r>
          </w:p>
        </w:tc>
        <w:tc>
          <w:tcPr>
            <w:tcW w:w="1720" w:type="dxa"/>
            <w:tcBorders>
              <w:top w:val="nil"/>
              <w:left w:val="nil"/>
              <w:bottom w:val="single" w:sz="4" w:space="0" w:color="FFFFFF"/>
              <w:right w:val="single" w:sz="4" w:space="0" w:color="FFFFFF"/>
            </w:tcBorders>
            <w:shd w:val="clear" w:color="000000" w:fill="D8E4BC"/>
            <w:noWrap/>
            <w:vAlign w:val="center"/>
          </w:tcPr>
          <w:p w14:paraId="250DE958" w14:textId="4FE0B86A" w:rsidR="00180BFF" w:rsidRDefault="00180BFF" w:rsidP="00040239">
            <w:pPr>
              <w:jc w:val="right"/>
              <w:rPr>
                <w:rFonts w:ascii="Calibri" w:hAnsi="Calibri"/>
                <w:color w:val="000000"/>
                <w:lang w:eastAsia="en-GB"/>
              </w:rPr>
            </w:pPr>
            <w:r>
              <w:rPr>
                <w:rFonts w:ascii="Calibri" w:hAnsi="Calibri"/>
                <w:color w:val="000000"/>
                <w:lang w:eastAsia="en-GB"/>
              </w:rPr>
              <w:t>29</w:t>
            </w:r>
          </w:p>
        </w:tc>
      </w:tr>
      <w:tr w:rsidR="00180BFF" w:rsidRPr="00D90154" w14:paraId="046969F1"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3F4B5585" w14:textId="5B11E82A" w:rsidR="00180BFF" w:rsidRDefault="00180BFF" w:rsidP="00040239">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tcPr>
          <w:p w14:paraId="481CA8B5" w14:textId="3A543AA9" w:rsidR="00180BFF" w:rsidRPr="00D90154" w:rsidRDefault="00923EF6" w:rsidP="00040239">
            <w:pPr>
              <w:rPr>
                <w:rFonts w:ascii="Calibri" w:hAnsi="Calibri"/>
                <w:color w:val="000000"/>
                <w:lang w:eastAsia="en-GB"/>
              </w:rPr>
            </w:pPr>
            <w:r w:rsidRPr="007471F4">
              <w:rPr>
                <w:rFonts w:ascii="Calibri" w:hAnsi="Calibri"/>
                <w:bCs/>
                <w:color w:val="000000"/>
                <w:lang w:eastAsia="en-GB"/>
              </w:rPr>
              <w:t>LADs Energy Efficiency (Rev)</w:t>
            </w:r>
          </w:p>
        </w:tc>
        <w:tc>
          <w:tcPr>
            <w:tcW w:w="1720" w:type="dxa"/>
            <w:tcBorders>
              <w:top w:val="nil"/>
              <w:left w:val="nil"/>
              <w:bottom w:val="single" w:sz="4" w:space="0" w:color="FFFFFF"/>
              <w:right w:val="single" w:sz="4" w:space="0" w:color="FFFFFF"/>
            </w:tcBorders>
            <w:shd w:val="clear" w:color="000000" w:fill="D8E4BC"/>
            <w:noWrap/>
            <w:vAlign w:val="center"/>
          </w:tcPr>
          <w:p w14:paraId="0E80F5FB" w14:textId="27B1C671" w:rsidR="00180BFF" w:rsidRDefault="00180BFF" w:rsidP="00040239">
            <w:pPr>
              <w:jc w:val="right"/>
              <w:rPr>
                <w:rFonts w:ascii="Calibri" w:hAnsi="Calibri"/>
                <w:color w:val="000000"/>
                <w:lang w:eastAsia="en-GB"/>
              </w:rPr>
            </w:pPr>
            <w:r>
              <w:rPr>
                <w:rFonts w:ascii="Calibri" w:hAnsi="Calibri"/>
                <w:color w:val="000000"/>
                <w:lang w:eastAsia="en-GB"/>
              </w:rPr>
              <w:t>30</w:t>
            </w:r>
          </w:p>
        </w:tc>
      </w:tr>
      <w:tr w:rsidR="00923EF6" w:rsidRPr="00D90154" w14:paraId="12310D21"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2074563C" w14:textId="7ED172C4" w:rsidR="00923EF6" w:rsidRDefault="00923EF6" w:rsidP="00040239">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tcPr>
          <w:p w14:paraId="2A1D0501" w14:textId="20D2F0A3" w:rsidR="00923EF6" w:rsidRPr="00D90154" w:rsidRDefault="00923EF6" w:rsidP="00040239">
            <w:pPr>
              <w:rPr>
                <w:rFonts w:ascii="Calibri" w:hAnsi="Calibri"/>
                <w:color w:val="000000"/>
                <w:lang w:eastAsia="en-GB"/>
              </w:rPr>
            </w:pPr>
            <w:r>
              <w:rPr>
                <w:rFonts w:ascii="Calibri" w:hAnsi="Calibri"/>
                <w:color w:val="000000"/>
                <w:lang w:eastAsia="en-GB"/>
              </w:rPr>
              <w:t>Homes for Ukraine Grant</w:t>
            </w:r>
          </w:p>
        </w:tc>
        <w:tc>
          <w:tcPr>
            <w:tcW w:w="1720" w:type="dxa"/>
            <w:tcBorders>
              <w:top w:val="nil"/>
              <w:left w:val="nil"/>
              <w:bottom w:val="single" w:sz="4" w:space="0" w:color="FFFFFF"/>
              <w:right w:val="single" w:sz="4" w:space="0" w:color="FFFFFF"/>
            </w:tcBorders>
            <w:shd w:val="clear" w:color="000000" w:fill="D8E4BC"/>
            <w:noWrap/>
            <w:vAlign w:val="center"/>
          </w:tcPr>
          <w:p w14:paraId="3655BC99" w14:textId="0E4BC448" w:rsidR="00923EF6" w:rsidRDefault="00923EF6" w:rsidP="00040239">
            <w:pPr>
              <w:jc w:val="right"/>
              <w:rPr>
                <w:rFonts w:ascii="Calibri" w:hAnsi="Calibri"/>
                <w:color w:val="000000"/>
                <w:lang w:eastAsia="en-GB"/>
              </w:rPr>
            </w:pPr>
            <w:r>
              <w:rPr>
                <w:rFonts w:ascii="Calibri" w:hAnsi="Calibri"/>
                <w:color w:val="000000"/>
                <w:lang w:eastAsia="en-GB"/>
              </w:rPr>
              <w:t>78</w:t>
            </w:r>
          </w:p>
        </w:tc>
      </w:tr>
      <w:tr w:rsidR="00214329" w:rsidRPr="00D90154" w14:paraId="18F4E772"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1C4A177A" w14:textId="0C63E6CE" w:rsidR="00214329" w:rsidRDefault="003A097F" w:rsidP="00040239">
            <w:pPr>
              <w:jc w:val="right"/>
              <w:rPr>
                <w:rFonts w:ascii="Calibri" w:hAnsi="Calibri"/>
                <w:color w:val="000000"/>
                <w:lang w:eastAsia="en-GB"/>
              </w:rPr>
            </w:pPr>
            <w:r>
              <w:rPr>
                <w:rFonts w:ascii="Calibri" w:hAnsi="Calibri"/>
                <w:color w:val="000000"/>
                <w:lang w:eastAsia="en-GB"/>
              </w:rPr>
              <w:t>22</w:t>
            </w:r>
          </w:p>
        </w:tc>
        <w:tc>
          <w:tcPr>
            <w:tcW w:w="5840" w:type="dxa"/>
            <w:tcBorders>
              <w:top w:val="nil"/>
              <w:left w:val="nil"/>
              <w:bottom w:val="single" w:sz="4" w:space="0" w:color="FFFFFF"/>
              <w:right w:val="single" w:sz="4" w:space="0" w:color="FFFFFF"/>
            </w:tcBorders>
            <w:shd w:val="clear" w:color="000000" w:fill="EBF1DE"/>
            <w:noWrap/>
            <w:vAlign w:val="center"/>
          </w:tcPr>
          <w:p w14:paraId="617362DC" w14:textId="77777777" w:rsidR="00214329" w:rsidRDefault="00214329" w:rsidP="00040239">
            <w:pPr>
              <w:rPr>
                <w:rFonts w:ascii="Calibri" w:hAnsi="Calibri"/>
                <w:color w:val="000000"/>
                <w:lang w:eastAsia="en-GB"/>
              </w:rPr>
            </w:pPr>
            <w:r w:rsidRPr="00D90154">
              <w:rPr>
                <w:rFonts w:ascii="Calibri" w:hAnsi="Calibri"/>
                <w:color w:val="000000"/>
                <w:lang w:eastAsia="en-GB"/>
              </w:rPr>
              <w:t xml:space="preserve">Other </w:t>
            </w:r>
            <w:r>
              <w:rPr>
                <w:rFonts w:ascii="Calibri" w:hAnsi="Calibri"/>
                <w:color w:val="000000"/>
                <w:lang w:eastAsia="en-GB"/>
              </w:rPr>
              <w:t xml:space="preserve">Small </w:t>
            </w:r>
            <w:r w:rsidRPr="00D90154">
              <w:rPr>
                <w:rFonts w:ascii="Calibri" w:hAnsi="Calibri"/>
                <w:color w:val="000000"/>
                <w:lang w:eastAsia="en-GB"/>
              </w:rPr>
              <w:t xml:space="preserve">Grants </w:t>
            </w:r>
            <w:r>
              <w:rPr>
                <w:rFonts w:ascii="Calibri" w:hAnsi="Calibri"/>
                <w:color w:val="000000"/>
                <w:lang w:eastAsia="en-GB"/>
              </w:rPr>
              <w:t>and</w:t>
            </w:r>
            <w:r w:rsidRPr="00D90154">
              <w:rPr>
                <w:rFonts w:ascii="Calibri" w:hAnsi="Calibri"/>
                <w:color w:val="000000"/>
                <w:lang w:eastAsia="en-GB"/>
              </w:rPr>
              <w:t xml:space="preserve"> Contributions</w:t>
            </w:r>
            <w:r>
              <w:rPr>
                <w:rFonts w:ascii="Calibri" w:hAnsi="Calibri"/>
                <w:color w:val="000000"/>
                <w:lang w:eastAsia="en-GB"/>
              </w:rPr>
              <w:t xml:space="preserve"> Credited to Services</w:t>
            </w:r>
          </w:p>
        </w:tc>
        <w:tc>
          <w:tcPr>
            <w:tcW w:w="1720" w:type="dxa"/>
            <w:tcBorders>
              <w:top w:val="nil"/>
              <w:left w:val="nil"/>
              <w:bottom w:val="single" w:sz="4" w:space="0" w:color="FFFFFF"/>
              <w:right w:val="single" w:sz="4" w:space="0" w:color="FFFFFF"/>
            </w:tcBorders>
            <w:shd w:val="clear" w:color="000000" w:fill="D8E4BC"/>
            <w:noWrap/>
            <w:vAlign w:val="center"/>
          </w:tcPr>
          <w:p w14:paraId="22A46CF6" w14:textId="2419E693" w:rsidR="00214329" w:rsidRDefault="00180BFF" w:rsidP="00040239">
            <w:pPr>
              <w:jc w:val="right"/>
              <w:rPr>
                <w:rFonts w:ascii="Calibri" w:hAnsi="Calibri"/>
                <w:color w:val="000000"/>
                <w:lang w:eastAsia="en-GB"/>
              </w:rPr>
            </w:pPr>
            <w:r>
              <w:rPr>
                <w:rFonts w:ascii="Calibri" w:hAnsi="Calibri"/>
                <w:color w:val="000000"/>
                <w:lang w:eastAsia="en-GB"/>
              </w:rPr>
              <w:t>59</w:t>
            </w:r>
          </w:p>
        </w:tc>
      </w:tr>
      <w:tr w:rsidR="00214329" w:rsidRPr="00D90154" w14:paraId="76A51B08" w14:textId="77777777" w:rsidTr="00040239">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tcPr>
          <w:p w14:paraId="065FBE3C" w14:textId="62D5C473" w:rsidR="00214329" w:rsidRPr="003A097F" w:rsidRDefault="003A097F" w:rsidP="00040239">
            <w:pPr>
              <w:jc w:val="right"/>
              <w:rPr>
                <w:rFonts w:ascii="Calibri" w:hAnsi="Calibri"/>
                <w:b/>
                <w:bCs/>
                <w:color w:val="000000"/>
                <w:lang w:eastAsia="en-GB"/>
              </w:rPr>
            </w:pPr>
            <w:r w:rsidRPr="003A097F">
              <w:rPr>
                <w:rFonts w:ascii="Calibri" w:hAnsi="Calibri"/>
                <w:b/>
                <w:bCs/>
                <w:color w:val="000000"/>
                <w:lang w:eastAsia="en-GB"/>
              </w:rPr>
              <w:t>9,314</w:t>
            </w:r>
          </w:p>
        </w:tc>
        <w:tc>
          <w:tcPr>
            <w:tcW w:w="5840" w:type="dxa"/>
            <w:tcBorders>
              <w:top w:val="nil"/>
              <w:left w:val="nil"/>
              <w:bottom w:val="single" w:sz="4" w:space="0" w:color="FFFFFF"/>
              <w:right w:val="single" w:sz="4" w:space="0" w:color="FFFFFF"/>
            </w:tcBorders>
            <w:shd w:val="clear" w:color="000000" w:fill="D8E4BC"/>
            <w:noWrap/>
            <w:vAlign w:val="center"/>
          </w:tcPr>
          <w:p w14:paraId="2211B1A8" w14:textId="77777777" w:rsidR="00214329" w:rsidRPr="00D90154" w:rsidRDefault="00214329" w:rsidP="00040239">
            <w:pPr>
              <w:rPr>
                <w:rFonts w:ascii="Calibri" w:hAnsi="Calibri"/>
                <w:color w:val="000000"/>
                <w:lang w:eastAsia="en-GB"/>
              </w:rPr>
            </w:pPr>
            <w:r w:rsidRPr="00D90154">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1BD933CE" w14:textId="6BD8D34A" w:rsidR="00214329" w:rsidRPr="00925B98" w:rsidRDefault="008004D0" w:rsidP="00040239">
            <w:pPr>
              <w:jc w:val="right"/>
              <w:rPr>
                <w:rFonts w:ascii="Calibri" w:hAnsi="Calibri"/>
                <w:b/>
                <w:bCs/>
                <w:color w:val="000000"/>
                <w:lang w:eastAsia="en-GB"/>
              </w:rPr>
            </w:pPr>
            <w:r>
              <w:rPr>
                <w:rFonts w:ascii="Calibri" w:hAnsi="Calibri"/>
                <w:b/>
                <w:bCs/>
                <w:color w:val="000000"/>
                <w:lang w:eastAsia="en-GB"/>
              </w:rPr>
              <w:t>8,194</w:t>
            </w:r>
          </w:p>
        </w:tc>
      </w:tr>
    </w:tbl>
    <w:p w14:paraId="17FD1032" w14:textId="77777777" w:rsidR="00214329" w:rsidRDefault="00214329" w:rsidP="00707761">
      <w:pPr>
        <w:widowControl w:val="0"/>
        <w:tabs>
          <w:tab w:val="left" w:pos="2520"/>
          <w:tab w:val="left" w:pos="7200"/>
          <w:tab w:val="left" w:pos="8460"/>
        </w:tabs>
        <w:jc w:val="both"/>
        <w:rPr>
          <w:rFonts w:asciiTheme="minorHAnsi" w:hAnsiTheme="minorHAnsi" w:cs="Arial"/>
          <w:sz w:val="22"/>
          <w:szCs w:val="22"/>
        </w:rPr>
      </w:pPr>
    </w:p>
    <w:p w14:paraId="2B35E62A" w14:textId="3F563A95" w:rsidR="00336765" w:rsidRDefault="00D56FAB" w:rsidP="00707761">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Grants below</w:t>
      </w:r>
      <w:r w:rsidR="00626C7E">
        <w:rPr>
          <w:rFonts w:asciiTheme="minorHAnsi" w:hAnsiTheme="minorHAnsi" w:cs="Arial"/>
          <w:sz w:val="22"/>
          <w:szCs w:val="22"/>
        </w:rPr>
        <w:t xml:space="preserve"> £20k </w:t>
      </w:r>
      <w:r>
        <w:rPr>
          <w:rFonts w:asciiTheme="minorHAnsi" w:hAnsiTheme="minorHAnsi" w:cs="Arial"/>
          <w:sz w:val="22"/>
          <w:szCs w:val="22"/>
        </w:rPr>
        <w:t>have been consolidated throughout</w:t>
      </w:r>
      <w:r w:rsidR="00626C7E">
        <w:rPr>
          <w:rFonts w:asciiTheme="minorHAnsi" w:hAnsiTheme="minorHAnsi" w:cs="Arial"/>
          <w:sz w:val="22"/>
          <w:szCs w:val="22"/>
        </w:rPr>
        <w:t xml:space="preserve"> this note </w:t>
      </w:r>
      <w:r>
        <w:rPr>
          <w:rFonts w:asciiTheme="minorHAnsi" w:hAnsiTheme="minorHAnsi" w:cs="Arial"/>
          <w:sz w:val="22"/>
          <w:szCs w:val="22"/>
        </w:rPr>
        <w:t>and</w:t>
      </w:r>
      <w:r w:rsidR="00626C7E">
        <w:rPr>
          <w:rFonts w:asciiTheme="minorHAnsi" w:hAnsiTheme="minorHAnsi" w:cs="Arial"/>
          <w:sz w:val="22"/>
          <w:szCs w:val="22"/>
        </w:rPr>
        <w:t xml:space="preserve"> all grants received and cre</w:t>
      </w:r>
      <w:r w:rsidR="00B55581">
        <w:rPr>
          <w:rFonts w:asciiTheme="minorHAnsi" w:hAnsiTheme="minorHAnsi" w:cs="Arial"/>
          <w:sz w:val="22"/>
          <w:szCs w:val="22"/>
        </w:rPr>
        <w:t>d</w:t>
      </w:r>
      <w:r w:rsidR="00626C7E">
        <w:rPr>
          <w:rFonts w:asciiTheme="minorHAnsi" w:hAnsiTheme="minorHAnsi" w:cs="Arial"/>
          <w:sz w:val="22"/>
          <w:szCs w:val="22"/>
        </w:rPr>
        <w:t xml:space="preserve">ited to services below this amount have been moved into the ‘Other Small Grants </w:t>
      </w:r>
      <w:r w:rsidR="00704A70">
        <w:rPr>
          <w:rFonts w:asciiTheme="minorHAnsi" w:hAnsiTheme="minorHAnsi" w:cs="Arial"/>
          <w:sz w:val="22"/>
          <w:szCs w:val="22"/>
        </w:rPr>
        <w:t>and</w:t>
      </w:r>
      <w:r w:rsidR="00626C7E">
        <w:rPr>
          <w:rFonts w:asciiTheme="minorHAnsi" w:hAnsiTheme="minorHAnsi" w:cs="Arial"/>
          <w:sz w:val="22"/>
          <w:szCs w:val="22"/>
        </w:rPr>
        <w:t xml:space="preserve"> Contributions Credited to Services</w:t>
      </w:r>
      <w:r>
        <w:rPr>
          <w:rFonts w:asciiTheme="minorHAnsi" w:hAnsiTheme="minorHAnsi" w:cs="Arial"/>
          <w:sz w:val="22"/>
          <w:szCs w:val="22"/>
        </w:rPr>
        <w:t>’</w:t>
      </w:r>
      <w:r w:rsidR="00626C7E">
        <w:rPr>
          <w:rFonts w:asciiTheme="minorHAnsi" w:hAnsiTheme="minorHAnsi" w:cs="Arial"/>
          <w:sz w:val="22"/>
          <w:szCs w:val="22"/>
        </w:rPr>
        <w:t xml:space="preserve"> line.  </w:t>
      </w:r>
    </w:p>
    <w:p w14:paraId="4DCB9713" w14:textId="77777777" w:rsidR="00336765" w:rsidRDefault="00336765" w:rsidP="00707761">
      <w:pPr>
        <w:widowControl w:val="0"/>
        <w:tabs>
          <w:tab w:val="left" w:pos="2520"/>
          <w:tab w:val="left" w:pos="7200"/>
          <w:tab w:val="left" w:pos="8460"/>
        </w:tabs>
        <w:jc w:val="both"/>
        <w:rPr>
          <w:rFonts w:asciiTheme="minorHAnsi" w:hAnsiTheme="minorHAnsi" w:cs="Arial"/>
          <w:sz w:val="22"/>
          <w:szCs w:val="22"/>
        </w:rPr>
      </w:pPr>
    </w:p>
    <w:p w14:paraId="166F8820" w14:textId="16C946A3" w:rsidR="00707761" w:rsidRDefault="00707761" w:rsidP="00707761">
      <w:pPr>
        <w:widowControl w:val="0"/>
        <w:tabs>
          <w:tab w:val="left" w:pos="2520"/>
          <w:tab w:val="left" w:pos="7200"/>
          <w:tab w:val="left" w:pos="8460"/>
        </w:tabs>
        <w:jc w:val="both"/>
        <w:rPr>
          <w:rFonts w:asciiTheme="minorHAnsi" w:hAnsiTheme="minorHAnsi" w:cs="Arial"/>
          <w:sz w:val="22"/>
          <w:szCs w:val="22"/>
        </w:rPr>
      </w:pPr>
      <w:r w:rsidRPr="009F05C2">
        <w:rPr>
          <w:rFonts w:asciiTheme="minorHAnsi" w:hAnsiTheme="minorHAnsi" w:cs="Arial"/>
          <w:sz w:val="22"/>
          <w:szCs w:val="22"/>
        </w:rPr>
        <w:t>The Council has received a number of grants and contributions that have yet to be recognised as income as they have conditions attached to them that will require the monies or property to be returned to the giver. The balances at the year-end are as follows:</w:t>
      </w:r>
    </w:p>
    <w:p w14:paraId="4FC5ED65" w14:textId="77777777" w:rsidR="009410B0" w:rsidRDefault="009410B0" w:rsidP="00707761">
      <w:pPr>
        <w:widowControl w:val="0"/>
        <w:tabs>
          <w:tab w:val="left" w:pos="2520"/>
          <w:tab w:val="left" w:pos="7200"/>
          <w:tab w:val="left" w:pos="846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Capital Grants Receipts in Advance"/>
        <w:tblDescription w:val="Capital Grants Receipts in Advance as at 31 March 2023 with 31 March 2022 comparatives"/>
      </w:tblPr>
      <w:tblGrid>
        <w:gridCol w:w="1680"/>
        <w:gridCol w:w="5840"/>
        <w:gridCol w:w="1720"/>
      </w:tblGrid>
      <w:tr w:rsidR="00A715FF" w:rsidRPr="009F05C2" w14:paraId="6DEAFBCA"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vAlign w:val="center"/>
            <w:hideMark/>
          </w:tcPr>
          <w:p w14:paraId="77311740" w14:textId="59BC984C" w:rsidR="00A715FF" w:rsidRPr="009F05C2" w:rsidRDefault="00A715FF" w:rsidP="004E1817">
            <w:pPr>
              <w:jc w:val="right"/>
              <w:rPr>
                <w:rFonts w:ascii="Calibri" w:hAnsi="Calibri"/>
                <w:color w:val="000000"/>
                <w:lang w:eastAsia="en-GB"/>
              </w:rPr>
            </w:pPr>
            <w:r>
              <w:rPr>
                <w:rFonts w:ascii="Calibri" w:hAnsi="Calibri"/>
                <w:color w:val="000000"/>
                <w:lang w:eastAsia="en-GB"/>
              </w:rPr>
              <w:t>31 March 20</w:t>
            </w:r>
            <w:r w:rsidR="004E1817">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3155F11B" w14:textId="77777777" w:rsidR="00A715FF" w:rsidRPr="009F05C2" w:rsidRDefault="00A715FF" w:rsidP="00A715FF">
            <w:pPr>
              <w:rPr>
                <w:rFonts w:ascii="Calibri" w:hAnsi="Calibri"/>
                <w:color w:val="000000"/>
                <w:lang w:eastAsia="en-GB"/>
              </w:rPr>
            </w:pPr>
            <w:r w:rsidRPr="009F05C2">
              <w:rPr>
                <w:rFonts w:ascii="Calibri" w:hAnsi="Calibri"/>
                <w:color w:val="000000"/>
                <w:lang w:eastAsia="en-GB"/>
              </w:rPr>
              <w:t>Capital Grant Receipts in Advance</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490F6037" w14:textId="28D1E595" w:rsidR="00A715FF" w:rsidRPr="009F05C2" w:rsidRDefault="00A715FF" w:rsidP="004E1817">
            <w:pPr>
              <w:jc w:val="right"/>
              <w:rPr>
                <w:rFonts w:ascii="Calibri" w:hAnsi="Calibri"/>
                <w:color w:val="000000"/>
                <w:lang w:eastAsia="en-GB"/>
              </w:rPr>
            </w:pPr>
            <w:r w:rsidRPr="009F05C2">
              <w:rPr>
                <w:rFonts w:ascii="Calibri" w:hAnsi="Calibri"/>
                <w:color w:val="000000"/>
                <w:lang w:eastAsia="en-GB"/>
              </w:rPr>
              <w:t>31</w:t>
            </w:r>
            <w:r>
              <w:rPr>
                <w:rFonts w:ascii="Calibri" w:hAnsi="Calibri"/>
                <w:color w:val="000000"/>
                <w:lang w:eastAsia="en-GB"/>
              </w:rPr>
              <w:t xml:space="preserve"> March 202</w:t>
            </w:r>
            <w:r w:rsidR="003A097F">
              <w:rPr>
                <w:rFonts w:ascii="Calibri" w:hAnsi="Calibri"/>
                <w:color w:val="000000"/>
                <w:lang w:eastAsia="en-GB"/>
              </w:rPr>
              <w:t>3</w:t>
            </w:r>
          </w:p>
        </w:tc>
      </w:tr>
      <w:tr w:rsidR="00A715FF" w:rsidRPr="009F05C2" w14:paraId="47B3FF89" w14:textId="77777777" w:rsidTr="00A715FF">
        <w:trPr>
          <w:trHeight w:val="300"/>
        </w:trPr>
        <w:tc>
          <w:tcPr>
            <w:tcW w:w="1680" w:type="dxa"/>
            <w:tcBorders>
              <w:top w:val="nil"/>
              <w:left w:val="single" w:sz="4" w:space="0" w:color="FFFFFF"/>
              <w:bottom w:val="single" w:sz="4" w:space="0" w:color="FFFFFF"/>
              <w:right w:val="single" w:sz="4" w:space="0" w:color="FFFFFF"/>
            </w:tcBorders>
            <w:shd w:val="clear" w:color="000000" w:fill="C4D79B"/>
            <w:vAlign w:val="center"/>
            <w:hideMark/>
          </w:tcPr>
          <w:p w14:paraId="6ACA5E1B" w14:textId="77777777" w:rsidR="00A715FF" w:rsidRPr="009F05C2" w:rsidRDefault="00A715FF" w:rsidP="00A715FF">
            <w:pPr>
              <w:jc w:val="right"/>
              <w:rPr>
                <w:rFonts w:ascii="Calibri" w:hAnsi="Calibri"/>
                <w:color w:val="000000"/>
                <w:lang w:eastAsia="en-GB"/>
              </w:rPr>
            </w:pPr>
            <w:r w:rsidRPr="009F05C2">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70891709" w14:textId="77777777" w:rsidR="00A715FF" w:rsidRPr="009F05C2" w:rsidRDefault="00A715FF" w:rsidP="00A715FF">
            <w:pPr>
              <w:rPr>
                <w:rFonts w:ascii="Calibri" w:hAnsi="Calibri"/>
                <w:color w:val="000000"/>
                <w:lang w:eastAsia="en-GB"/>
              </w:rPr>
            </w:pPr>
            <w:r w:rsidRPr="009F05C2">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56459D65" w14:textId="77777777" w:rsidR="00A715FF" w:rsidRPr="009F05C2" w:rsidRDefault="00A715FF" w:rsidP="00A715FF">
            <w:pPr>
              <w:jc w:val="right"/>
              <w:rPr>
                <w:rFonts w:ascii="Calibri" w:hAnsi="Calibri"/>
                <w:color w:val="000000"/>
                <w:lang w:eastAsia="en-GB"/>
              </w:rPr>
            </w:pPr>
            <w:r w:rsidRPr="009F05C2">
              <w:rPr>
                <w:rFonts w:ascii="Calibri" w:hAnsi="Calibri"/>
                <w:color w:val="000000"/>
                <w:lang w:eastAsia="en-GB"/>
              </w:rPr>
              <w:t>£'000</w:t>
            </w:r>
          </w:p>
        </w:tc>
      </w:tr>
      <w:tr w:rsidR="00345B35" w:rsidRPr="009F05C2" w14:paraId="31716DA6" w14:textId="77777777" w:rsidTr="00A715FF">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547A2628" w14:textId="06254E57" w:rsidR="00345B35" w:rsidRDefault="00280935" w:rsidP="004E1817">
            <w:pPr>
              <w:jc w:val="right"/>
              <w:rPr>
                <w:rFonts w:ascii="Calibri" w:hAnsi="Calibri"/>
                <w:color w:val="000000"/>
                <w:lang w:eastAsia="en-GB"/>
              </w:rPr>
            </w:pPr>
            <w:r>
              <w:rPr>
                <w:rFonts w:ascii="Calibri" w:hAnsi="Calibri"/>
                <w:color w:val="000000"/>
                <w:lang w:eastAsia="en-GB"/>
              </w:rPr>
              <w:t>34</w:t>
            </w:r>
            <w:r w:rsidR="00345B35">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tcPr>
          <w:p w14:paraId="6D16A17F" w14:textId="0019D6EC" w:rsidR="00345B35" w:rsidRPr="009F05C2" w:rsidRDefault="00345B35" w:rsidP="00A715FF">
            <w:pPr>
              <w:rPr>
                <w:rFonts w:ascii="Calibri" w:hAnsi="Calibri"/>
                <w:color w:val="000000"/>
                <w:lang w:eastAsia="en-GB"/>
              </w:rPr>
            </w:pPr>
            <w:r>
              <w:rPr>
                <w:rFonts w:ascii="Calibri" w:hAnsi="Calibri"/>
                <w:color w:val="000000"/>
                <w:lang w:eastAsia="en-GB"/>
              </w:rPr>
              <w:t>Green Home Grant</w:t>
            </w:r>
          </w:p>
        </w:tc>
        <w:tc>
          <w:tcPr>
            <w:tcW w:w="1720" w:type="dxa"/>
            <w:tcBorders>
              <w:top w:val="nil"/>
              <w:left w:val="nil"/>
              <w:bottom w:val="single" w:sz="4" w:space="0" w:color="FFFFFF"/>
              <w:right w:val="single" w:sz="4" w:space="0" w:color="FFFFFF"/>
            </w:tcBorders>
            <w:shd w:val="clear" w:color="000000" w:fill="D8E4BC"/>
            <w:noWrap/>
            <w:vAlign w:val="center"/>
          </w:tcPr>
          <w:p w14:paraId="183E8498" w14:textId="77537BEC" w:rsidR="00345B35" w:rsidRDefault="00923EF6" w:rsidP="00A715FF">
            <w:pPr>
              <w:jc w:val="right"/>
              <w:rPr>
                <w:rFonts w:ascii="Calibri" w:hAnsi="Calibri"/>
                <w:color w:val="000000"/>
                <w:lang w:eastAsia="en-GB"/>
              </w:rPr>
            </w:pPr>
            <w:r>
              <w:rPr>
                <w:rFonts w:ascii="Calibri" w:hAnsi="Calibri"/>
                <w:color w:val="000000"/>
                <w:lang w:eastAsia="en-GB"/>
              </w:rPr>
              <w:t>0</w:t>
            </w:r>
          </w:p>
        </w:tc>
      </w:tr>
      <w:tr w:rsidR="006D3C84" w:rsidRPr="009F05C2" w14:paraId="42D0D594" w14:textId="77777777" w:rsidTr="00A715FF">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49FBC984" w14:textId="0DFE2E0C" w:rsidR="006D3C84" w:rsidRDefault="003A097F" w:rsidP="004E1817">
            <w:pPr>
              <w:jc w:val="right"/>
              <w:rPr>
                <w:rFonts w:ascii="Calibri" w:hAnsi="Calibri"/>
                <w:color w:val="000000"/>
                <w:lang w:eastAsia="en-GB"/>
              </w:rPr>
            </w:pPr>
            <w:r>
              <w:rPr>
                <w:rFonts w:ascii="Calibri" w:hAnsi="Calibri"/>
                <w:color w:val="000000"/>
                <w:lang w:eastAsia="en-GB"/>
              </w:rPr>
              <w:t>116</w:t>
            </w:r>
          </w:p>
        </w:tc>
        <w:tc>
          <w:tcPr>
            <w:tcW w:w="5840" w:type="dxa"/>
            <w:tcBorders>
              <w:top w:val="nil"/>
              <w:left w:val="nil"/>
              <w:bottom w:val="single" w:sz="4" w:space="0" w:color="FFFFFF"/>
              <w:right w:val="single" w:sz="4" w:space="0" w:color="FFFFFF"/>
            </w:tcBorders>
            <w:shd w:val="clear" w:color="000000" w:fill="EBF1DE"/>
            <w:noWrap/>
            <w:vAlign w:val="center"/>
          </w:tcPr>
          <w:p w14:paraId="5B6EB447" w14:textId="624AB46A" w:rsidR="006D3C84" w:rsidRDefault="006D3C84" w:rsidP="00A715FF">
            <w:pPr>
              <w:rPr>
                <w:rFonts w:ascii="Calibri" w:hAnsi="Calibri"/>
                <w:color w:val="000000"/>
                <w:lang w:eastAsia="en-GB"/>
              </w:rPr>
            </w:pPr>
            <w:r w:rsidRPr="007471F4">
              <w:rPr>
                <w:rFonts w:ascii="Calibri" w:hAnsi="Calibri"/>
                <w:bCs/>
                <w:color w:val="000000"/>
                <w:lang w:eastAsia="en-GB"/>
              </w:rPr>
              <w:t>LADs Energy Efficiency (</w:t>
            </w:r>
            <w:r>
              <w:rPr>
                <w:rFonts w:ascii="Calibri" w:hAnsi="Calibri"/>
                <w:bCs/>
                <w:color w:val="000000"/>
                <w:lang w:eastAsia="en-GB"/>
              </w:rPr>
              <w:t>Cap</w:t>
            </w:r>
            <w:r w:rsidRPr="007471F4">
              <w:rPr>
                <w:rFonts w:ascii="Calibri" w:hAnsi="Calibri"/>
                <w:bCs/>
                <w:color w:val="000000"/>
                <w:lang w:eastAsia="en-GB"/>
              </w:rPr>
              <w:t>)</w:t>
            </w:r>
          </w:p>
        </w:tc>
        <w:tc>
          <w:tcPr>
            <w:tcW w:w="1720" w:type="dxa"/>
            <w:tcBorders>
              <w:top w:val="nil"/>
              <w:left w:val="nil"/>
              <w:bottom w:val="single" w:sz="4" w:space="0" w:color="FFFFFF"/>
              <w:right w:val="single" w:sz="4" w:space="0" w:color="FFFFFF"/>
            </w:tcBorders>
            <w:shd w:val="clear" w:color="000000" w:fill="D8E4BC"/>
            <w:noWrap/>
            <w:vAlign w:val="center"/>
          </w:tcPr>
          <w:p w14:paraId="4106F424" w14:textId="287D651B" w:rsidR="006D3C84" w:rsidRDefault="00923EF6" w:rsidP="00A715FF">
            <w:pPr>
              <w:jc w:val="right"/>
              <w:rPr>
                <w:rFonts w:ascii="Calibri" w:hAnsi="Calibri"/>
                <w:color w:val="000000"/>
                <w:lang w:eastAsia="en-GB"/>
              </w:rPr>
            </w:pPr>
            <w:r>
              <w:rPr>
                <w:rFonts w:ascii="Calibri" w:hAnsi="Calibri"/>
                <w:color w:val="000000"/>
                <w:lang w:eastAsia="en-GB"/>
              </w:rPr>
              <w:t>0</w:t>
            </w:r>
          </w:p>
        </w:tc>
      </w:tr>
      <w:tr w:rsidR="00A715FF" w:rsidRPr="009F05C2" w14:paraId="322D2F21" w14:textId="77777777" w:rsidTr="00A715FF">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1D900B66" w14:textId="15282411" w:rsidR="00A715FF" w:rsidRPr="009F05C2" w:rsidRDefault="003A097F" w:rsidP="00A715FF">
            <w:pPr>
              <w:jc w:val="right"/>
              <w:rPr>
                <w:rFonts w:ascii="Calibri" w:hAnsi="Calibri"/>
                <w:b/>
                <w:bCs/>
                <w:color w:val="000000"/>
                <w:lang w:eastAsia="en-GB"/>
              </w:rPr>
            </w:pPr>
            <w:r>
              <w:rPr>
                <w:rFonts w:ascii="Calibri" w:hAnsi="Calibri"/>
                <w:b/>
                <w:bCs/>
                <w:color w:val="000000"/>
                <w:lang w:eastAsia="en-GB"/>
              </w:rPr>
              <w:t>456</w:t>
            </w:r>
          </w:p>
        </w:tc>
        <w:tc>
          <w:tcPr>
            <w:tcW w:w="5840" w:type="dxa"/>
            <w:tcBorders>
              <w:top w:val="nil"/>
              <w:left w:val="nil"/>
              <w:bottom w:val="single" w:sz="4" w:space="0" w:color="FFFFFF"/>
              <w:right w:val="single" w:sz="4" w:space="0" w:color="FFFFFF"/>
            </w:tcBorders>
            <w:shd w:val="clear" w:color="000000" w:fill="D8E4BC"/>
            <w:noWrap/>
            <w:vAlign w:val="center"/>
            <w:hideMark/>
          </w:tcPr>
          <w:p w14:paraId="3A12062C" w14:textId="77777777" w:rsidR="00A715FF" w:rsidRPr="009F05C2" w:rsidRDefault="00A715FF" w:rsidP="00A715FF">
            <w:pPr>
              <w:rPr>
                <w:rFonts w:ascii="Calibri" w:hAnsi="Calibri"/>
                <w:b/>
                <w:bCs/>
                <w:color w:val="000000"/>
                <w:lang w:eastAsia="en-GB"/>
              </w:rPr>
            </w:pPr>
            <w:r w:rsidRPr="009F05C2">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60838FB6" w14:textId="57DF74B5" w:rsidR="00A715FF" w:rsidRPr="009F05C2" w:rsidRDefault="00BD7A8C" w:rsidP="00A715FF">
            <w:pPr>
              <w:jc w:val="right"/>
              <w:rPr>
                <w:rFonts w:ascii="Calibri" w:hAnsi="Calibri"/>
                <w:b/>
                <w:bCs/>
                <w:color w:val="000000"/>
                <w:lang w:eastAsia="en-GB"/>
              </w:rPr>
            </w:pPr>
            <w:r>
              <w:rPr>
                <w:rFonts w:ascii="Calibri" w:hAnsi="Calibri"/>
                <w:b/>
                <w:bCs/>
                <w:color w:val="000000"/>
                <w:lang w:eastAsia="en-GB"/>
              </w:rPr>
              <w:t>0</w:t>
            </w:r>
          </w:p>
        </w:tc>
      </w:tr>
    </w:tbl>
    <w:p w14:paraId="0A75E20E" w14:textId="77777777" w:rsidR="001B2FF6" w:rsidRDefault="001B2FF6" w:rsidP="00707761">
      <w:pPr>
        <w:widowControl w:val="0"/>
        <w:tabs>
          <w:tab w:val="left" w:pos="2520"/>
          <w:tab w:val="left" w:pos="7200"/>
          <w:tab w:val="left" w:pos="846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Revenue Grants Receipts inc Advance"/>
        <w:tblDescription w:val="Revenue Grants Receipts inc Advance as at 31 March 2023 with 31 March 2022 comparatives"/>
      </w:tblPr>
      <w:tblGrid>
        <w:gridCol w:w="1680"/>
        <w:gridCol w:w="5840"/>
        <w:gridCol w:w="1720"/>
      </w:tblGrid>
      <w:tr w:rsidR="00841A91" w:rsidRPr="009F05C2" w14:paraId="58BAB2B7"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vAlign w:val="center"/>
            <w:hideMark/>
          </w:tcPr>
          <w:p w14:paraId="676DD720" w14:textId="6AB81C2A" w:rsidR="00841A91" w:rsidRPr="009F05C2" w:rsidRDefault="00841A91" w:rsidP="004E1817">
            <w:pPr>
              <w:jc w:val="right"/>
              <w:rPr>
                <w:rFonts w:ascii="Calibri" w:hAnsi="Calibri"/>
                <w:color w:val="000000"/>
                <w:lang w:eastAsia="en-GB"/>
              </w:rPr>
            </w:pPr>
            <w:r w:rsidRPr="009F05C2">
              <w:rPr>
                <w:rFonts w:ascii="Calibri" w:hAnsi="Calibri"/>
                <w:color w:val="000000"/>
                <w:lang w:eastAsia="en-GB"/>
              </w:rPr>
              <w:t>31</w:t>
            </w:r>
            <w:r>
              <w:rPr>
                <w:rFonts w:ascii="Calibri" w:hAnsi="Calibri"/>
                <w:color w:val="000000"/>
                <w:lang w:eastAsia="en-GB"/>
              </w:rPr>
              <w:t xml:space="preserve"> March 20</w:t>
            </w:r>
            <w:r w:rsidR="004E1817">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7BE2CE9F" w14:textId="77777777" w:rsidR="00841A91" w:rsidRPr="009F05C2" w:rsidRDefault="00841A91" w:rsidP="00841A91">
            <w:pPr>
              <w:rPr>
                <w:rFonts w:ascii="Calibri" w:hAnsi="Calibri"/>
                <w:color w:val="000000"/>
                <w:lang w:eastAsia="en-GB"/>
              </w:rPr>
            </w:pPr>
            <w:r w:rsidRPr="009F05C2">
              <w:rPr>
                <w:rFonts w:ascii="Calibri" w:hAnsi="Calibri"/>
                <w:color w:val="000000"/>
                <w:lang w:eastAsia="en-GB"/>
              </w:rPr>
              <w:t>Revenue Grant Receipts in Advance</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471DAE76" w14:textId="6757B43D" w:rsidR="00841A91" w:rsidRPr="009F05C2" w:rsidRDefault="00841A91" w:rsidP="004E1817">
            <w:pPr>
              <w:jc w:val="right"/>
              <w:rPr>
                <w:rFonts w:ascii="Calibri" w:hAnsi="Calibri"/>
                <w:color w:val="000000"/>
                <w:lang w:eastAsia="en-GB"/>
              </w:rPr>
            </w:pPr>
            <w:r w:rsidRPr="009F05C2">
              <w:rPr>
                <w:rFonts w:ascii="Calibri" w:hAnsi="Calibri"/>
                <w:color w:val="000000"/>
                <w:lang w:eastAsia="en-GB"/>
              </w:rPr>
              <w:t>31</w:t>
            </w:r>
            <w:r>
              <w:rPr>
                <w:rFonts w:ascii="Calibri" w:hAnsi="Calibri"/>
                <w:color w:val="000000"/>
                <w:lang w:eastAsia="en-GB"/>
              </w:rPr>
              <w:t xml:space="preserve"> March 202</w:t>
            </w:r>
            <w:r w:rsidR="003A097F">
              <w:rPr>
                <w:rFonts w:ascii="Calibri" w:hAnsi="Calibri"/>
                <w:color w:val="000000"/>
                <w:lang w:eastAsia="en-GB"/>
              </w:rPr>
              <w:t>3</w:t>
            </w:r>
          </w:p>
        </w:tc>
      </w:tr>
      <w:tr w:rsidR="00841A91" w:rsidRPr="009F05C2" w14:paraId="381E386E"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C4D79B"/>
            <w:vAlign w:val="center"/>
            <w:hideMark/>
          </w:tcPr>
          <w:p w14:paraId="0D670C1F" w14:textId="77777777" w:rsidR="00841A91" w:rsidRPr="009F05C2" w:rsidRDefault="00841A91" w:rsidP="00841A91">
            <w:pPr>
              <w:jc w:val="right"/>
              <w:rPr>
                <w:rFonts w:ascii="Calibri" w:hAnsi="Calibri"/>
                <w:color w:val="000000"/>
                <w:lang w:eastAsia="en-GB"/>
              </w:rPr>
            </w:pPr>
            <w:r w:rsidRPr="009F05C2">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bottom"/>
            <w:hideMark/>
          </w:tcPr>
          <w:p w14:paraId="4548BB7B" w14:textId="77777777" w:rsidR="00841A91" w:rsidRPr="009F05C2" w:rsidRDefault="00841A91" w:rsidP="00841A91">
            <w:pPr>
              <w:rPr>
                <w:rFonts w:ascii="Calibri" w:hAnsi="Calibri"/>
                <w:color w:val="000000"/>
                <w:sz w:val="22"/>
                <w:szCs w:val="22"/>
                <w:lang w:eastAsia="en-GB"/>
              </w:rPr>
            </w:pPr>
            <w:r w:rsidRPr="009F05C2">
              <w:rPr>
                <w:rFonts w:ascii="Calibri" w:hAnsi="Calibri"/>
                <w:color w:val="000000"/>
                <w:sz w:val="22"/>
                <w:szCs w:val="22"/>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124D3CB2" w14:textId="77777777" w:rsidR="00841A91" w:rsidRPr="009F05C2" w:rsidRDefault="00841A91" w:rsidP="00841A91">
            <w:pPr>
              <w:jc w:val="right"/>
              <w:rPr>
                <w:rFonts w:ascii="Calibri" w:hAnsi="Calibri"/>
                <w:color w:val="000000"/>
                <w:lang w:eastAsia="en-GB"/>
              </w:rPr>
            </w:pPr>
            <w:r>
              <w:rPr>
                <w:rFonts w:ascii="Calibri" w:hAnsi="Calibri"/>
                <w:color w:val="000000"/>
                <w:lang w:eastAsia="en-GB"/>
              </w:rPr>
              <w:t>£'000</w:t>
            </w:r>
          </w:p>
        </w:tc>
      </w:tr>
      <w:tr w:rsidR="00841A91" w:rsidRPr="009F05C2" w14:paraId="4A45AC8D"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7A679D8A" w14:textId="62A0A609" w:rsidR="00841A91" w:rsidRPr="009F05C2" w:rsidRDefault="00280935" w:rsidP="00841A91">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hideMark/>
          </w:tcPr>
          <w:p w14:paraId="74139F35" w14:textId="67C57254" w:rsidR="00841A91" w:rsidRPr="009F05C2" w:rsidRDefault="00923EF6" w:rsidP="00841A91">
            <w:pPr>
              <w:rPr>
                <w:rFonts w:ascii="Calibri" w:hAnsi="Calibri"/>
                <w:color w:val="000000"/>
                <w:lang w:eastAsia="en-GB"/>
              </w:rPr>
            </w:pPr>
            <w:r>
              <w:rPr>
                <w:rFonts w:ascii="Calibri" w:hAnsi="Calibri"/>
                <w:color w:val="000000"/>
                <w:lang w:eastAsia="en-GB"/>
              </w:rPr>
              <w:t>UK Shared Prosperity Fund</w:t>
            </w:r>
          </w:p>
        </w:tc>
        <w:tc>
          <w:tcPr>
            <w:tcW w:w="1720" w:type="dxa"/>
            <w:tcBorders>
              <w:top w:val="nil"/>
              <w:left w:val="nil"/>
              <w:bottom w:val="single" w:sz="4" w:space="0" w:color="FFFFFF"/>
              <w:right w:val="single" w:sz="4" w:space="0" w:color="FFFFFF"/>
            </w:tcBorders>
            <w:shd w:val="clear" w:color="000000" w:fill="D8E4BC"/>
            <w:noWrap/>
            <w:vAlign w:val="center"/>
          </w:tcPr>
          <w:p w14:paraId="2FCF99A2" w14:textId="05849E14" w:rsidR="006D3C84" w:rsidRPr="009F05C2" w:rsidRDefault="00923EF6" w:rsidP="006D3C84">
            <w:pPr>
              <w:jc w:val="right"/>
              <w:rPr>
                <w:rFonts w:ascii="Calibri" w:hAnsi="Calibri"/>
                <w:color w:val="000000"/>
                <w:lang w:eastAsia="en-GB"/>
              </w:rPr>
            </w:pPr>
            <w:r>
              <w:rPr>
                <w:rFonts w:ascii="Calibri" w:hAnsi="Calibri"/>
                <w:color w:val="000000"/>
                <w:lang w:eastAsia="en-GB"/>
              </w:rPr>
              <w:t>136</w:t>
            </w:r>
          </w:p>
        </w:tc>
      </w:tr>
      <w:tr w:rsidR="00841A91" w:rsidRPr="009F05C2" w14:paraId="4D54180E"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6DF968BF" w14:textId="6E07966B" w:rsidR="00841A91" w:rsidRPr="009F05C2" w:rsidRDefault="004E1817" w:rsidP="00841A91">
            <w:pPr>
              <w:jc w:val="right"/>
              <w:rPr>
                <w:rFonts w:ascii="Calibri" w:hAnsi="Calibri"/>
                <w:color w:val="000000"/>
                <w:lang w:eastAsia="en-GB"/>
              </w:rPr>
            </w:pPr>
            <w:r>
              <w:rPr>
                <w:rFonts w:ascii="Calibri" w:hAnsi="Calibri"/>
                <w:color w:val="000000"/>
                <w:lang w:eastAsia="en-GB"/>
              </w:rPr>
              <w:t>3</w:t>
            </w:r>
            <w:r w:rsidR="00280935">
              <w:rPr>
                <w:rFonts w:ascii="Calibri" w:hAnsi="Calibri"/>
                <w:color w:val="000000"/>
                <w:lang w:eastAsia="en-GB"/>
              </w:rPr>
              <w:t>9</w:t>
            </w:r>
            <w:r w:rsidR="003A097F">
              <w:rPr>
                <w:rFonts w:ascii="Calibri" w:hAnsi="Calibri"/>
                <w:color w:val="000000"/>
                <w:lang w:eastAsia="en-GB"/>
              </w:rPr>
              <w:t>6</w:t>
            </w:r>
          </w:p>
        </w:tc>
        <w:tc>
          <w:tcPr>
            <w:tcW w:w="5840" w:type="dxa"/>
            <w:tcBorders>
              <w:top w:val="nil"/>
              <w:left w:val="nil"/>
              <w:bottom w:val="single" w:sz="4" w:space="0" w:color="FFFFFF"/>
              <w:right w:val="single" w:sz="4" w:space="0" w:color="FFFFFF"/>
            </w:tcBorders>
            <w:shd w:val="clear" w:color="000000" w:fill="EBF1DE"/>
            <w:noWrap/>
            <w:vAlign w:val="center"/>
            <w:hideMark/>
          </w:tcPr>
          <w:p w14:paraId="14346B30" w14:textId="77777777" w:rsidR="00841A91" w:rsidRPr="009F05C2" w:rsidRDefault="00841A91" w:rsidP="00841A91">
            <w:pPr>
              <w:rPr>
                <w:rFonts w:ascii="Calibri" w:hAnsi="Calibri"/>
                <w:color w:val="000000"/>
                <w:lang w:eastAsia="en-GB"/>
              </w:rPr>
            </w:pPr>
            <w:r w:rsidRPr="009F05C2">
              <w:rPr>
                <w:rFonts w:ascii="Calibri" w:hAnsi="Calibri"/>
                <w:bCs/>
                <w:color w:val="000000"/>
                <w:lang w:eastAsia="en-GB"/>
              </w:rPr>
              <w:t>Disabled Facilities Grant Funding</w:t>
            </w:r>
          </w:p>
        </w:tc>
        <w:tc>
          <w:tcPr>
            <w:tcW w:w="1720" w:type="dxa"/>
            <w:tcBorders>
              <w:top w:val="nil"/>
              <w:left w:val="nil"/>
              <w:bottom w:val="single" w:sz="4" w:space="0" w:color="FFFFFF"/>
              <w:right w:val="single" w:sz="4" w:space="0" w:color="FFFFFF"/>
            </w:tcBorders>
            <w:shd w:val="clear" w:color="000000" w:fill="D8E4BC"/>
            <w:noWrap/>
            <w:vAlign w:val="center"/>
          </w:tcPr>
          <w:p w14:paraId="3A00D765" w14:textId="66A9E4B1" w:rsidR="00841A91" w:rsidRPr="009F05C2" w:rsidRDefault="00923EF6" w:rsidP="00841A91">
            <w:pPr>
              <w:jc w:val="right"/>
              <w:rPr>
                <w:rFonts w:ascii="Calibri" w:hAnsi="Calibri"/>
                <w:color w:val="000000"/>
                <w:lang w:eastAsia="en-GB"/>
              </w:rPr>
            </w:pPr>
            <w:r>
              <w:rPr>
                <w:rFonts w:ascii="Calibri" w:hAnsi="Calibri"/>
                <w:color w:val="000000"/>
                <w:lang w:eastAsia="en-GB"/>
              </w:rPr>
              <w:t>337</w:t>
            </w:r>
          </w:p>
        </w:tc>
      </w:tr>
      <w:tr w:rsidR="00841A91" w:rsidRPr="009F05C2" w14:paraId="3AD92050"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2E2BAD2D" w14:textId="77963544" w:rsidR="00841A91" w:rsidRDefault="003A097F" w:rsidP="004E1817">
            <w:pPr>
              <w:jc w:val="right"/>
              <w:rPr>
                <w:rFonts w:ascii="Calibri" w:hAnsi="Calibri"/>
                <w:color w:val="000000"/>
                <w:lang w:eastAsia="en-GB"/>
              </w:rPr>
            </w:pPr>
            <w:r>
              <w:rPr>
                <w:rFonts w:ascii="Calibri" w:hAnsi="Calibri"/>
                <w:color w:val="000000"/>
                <w:lang w:eastAsia="en-GB"/>
              </w:rPr>
              <w:t>1</w:t>
            </w:r>
          </w:p>
        </w:tc>
        <w:tc>
          <w:tcPr>
            <w:tcW w:w="5840" w:type="dxa"/>
            <w:tcBorders>
              <w:top w:val="nil"/>
              <w:left w:val="nil"/>
              <w:bottom w:val="single" w:sz="4" w:space="0" w:color="FFFFFF"/>
              <w:right w:val="single" w:sz="4" w:space="0" w:color="FFFFFF"/>
            </w:tcBorders>
            <w:shd w:val="clear" w:color="000000" w:fill="EBF1DE"/>
            <w:noWrap/>
            <w:vAlign w:val="center"/>
          </w:tcPr>
          <w:p w14:paraId="5C9F53E3" w14:textId="77777777" w:rsidR="00841A91" w:rsidRDefault="00841A91" w:rsidP="00841A91">
            <w:pPr>
              <w:rPr>
                <w:rFonts w:ascii="Calibri" w:hAnsi="Calibri"/>
                <w:bCs/>
                <w:color w:val="000000"/>
                <w:lang w:eastAsia="en-GB"/>
              </w:rPr>
            </w:pPr>
            <w:r w:rsidRPr="00B07A52">
              <w:rPr>
                <w:rFonts w:ascii="Calibri" w:hAnsi="Calibri"/>
                <w:bCs/>
                <w:color w:val="000000"/>
                <w:lang w:eastAsia="en-GB"/>
              </w:rPr>
              <w:t>Homelessness</w:t>
            </w:r>
          </w:p>
        </w:tc>
        <w:tc>
          <w:tcPr>
            <w:tcW w:w="1720" w:type="dxa"/>
            <w:tcBorders>
              <w:top w:val="nil"/>
              <w:left w:val="nil"/>
              <w:bottom w:val="single" w:sz="4" w:space="0" w:color="FFFFFF"/>
              <w:right w:val="single" w:sz="4" w:space="0" w:color="FFFFFF"/>
            </w:tcBorders>
            <w:shd w:val="clear" w:color="000000" w:fill="D8E4BC"/>
            <w:noWrap/>
            <w:vAlign w:val="center"/>
          </w:tcPr>
          <w:p w14:paraId="676222AC" w14:textId="29CB014F" w:rsidR="00841A91" w:rsidRDefault="00923EF6" w:rsidP="00841A91">
            <w:pPr>
              <w:jc w:val="right"/>
              <w:rPr>
                <w:rFonts w:ascii="Calibri" w:hAnsi="Calibri"/>
                <w:color w:val="000000"/>
                <w:lang w:eastAsia="en-GB"/>
              </w:rPr>
            </w:pPr>
            <w:r>
              <w:rPr>
                <w:rFonts w:ascii="Calibri" w:hAnsi="Calibri"/>
                <w:color w:val="000000"/>
                <w:lang w:eastAsia="en-GB"/>
              </w:rPr>
              <w:t>38</w:t>
            </w:r>
          </w:p>
        </w:tc>
      </w:tr>
      <w:tr w:rsidR="00C76AFB" w:rsidRPr="009F05C2" w14:paraId="744F4C9B"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511FD9F7" w14:textId="2C254DF4" w:rsidR="00C76AFB" w:rsidRDefault="003A097F" w:rsidP="00A37659">
            <w:pPr>
              <w:jc w:val="right"/>
              <w:rPr>
                <w:rFonts w:ascii="Calibri" w:hAnsi="Calibri"/>
                <w:bCs/>
                <w:color w:val="000000"/>
                <w:lang w:eastAsia="en-GB"/>
              </w:rPr>
            </w:pPr>
            <w:r>
              <w:rPr>
                <w:rFonts w:ascii="Calibri" w:hAnsi="Calibri"/>
                <w:bCs/>
                <w:color w:val="000000"/>
                <w:lang w:eastAsia="en-GB"/>
              </w:rPr>
              <w:t>30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DF9C500" w14:textId="4C4DBD6B" w:rsidR="00C76AFB" w:rsidRDefault="00C76AFB" w:rsidP="00A37659">
            <w:pPr>
              <w:rPr>
                <w:rFonts w:ascii="Calibri" w:hAnsi="Calibri"/>
                <w:bCs/>
                <w:color w:val="000000"/>
                <w:lang w:eastAsia="en-GB"/>
              </w:rPr>
            </w:pPr>
            <w:r>
              <w:rPr>
                <w:rFonts w:ascii="Calibri" w:hAnsi="Calibri"/>
                <w:bCs/>
                <w:color w:val="000000"/>
                <w:lang w:eastAsia="en-GB"/>
              </w:rPr>
              <w:t>Sports Contributions</w:t>
            </w:r>
          </w:p>
        </w:tc>
        <w:tc>
          <w:tcPr>
            <w:tcW w:w="1720" w:type="dxa"/>
            <w:tcBorders>
              <w:top w:val="nil"/>
              <w:left w:val="nil"/>
              <w:bottom w:val="single" w:sz="4" w:space="0" w:color="FFFFFF"/>
              <w:right w:val="single" w:sz="4" w:space="0" w:color="FFFFFF"/>
            </w:tcBorders>
            <w:shd w:val="clear" w:color="000000" w:fill="D8E4BC"/>
            <w:noWrap/>
            <w:vAlign w:val="center"/>
          </w:tcPr>
          <w:p w14:paraId="02077CE7" w14:textId="42FBD886" w:rsidR="00C76AFB" w:rsidRDefault="00923EF6" w:rsidP="00A37659">
            <w:pPr>
              <w:jc w:val="right"/>
              <w:rPr>
                <w:rFonts w:ascii="Calibri" w:hAnsi="Calibri"/>
                <w:bCs/>
                <w:color w:val="000000"/>
                <w:lang w:eastAsia="en-GB"/>
              </w:rPr>
            </w:pPr>
            <w:r>
              <w:rPr>
                <w:rFonts w:ascii="Calibri" w:hAnsi="Calibri"/>
                <w:bCs/>
                <w:color w:val="000000"/>
                <w:lang w:eastAsia="en-GB"/>
              </w:rPr>
              <w:t>33</w:t>
            </w:r>
          </w:p>
        </w:tc>
      </w:tr>
      <w:tr w:rsidR="00A37659" w:rsidRPr="009F05C2" w14:paraId="2F0821EE"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035F8562" w14:textId="17992010" w:rsidR="00A37659" w:rsidRDefault="00280935" w:rsidP="00A37659">
            <w:pPr>
              <w:jc w:val="right"/>
              <w:rPr>
                <w:rFonts w:ascii="Calibri" w:hAnsi="Calibri"/>
                <w:bCs/>
                <w:color w:val="000000"/>
                <w:lang w:eastAsia="en-GB"/>
              </w:rPr>
            </w:pPr>
            <w:r>
              <w:rPr>
                <w:rFonts w:ascii="Calibri" w:hAnsi="Calibri"/>
                <w:bCs/>
                <w:color w:val="000000"/>
                <w:lang w:eastAsia="en-GB"/>
              </w:rPr>
              <w:t>10</w:t>
            </w:r>
            <w:r w:rsidR="00A37659">
              <w:rPr>
                <w:rFonts w:ascii="Calibri" w:hAnsi="Calibri"/>
                <w:bCs/>
                <w:color w:val="000000"/>
                <w:lang w:eastAsia="en-GB"/>
              </w:rPr>
              <w:t>0</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028CBE1F" w14:textId="51CF6A68" w:rsidR="00A37659" w:rsidRPr="00EA7706" w:rsidRDefault="00A37659" w:rsidP="00A37659">
            <w:pPr>
              <w:rPr>
                <w:rFonts w:ascii="Calibri" w:hAnsi="Calibri"/>
                <w:bCs/>
                <w:color w:val="000000"/>
                <w:lang w:eastAsia="en-GB"/>
              </w:rPr>
            </w:pPr>
            <w:r>
              <w:rPr>
                <w:rFonts w:ascii="Calibri" w:hAnsi="Calibri"/>
                <w:bCs/>
                <w:color w:val="000000"/>
                <w:lang w:eastAsia="en-GB"/>
              </w:rPr>
              <w:t xml:space="preserve">Health </w:t>
            </w:r>
            <w:r w:rsidR="00704A70">
              <w:rPr>
                <w:rFonts w:ascii="Calibri" w:hAnsi="Calibri"/>
                <w:bCs/>
                <w:color w:val="000000"/>
                <w:lang w:eastAsia="en-GB"/>
              </w:rPr>
              <w:t>and</w:t>
            </w:r>
            <w:r>
              <w:rPr>
                <w:rFonts w:ascii="Calibri" w:hAnsi="Calibri"/>
                <w:bCs/>
                <w:color w:val="000000"/>
                <w:lang w:eastAsia="en-GB"/>
              </w:rPr>
              <w:t xml:space="preserve"> Well-Being G</w:t>
            </w:r>
            <w:r w:rsidRPr="0090703D">
              <w:rPr>
                <w:rFonts w:ascii="Calibri" w:hAnsi="Calibri"/>
                <w:bCs/>
                <w:color w:val="000000"/>
                <w:lang w:eastAsia="en-GB"/>
              </w:rPr>
              <w:t>rant</w:t>
            </w:r>
          </w:p>
        </w:tc>
        <w:tc>
          <w:tcPr>
            <w:tcW w:w="1720" w:type="dxa"/>
            <w:tcBorders>
              <w:top w:val="nil"/>
              <w:left w:val="nil"/>
              <w:bottom w:val="single" w:sz="4" w:space="0" w:color="FFFFFF"/>
              <w:right w:val="single" w:sz="4" w:space="0" w:color="FFFFFF"/>
            </w:tcBorders>
            <w:shd w:val="clear" w:color="000000" w:fill="D8E4BC"/>
            <w:noWrap/>
            <w:vAlign w:val="center"/>
          </w:tcPr>
          <w:p w14:paraId="6C66639B" w14:textId="145F0701" w:rsidR="00A37659" w:rsidRDefault="00923EF6" w:rsidP="00A37659">
            <w:pPr>
              <w:jc w:val="right"/>
              <w:rPr>
                <w:rFonts w:ascii="Calibri" w:hAnsi="Calibri"/>
                <w:bCs/>
                <w:color w:val="000000"/>
                <w:lang w:eastAsia="en-GB"/>
              </w:rPr>
            </w:pPr>
            <w:r>
              <w:rPr>
                <w:rFonts w:ascii="Calibri" w:hAnsi="Calibri"/>
                <w:bCs/>
                <w:color w:val="000000"/>
                <w:lang w:eastAsia="en-GB"/>
              </w:rPr>
              <w:t>13</w:t>
            </w:r>
          </w:p>
        </w:tc>
      </w:tr>
      <w:tr w:rsidR="00A37659" w:rsidRPr="009F05C2" w14:paraId="765DD126"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2FD97272" w14:textId="7F9A992D" w:rsidR="00A37659" w:rsidRDefault="003A097F" w:rsidP="00A37659">
            <w:pPr>
              <w:jc w:val="right"/>
              <w:rPr>
                <w:rFonts w:ascii="Calibri" w:hAnsi="Calibri"/>
                <w:bCs/>
                <w:color w:val="000000"/>
                <w:lang w:eastAsia="en-GB"/>
              </w:rPr>
            </w:pPr>
            <w:r>
              <w:rPr>
                <w:rFonts w:ascii="Calibri" w:hAnsi="Calibri"/>
                <w:bCs/>
                <w:color w:val="000000"/>
                <w:lang w:eastAsia="en-GB"/>
              </w:rPr>
              <w:t>99</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4084C11" w14:textId="188EB524" w:rsidR="00A37659" w:rsidRPr="00EA7706" w:rsidRDefault="00A37659" w:rsidP="00A37659">
            <w:pPr>
              <w:rPr>
                <w:rFonts w:ascii="Calibri" w:hAnsi="Calibri"/>
                <w:bCs/>
                <w:color w:val="000000"/>
                <w:lang w:eastAsia="en-GB"/>
              </w:rPr>
            </w:pPr>
            <w:r w:rsidRPr="0090703D">
              <w:rPr>
                <w:rFonts w:ascii="Calibri" w:hAnsi="Calibri"/>
                <w:bCs/>
                <w:color w:val="000000"/>
                <w:lang w:eastAsia="en-GB"/>
              </w:rPr>
              <w:t>Food Enterprise Grant</w:t>
            </w:r>
          </w:p>
        </w:tc>
        <w:tc>
          <w:tcPr>
            <w:tcW w:w="1720" w:type="dxa"/>
            <w:tcBorders>
              <w:top w:val="nil"/>
              <w:left w:val="nil"/>
              <w:bottom w:val="single" w:sz="4" w:space="0" w:color="FFFFFF"/>
              <w:right w:val="single" w:sz="4" w:space="0" w:color="FFFFFF"/>
            </w:tcBorders>
            <w:shd w:val="clear" w:color="000000" w:fill="D8E4BC"/>
            <w:noWrap/>
            <w:vAlign w:val="center"/>
          </w:tcPr>
          <w:p w14:paraId="0D5AFB0D" w14:textId="35FAE79B" w:rsidR="00A37659" w:rsidRDefault="00923EF6" w:rsidP="00A37659">
            <w:pPr>
              <w:jc w:val="right"/>
              <w:rPr>
                <w:rFonts w:ascii="Calibri" w:hAnsi="Calibri"/>
                <w:bCs/>
                <w:color w:val="000000"/>
                <w:lang w:eastAsia="en-GB"/>
              </w:rPr>
            </w:pPr>
            <w:r>
              <w:rPr>
                <w:rFonts w:ascii="Calibri" w:hAnsi="Calibri"/>
                <w:bCs/>
                <w:color w:val="000000"/>
                <w:lang w:eastAsia="en-GB"/>
              </w:rPr>
              <w:t>40</w:t>
            </w:r>
          </w:p>
        </w:tc>
      </w:tr>
      <w:tr w:rsidR="00A37659" w:rsidRPr="009F05C2" w14:paraId="09F8AB01"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6044C7D7" w14:textId="2403F13C" w:rsidR="00A37659" w:rsidRDefault="003A097F" w:rsidP="00A37659">
            <w:pPr>
              <w:jc w:val="right"/>
              <w:rPr>
                <w:rFonts w:ascii="Calibri" w:hAnsi="Calibri"/>
                <w:bCs/>
                <w:color w:val="000000"/>
                <w:lang w:eastAsia="en-GB"/>
              </w:rPr>
            </w:pPr>
            <w:r>
              <w:rPr>
                <w:rFonts w:ascii="Calibri" w:hAnsi="Calibri"/>
                <w:bCs/>
                <w:color w:val="000000"/>
                <w:lang w:eastAsia="en-GB"/>
              </w:rPr>
              <w:t>32</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9B3700D" w14:textId="35C7EE76" w:rsidR="00A37659" w:rsidRPr="00EA7706" w:rsidRDefault="00A37659" w:rsidP="00A37659">
            <w:pPr>
              <w:rPr>
                <w:rFonts w:ascii="Calibri" w:hAnsi="Calibri"/>
                <w:bCs/>
                <w:color w:val="000000"/>
                <w:lang w:eastAsia="en-GB"/>
              </w:rPr>
            </w:pPr>
            <w:r>
              <w:rPr>
                <w:rFonts w:ascii="Calibri" w:hAnsi="Calibri"/>
                <w:bCs/>
                <w:color w:val="000000"/>
                <w:lang w:eastAsia="en-GB"/>
              </w:rPr>
              <w:t>COVID Grant</w:t>
            </w:r>
          </w:p>
        </w:tc>
        <w:tc>
          <w:tcPr>
            <w:tcW w:w="1720" w:type="dxa"/>
            <w:tcBorders>
              <w:top w:val="nil"/>
              <w:left w:val="nil"/>
              <w:bottom w:val="single" w:sz="4" w:space="0" w:color="FFFFFF"/>
              <w:right w:val="single" w:sz="4" w:space="0" w:color="FFFFFF"/>
            </w:tcBorders>
            <w:shd w:val="clear" w:color="000000" w:fill="D8E4BC"/>
            <w:noWrap/>
            <w:vAlign w:val="center"/>
          </w:tcPr>
          <w:p w14:paraId="03DE809D" w14:textId="7B480EF6" w:rsidR="00A37659" w:rsidRDefault="00923EF6" w:rsidP="00A37659">
            <w:pPr>
              <w:jc w:val="right"/>
              <w:rPr>
                <w:rFonts w:ascii="Calibri" w:hAnsi="Calibri"/>
                <w:bCs/>
                <w:color w:val="000000"/>
                <w:lang w:eastAsia="en-GB"/>
              </w:rPr>
            </w:pPr>
            <w:r>
              <w:rPr>
                <w:rFonts w:ascii="Calibri" w:hAnsi="Calibri"/>
                <w:bCs/>
                <w:color w:val="000000"/>
                <w:lang w:eastAsia="en-GB"/>
              </w:rPr>
              <w:t>0</w:t>
            </w:r>
          </w:p>
        </w:tc>
      </w:tr>
      <w:tr w:rsidR="006D3C84" w:rsidRPr="009F05C2" w14:paraId="72156201"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4A6CFCEE" w14:textId="79AE14A9" w:rsidR="006D3C84" w:rsidRDefault="003A097F" w:rsidP="006D3C84">
            <w:pPr>
              <w:jc w:val="right"/>
              <w:rPr>
                <w:rFonts w:ascii="Calibri" w:hAnsi="Calibri"/>
                <w:bCs/>
                <w:color w:val="000000"/>
                <w:lang w:eastAsia="en-GB"/>
              </w:rPr>
            </w:pPr>
            <w:r>
              <w:rPr>
                <w:rFonts w:ascii="Calibri" w:hAnsi="Calibri"/>
                <w:bCs/>
                <w:color w:val="000000"/>
                <w:lang w:eastAsia="en-GB"/>
              </w:rPr>
              <w:t>1,027</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52301A1D" w14:textId="285D8FBB" w:rsidR="006D3C84" w:rsidRDefault="006D3C84" w:rsidP="006D3C84">
            <w:pPr>
              <w:rPr>
                <w:rFonts w:ascii="Calibri" w:hAnsi="Calibri"/>
                <w:bCs/>
                <w:color w:val="000000"/>
                <w:lang w:eastAsia="en-GB"/>
              </w:rPr>
            </w:pPr>
            <w:r w:rsidRPr="007471F4">
              <w:rPr>
                <w:rFonts w:ascii="Calibri" w:hAnsi="Calibri"/>
                <w:bCs/>
                <w:color w:val="000000"/>
                <w:lang w:eastAsia="en-GB"/>
              </w:rPr>
              <w:t>COVID Additional Relief Funding (CARF)</w:t>
            </w:r>
          </w:p>
        </w:tc>
        <w:tc>
          <w:tcPr>
            <w:tcW w:w="1720" w:type="dxa"/>
            <w:tcBorders>
              <w:top w:val="nil"/>
              <w:left w:val="nil"/>
              <w:bottom w:val="single" w:sz="4" w:space="0" w:color="FFFFFF"/>
              <w:right w:val="single" w:sz="4" w:space="0" w:color="FFFFFF"/>
            </w:tcBorders>
            <w:shd w:val="clear" w:color="000000" w:fill="D8E4BC"/>
            <w:noWrap/>
            <w:vAlign w:val="center"/>
          </w:tcPr>
          <w:p w14:paraId="1A66BAB5" w14:textId="1672DD8B" w:rsidR="006D3C84" w:rsidRDefault="00923EF6" w:rsidP="006D3C84">
            <w:pPr>
              <w:jc w:val="right"/>
              <w:rPr>
                <w:rFonts w:ascii="Calibri" w:hAnsi="Calibri"/>
                <w:bCs/>
                <w:color w:val="000000"/>
                <w:lang w:eastAsia="en-GB"/>
              </w:rPr>
            </w:pPr>
            <w:r>
              <w:rPr>
                <w:rFonts w:ascii="Calibri" w:hAnsi="Calibri"/>
                <w:bCs/>
                <w:color w:val="000000"/>
                <w:lang w:eastAsia="en-GB"/>
              </w:rPr>
              <w:t>0</w:t>
            </w:r>
          </w:p>
        </w:tc>
      </w:tr>
      <w:tr w:rsidR="006D3C84" w:rsidRPr="009F05C2" w14:paraId="5598E547"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279702B7" w14:textId="69A2BCA0" w:rsidR="006D3C84" w:rsidRDefault="003A097F" w:rsidP="006D3C84">
            <w:pPr>
              <w:jc w:val="right"/>
              <w:rPr>
                <w:rFonts w:ascii="Calibri" w:hAnsi="Calibri"/>
                <w:bCs/>
                <w:color w:val="000000"/>
                <w:lang w:eastAsia="en-GB"/>
              </w:rPr>
            </w:pPr>
            <w:r>
              <w:rPr>
                <w:rFonts w:ascii="Calibri" w:hAnsi="Calibri"/>
                <w:bCs/>
                <w:color w:val="000000"/>
                <w:lang w:eastAsia="en-GB"/>
              </w:rPr>
              <w:t>39</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674FEE7C" w14:textId="7A463FBA" w:rsidR="006D3C84" w:rsidRDefault="006D3C84" w:rsidP="006D3C84">
            <w:pPr>
              <w:rPr>
                <w:rFonts w:ascii="Calibri" w:hAnsi="Calibri"/>
                <w:bCs/>
                <w:color w:val="000000"/>
                <w:lang w:eastAsia="en-GB"/>
              </w:rPr>
            </w:pPr>
            <w:r w:rsidRPr="007471F4">
              <w:rPr>
                <w:rFonts w:ascii="Calibri" w:hAnsi="Calibri"/>
                <w:bCs/>
                <w:color w:val="000000"/>
                <w:lang w:eastAsia="en-GB"/>
              </w:rPr>
              <w:t>LADs Energy Efficiency (Rev)</w:t>
            </w:r>
          </w:p>
        </w:tc>
        <w:tc>
          <w:tcPr>
            <w:tcW w:w="1720" w:type="dxa"/>
            <w:tcBorders>
              <w:top w:val="nil"/>
              <w:left w:val="nil"/>
              <w:bottom w:val="single" w:sz="4" w:space="0" w:color="FFFFFF"/>
              <w:right w:val="single" w:sz="4" w:space="0" w:color="FFFFFF"/>
            </w:tcBorders>
            <w:shd w:val="clear" w:color="000000" w:fill="D8E4BC"/>
            <w:noWrap/>
            <w:vAlign w:val="center"/>
          </w:tcPr>
          <w:p w14:paraId="007CFA3F" w14:textId="759404FD" w:rsidR="006D3C84" w:rsidRDefault="00923EF6" w:rsidP="006D3C84">
            <w:pPr>
              <w:jc w:val="right"/>
              <w:rPr>
                <w:rFonts w:ascii="Calibri" w:hAnsi="Calibri"/>
                <w:bCs/>
                <w:color w:val="000000"/>
                <w:lang w:eastAsia="en-GB"/>
              </w:rPr>
            </w:pPr>
            <w:r>
              <w:rPr>
                <w:rFonts w:ascii="Calibri" w:hAnsi="Calibri"/>
                <w:bCs/>
                <w:color w:val="000000"/>
                <w:lang w:eastAsia="en-GB"/>
              </w:rPr>
              <w:t>0</w:t>
            </w:r>
          </w:p>
        </w:tc>
      </w:tr>
      <w:tr w:rsidR="006D3C84" w:rsidRPr="009F05C2" w14:paraId="6C9D6276"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1A8D793D" w14:textId="39D7C68A" w:rsidR="006D3C84" w:rsidRDefault="003A097F" w:rsidP="006D3C84">
            <w:pPr>
              <w:jc w:val="right"/>
              <w:rPr>
                <w:rFonts w:ascii="Calibri" w:hAnsi="Calibri"/>
                <w:bCs/>
                <w:color w:val="000000"/>
                <w:lang w:eastAsia="en-GB"/>
              </w:rPr>
            </w:pPr>
            <w:r>
              <w:rPr>
                <w:rFonts w:ascii="Calibri" w:hAnsi="Calibri"/>
                <w:bCs/>
                <w:color w:val="000000"/>
                <w:lang w:eastAsia="en-GB"/>
              </w:rPr>
              <w:t>32</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4070CEF5" w14:textId="7407B3C9" w:rsidR="006D3C84" w:rsidRDefault="006D3C84" w:rsidP="006D3C84">
            <w:pPr>
              <w:rPr>
                <w:rFonts w:ascii="Calibri" w:hAnsi="Calibri"/>
                <w:bCs/>
                <w:color w:val="000000"/>
                <w:lang w:eastAsia="en-GB"/>
              </w:rPr>
            </w:pPr>
            <w:r>
              <w:rPr>
                <w:rFonts w:ascii="Calibri" w:hAnsi="Calibri"/>
                <w:bCs/>
                <w:color w:val="000000"/>
                <w:lang w:eastAsia="en-GB"/>
              </w:rPr>
              <w:t>Domestic Abuse Grant</w:t>
            </w:r>
          </w:p>
        </w:tc>
        <w:tc>
          <w:tcPr>
            <w:tcW w:w="1720" w:type="dxa"/>
            <w:tcBorders>
              <w:top w:val="nil"/>
              <w:left w:val="nil"/>
              <w:bottom w:val="single" w:sz="4" w:space="0" w:color="FFFFFF"/>
              <w:right w:val="single" w:sz="4" w:space="0" w:color="FFFFFF"/>
            </w:tcBorders>
            <w:shd w:val="clear" w:color="000000" w:fill="D8E4BC"/>
            <w:noWrap/>
            <w:vAlign w:val="center"/>
          </w:tcPr>
          <w:p w14:paraId="42C076E1" w14:textId="0601E09D" w:rsidR="006D3C84" w:rsidRDefault="00923EF6" w:rsidP="006D3C84">
            <w:pPr>
              <w:jc w:val="right"/>
              <w:rPr>
                <w:rFonts w:ascii="Calibri" w:hAnsi="Calibri"/>
                <w:bCs/>
                <w:color w:val="000000"/>
                <w:lang w:eastAsia="en-GB"/>
              </w:rPr>
            </w:pPr>
            <w:r>
              <w:rPr>
                <w:rFonts w:ascii="Calibri" w:hAnsi="Calibri"/>
                <w:bCs/>
                <w:color w:val="000000"/>
                <w:lang w:eastAsia="en-GB"/>
              </w:rPr>
              <w:t>32</w:t>
            </w:r>
          </w:p>
        </w:tc>
      </w:tr>
      <w:tr w:rsidR="006D3C84" w:rsidRPr="009F05C2" w14:paraId="7168B0C5"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32D19976" w14:textId="047369EE" w:rsidR="006D3C84" w:rsidRDefault="003A097F" w:rsidP="006D3C84">
            <w:pPr>
              <w:jc w:val="right"/>
              <w:rPr>
                <w:rFonts w:ascii="Calibri" w:hAnsi="Calibri"/>
                <w:bCs/>
                <w:color w:val="000000"/>
                <w:lang w:eastAsia="en-GB"/>
              </w:rPr>
            </w:pPr>
            <w:r>
              <w:rPr>
                <w:rFonts w:ascii="Calibri" w:hAnsi="Calibri"/>
                <w:bCs/>
                <w:color w:val="000000"/>
                <w:lang w:eastAsia="en-GB"/>
              </w:rPr>
              <w:t>39</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2DF9068E" w14:textId="6689118A" w:rsidR="006D3C84" w:rsidRDefault="006D3C84" w:rsidP="006D3C84">
            <w:pPr>
              <w:rPr>
                <w:rFonts w:ascii="Calibri" w:hAnsi="Calibri"/>
                <w:bCs/>
                <w:color w:val="000000"/>
                <w:lang w:eastAsia="en-GB"/>
              </w:rPr>
            </w:pPr>
            <w:r>
              <w:rPr>
                <w:rFonts w:ascii="Calibri" w:hAnsi="Calibri"/>
                <w:bCs/>
                <w:color w:val="000000"/>
                <w:lang w:eastAsia="en-GB"/>
              </w:rPr>
              <w:t>Safer Street Grant</w:t>
            </w:r>
          </w:p>
        </w:tc>
        <w:tc>
          <w:tcPr>
            <w:tcW w:w="1720" w:type="dxa"/>
            <w:tcBorders>
              <w:top w:val="nil"/>
              <w:left w:val="nil"/>
              <w:bottom w:val="single" w:sz="4" w:space="0" w:color="FFFFFF"/>
              <w:right w:val="single" w:sz="4" w:space="0" w:color="FFFFFF"/>
            </w:tcBorders>
            <w:shd w:val="clear" w:color="000000" w:fill="D8E4BC"/>
            <w:noWrap/>
            <w:vAlign w:val="center"/>
          </w:tcPr>
          <w:p w14:paraId="457D4263" w14:textId="1FC96FB0" w:rsidR="006D3C84" w:rsidRDefault="00923EF6" w:rsidP="006D3C84">
            <w:pPr>
              <w:jc w:val="right"/>
              <w:rPr>
                <w:rFonts w:ascii="Calibri" w:hAnsi="Calibri"/>
                <w:bCs/>
                <w:color w:val="000000"/>
                <w:lang w:eastAsia="en-GB"/>
              </w:rPr>
            </w:pPr>
            <w:r>
              <w:rPr>
                <w:rFonts w:ascii="Calibri" w:hAnsi="Calibri"/>
                <w:bCs/>
                <w:color w:val="000000"/>
                <w:lang w:eastAsia="en-GB"/>
              </w:rPr>
              <w:t>0</w:t>
            </w:r>
          </w:p>
        </w:tc>
      </w:tr>
      <w:tr w:rsidR="006D3C84" w:rsidRPr="009F05C2" w14:paraId="4226BD78" w14:textId="77777777" w:rsidTr="00C76AFB">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52FB8941" w14:textId="354570C1" w:rsidR="006D3C84" w:rsidRPr="00C76AFB" w:rsidRDefault="006D3C84" w:rsidP="006D3C84">
            <w:pPr>
              <w:jc w:val="right"/>
              <w:rPr>
                <w:rFonts w:ascii="Calibri" w:hAnsi="Calibri"/>
                <w:bCs/>
                <w:color w:val="000000"/>
                <w:lang w:eastAsia="en-GB"/>
              </w:rPr>
            </w:pPr>
            <w:r w:rsidRPr="00C76AFB">
              <w:rPr>
                <w:rFonts w:ascii="Calibri" w:hAnsi="Calibri"/>
                <w:bCs/>
                <w:color w:val="000000"/>
                <w:lang w:eastAsia="en-GB"/>
              </w:rPr>
              <w:t>3</w:t>
            </w:r>
            <w:r w:rsidR="003A097F">
              <w:rPr>
                <w:rFonts w:ascii="Calibri" w:hAnsi="Calibri"/>
                <w:bCs/>
                <w:color w:val="000000"/>
                <w:lang w:eastAsia="en-GB"/>
              </w:rPr>
              <w:t>3</w:t>
            </w:r>
          </w:p>
        </w:tc>
        <w:tc>
          <w:tcPr>
            <w:tcW w:w="5840" w:type="dxa"/>
            <w:tcBorders>
              <w:top w:val="nil"/>
              <w:left w:val="nil"/>
              <w:bottom w:val="single" w:sz="4" w:space="0" w:color="FFFFFF"/>
              <w:right w:val="single" w:sz="4" w:space="0" w:color="FFFFFF"/>
            </w:tcBorders>
            <w:shd w:val="clear" w:color="auto" w:fill="EAF1DD" w:themeFill="accent3" w:themeFillTint="33"/>
            <w:noWrap/>
            <w:vAlign w:val="center"/>
          </w:tcPr>
          <w:p w14:paraId="16CD5F87" w14:textId="5C14A5A3" w:rsidR="006D3C84" w:rsidRPr="009F05C2" w:rsidRDefault="006D3C84" w:rsidP="006D3C84">
            <w:pPr>
              <w:rPr>
                <w:rFonts w:ascii="Calibri" w:hAnsi="Calibri"/>
                <w:b/>
                <w:bCs/>
                <w:color w:val="000000"/>
                <w:lang w:eastAsia="en-GB"/>
              </w:rPr>
            </w:pPr>
            <w:r w:rsidRPr="00EA7706">
              <w:rPr>
                <w:rFonts w:ascii="Calibri" w:hAnsi="Calibri"/>
                <w:bCs/>
                <w:color w:val="000000"/>
                <w:lang w:eastAsia="en-GB"/>
              </w:rPr>
              <w:t>Other Small Revenue Grants Receipts in Advance</w:t>
            </w:r>
          </w:p>
        </w:tc>
        <w:tc>
          <w:tcPr>
            <w:tcW w:w="1720" w:type="dxa"/>
            <w:tcBorders>
              <w:top w:val="nil"/>
              <w:left w:val="nil"/>
              <w:bottom w:val="single" w:sz="4" w:space="0" w:color="FFFFFF"/>
              <w:right w:val="single" w:sz="4" w:space="0" w:color="FFFFFF"/>
            </w:tcBorders>
            <w:shd w:val="clear" w:color="000000" w:fill="D8E4BC"/>
            <w:noWrap/>
            <w:vAlign w:val="center"/>
          </w:tcPr>
          <w:p w14:paraId="5FD67A82" w14:textId="44F642C1" w:rsidR="006D3C84" w:rsidRPr="00C76AFB" w:rsidRDefault="00923EF6" w:rsidP="006D3C84">
            <w:pPr>
              <w:jc w:val="right"/>
              <w:rPr>
                <w:rFonts w:ascii="Calibri" w:hAnsi="Calibri"/>
                <w:bCs/>
                <w:color w:val="000000"/>
                <w:lang w:eastAsia="en-GB"/>
              </w:rPr>
            </w:pPr>
            <w:r>
              <w:rPr>
                <w:rFonts w:ascii="Calibri" w:hAnsi="Calibri"/>
                <w:bCs/>
                <w:color w:val="000000"/>
                <w:lang w:eastAsia="en-GB"/>
              </w:rPr>
              <w:t>34</w:t>
            </w:r>
          </w:p>
        </w:tc>
      </w:tr>
      <w:tr w:rsidR="006D3C84" w:rsidRPr="009F05C2" w14:paraId="578C561F" w14:textId="77777777" w:rsidTr="00841A9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4A012969" w14:textId="24A48C54" w:rsidR="006D3C84" w:rsidRPr="009F05C2" w:rsidRDefault="006D3C84" w:rsidP="006D3C84">
            <w:pPr>
              <w:jc w:val="right"/>
              <w:rPr>
                <w:rFonts w:ascii="Calibri" w:hAnsi="Calibri"/>
                <w:b/>
                <w:bCs/>
                <w:color w:val="000000"/>
                <w:lang w:eastAsia="en-GB"/>
              </w:rPr>
            </w:pPr>
            <w:r>
              <w:rPr>
                <w:rFonts w:ascii="Calibri" w:hAnsi="Calibri"/>
                <w:b/>
                <w:bCs/>
                <w:color w:val="000000"/>
                <w:lang w:eastAsia="en-GB"/>
              </w:rPr>
              <w:t>1,</w:t>
            </w:r>
            <w:r w:rsidR="003A097F">
              <w:rPr>
                <w:rFonts w:ascii="Calibri" w:hAnsi="Calibri"/>
                <w:b/>
                <w:bCs/>
                <w:color w:val="000000"/>
                <w:lang w:eastAsia="en-GB"/>
              </w:rPr>
              <w:t>828</w:t>
            </w:r>
          </w:p>
        </w:tc>
        <w:tc>
          <w:tcPr>
            <w:tcW w:w="5840" w:type="dxa"/>
            <w:tcBorders>
              <w:top w:val="nil"/>
              <w:left w:val="nil"/>
              <w:bottom w:val="single" w:sz="4" w:space="0" w:color="FFFFFF"/>
              <w:right w:val="single" w:sz="4" w:space="0" w:color="FFFFFF"/>
            </w:tcBorders>
            <w:shd w:val="clear" w:color="000000" w:fill="D8E4BC"/>
            <w:noWrap/>
            <w:vAlign w:val="center"/>
            <w:hideMark/>
          </w:tcPr>
          <w:p w14:paraId="299E78AA" w14:textId="77777777" w:rsidR="006D3C84" w:rsidRPr="009F05C2" w:rsidRDefault="006D3C84" w:rsidP="006D3C84">
            <w:pPr>
              <w:rPr>
                <w:rFonts w:ascii="Calibri" w:hAnsi="Calibri"/>
                <w:b/>
                <w:bCs/>
                <w:color w:val="000000"/>
                <w:lang w:eastAsia="en-GB"/>
              </w:rPr>
            </w:pPr>
            <w:r w:rsidRPr="009F05C2">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3F87CB3A" w14:textId="746D30D6" w:rsidR="006D3C84" w:rsidRPr="009F05C2" w:rsidRDefault="00BD7A8C" w:rsidP="006D3C84">
            <w:pPr>
              <w:jc w:val="right"/>
              <w:rPr>
                <w:rFonts w:ascii="Calibri" w:hAnsi="Calibri"/>
                <w:b/>
                <w:bCs/>
                <w:color w:val="000000"/>
                <w:lang w:eastAsia="en-GB"/>
              </w:rPr>
            </w:pPr>
            <w:r>
              <w:rPr>
                <w:rFonts w:ascii="Calibri" w:hAnsi="Calibri"/>
                <w:b/>
                <w:bCs/>
                <w:color w:val="000000"/>
                <w:lang w:eastAsia="en-GB"/>
              </w:rPr>
              <w:t>663</w:t>
            </w:r>
          </w:p>
        </w:tc>
      </w:tr>
    </w:tbl>
    <w:p w14:paraId="3DD0CC3D" w14:textId="0897FBA0" w:rsidR="009410B0" w:rsidRDefault="009410B0" w:rsidP="00707761">
      <w:pPr>
        <w:widowControl w:val="0"/>
        <w:tabs>
          <w:tab w:val="left" w:pos="2520"/>
          <w:tab w:val="left" w:pos="7200"/>
          <w:tab w:val="left" w:pos="8460"/>
        </w:tabs>
        <w:jc w:val="both"/>
        <w:rPr>
          <w:rFonts w:ascii="Arial" w:hAnsi="Arial" w:cs="Arial"/>
        </w:rPr>
      </w:pPr>
    </w:p>
    <w:p w14:paraId="499CE524" w14:textId="77777777" w:rsidR="00D3279C" w:rsidRDefault="00D3279C" w:rsidP="00707761">
      <w:pPr>
        <w:widowControl w:val="0"/>
        <w:tabs>
          <w:tab w:val="left" w:pos="2520"/>
          <w:tab w:val="left" w:pos="7200"/>
          <w:tab w:val="left" w:pos="8460"/>
        </w:tabs>
        <w:jc w:val="both"/>
        <w:rPr>
          <w:rFonts w:ascii="Arial" w:hAnsi="Arial" w:cs="Arial"/>
        </w:rPr>
      </w:pPr>
    </w:p>
    <w:p w14:paraId="0E3805FF" w14:textId="656ACB60" w:rsidR="00707761" w:rsidRPr="00ED6507" w:rsidRDefault="00D3279C" w:rsidP="00704A70">
      <w:pPr>
        <w:pStyle w:val="Heading2"/>
      </w:pPr>
      <w:r>
        <w:t>9</w:t>
      </w:r>
      <w:r w:rsidR="00707761" w:rsidRPr="00ED6507">
        <w:tab/>
        <w:t>M</w:t>
      </w:r>
      <w:r w:rsidR="00ED6507" w:rsidRPr="00ED6507">
        <w:t>embers Allowances</w:t>
      </w:r>
    </w:p>
    <w:p w14:paraId="164AC634" w14:textId="77777777" w:rsidR="00707761" w:rsidRDefault="00707761" w:rsidP="00707761">
      <w:pPr>
        <w:widowControl w:val="0"/>
        <w:tabs>
          <w:tab w:val="left" w:pos="2520"/>
          <w:tab w:val="left" w:pos="7200"/>
          <w:tab w:val="left" w:pos="8460"/>
        </w:tabs>
        <w:rPr>
          <w:rFonts w:ascii="Arial" w:hAnsi="Arial" w:cs="Arial"/>
        </w:rPr>
      </w:pPr>
    </w:p>
    <w:p w14:paraId="4DA28611" w14:textId="41BFD695" w:rsidR="00707761" w:rsidRDefault="00707761" w:rsidP="00707761">
      <w:pPr>
        <w:widowControl w:val="0"/>
        <w:tabs>
          <w:tab w:val="left" w:pos="2520"/>
          <w:tab w:val="left" w:pos="7200"/>
          <w:tab w:val="left" w:pos="8460"/>
        </w:tabs>
        <w:rPr>
          <w:rFonts w:asciiTheme="minorHAnsi" w:hAnsiTheme="minorHAnsi" w:cs="Arial"/>
          <w:sz w:val="22"/>
          <w:szCs w:val="22"/>
        </w:rPr>
      </w:pPr>
      <w:r w:rsidRPr="00ED6507">
        <w:rPr>
          <w:rFonts w:asciiTheme="minorHAnsi" w:hAnsiTheme="minorHAnsi" w:cs="Arial"/>
          <w:sz w:val="22"/>
          <w:szCs w:val="22"/>
        </w:rPr>
        <w:t>The Authority paid the following amounts to members</w:t>
      </w:r>
      <w:r w:rsidR="00510ADB">
        <w:rPr>
          <w:rFonts w:asciiTheme="minorHAnsi" w:hAnsiTheme="minorHAnsi" w:cs="Arial"/>
          <w:sz w:val="22"/>
          <w:szCs w:val="22"/>
        </w:rPr>
        <w:t xml:space="preserve"> of the Council during the year:</w:t>
      </w:r>
    </w:p>
    <w:p w14:paraId="6EFE1775" w14:textId="77777777" w:rsidR="00707761" w:rsidRDefault="00707761" w:rsidP="00707761">
      <w:pPr>
        <w:widowControl w:val="0"/>
        <w:tabs>
          <w:tab w:val="left" w:pos="2520"/>
          <w:tab w:val="left" w:pos="7200"/>
          <w:tab w:val="left" w:pos="8460"/>
        </w:tabs>
        <w:rPr>
          <w:rFonts w:ascii="Arial" w:hAnsi="Arial" w:cs="Arial"/>
        </w:rPr>
      </w:pPr>
    </w:p>
    <w:tbl>
      <w:tblPr>
        <w:tblW w:w="9240" w:type="dxa"/>
        <w:tblInd w:w="93" w:type="dxa"/>
        <w:tblLook w:val="04A0" w:firstRow="1" w:lastRow="0" w:firstColumn="1" w:lastColumn="0" w:noHBand="0" w:noVBand="1"/>
        <w:tblCaption w:val="Members Allowances"/>
        <w:tblDescription w:val="The Council paid the following amounts to members during the year"/>
      </w:tblPr>
      <w:tblGrid>
        <w:gridCol w:w="1680"/>
        <w:gridCol w:w="5840"/>
        <w:gridCol w:w="1720"/>
      </w:tblGrid>
      <w:tr w:rsidR="00ED6507" w:rsidRPr="00ED6507" w14:paraId="0B36F4F1"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noWrap/>
            <w:vAlign w:val="center"/>
            <w:hideMark/>
          </w:tcPr>
          <w:p w14:paraId="24D6E92E" w14:textId="3E05BFE8" w:rsidR="00ED6507" w:rsidRPr="00ED6507" w:rsidRDefault="00ED6507" w:rsidP="004E1817">
            <w:pPr>
              <w:jc w:val="right"/>
              <w:rPr>
                <w:rFonts w:ascii="Calibri" w:hAnsi="Calibri"/>
                <w:color w:val="000000"/>
                <w:lang w:eastAsia="en-GB"/>
              </w:rPr>
            </w:pPr>
            <w:r w:rsidRPr="00ED6507">
              <w:rPr>
                <w:rFonts w:ascii="Calibri" w:hAnsi="Calibri"/>
                <w:color w:val="000000"/>
                <w:lang w:eastAsia="en-GB"/>
              </w:rPr>
              <w:t>20</w:t>
            </w:r>
            <w:r w:rsidR="00280935">
              <w:rPr>
                <w:rFonts w:ascii="Calibri" w:hAnsi="Calibri"/>
                <w:color w:val="000000"/>
                <w:lang w:eastAsia="en-GB"/>
              </w:rPr>
              <w:t>2</w:t>
            </w:r>
            <w:r w:rsidR="003A097F">
              <w:rPr>
                <w:rFonts w:ascii="Calibri" w:hAnsi="Calibri"/>
                <w:color w:val="000000"/>
                <w:lang w:eastAsia="en-GB"/>
              </w:rPr>
              <w:t>1</w:t>
            </w:r>
            <w:r w:rsidRPr="00ED6507">
              <w:rPr>
                <w:rFonts w:ascii="Calibri" w:hAnsi="Calibri"/>
                <w:color w:val="000000"/>
                <w:lang w:eastAsia="en-GB"/>
              </w:rPr>
              <w:t>-</w:t>
            </w:r>
            <w:r w:rsidR="004E1817">
              <w:rPr>
                <w:rFonts w:ascii="Calibri" w:hAnsi="Calibri"/>
                <w:color w:val="000000"/>
                <w:lang w:eastAsia="en-GB"/>
              </w:rPr>
              <w:t>2</w:t>
            </w:r>
            <w:r w:rsidR="003A097F">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noWrap/>
            <w:vAlign w:val="center"/>
            <w:hideMark/>
          </w:tcPr>
          <w:p w14:paraId="63BC3EFC" w14:textId="77777777" w:rsidR="00ED6507" w:rsidRPr="00ED6507" w:rsidRDefault="00ED6507" w:rsidP="00ED6507">
            <w:pPr>
              <w:rPr>
                <w:rFonts w:ascii="Calibri" w:hAnsi="Calibri"/>
                <w:color w:val="000000"/>
                <w:lang w:eastAsia="en-GB"/>
              </w:rPr>
            </w:pPr>
            <w:r w:rsidRPr="00ED6507">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C4D79B"/>
            <w:noWrap/>
            <w:vAlign w:val="center"/>
            <w:hideMark/>
          </w:tcPr>
          <w:p w14:paraId="47C92901" w14:textId="4AD7D374" w:rsidR="00ED6507" w:rsidRPr="00ED6507" w:rsidRDefault="00ED6507" w:rsidP="004E1817">
            <w:pPr>
              <w:jc w:val="right"/>
              <w:rPr>
                <w:rFonts w:ascii="Calibri" w:hAnsi="Calibri"/>
                <w:color w:val="000000"/>
                <w:lang w:eastAsia="en-GB"/>
              </w:rPr>
            </w:pPr>
            <w:r w:rsidRPr="00ED6507">
              <w:rPr>
                <w:rFonts w:ascii="Calibri" w:hAnsi="Calibri"/>
                <w:color w:val="000000"/>
                <w:lang w:eastAsia="en-GB"/>
              </w:rPr>
              <w:t>20</w:t>
            </w:r>
            <w:r w:rsidR="004E1817">
              <w:rPr>
                <w:rFonts w:ascii="Calibri" w:hAnsi="Calibri"/>
                <w:color w:val="000000"/>
                <w:lang w:eastAsia="en-GB"/>
              </w:rPr>
              <w:t>2</w:t>
            </w:r>
            <w:r w:rsidR="003A097F">
              <w:rPr>
                <w:rFonts w:ascii="Calibri" w:hAnsi="Calibri"/>
                <w:color w:val="000000"/>
                <w:lang w:eastAsia="en-GB"/>
              </w:rPr>
              <w:t>2</w:t>
            </w:r>
            <w:r w:rsidRPr="00ED6507">
              <w:rPr>
                <w:rFonts w:ascii="Calibri" w:hAnsi="Calibri"/>
                <w:color w:val="000000"/>
                <w:lang w:eastAsia="en-GB"/>
              </w:rPr>
              <w:t>-</w:t>
            </w:r>
            <w:r w:rsidR="001F445D">
              <w:rPr>
                <w:rFonts w:ascii="Calibri" w:hAnsi="Calibri"/>
                <w:color w:val="000000"/>
                <w:lang w:eastAsia="en-GB"/>
              </w:rPr>
              <w:t>2</w:t>
            </w:r>
            <w:r w:rsidR="003A097F">
              <w:rPr>
                <w:rFonts w:ascii="Calibri" w:hAnsi="Calibri"/>
                <w:color w:val="000000"/>
                <w:lang w:eastAsia="en-GB"/>
              </w:rPr>
              <w:t>3</w:t>
            </w:r>
          </w:p>
        </w:tc>
      </w:tr>
      <w:tr w:rsidR="00ED6507" w:rsidRPr="00ED6507" w14:paraId="6ECE05A3" w14:textId="77777777" w:rsidTr="00ED6507">
        <w:trPr>
          <w:trHeight w:val="300"/>
        </w:trPr>
        <w:tc>
          <w:tcPr>
            <w:tcW w:w="1680" w:type="dxa"/>
            <w:tcBorders>
              <w:top w:val="nil"/>
              <w:left w:val="single" w:sz="4" w:space="0" w:color="FFFFFF"/>
              <w:bottom w:val="single" w:sz="4" w:space="0" w:color="FFFFFF"/>
              <w:right w:val="single" w:sz="4" w:space="0" w:color="FFFFFF"/>
            </w:tcBorders>
            <w:shd w:val="clear" w:color="000000" w:fill="C4D79B"/>
            <w:noWrap/>
            <w:vAlign w:val="center"/>
            <w:hideMark/>
          </w:tcPr>
          <w:p w14:paraId="565F7267" w14:textId="77777777" w:rsidR="00ED6507" w:rsidRPr="00ED6507" w:rsidRDefault="00ED6507" w:rsidP="00ED6507">
            <w:pPr>
              <w:jc w:val="right"/>
              <w:rPr>
                <w:rFonts w:ascii="Calibri" w:hAnsi="Calibri"/>
                <w:color w:val="000000"/>
                <w:lang w:eastAsia="en-GB"/>
              </w:rPr>
            </w:pPr>
            <w:r w:rsidRPr="00ED6507">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noWrap/>
            <w:vAlign w:val="center"/>
            <w:hideMark/>
          </w:tcPr>
          <w:p w14:paraId="26B4C3BE" w14:textId="77777777" w:rsidR="00ED6507" w:rsidRPr="00ED6507" w:rsidRDefault="00ED6507" w:rsidP="00ED6507">
            <w:pPr>
              <w:rPr>
                <w:rFonts w:ascii="Calibri" w:hAnsi="Calibri"/>
                <w:color w:val="000000"/>
                <w:lang w:eastAsia="en-GB"/>
              </w:rPr>
            </w:pPr>
            <w:r w:rsidRPr="00ED6507">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noWrap/>
            <w:vAlign w:val="center"/>
            <w:hideMark/>
          </w:tcPr>
          <w:p w14:paraId="7FC62031" w14:textId="77777777" w:rsidR="00ED6507" w:rsidRPr="00ED6507" w:rsidRDefault="00ED6507" w:rsidP="00ED6507">
            <w:pPr>
              <w:jc w:val="right"/>
              <w:rPr>
                <w:rFonts w:ascii="Calibri" w:hAnsi="Calibri"/>
                <w:color w:val="000000"/>
                <w:lang w:eastAsia="en-GB"/>
              </w:rPr>
            </w:pPr>
            <w:r w:rsidRPr="00ED6507">
              <w:rPr>
                <w:rFonts w:ascii="Calibri" w:hAnsi="Calibri"/>
                <w:color w:val="000000"/>
                <w:lang w:eastAsia="en-GB"/>
              </w:rPr>
              <w:t>£’000</w:t>
            </w:r>
          </w:p>
        </w:tc>
      </w:tr>
      <w:tr w:rsidR="00ED6507" w:rsidRPr="00ED6507" w14:paraId="35D2E5A3" w14:textId="77777777" w:rsidTr="00F73F2E">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70BB3892" w14:textId="7C3965AD" w:rsidR="00ED6507" w:rsidRPr="00ED6507" w:rsidRDefault="004E1817" w:rsidP="0060255D">
            <w:pPr>
              <w:jc w:val="right"/>
              <w:rPr>
                <w:rFonts w:ascii="Calibri" w:hAnsi="Calibri"/>
                <w:color w:val="000000"/>
                <w:lang w:eastAsia="en-GB"/>
              </w:rPr>
            </w:pPr>
            <w:r>
              <w:rPr>
                <w:rFonts w:ascii="Calibri" w:hAnsi="Calibri"/>
                <w:color w:val="000000"/>
                <w:lang w:eastAsia="en-GB"/>
              </w:rPr>
              <w:t>2</w:t>
            </w:r>
            <w:r w:rsidR="00280935">
              <w:rPr>
                <w:rFonts w:ascii="Calibri" w:hAnsi="Calibri"/>
                <w:color w:val="000000"/>
                <w:lang w:eastAsia="en-GB"/>
              </w:rPr>
              <w:t>2</w:t>
            </w:r>
            <w:r w:rsidR="003A097F">
              <w:rPr>
                <w:rFonts w:ascii="Calibri" w:hAnsi="Calibri"/>
                <w:color w:val="000000"/>
                <w:lang w:eastAsia="en-GB"/>
              </w:rPr>
              <w:t>4</w:t>
            </w:r>
          </w:p>
        </w:tc>
        <w:tc>
          <w:tcPr>
            <w:tcW w:w="5840" w:type="dxa"/>
            <w:tcBorders>
              <w:top w:val="nil"/>
              <w:left w:val="nil"/>
              <w:bottom w:val="single" w:sz="4" w:space="0" w:color="FFFFFF"/>
              <w:right w:val="single" w:sz="4" w:space="0" w:color="FFFFFF"/>
            </w:tcBorders>
            <w:shd w:val="clear" w:color="000000" w:fill="EBF1DE"/>
            <w:noWrap/>
            <w:vAlign w:val="center"/>
            <w:hideMark/>
          </w:tcPr>
          <w:p w14:paraId="59762AB4" w14:textId="77777777" w:rsidR="00ED6507" w:rsidRPr="00ED6507" w:rsidRDefault="00ED6507" w:rsidP="00ED6507">
            <w:pPr>
              <w:rPr>
                <w:rFonts w:ascii="Calibri" w:hAnsi="Calibri"/>
                <w:color w:val="000000"/>
                <w:lang w:eastAsia="en-GB"/>
              </w:rPr>
            </w:pPr>
            <w:r w:rsidRPr="00ED6507">
              <w:rPr>
                <w:rFonts w:ascii="Calibri" w:hAnsi="Calibri"/>
                <w:color w:val="000000"/>
                <w:lang w:eastAsia="en-GB"/>
              </w:rPr>
              <w:t>Allowances</w:t>
            </w:r>
          </w:p>
        </w:tc>
        <w:tc>
          <w:tcPr>
            <w:tcW w:w="1720" w:type="dxa"/>
            <w:tcBorders>
              <w:top w:val="nil"/>
              <w:left w:val="nil"/>
              <w:bottom w:val="single" w:sz="4" w:space="0" w:color="FFFFFF"/>
              <w:right w:val="single" w:sz="4" w:space="0" w:color="FFFFFF"/>
            </w:tcBorders>
            <w:shd w:val="clear" w:color="000000" w:fill="D8E4BC"/>
            <w:noWrap/>
            <w:vAlign w:val="center"/>
          </w:tcPr>
          <w:p w14:paraId="25512A5D" w14:textId="7571F407" w:rsidR="00ED6507" w:rsidRPr="00ED6507" w:rsidRDefault="00611699" w:rsidP="005B3E1C">
            <w:pPr>
              <w:jc w:val="right"/>
              <w:rPr>
                <w:rFonts w:ascii="Calibri" w:hAnsi="Calibri"/>
                <w:color w:val="000000"/>
                <w:lang w:eastAsia="en-GB"/>
              </w:rPr>
            </w:pPr>
            <w:r>
              <w:rPr>
                <w:rFonts w:ascii="Calibri" w:hAnsi="Calibri"/>
                <w:color w:val="000000"/>
                <w:lang w:eastAsia="en-GB"/>
              </w:rPr>
              <w:t>233</w:t>
            </w:r>
          </w:p>
        </w:tc>
      </w:tr>
      <w:tr w:rsidR="00ED6507" w:rsidRPr="00ED6507" w14:paraId="1EC963FC" w14:textId="77777777" w:rsidTr="00F73F2E">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76C06C5D" w14:textId="01AEF9BC" w:rsidR="00ED6507" w:rsidRPr="00ED6507" w:rsidRDefault="00ED6507" w:rsidP="001F3519">
            <w:pPr>
              <w:jc w:val="right"/>
              <w:rPr>
                <w:rFonts w:ascii="Calibri" w:hAnsi="Calibri"/>
                <w:color w:val="000000"/>
                <w:lang w:eastAsia="en-GB"/>
              </w:rPr>
            </w:pPr>
            <w:r w:rsidRPr="00ED6507">
              <w:rPr>
                <w:rFonts w:ascii="Calibri" w:hAnsi="Calibri"/>
                <w:color w:val="000000"/>
                <w:lang w:eastAsia="en-GB"/>
              </w:rPr>
              <w:t> </w:t>
            </w:r>
            <w:r w:rsidR="003A097F">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BF1DE"/>
            <w:noWrap/>
            <w:vAlign w:val="center"/>
            <w:hideMark/>
          </w:tcPr>
          <w:p w14:paraId="4F0A16EF" w14:textId="77777777" w:rsidR="00ED6507" w:rsidRPr="00ED6507" w:rsidRDefault="00ED6507" w:rsidP="00ED6507">
            <w:pPr>
              <w:rPr>
                <w:rFonts w:ascii="Calibri" w:hAnsi="Calibri"/>
                <w:color w:val="000000"/>
                <w:lang w:eastAsia="en-GB"/>
              </w:rPr>
            </w:pPr>
            <w:r w:rsidRPr="00ED6507">
              <w:rPr>
                <w:rFonts w:ascii="Calibri" w:hAnsi="Calibri"/>
                <w:color w:val="000000"/>
                <w:lang w:eastAsia="en-GB"/>
              </w:rPr>
              <w:t>Expenses</w:t>
            </w:r>
          </w:p>
        </w:tc>
        <w:tc>
          <w:tcPr>
            <w:tcW w:w="1720" w:type="dxa"/>
            <w:tcBorders>
              <w:top w:val="nil"/>
              <w:left w:val="nil"/>
              <w:bottom w:val="single" w:sz="4" w:space="0" w:color="FFFFFF"/>
              <w:right w:val="single" w:sz="4" w:space="0" w:color="FFFFFF"/>
            </w:tcBorders>
            <w:shd w:val="clear" w:color="000000" w:fill="D8E4BC"/>
            <w:noWrap/>
            <w:vAlign w:val="center"/>
          </w:tcPr>
          <w:p w14:paraId="511E9F12" w14:textId="2FABA0A3" w:rsidR="00934E3D" w:rsidRPr="00ED6507" w:rsidRDefault="00611699" w:rsidP="00ED6507">
            <w:pPr>
              <w:jc w:val="right"/>
              <w:rPr>
                <w:rFonts w:ascii="Calibri" w:hAnsi="Calibri"/>
                <w:color w:val="000000"/>
                <w:lang w:eastAsia="en-GB"/>
              </w:rPr>
            </w:pPr>
            <w:r>
              <w:rPr>
                <w:rFonts w:ascii="Calibri" w:hAnsi="Calibri"/>
                <w:color w:val="000000"/>
                <w:lang w:eastAsia="en-GB"/>
              </w:rPr>
              <w:t>0</w:t>
            </w:r>
          </w:p>
        </w:tc>
      </w:tr>
      <w:tr w:rsidR="00ED6507" w:rsidRPr="00ED6507" w14:paraId="15057E5E" w14:textId="77777777" w:rsidTr="00F73F2E">
        <w:trPr>
          <w:trHeight w:val="300"/>
        </w:trPr>
        <w:tc>
          <w:tcPr>
            <w:tcW w:w="1680" w:type="dxa"/>
            <w:tcBorders>
              <w:top w:val="nil"/>
              <w:left w:val="single" w:sz="4" w:space="0" w:color="FFFFFF"/>
              <w:bottom w:val="single" w:sz="4" w:space="0" w:color="FFFFFF"/>
              <w:right w:val="single" w:sz="4" w:space="0" w:color="FFFFFF"/>
            </w:tcBorders>
            <w:shd w:val="clear" w:color="000000" w:fill="D8E4BC"/>
            <w:noWrap/>
            <w:vAlign w:val="center"/>
            <w:hideMark/>
          </w:tcPr>
          <w:p w14:paraId="2F0D8A59" w14:textId="5070EBD2" w:rsidR="00ED6507" w:rsidRPr="00ED6507" w:rsidRDefault="004E1817" w:rsidP="00ED6507">
            <w:pPr>
              <w:jc w:val="right"/>
              <w:rPr>
                <w:rFonts w:ascii="Calibri" w:hAnsi="Calibri"/>
                <w:b/>
                <w:bCs/>
                <w:color w:val="000000"/>
                <w:lang w:eastAsia="en-GB"/>
              </w:rPr>
            </w:pPr>
            <w:r>
              <w:rPr>
                <w:rFonts w:ascii="Calibri" w:hAnsi="Calibri"/>
                <w:b/>
                <w:bCs/>
                <w:color w:val="000000"/>
                <w:lang w:eastAsia="en-GB"/>
              </w:rPr>
              <w:t>2</w:t>
            </w:r>
            <w:r w:rsidR="00280935">
              <w:rPr>
                <w:rFonts w:ascii="Calibri" w:hAnsi="Calibri"/>
                <w:b/>
                <w:bCs/>
                <w:color w:val="000000"/>
                <w:lang w:eastAsia="en-GB"/>
              </w:rPr>
              <w:t>2</w:t>
            </w:r>
            <w:r w:rsidR="003A097F">
              <w:rPr>
                <w:rFonts w:ascii="Calibri" w:hAnsi="Calibri"/>
                <w:b/>
                <w:bCs/>
                <w:color w:val="000000"/>
                <w:lang w:eastAsia="en-GB"/>
              </w:rPr>
              <w:t>4</w:t>
            </w:r>
          </w:p>
        </w:tc>
        <w:tc>
          <w:tcPr>
            <w:tcW w:w="5840" w:type="dxa"/>
            <w:tcBorders>
              <w:top w:val="nil"/>
              <w:left w:val="nil"/>
              <w:bottom w:val="single" w:sz="4" w:space="0" w:color="FFFFFF"/>
              <w:right w:val="single" w:sz="4" w:space="0" w:color="FFFFFF"/>
            </w:tcBorders>
            <w:shd w:val="clear" w:color="000000" w:fill="D8E4BC"/>
            <w:noWrap/>
            <w:vAlign w:val="center"/>
            <w:hideMark/>
          </w:tcPr>
          <w:p w14:paraId="35813CF8" w14:textId="77777777" w:rsidR="00ED6507" w:rsidRPr="00ED6507" w:rsidRDefault="00ED6507" w:rsidP="00ED6507">
            <w:pPr>
              <w:rPr>
                <w:rFonts w:ascii="Calibri" w:hAnsi="Calibri"/>
                <w:b/>
                <w:bCs/>
                <w:color w:val="000000"/>
                <w:lang w:eastAsia="en-GB"/>
              </w:rPr>
            </w:pPr>
            <w:r w:rsidRPr="00ED6507">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noWrap/>
            <w:vAlign w:val="center"/>
          </w:tcPr>
          <w:p w14:paraId="3A0CB842" w14:textId="42F28BBC" w:rsidR="00ED6507" w:rsidRPr="00ED6507" w:rsidRDefault="00611699" w:rsidP="00045615">
            <w:pPr>
              <w:jc w:val="right"/>
              <w:rPr>
                <w:rFonts w:ascii="Calibri" w:hAnsi="Calibri"/>
                <w:b/>
                <w:bCs/>
                <w:color w:val="000000"/>
                <w:lang w:eastAsia="en-GB"/>
              </w:rPr>
            </w:pPr>
            <w:r>
              <w:rPr>
                <w:rFonts w:ascii="Calibri" w:hAnsi="Calibri"/>
                <w:b/>
                <w:bCs/>
                <w:color w:val="000000"/>
                <w:lang w:eastAsia="en-GB"/>
              </w:rPr>
              <w:t>233</w:t>
            </w:r>
          </w:p>
        </w:tc>
      </w:tr>
    </w:tbl>
    <w:p w14:paraId="0ECD8D14" w14:textId="25E6D1C0" w:rsidR="001F445D" w:rsidRDefault="001F445D" w:rsidP="00707761">
      <w:pPr>
        <w:widowControl w:val="0"/>
        <w:tabs>
          <w:tab w:val="left" w:pos="567"/>
          <w:tab w:val="left" w:pos="7200"/>
          <w:tab w:val="left" w:pos="8460"/>
        </w:tabs>
        <w:rPr>
          <w:rFonts w:asciiTheme="minorHAnsi" w:hAnsiTheme="minorHAnsi" w:cs="Arial"/>
          <w:b/>
          <w:sz w:val="22"/>
          <w:szCs w:val="22"/>
        </w:rPr>
      </w:pPr>
    </w:p>
    <w:p w14:paraId="23097D02" w14:textId="77777777" w:rsidR="00D3279C" w:rsidRPr="004E1817" w:rsidRDefault="00D3279C" w:rsidP="00707761">
      <w:pPr>
        <w:widowControl w:val="0"/>
        <w:tabs>
          <w:tab w:val="left" w:pos="567"/>
          <w:tab w:val="left" w:pos="7200"/>
          <w:tab w:val="left" w:pos="8460"/>
        </w:tabs>
        <w:rPr>
          <w:rFonts w:asciiTheme="minorHAnsi" w:hAnsiTheme="minorHAnsi" w:cs="Arial"/>
          <w:b/>
          <w:sz w:val="22"/>
          <w:szCs w:val="22"/>
        </w:rPr>
      </w:pPr>
    </w:p>
    <w:p w14:paraId="7EAA0331" w14:textId="3A4363A2" w:rsidR="00707761" w:rsidRPr="00ED6507" w:rsidRDefault="001726F4" w:rsidP="00704A70">
      <w:pPr>
        <w:pStyle w:val="Heading2"/>
      </w:pPr>
      <w:r>
        <w:t>1</w:t>
      </w:r>
      <w:r w:rsidR="00D3279C">
        <w:t>0</w:t>
      </w:r>
      <w:r w:rsidR="00707761" w:rsidRPr="00ED6507">
        <w:tab/>
        <w:t>O</w:t>
      </w:r>
      <w:r w:rsidR="00ED6507" w:rsidRPr="00ED6507">
        <w:t>fficers Remuneration</w:t>
      </w:r>
    </w:p>
    <w:p w14:paraId="5B496137" w14:textId="77777777" w:rsidR="00707761" w:rsidRDefault="00707761" w:rsidP="00707761">
      <w:pPr>
        <w:widowControl w:val="0"/>
        <w:tabs>
          <w:tab w:val="left" w:pos="993"/>
          <w:tab w:val="left" w:pos="2160"/>
          <w:tab w:val="left" w:pos="7200"/>
          <w:tab w:val="left" w:pos="7920"/>
          <w:tab w:val="left" w:pos="9639"/>
        </w:tabs>
        <w:spacing w:line="220" w:lineRule="exact"/>
        <w:ind w:left="851" w:right="709"/>
        <w:jc w:val="both"/>
        <w:rPr>
          <w:rFonts w:ascii="Arial" w:hAnsi="Arial" w:cs="Arial"/>
        </w:rPr>
      </w:pPr>
    </w:p>
    <w:p w14:paraId="292362E8" w14:textId="73D30903" w:rsidR="00707761" w:rsidRDefault="00707761" w:rsidP="00707761">
      <w:pPr>
        <w:widowControl w:val="0"/>
        <w:tabs>
          <w:tab w:val="left" w:pos="993"/>
          <w:tab w:val="left" w:pos="2160"/>
          <w:tab w:val="left" w:pos="7200"/>
          <w:tab w:val="left" w:pos="7920"/>
          <w:tab w:val="left" w:pos="9639"/>
        </w:tabs>
        <w:spacing w:line="220" w:lineRule="exact"/>
        <w:ind w:left="851" w:right="709" w:hanging="851"/>
        <w:jc w:val="both"/>
        <w:rPr>
          <w:rFonts w:asciiTheme="minorHAnsi" w:hAnsiTheme="minorHAnsi" w:cs="Arial"/>
          <w:sz w:val="22"/>
          <w:szCs w:val="22"/>
        </w:rPr>
      </w:pPr>
      <w:r w:rsidRPr="00510ADB">
        <w:rPr>
          <w:rFonts w:asciiTheme="minorHAnsi" w:hAnsiTheme="minorHAnsi" w:cs="Arial"/>
          <w:sz w:val="22"/>
          <w:szCs w:val="22"/>
        </w:rPr>
        <w:t>The remuneration paid to the Council’s senior employees is as follows:</w:t>
      </w:r>
    </w:p>
    <w:p w14:paraId="31439303" w14:textId="3E06C8C2" w:rsidR="00D3279C" w:rsidRDefault="00D3279C" w:rsidP="00707761">
      <w:pPr>
        <w:widowControl w:val="0"/>
        <w:tabs>
          <w:tab w:val="left" w:pos="993"/>
          <w:tab w:val="left" w:pos="2160"/>
          <w:tab w:val="left" w:pos="7200"/>
          <w:tab w:val="left" w:pos="7920"/>
          <w:tab w:val="left" w:pos="9639"/>
        </w:tabs>
        <w:spacing w:line="220" w:lineRule="exact"/>
        <w:ind w:left="851" w:right="709" w:hanging="851"/>
        <w:jc w:val="both"/>
        <w:rPr>
          <w:rFonts w:asciiTheme="minorHAnsi" w:hAnsiTheme="minorHAnsi" w:cs="Arial"/>
          <w:sz w:val="22"/>
          <w:szCs w:val="22"/>
        </w:rPr>
      </w:pPr>
    </w:p>
    <w:p w14:paraId="69E30300" w14:textId="3BBBF550" w:rsidR="009A09E4" w:rsidRDefault="009A09E4" w:rsidP="00707761">
      <w:pPr>
        <w:widowControl w:val="0"/>
        <w:tabs>
          <w:tab w:val="left" w:pos="993"/>
          <w:tab w:val="left" w:pos="2160"/>
          <w:tab w:val="left" w:pos="7200"/>
          <w:tab w:val="left" w:pos="7920"/>
          <w:tab w:val="left" w:pos="9639"/>
        </w:tabs>
        <w:spacing w:line="220" w:lineRule="exact"/>
        <w:ind w:left="851" w:right="709" w:hanging="851"/>
        <w:jc w:val="both"/>
        <w:rPr>
          <w:rFonts w:asciiTheme="minorHAnsi" w:hAnsiTheme="minorHAnsi" w:cs="Arial"/>
          <w:sz w:val="22"/>
          <w:szCs w:val="22"/>
        </w:rPr>
      </w:pPr>
    </w:p>
    <w:tbl>
      <w:tblPr>
        <w:tblW w:w="9625" w:type="dxa"/>
        <w:tblInd w:w="-5" w:type="dxa"/>
        <w:tblLook w:val="04A0" w:firstRow="1" w:lastRow="0" w:firstColumn="1" w:lastColumn="0" w:noHBand="0" w:noVBand="1"/>
        <w:tblCaption w:val="Officers Renumeration"/>
        <w:tblDescription w:val="Officers renumeration for current year with previous year caparatives, showing salaries, expenses allowances and employers pension amounts"/>
      </w:tblPr>
      <w:tblGrid>
        <w:gridCol w:w="3520"/>
        <w:gridCol w:w="1000"/>
        <w:gridCol w:w="1240"/>
        <w:gridCol w:w="1300"/>
        <w:gridCol w:w="1260"/>
        <w:gridCol w:w="1305"/>
      </w:tblGrid>
      <w:tr w:rsidR="00913756" w:rsidRPr="00913756" w14:paraId="125C9D5A" w14:textId="77777777" w:rsidTr="00913756">
        <w:trPr>
          <w:trHeight w:val="780"/>
        </w:trPr>
        <w:tc>
          <w:tcPr>
            <w:tcW w:w="3520" w:type="dxa"/>
            <w:tcBorders>
              <w:top w:val="single" w:sz="4" w:space="0" w:color="FFFFFF"/>
              <w:left w:val="single" w:sz="4" w:space="0" w:color="FFFFFF"/>
              <w:bottom w:val="nil"/>
              <w:right w:val="nil"/>
            </w:tcBorders>
            <w:shd w:val="clear" w:color="auto" w:fill="C2D69B" w:themeFill="accent3" w:themeFillTint="99"/>
            <w:noWrap/>
            <w:vAlign w:val="bottom"/>
            <w:hideMark/>
          </w:tcPr>
          <w:p w14:paraId="5CE29FD7"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single" w:sz="4" w:space="0" w:color="FFFFFF"/>
              <w:left w:val="nil"/>
              <w:bottom w:val="nil"/>
              <w:right w:val="single" w:sz="4" w:space="0" w:color="FFFFFF"/>
            </w:tcBorders>
            <w:shd w:val="clear" w:color="auto" w:fill="C2D69B" w:themeFill="accent3" w:themeFillTint="99"/>
            <w:noWrap/>
            <w:vAlign w:val="bottom"/>
            <w:hideMark/>
          </w:tcPr>
          <w:p w14:paraId="7D1AF0E4"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240" w:type="dxa"/>
            <w:tcBorders>
              <w:top w:val="single" w:sz="4" w:space="0" w:color="FFFFFF"/>
              <w:left w:val="nil"/>
              <w:bottom w:val="nil"/>
              <w:right w:val="single" w:sz="4" w:space="0" w:color="FFFFFF"/>
            </w:tcBorders>
            <w:shd w:val="clear" w:color="auto" w:fill="C2D69B" w:themeFill="accent3" w:themeFillTint="99"/>
            <w:vAlign w:val="bottom"/>
            <w:hideMark/>
          </w:tcPr>
          <w:p w14:paraId="0D98495A"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Salary, Fees Allowances</w:t>
            </w:r>
          </w:p>
        </w:tc>
        <w:tc>
          <w:tcPr>
            <w:tcW w:w="1300" w:type="dxa"/>
            <w:tcBorders>
              <w:top w:val="single" w:sz="4" w:space="0" w:color="FFFFFF"/>
              <w:left w:val="nil"/>
              <w:bottom w:val="nil"/>
              <w:right w:val="single" w:sz="4" w:space="0" w:color="FFFFFF"/>
            </w:tcBorders>
            <w:shd w:val="clear" w:color="auto" w:fill="C2D69B" w:themeFill="accent3" w:themeFillTint="99"/>
            <w:vAlign w:val="bottom"/>
            <w:hideMark/>
          </w:tcPr>
          <w:p w14:paraId="2642B22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Expenses Allowance</w:t>
            </w:r>
          </w:p>
        </w:tc>
        <w:tc>
          <w:tcPr>
            <w:tcW w:w="1260" w:type="dxa"/>
            <w:tcBorders>
              <w:top w:val="single" w:sz="4" w:space="0" w:color="FFFFFF"/>
              <w:left w:val="nil"/>
              <w:bottom w:val="nil"/>
              <w:right w:val="single" w:sz="4" w:space="0" w:color="FFFFFF"/>
            </w:tcBorders>
            <w:shd w:val="clear" w:color="auto" w:fill="C2D69B" w:themeFill="accent3" w:themeFillTint="99"/>
            <w:vAlign w:val="bottom"/>
            <w:hideMark/>
          </w:tcPr>
          <w:p w14:paraId="67BA2FD4"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Employer Pension</w:t>
            </w:r>
          </w:p>
        </w:tc>
        <w:tc>
          <w:tcPr>
            <w:tcW w:w="1305" w:type="dxa"/>
            <w:tcBorders>
              <w:top w:val="single" w:sz="4" w:space="0" w:color="FFFFFF"/>
              <w:left w:val="nil"/>
              <w:bottom w:val="nil"/>
              <w:right w:val="single" w:sz="4" w:space="0" w:color="FFFFFF"/>
            </w:tcBorders>
            <w:shd w:val="clear" w:color="auto" w:fill="C2D69B" w:themeFill="accent3" w:themeFillTint="99"/>
            <w:vAlign w:val="bottom"/>
            <w:hideMark/>
          </w:tcPr>
          <w:p w14:paraId="6CC9BCCB"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Total Including Pension</w:t>
            </w:r>
          </w:p>
        </w:tc>
      </w:tr>
      <w:tr w:rsidR="00913756" w:rsidRPr="00913756" w14:paraId="46155582" w14:textId="77777777" w:rsidTr="00913756">
        <w:trPr>
          <w:trHeight w:val="300"/>
        </w:trPr>
        <w:tc>
          <w:tcPr>
            <w:tcW w:w="3520" w:type="dxa"/>
            <w:tcBorders>
              <w:top w:val="nil"/>
              <w:left w:val="single" w:sz="4" w:space="0" w:color="FFFFFF"/>
              <w:bottom w:val="single" w:sz="4" w:space="0" w:color="FFFFFF"/>
              <w:right w:val="nil"/>
            </w:tcBorders>
            <w:shd w:val="clear" w:color="auto" w:fill="C2D69B" w:themeFill="accent3" w:themeFillTint="99"/>
            <w:noWrap/>
            <w:vAlign w:val="bottom"/>
            <w:hideMark/>
          </w:tcPr>
          <w:p w14:paraId="060D44DD"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nil"/>
              <w:left w:val="nil"/>
              <w:bottom w:val="single" w:sz="4" w:space="0" w:color="FFFFFF"/>
              <w:right w:val="single" w:sz="4" w:space="0" w:color="FFFFFF"/>
            </w:tcBorders>
            <w:shd w:val="clear" w:color="auto" w:fill="C2D69B" w:themeFill="accent3" w:themeFillTint="99"/>
            <w:noWrap/>
            <w:vAlign w:val="bottom"/>
            <w:hideMark/>
          </w:tcPr>
          <w:p w14:paraId="46178A7B"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240" w:type="dxa"/>
            <w:tcBorders>
              <w:top w:val="single" w:sz="4" w:space="0" w:color="FFFFFF"/>
              <w:left w:val="nil"/>
              <w:bottom w:val="single" w:sz="4" w:space="0" w:color="FFFFFF"/>
              <w:right w:val="single" w:sz="4" w:space="0" w:color="FFFFFF"/>
            </w:tcBorders>
            <w:shd w:val="clear" w:color="auto" w:fill="C2D69B" w:themeFill="accent3" w:themeFillTint="99"/>
            <w:noWrap/>
            <w:vAlign w:val="bottom"/>
            <w:hideMark/>
          </w:tcPr>
          <w:p w14:paraId="1028735E"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w:t>
            </w:r>
          </w:p>
        </w:tc>
        <w:tc>
          <w:tcPr>
            <w:tcW w:w="1300" w:type="dxa"/>
            <w:tcBorders>
              <w:top w:val="single" w:sz="4" w:space="0" w:color="FFFFFF"/>
              <w:left w:val="nil"/>
              <w:bottom w:val="single" w:sz="4" w:space="0" w:color="FFFFFF"/>
              <w:right w:val="single" w:sz="4" w:space="0" w:color="FFFFFF"/>
            </w:tcBorders>
            <w:shd w:val="clear" w:color="auto" w:fill="C2D69B" w:themeFill="accent3" w:themeFillTint="99"/>
            <w:noWrap/>
            <w:vAlign w:val="bottom"/>
            <w:hideMark/>
          </w:tcPr>
          <w:p w14:paraId="7ADE9916"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w:t>
            </w:r>
          </w:p>
        </w:tc>
        <w:tc>
          <w:tcPr>
            <w:tcW w:w="1260" w:type="dxa"/>
            <w:tcBorders>
              <w:top w:val="single" w:sz="4" w:space="0" w:color="FFFFFF"/>
              <w:left w:val="nil"/>
              <w:bottom w:val="single" w:sz="4" w:space="0" w:color="FFFFFF"/>
              <w:right w:val="single" w:sz="4" w:space="0" w:color="FFFFFF"/>
            </w:tcBorders>
            <w:shd w:val="clear" w:color="auto" w:fill="C2D69B" w:themeFill="accent3" w:themeFillTint="99"/>
            <w:noWrap/>
            <w:vAlign w:val="bottom"/>
            <w:hideMark/>
          </w:tcPr>
          <w:p w14:paraId="48A3ED2F"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w:t>
            </w:r>
          </w:p>
        </w:tc>
        <w:tc>
          <w:tcPr>
            <w:tcW w:w="1305" w:type="dxa"/>
            <w:tcBorders>
              <w:top w:val="single" w:sz="4" w:space="0" w:color="FFFFFF"/>
              <w:left w:val="nil"/>
              <w:bottom w:val="single" w:sz="4" w:space="0" w:color="FFFFFF"/>
              <w:right w:val="single" w:sz="4" w:space="0" w:color="FFFFFF"/>
            </w:tcBorders>
            <w:shd w:val="clear" w:color="auto" w:fill="C2D69B" w:themeFill="accent3" w:themeFillTint="99"/>
            <w:noWrap/>
            <w:vAlign w:val="bottom"/>
            <w:hideMark/>
          </w:tcPr>
          <w:p w14:paraId="53CEF838"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w:t>
            </w:r>
          </w:p>
        </w:tc>
      </w:tr>
      <w:tr w:rsidR="00913756" w:rsidRPr="00913756" w14:paraId="1BD145EC"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noWrap/>
            <w:vAlign w:val="bottom"/>
            <w:hideMark/>
          </w:tcPr>
          <w:p w14:paraId="3B7E3BE9"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Chief Executive</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74CD31C2"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7EFAD0B1"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111,760</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772501D2"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61C3C84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20,117</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2EE82B48"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133,116</w:t>
            </w:r>
          </w:p>
        </w:tc>
      </w:tr>
      <w:tr w:rsidR="00913756" w:rsidRPr="00913756" w14:paraId="7EF70586"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46741D44"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6F938BD2"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0A67FA7E" w14:textId="273AD677"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115,855</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52016959" w14:textId="59244267"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1B33504E" w14:textId="73CAB999"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20,854</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1A9C7311" w14:textId="1D9EE52D"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137,948</w:t>
            </w:r>
          </w:p>
        </w:tc>
      </w:tr>
      <w:tr w:rsidR="00913756" w:rsidRPr="00913756" w14:paraId="6282CD0E"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659BE847"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Deputy CEO/Director for Housing and</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292ADCB6"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6C6201B0"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59,030</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06E7B966"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846</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02C0264C"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10,625</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2089D37B"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70,501</w:t>
            </w:r>
          </w:p>
        </w:tc>
      </w:tr>
      <w:tr w:rsidR="00913756" w:rsidRPr="00913756" w14:paraId="494FE430"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4F018BD8"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Communities</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095EBDAE"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29F7862" w14:textId="63616499"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88,378</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0AD9F59C" w14:textId="1C360577"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66B02960" w14:textId="1532184C"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15,908</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0F304190" w14:textId="531863B6"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105,525</w:t>
            </w:r>
          </w:p>
        </w:tc>
      </w:tr>
      <w:tr w:rsidR="00913756" w:rsidRPr="00913756" w14:paraId="6B9AE0AA"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noWrap/>
            <w:vAlign w:val="bottom"/>
            <w:hideMark/>
          </w:tcPr>
          <w:p w14:paraId="18F1EC18"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Director for Corporate Services</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13FB025A"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F9601E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79,208</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58D4A2A9"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707104C2"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14,257</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3AD07EB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94,704</w:t>
            </w:r>
          </w:p>
        </w:tc>
      </w:tr>
      <w:tr w:rsidR="00913756" w:rsidRPr="00913756" w14:paraId="75E8CE34"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2FA9C8F4"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1F8F0166"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4C3567D7" w14:textId="10701C7E"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83,303</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37DD8F61" w14:textId="36B2014F"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49D241C5" w14:textId="5EB1101F"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14,995</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223211FD" w14:textId="3299A60E"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99,537</w:t>
            </w:r>
          </w:p>
        </w:tc>
      </w:tr>
      <w:tr w:rsidR="00913756" w:rsidRPr="00913756" w14:paraId="2C23E1E2"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noWrap/>
            <w:vAlign w:val="bottom"/>
            <w:hideMark/>
          </w:tcPr>
          <w:p w14:paraId="7F3BA30A"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Director for Growth and Regeneration</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2DEAA41B"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DA661D3"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77,038</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303901B"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0ABC14FC"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13,867</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6C7DAB5C"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92,144</w:t>
            </w:r>
          </w:p>
        </w:tc>
      </w:tr>
      <w:tr w:rsidR="00913756" w:rsidRPr="00913756" w14:paraId="1889E7D0"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779D5F82"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6B65F835"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41EFFE5E" w14:textId="1806E46A"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81,133</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2EFE3264" w14:textId="35475A1E"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1,239</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68E002CA" w14:textId="24238741"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14,604</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74D7DEC3" w14:textId="18E807CC"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96,976</w:t>
            </w:r>
          </w:p>
        </w:tc>
      </w:tr>
      <w:tr w:rsidR="00913756" w:rsidRPr="00913756" w14:paraId="0CFF950D"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7D8ECB89"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xml:space="preserve">Assistant Director for Housing </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6A2330B7"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6310D6B0"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19,025</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8090198"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2C8EEE06"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3,425</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024E32C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22,450</w:t>
            </w:r>
          </w:p>
        </w:tc>
      </w:tr>
      <w:tr w:rsidR="00913756" w:rsidRPr="00913756" w14:paraId="310D5F49"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4405DE81"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Management</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3035CFF9"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B785B33" w14:textId="2CCA7540"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60,493</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734F81E6" w14:textId="42FE8713"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685</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4C37549B" w14:textId="16D7CB01"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10,889</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01B5A87C" w14:textId="544692EA"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72,067</w:t>
            </w:r>
          </w:p>
        </w:tc>
      </w:tr>
      <w:tr w:rsidR="00913756" w:rsidRPr="00913756" w14:paraId="4A93709A"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690D3CE0"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xml:space="preserve">Assistant Director for Customer and </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3BE5478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65F6AE75" w14:textId="68DEE6B6" w:rsidR="00913756" w:rsidRPr="00913756" w:rsidRDefault="00913756" w:rsidP="003870B4">
            <w:pPr>
              <w:jc w:val="right"/>
              <w:rPr>
                <w:rFonts w:ascii="Calibri" w:hAnsi="Calibri" w:cs="Calibri"/>
                <w:color w:val="000000"/>
                <w:lang w:eastAsia="en-GB"/>
              </w:rPr>
            </w:pPr>
            <w:r w:rsidRPr="00913756">
              <w:rPr>
                <w:rFonts w:ascii="Calibri" w:hAnsi="Calibri" w:cs="Calibri"/>
                <w:color w:val="000000"/>
                <w:lang w:eastAsia="en-GB"/>
              </w:rPr>
              <w:t> </w:t>
            </w:r>
            <w:r w:rsidR="003870B4">
              <w:rPr>
                <w:rFonts w:ascii="Calibri" w:hAnsi="Calibri" w:cs="Calibri"/>
                <w:color w:val="000000"/>
                <w:lang w:eastAsia="en-GB"/>
              </w:rPr>
              <w:t>53</w:t>
            </w:r>
            <w:r w:rsidR="00B30C98">
              <w:rPr>
                <w:rFonts w:ascii="Calibri" w:hAnsi="Calibri" w:cs="Calibri"/>
                <w:color w:val="000000"/>
                <w:lang w:eastAsia="en-GB"/>
              </w:rPr>
              <w:t>,</w:t>
            </w:r>
            <w:r w:rsidR="003870B4">
              <w:rPr>
                <w:rFonts w:ascii="Calibri" w:hAnsi="Calibri" w:cs="Calibri"/>
                <w:color w:val="000000"/>
                <w:lang w:eastAsia="en-GB"/>
              </w:rPr>
              <w:t>512</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438FAE39" w14:textId="0ED8A24A" w:rsidR="00913756" w:rsidRPr="00913756" w:rsidRDefault="00913756" w:rsidP="003870B4">
            <w:pPr>
              <w:jc w:val="right"/>
              <w:rPr>
                <w:rFonts w:ascii="Calibri" w:hAnsi="Calibri" w:cs="Calibri"/>
                <w:color w:val="000000"/>
                <w:lang w:eastAsia="en-GB"/>
              </w:rPr>
            </w:pPr>
            <w:r w:rsidRPr="00913756">
              <w:rPr>
                <w:rFonts w:ascii="Calibri" w:hAnsi="Calibri" w:cs="Calibri"/>
                <w:color w:val="000000"/>
                <w:lang w:eastAsia="en-GB"/>
              </w:rPr>
              <w:t> </w:t>
            </w:r>
            <w:r w:rsidR="003870B4">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7A1B93E0" w14:textId="7FEDB557"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9,632</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0F04EA0B" w14:textId="03EA6871"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63,144</w:t>
            </w:r>
          </w:p>
        </w:tc>
      </w:tr>
      <w:tr w:rsidR="00913756" w:rsidRPr="00913756" w14:paraId="3E0581A6"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15539E29"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Communities</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43E7590B"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D4FE625" w14:textId="0F978F57"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56,098</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D3CE98B" w14:textId="002BC8E2"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1,136</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44D833A4" w14:textId="7BE66EE0"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10,508</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3541F29F" w14:textId="2D8C72A5"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67,742</w:t>
            </w:r>
          </w:p>
        </w:tc>
      </w:tr>
      <w:tr w:rsidR="00913756" w:rsidRPr="00913756" w14:paraId="383D3892"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744B8682"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Assistant Director for Governance and</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107414D4"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504FB632"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65,214</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D0D8A50"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2B7FD2F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11,739</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61CE0907"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76,953</w:t>
            </w:r>
          </w:p>
        </w:tc>
      </w:tr>
      <w:tr w:rsidR="00913756" w:rsidRPr="00913756" w14:paraId="551EF3EA"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1FB00984"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Democracy</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3F69C394"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5780C833" w14:textId="0447E8CB"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69,299</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028D38A7" w14:textId="08DDCCC4" w:rsidR="00913756" w:rsidRPr="00913756" w:rsidRDefault="00913756" w:rsidP="00E079DC">
            <w:pPr>
              <w:jc w:val="right"/>
              <w:rPr>
                <w:rFonts w:ascii="Calibri" w:hAnsi="Calibri" w:cs="Calibri"/>
                <w:color w:val="000000"/>
                <w:lang w:eastAsia="en-GB"/>
              </w:rPr>
            </w:pPr>
            <w:r w:rsidRPr="00913756">
              <w:rPr>
                <w:rFonts w:ascii="Calibri" w:hAnsi="Calibri" w:cs="Calibri"/>
                <w:color w:val="000000"/>
                <w:lang w:eastAsia="en-GB"/>
              </w:rPr>
              <w:t> </w:t>
            </w:r>
            <w:r w:rsidR="00E079DC">
              <w:rPr>
                <w:rFonts w:ascii="Calibri" w:hAnsi="Calibri" w:cs="Calibri"/>
                <w:color w:val="000000"/>
                <w:lang w:eastAsia="en-GB"/>
              </w:rPr>
              <w:t>2,943</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7EC31643" w14:textId="77F29BFF"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12,474</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1D3A0001" w14:textId="459E66EA" w:rsidR="00913756" w:rsidRPr="00913756" w:rsidRDefault="00E079DC" w:rsidP="00E079DC">
            <w:pPr>
              <w:jc w:val="right"/>
              <w:rPr>
                <w:rFonts w:ascii="Calibri" w:hAnsi="Calibri" w:cs="Calibri"/>
                <w:color w:val="000000"/>
                <w:lang w:eastAsia="en-GB"/>
              </w:rPr>
            </w:pPr>
            <w:r>
              <w:rPr>
                <w:rFonts w:ascii="Calibri" w:hAnsi="Calibri" w:cs="Calibri"/>
                <w:color w:val="000000"/>
                <w:lang w:eastAsia="en-GB"/>
              </w:rPr>
              <w:t>84,71</w:t>
            </w:r>
            <w:r w:rsidR="00B30C98">
              <w:rPr>
                <w:rFonts w:ascii="Calibri" w:hAnsi="Calibri" w:cs="Calibri"/>
                <w:color w:val="000000"/>
                <w:lang w:eastAsia="en-GB"/>
              </w:rPr>
              <w:t>6</w:t>
            </w:r>
          </w:p>
        </w:tc>
      </w:tr>
      <w:tr w:rsidR="00913756" w:rsidRPr="00913756" w14:paraId="3E807648"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noWrap/>
            <w:vAlign w:val="bottom"/>
            <w:hideMark/>
          </w:tcPr>
          <w:p w14:paraId="1F8031C6"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Assistant Director for Resources</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140243A3"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35E97B5D" w14:textId="6F84B2E1" w:rsidR="00913756" w:rsidRPr="00913756" w:rsidRDefault="00913756" w:rsidP="003D6905">
            <w:pPr>
              <w:jc w:val="right"/>
              <w:rPr>
                <w:rFonts w:ascii="Calibri" w:hAnsi="Calibri" w:cs="Calibri"/>
                <w:color w:val="000000"/>
                <w:lang w:eastAsia="en-GB"/>
              </w:rPr>
            </w:pPr>
            <w:r w:rsidRPr="00913756">
              <w:rPr>
                <w:rFonts w:ascii="Calibri" w:hAnsi="Calibri" w:cs="Calibri"/>
                <w:color w:val="000000"/>
                <w:lang w:eastAsia="en-GB"/>
              </w:rPr>
              <w:t> </w:t>
            </w:r>
            <w:r w:rsidR="003D6905">
              <w:rPr>
                <w:rFonts w:ascii="Calibri" w:hAnsi="Calibri" w:cs="Calibri"/>
                <w:color w:val="000000"/>
                <w:lang w:eastAsia="en-GB"/>
              </w:rPr>
              <w:t>56,011</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592E6CA2" w14:textId="50CF5488" w:rsidR="00913756" w:rsidRPr="00913756" w:rsidRDefault="00913756" w:rsidP="003D6905">
            <w:pPr>
              <w:jc w:val="right"/>
              <w:rPr>
                <w:rFonts w:ascii="Calibri" w:hAnsi="Calibri" w:cs="Calibri"/>
                <w:color w:val="000000"/>
                <w:lang w:eastAsia="en-GB"/>
              </w:rPr>
            </w:pPr>
            <w:r w:rsidRPr="00913756">
              <w:rPr>
                <w:rFonts w:ascii="Calibri" w:hAnsi="Calibri" w:cs="Calibri"/>
                <w:color w:val="000000"/>
                <w:lang w:eastAsia="en-GB"/>
              </w:rPr>
              <w:t> </w:t>
            </w:r>
            <w:r w:rsidR="003D6905">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650A787D" w14:textId="214A495A"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10,082</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5DBD33FE" w14:textId="6573F5AC"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66,093</w:t>
            </w:r>
          </w:p>
        </w:tc>
      </w:tr>
      <w:tr w:rsidR="00913756" w:rsidRPr="00913756" w14:paraId="0F6753AF"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61468E48"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6ACD5019"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6186B728" w14:textId="56EB800D"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60,251</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082D5EEA" w14:textId="239C4705"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4F9EE144" w14:textId="171BF6E2"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10,845</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1D34D8A1" w14:textId="5D072E58"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71,096</w:t>
            </w:r>
          </w:p>
        </w:tc>
      </w:tr>
      <w:tr w:rsidR="00913756" w:rsidRPr="00913756" w14:paraId="3BA934BF"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0A022716"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Assistant Director for Organisational</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0FA2278D"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5AD3F44F" w14:textId="4A45CDCD" w:rsidR="00913756" w:rsidRPr="00913756" w:rsidRDefault="00913756" w:rsidP="003D6905">
            <w:pPr>
              <w:jc w:val="right"/>
              <w:rPr>
                <w:rFonts w:ascii="Calibri" w:hAnsi="Calibri" w:cs="Calibri"/>
                <w:color w:val="000000"/>
                <w:lang w:eastAsia="en-GB"/>
              </w:rPr>
            </w:pPr>
            <w:r w:rsidRPr="00913756">
              <w:rPr>
                <w:rFonts w:ascii="Calibri" w:hAnsi="Calibri" w:cs="Calibri"/>
                <w:color w:val="000000"/>
                <w:lang w:eastAsia="en-GB"/>
              </w:rPr>
              <w:t> </w:t>
            </w:r>
            <w:r w:rsidR="003D6905">
              <w:rPr>
                <w:rFonts w:ascii="Calibri" w:hAnsi="Calibri" w:cs="Calibri"/>
                <w:color w:val="000000"/>
                <w:lang w:eastAsia="en-GB"/>
              </w:rPr>
              <w:t>51</w:t>
            </w:r>
            <w:r w:rsidR="00B30C98">
              <w:rPr>
                <w:rFonts w:ascii="Calibri" w:hAnsi="Calibri" w:cs="Calibri"/>
                <w:color w:val="000000"/>
                <w:lang w:eastAsia="en-GB"/>
              </w:rPr>
              <w:t>,</w:t>
            </w:r>
            <w:r w:rsidR="003D6905">
              <w:rPr>
                <w:rFonts w:ascii="Calibri" w:hAnsi="Calibri" w:cs="Calibri"/>
                <w:color w:val="000000"/>
                <w:lang w:eastAsia="en-GB"/>
              </w:rPr>
              <w:t>730</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0505B5C" w14:textId="09628C52" w:rsidR="00913756" w:rsidRPr="00913756" w:rsidRDefault="00913756" w:rsidP="003D6905">
            <w:pPr>
              <w:jc w:val="right"/>
              <w:rPr>
                <w:rFonts w:ascii="Calibri" w:hAnsi="Calibri" w:cs="Calibri"/>
                <w:color w:val="000000"/>
                <w:lang w:eastAsia="en-GB"/>
              </w:rPr>
            </w:pPr>
            <w:r w:rsidRPr="00913756">
              <w:rPr>
                <w:rFonts w:ascii="Calibri" w:hAnsi="Calibri" w:cs="Calibri"/>
                <w:color w:val="000000"/>
                <w:lang w:eastAsia="en-GB"/>
              </w:rPr>
              <w:t> </w:t>
            </w:r>
            <w:r w:rsidR="003D6905">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75CD9808" w14:textId="652EF440"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9,311</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6B4E7346" w14:textId="46A24D34"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61,041</w:t>
            </w:r>
          </w:p>
        </w:tc>
      </w:tr>
      <w:tr w:rsidR="00913756" w:rsidRPr="00913756" w14:paraId="101A5928" w14:textId="77777777" w:rsidTr="0091375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65596803"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Development</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31F8391F"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1AB421AC" w14:textId="324CE110"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56,098</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0B7C7AEF" w14:textId="4A62EC2B"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4184E62F" w14:textId="6DB34292"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10,098</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227F7E3B" w14:textId="1D30A40B"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66,196</w:t>
            </w:r>
          </w:p>
        </w:tc>
      </w:tr>
      <w:tr w:rsidR="00913756" w:rsidRPr="00913756" w14:paraId="514D050F" w14:textId="77777777" w:rsidTr="00913756">
        <w:trPr>
          <w:trHeight w:val="300"/>
        </w:trPr>
        <w:tc>
          <w:tcPr>
            <w:tcW w:w="3520" w:type="dxa"/>
            <w:tcBorders>
              <w:top w:val="nil"/>
              <w:left w:val="single" w:sz="4" w:space="0" w:color="FFFFFF"/>
              <w:bottom w:val="nil"/>
              <w:right w:val="single" w:sz="4" w:space="0" w:color="FFFFFF"/>
            </w:tcBorders>
            <w:shd w:val="clear" w:color="auto" w:fill="EAF1DD" w:themeFill="accent3" w:themeFillTint="33"/>
            <w:vAlign w:val="bottom"/>
            <w:hideMark/>
          </w:tcPr>
          <w:p w14:paraId="5DDAFE17"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xml:space="preserve">Assistant Director for Growth, </w:t>
            </w:r>
          </w:p>
        </w:tc>
        <w:tc>
          <w:tcPr>
            <w:tcW w:w="1000" w:type="dxa"/>
            <w:tcBorders>
              <w:top w:val="nil"/>
              <w:left w:val="nil"/>
              <w:bottom w:val="single" w:sz="4" w:space="0" w:color="FFFFFF"/>
              <w:right w:val="single" w:sz="4" w:space="0" w:color="FFFFFF"/>
            </w:tcBorders>
            <w:shd w:val="clear" w:color="auto" w:fill="EAF1DD" w:themeFill="accent3" w:themeFillTint="33"/>
            <w:vAlign w:val="bottom"/>
            <w:hideMark/>
          </w:tcPr>
          <w:p w14:paraId="355298CA"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3CBC4E75" w14:textId="6A0FE026" w:rsidR="00913756" w:rsidRPr="00913756" w:rsidRDefault="00913756" w:rsidP="003D6905">
            <w:pPr>
              <w:jc w:val="right"/>
              <w:rPr>
                <w:rFonts w:ascii="Calibri" w:hAnsi="Calibri" w:cs="Calibri"/>
                <w:color w:val="000000"/>
                <w:lang w:eastAsia="en-GB"/>
              </w:rPr>
            </w:pPr>
            <w:r w:rsidRPr="00913756">
              <w:rPr>
                <w:rFonts w:ascii="Calibri" w:hAnsi="Calibri" w:cs="Calibri"/>
                <w:color w:val="000000"/>
                <w:lang w:eastAsia="en-GB"/>
              </w:rPr>
              <w:t> </w:t>
            </w:r>
            <w:r w:rsidR="003D6905">
              <w:rPr>
                <w:rFonts w:ascii="Calibri" w:hAnsi="Calibri" w:cs="Calibri"/>
                <w:color w:val="000000"/>
                <w:lang w:eastAsia="en-GB"/>
              </w:rPr>
              <w:t>51,730</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1F1AA683" w14:textId="60E2A733"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5C72B86B" w14:textId="28946B3C"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9,311</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3819CFFE" w14:textId="7CB294A5" w:rsidR="00913756" w:rsidRPr="00913756" w:rsidRDefault="00913756" w:rsidP="005B4ECD">
            <w:pPr>
              <w:jc w:val="right"/>
              <w:rPr>
                <w:rFonts w:ascii="Calibri" w:hAnsi="Calibri" w:cs="Calibri"/>
                <w:color w:val="000000"/>
                <w:lang w:eastAsia="en-GB"/>
              </w:rPr>
            </w:pPr>
            <w:r w:rsidRPr="00913756">
              <w:rPr>
                <w:rFonts w:ascii="Calibri" w:hAnsi="Calibri" w:cs="Calibri"/>
                <w:color w:val="000000"/>
                <w:lang w:eastAsia="en-GB"/>
              </w:rPr>
              <w:t> </w:t>
            </w:r>
            <w:r w:rsidR="005B4ECD">
              <w:rPr>
                <w:rFonts w:ascii="Calibri" w:hAnsi="Calibri" w:cs="Calibri"/>
                <w:color w:val="000000"/>
                <w:lang w:eastAsia="en-GB"/>
              </w:rPr>
              <w:t>61,041</w:t>
            </w:r>
          </w:p>
        </w:tc>
      </w:tr>
      <w:tr w:rsidR="00913756" w:rsidRPr="00913756" w14:paraId="6617AF77" w14:textId="77777777" w:rsidTr="002A0BE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hideMark/>
          </w:tcPr>
          <w:p w14:paraId="12C7FCB9"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Regeneration and UKSPF Delivery</w:t>
            </w:r>
          </w:p>
        </w:tc>
        <w:tc>
          <w:tcPr>
            <w:tcW w:w="1000" w:type="dxa"/>
            <w:tcBorders>
              <w:top w:val="nil"/>
              <w:left w:val="nil"/>
              <w:bottom w:val="single" w:sz="4" w:space="0" w:color="FFFFFF"/>
              <w:right w:val="single" w:sz="4" w:space="0" w:color="FFFFFF"/>
            </w:tcBorders>
            <w:shd w:val="clear" w:color="auto" w:fill="EAF1DD" w:themeFill="accent3" w:themeFillTint="33"/>
            <w:noWrap/>
            <w:vAlign w:val="bottom"/>
            <w:hideMark/>
          </w:tcPr>
          <w:p w14:paraId="1D370ABE"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hideMark/>
          </w:tcPr>
          <w:p w14:paraId="63A3E414" w14:textId="7AFB6D4E"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55,437</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hideMark/>
          </w:tcPr>
          <w:p w14:paraId="2171B0EE" w14:textId="1A9D39A8"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0</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hideMark/>
          </w:tcPr>
          <w:p w14:paraId="219D4FE3" w14:textId="1AB7D0F8"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9,979</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2B0E7E80" w14:textId="0DBE140C" w:rsidR="00913756" w:rsidRPr="00913756" w:rsidRDefault="00913756" w:rsidP="006B2235">
            <w:pPr>
              <w:jc w:val="right"/>
              <w:rPr>
                <w:rFonts w:ascii="Calibri" w:hAnsi="Calibri" w:cs="Calibri"/>
                <w:color w:val="000000"/>
                <w:lang w:eastAsia="en-GB"/>
              </w:rPr>
            </w:pPr>
            <w:r w:rsidRPr="00913756">
              <w:rPr>
                <w:rFonts w:ascii="Calibri" w:hAnsi="Calibri" w:cs="Calibri"/>
                <w:color w:val="000000"/>
                <w:lang w:eastAsia="en-GB"/>
              </w:rPr>
              <w:t> </w:t>
            </w:r>
            <w:r w:rsidR="006B2235">
              <w:rPr>
                <w:rFonts w:ascii="Calibri" w:hAnsi="Calibri" w:cs="Calibri"/>
                <w:color w:val="000000"/>
                <w:lang w:eastAsia="en-GB"/>
              </w:rPr>
              <w:t>65,416</w:t>
            </w:r>
          </w:p>
        </w:tc>
      </w:tr>
      <w:tr w:rsidR="002A0BE6" w:rsidRPr="00913756" w14:paraId="0049BED3" w14:textId="77777777" w:rsidTr="002A0BE6">
        <w:trPr>
          <w:trHeight w:val="300"/>
        </w:trPr>
        <w:tc>
          <w:tcPr>
            <w:tcW w:w="3520" w:type="dxa"/>
            <w:tcBorders>
              <w:top w:val="single" w:sz="4" w:space="0" w:color="FFFFFF"/>
              <w:left w:val="single" w:sz="4" w:space="0" w:color="FFFFFF"/>
              <w:right w:val="single" w:sz="4" w:space="0" w:color="FFFFFF"/>
            </w:tcBorders>
            <w:shd w:val="clear" w:color="auto" w:fill="EAF1DD" w:themeFill="accent3" w:themeFillTint="33"/>
            <w:noWrap/>
            <w:vAlign w:val="bottom"/>
          </w:tcPr>
          <w:p w14:paraId="24E1501E" w14:textId="0287BF3F" w:rsidR="002A0BE6" w:rsidRPr="00913756" w:rsidRDefault="002A0BE6" w:rsidP="00913756">
            <w:pPr>
              <w:rPr>
                <w:rFonts w:ascii="Calibri" w:hAnsi="Calibri" w:cs="Calibri"/>
                <w:color w:val="000000"/>
                <w:lang w:eastAsia="en-GB"/>
              </w:rPr>
            </w:pPr>
            <w:r>
              <w:rPr>
                <w:rFonts w:ascii="Calibri" w:hAnsi="Calibri" w:cs="Calibri"/>
                <w:color w:val="000000"/>
                <w:lang w:eastAsia="en-GB"/>
              </w:rPr>
              <w:t>Assistant Director for Planning and</w:t>
            </w:r>
          </w:p>
        </w:tc>
        <w:tc>
          <w:tcPr>
            <w:tcW w:w="1000" w:type="dxa"/>
            <w:tcBorders>
              <w:top w:val="nil"/>
              <w:left w:val="single" w:sz="4" w:space="0" w:color="FFFFFF"/>
              <w:bottom w:val="single" w:sz="4" w:space="0" w:color="FFFFFF"/>
              <w:right w:val="single" w:sz="4" w:space="0" w:color="FFFFFF"/>
            </w:tcBorders>
            <w:shd w:val="clear" w:color="auto" w:fill="EAF1DD" w:themeFill="accent3" w:themeFillTint="33"/>
            <w:noWrap/>
            <w:vAlign w:val="bottom"/>
          </w:tcPr>
          <w:p w14:paraId="72CB4598" w14:textId="027AE617" w:rsidR="002A0BE6" w:rsidRPr="00913756" w:rsidRDefault="002A0BE6" w:rsidP="00913756">
            <w:pPr>
              <w:jc w:val="right"/>
              <w:rPr>
                <w:rFonts w:ascii="Calibri" w:hAnsi="Calibri" w:cs="Calibri"/>
                <w:color w:val="000000"/>
                <w:lang w:eastAsia="en-GB"/>
              </w:rPr>
            </w:pPr>
            <w:r>
              <w:rPr>
                <w:rFonts w:ascii="Calibri" w:hAnsi="Calibri" w:cs="Calibri"/>
                <w:color w:val="000000"/>
                <w:lang w:eastAsia="en-GB"/>
              </w:rPr>
              <w:t>2021-22</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tcPr>
          <w:p w14:paraId="7B39C8FC" w14:textId="33E0275C"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59,233</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tcPr>
          <w:p w14:paraId="72E0539F" w14:textId="292A14F5"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846</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tcPr>
          <w:p w14:paraId="22F4E024" w14:textId="3F9BC6F5"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10,662</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tcPr>
          <w:p w14:paraId="274795C7" w14:textId="6270323A"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70,741</w:t>
            </w:r>
          </w:p>
        </w:tc>
      </w:tr>
      <w:tr w:rsidR="002A0BE6" w:rsidRPr="00913756" w14:paraId="0939F5EA" w14:textId="77777777" w:rsidTr="002A0BE6">
        <w:trPr>
          <w:trHeight w:val="300"/>
        </w:trPr>
        <w:tc>
          <w:tcPr>
            <w:tcW w:w="3520" w:type="dxa"/>
            <w:tcBorders>
              <w:top w:val="nil"/>
              <w:left w:val="single" w:sz="4" w:space="0" w:color="FFFFFF"/>
              <w:bottom w:val="single" w:sz="4" w:space="0" w:color="FFFFFF"/>
              <w:right w:val="single" w:sz="4" w:space="0" w:color="FFFFFF"/>
            </w:tcBorders>
            <w:shd w:val="clear" w:color="auto" w:fill="EAF1DD" w:themeFill="accent3" w:themeFillTint="33"/>
            <w:noWrap/>
            <w:vAlign w:val="bottom"/>
          </w:tcPr>
          <w:p w14:paraId="248751EF" w14:textId="493EF827" w:rsidR="002A0BE6" w:rsidRPr="00913756" w:rsidRDefault="002A0BE6" w:rsidP="00913756">
            <w:pPr>
              <w:rPr>
                <w:rFonts w:ascii="Calibri" w:hAnsi="Calibri" w:cs="Calibri"/>
                <w:color w:val="000000"/>
                <w:lang w:eastAsia="en-GB"/>
              </w:rPr>
            </w:pPr>
            <w:r>
              <w:rPr>
                <w:rFonts w:ascii="Calibri" w:hAnsi="Calibri" w:cs="Calibri"/>
                <w:color w:val="000000"/>
                <w:lang w:eastAsia="en-GB"/>
              </w:rPr>
              <w:t>Regulatory Services (Out-going)</w:t>
            </w:r>
          </w:p>
        </w:tc>
        <w:tc>
          <w:tcPr>
            <w:tcW w:w="1000" w:type="dxa"/>
            <w:tcBorders>
              <w:top w:val="nil"/>
              <w:left w:val="single" w:sz="4" w:space="0" w:color="FFFFFF"/>
              <w:bottom w:val="single" w:sz="4" w:space="0" w:color="FFFFFF"/>
              <w:right w:val="single" w:sz="4" w:space="0" w:color="FFFFFF"/>
            </w:tcBorders>
            <w:shd w:val="clear" w:color="auto" w:fill="EAF1DD" w:themeFill="accent3" w:themeFillTint="33"/>
            <w:noWrap/>
            <w:vAlign w:val="bottom"/>
          </w:tcPr>
          <w:p w14:paraId="765F08D3" w14:textId="3086AC03" w:rsidR="002A0BE6" w:rsidRPr="00913756" w:rsidRDefault="002A0BE6" w:rsidP="00913756">
            <w:pPr>
              <w:jc w:val="right"/>
              <w:rPr>
                <w:rFonts w:ascii="Calibri" w:hAnsi="Calibri" w:cs="Calibri"/>
                <w:color w:val="000000"/>
                <w:lang w:eastAsia="en-GB"/>
              </w:rPr>
            </w:pPr>
            <w:r>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vAlign w:val="bottom"/>
          </w:tcPr>
          <w:p w14:paraId="36E28009" w14:textId="23B99F45"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823</w:t>
            </w:r>
          </w:p>
        </w:tc>
        <w:tc>
          <w:tcPr>
            <w:tcW w:w="1300" w:type="dxa"/>
            <w:tcBorders>
              <w:top w:val="nil"/>
              <w:left w:val="nil"/>
              <w:bottom w:val="single" w:sz="4" w:space="0" w:color="FFFFFF"/>
              <w:right w:val="single" w:sz="4" w:space="0" w:color="FFFFFF"/>
            </w:tcBorders>
            <w:shd w:val="clear" w:color="auto" w:fill="EAF1DD" w:themeFill="accent3" w:themeFillTint="33"/>
            <w:noWrap/>
            <w:vAlign w:val="bottom"/>
          </w:tcPr>
          <w:p w14:paraId="2A56BD00" w14:textId="21E147BE"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12</w:t>
            </w:r>
          </w:p>
        </w:tc>
        <w:tc>
          <w:tcPr>
            <w:tcW w:w="1260" w:type="dxa"/>
            <w:tcBorders>
              <w:top w:val="nil"/>
              <w:left w:val="nil"/>
              <w:bottom w:val="single" w:sz="4" w:space="0" w:color="FFFFFF"/>
              <w:right w:val="single" w:sz="4" w:space="0" w:color="FFFFFF"/>
            </w:tcBorders>
            <w:shd w:val="clear" w:color="auto" w:fill="EAF1DD" w:themeFill="accent3" w:themeFillTint="33"/>
            <w:noWrap/>
            <w:vAlign w:val="bottom"/>
          </w:tcPr>
          <w:p w14:paraId="5C9D79C5" w14:textId="414E5299"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148</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tcPr>
          <w:p w14:paraId="2055736E" w14:textId="18E4E2A2" w:rsidR="002A0BE6" w:rsidRPr="00913756" w:rsidRDefault="002A0BE6" w:rsidP="006B2235">
            <w:pPr>
              <w:jc w:val="right"/>
              <w:rPr>
                <w:rFonts w:ascii="Calibri" w:hAnsi="Calibri" w:cs="Calibri"/>
                <w:color w:val="000000"/>
                <w:lang w:eastAsia="en-GB"/>
              </w:rPr>
            </w:pPr>
            <w:r>
              <w:rPr>
                <w:rFonts w:ascii="Calibri" w:hAnsi="Calibri" w:cs="Calibri"/>
                <w:color w:val="000000"/>
                <w:lang w:eastAsia="en-GB"/>
              </w:rPr>
              <w:t>983</w:t>
            </w:r>
          </w:p>
        </w:tc>
      </w:tr>
      <w:tr w:rsidR="00913756" w:rsidRPr="00913756" w14:paraId="2E7C3218" w14:textId="77777777" w:rsidTr="00913756">
        <w:trPr>
          <w:trHeight w:val="300"/>
        </w:trPr>
        <w:tc>
          <w:tcPr>
            <w:tcW w:w="5760" w:type="dxa"/>
            <w:gridSpan w:val="3"/>
            <w:tcBorders>
              <w:top w:val="single" w:sz="4" w:space="0" w:color="FFFFFF"/>
              <w:left w:val="single" w:sz="4" w:space="0" w:color="FFFFFF"/>
              <w:bottom w:val="single" w:sz="4" w:space="0" w:color="FFFFFF"/>
              <w:right w:val="nil"/>
            </w:tcBorders>
            <w:shd w:val="clear" w:color="auto" w:fill="D6E3BC" w:themeFill="accent3" w:themeFillTint="66"/>
            <w:noWrap/>
            <w:vAlign w:val="bottom"/>
            <w:hideMark/>
          </w:tcPr>
          <w:p w14:paraId="35B3668F"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xml:space="preserve">New Officers in 2022-23 with no 2021-22 </w:t>
            </w:r>
            <w:proofErr w:type="spellStart"/>
            <w:r w:rsidRPr="00913756">
              <w:rPr>
                <w:rFonts w:ascii="Calibri" w:hAnsi="Calibri" w:cs="Calibri"/>
                <w:color w:val="000000"/>
                <w:lang w:eastAsia="en-GB"/>
              </w:rPr>
              <w:t>comparables</w:t>
            </w:r>
            <w:proofErr w:type="spellEnd"/>
          </w:p>
        </w:tc>
        <w:tc>
          <w:tcPr>
            <w:tcW w:w="1300" w:type="dxa"/>
            <w:tcBorders>
              <w:top w:val="nil"/>
              <w:left w:val="nil"/>
              <w:bottom w:val="single" w:sz="4" w:space="0" w:color="FFFFFF"/>
              <w:right w:val="nil"/>
            </w:tcBorders>
            <w:shd w:val="clear" w:color="auto" w:fill="D6E3BC" w:themeFill="accent3" w:themeFillTint="66"/>
            <w:noWrap/>
            <w:vAlign w:val="bottom"/>
            <w:hideMark/>
          </w:tcPr>
          <w:p w14:paraId="3E725F3B"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260" w:type="dxa"/>
            <w:tcBorders>
              <w:top w:val="nil"/>
              <w:left w:val="nil"/>
              <w:bottom w:val="single" w:sz="4" w:space="0" w:color="FFFFFF"/>
              <w:right w:val="nil"/>
            </w:tcBorders>
            <w:shd w:val="clear" w:color="auto" w:fill="D6E3BC" w:themeFill="accent3" w:themeFillTint="66"/>
            <w:noWrap/>
            <w:vAlign w:val="bottom"/>
            <w:hideMark/>
          </w:tcPr>
          <w:p w14:paraId="44BC27C2"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c>
          <w:tcPr>
            <w:tcW w:w="1305" w:type="dxa"/>
            <w:tcBorders>
              <w:top w:val="nil"/>
              <w:left w:val="nil"/>
              <w:bottom w:val="single" w:sz="4" w:space="0" w:color="FFFFFF"/>
              <w:right w:val="single" w:sz="4" w:space="0" w:color="FFFFFF"/>
            </w:tcBorders>
            <w:shd w:val="clear" w:color="auto" w:fill="D6E3BC" w:themeFill="accent3" w:themeFillTint="66"/>
            <w:noWrap/>
            <w:vAlign w:val="bottom"/>
            <w:hideMark/>
          </w:tcPr>
          <w:p w14:paraId="014E28B4"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 </w:t>
            </w:r>
          </w:p>
        </w:tc>
      </w:tr>
      <w:tr w:rsidR="00913756" w:rsidRPr="00913756" w14:paraId="0ECE914A" w14:textId="77777777" w:rsidTr="00913756">
        <w:trPr>
          <w:trHeight w:val="525"/>
        </w:trPr>
        <w:tc>
          <w:tcPr>
            <w:tcW w:w="3520" w:type="dxa"/>
            <w:tcBorders>
              <w:top w:val="nil"/>
              <w:left w:val="single" w:sz="4" w:space="0" w:color="FFFFFF"/>
              <w:bottom w:val="single" w:sz="4" w:space="0" w:color="FFFFFF"/>
              <w:right w:val="single" w:sz="4" w:space="0" w:color="FFFFFF"/>
            </w:tcBorders>
            <w:shd w:val="clear" w:color="auto" w:fill="EAF1DD" w:themeFill="accent3" w:themeFillTint="33"/>
            <w:vAlign w:val="bottom"/>
            <w:hideMark/>
          </w:tcPr>
          <w:p w14:paraId="6D9A9F1B" w14:textId="77777777" w:rsidR="00913756" w:rsidRPr="00913756" w:rsidRDefault="00913756" w:rsidP="00913756">
            <w:pPr>
              <w:rPr>
                <w:rFonts w:ascii="Calibri" w:hAnsi="Calibri" w:cs="Calibri"/>
                <w:color w:val="000000"/>
                <w:lang w:eastAsia="en-GB"/>
              </w:rPr>
            </w:pPr>
            <w:r w:rsidRPr="00913756">
              <w:rPr>
                <w:rFonts w:ascii="Calibri" w:hAnsi="Calibri" w:cs="Calibri"/>
                <w:color w:val="000000"/>
                <w:lang w:eastAsia="en-GB"/>
              </w:rPr>
              <w:t>Assistant Director for Planning Services (Out-going)</w:t>
            </w:r>
          </w:p>
        </w:tc>
        <w:tc>
          <w:tcPr>
            <w:tcW w:w="1000" w:type="dxa"/>
            <w:tcBorders>
              <w:top w:val="nil"/>
              <w:left w:val="nil"/>
              <w:bottom w:val="single" w:sz="4" w:space="0" w:color="FFFFFF"/>
              <w:right w:val="single" w:sz="4" w:space="0" w:color="FFFFFF"/>
            </w:tcBorders>
            <w:shd w:val="clear" w:color="auto" w:fill="EAF1DD" w:themeFill="accent3" w:themeFillTint="33"/>
            <w:noWrap/>
            <w:hideMark/>
          </w:tcPr>
          <w:p w14:paraId="5FD6B2B9" w14:textId="77777777" w:rsidR="00913756" w:rsidRPr="00913756" w:rsidRDefault="00913756" w:rsidP="00913756">
            <w:pPr>
              <w:jc w:val="right"/>
              <w:rPr>
                <w:rFonts w:ascii="Calibri" w:hAnsi="Calibri" w:cs="Calibri"/>
                <w:color w:val="000000"/>
                <w:lang w:eastAsia="en-GB"/>
              </w:rPr>
            </w:pPr>
            <w:r w:rsidRPr="00913756">
              <w:rPr>
                <w:rFonts w:ascii="Calibri" w:hAnsi="Calibri" w:cs="Calibri"/>
                <w:color w:val="000000"/>
                <w:lang w:eastAsia="en-GB"/>
              </w:rPr>
              <w:t>2022-23</w:t>
            </w:r>
          </w:p>
        </w:tc>
        <w:tc>
          <w:tcPr>
            <w:tcW w:w="1240" w:type="dxa"/>
            <w:tcBorders>
              <w:top w:val="nil"/>
              <w:left w:val="nil"/>
              <w:bottom w:val="single" w:sz="4" w:space="0" w:color="FFFFFF"/>
              <w:right w:val="single" w:sz="4" w:space="0" w:color="FFFFFF"/>
            </w:tcBorders>
            <w:shd w:val="clear" w:color="auto" w:fill="EAF1DD" w:themeFill="accent3" w:themeFillTint="33"/>
            <w:noWrap/>
            <w:hideMark/>
          </w:tcPr>
          <w:p w14:paraId="4A93589F" w14:textId="4D6C1802"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10,303</w:t>
            </w:r>
          </w:p>
        </w:tc>
        <w:tc>
          <w:tcPr>
            <w:tcW w:w="1300" w:type="dxa"/>
            <w:tcBorders>
              <w:top w:val="nil"/>
              <w:left w:val="nil"/>
              <w:bottom w:val="single" w:sz="4" w:space="0" w:color="FFFFFF"/>
              <w:right w:val="single" w:sz="4" w:space="0" w:color="FFFFFF"/>
            </w:tcBorders>
            <w:shd w:val="clear" w:color="auto" w:fill="EAF1DD" w:themeFill="accent3" w:themeFillTint="33"/>
            <w:noWrap/>
            <w:hideMark/>
          </w:tcPr>
          <w:p w14:paraId="11BB9771" w14:textId="6C0322F7"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413</w:t>
            </w:r>
          </w:p>
        </w:tc>
        <w:tc>
          <w:tcPr>
            <w:tcW w:w="1260" w:type="dxa"/>
            <w:tcBorders>
              <w:top w:val="nil"/>
              <w:left w:val="nil"/>
              <w:bottom w:val="single" w:sz="4" w:space="0" w:color="FFFFFF"/>
              <w:right w:val="single" w:sz="4" w:space="0" w:color="FFFFFF"/>
            </w:tcBorders>
            <w:shd w:val="clear" w:color="auto" w:fill="EAF1DD" w:themeFill="accent3" w:themeFillTint="33"/>
            <w:noWrap/>
            <w:hideMark/>
          </w:tcPr>
          <w:p w14:paraId="64AD8F0F" w14:textId="000D2549"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2,370</w:t>
            </w:r>
          </w:p>
        </w:tc>
        <w:tc>
          <w:tcPr>
            <w:tcW w:w="1305" w:type="dxa"/>
            <w:tcBorders>
              <w:top w:val="nil"/>
              <w:left w:val="nil"/>
              <w:bottom w:val="single" w:sz="4" w:space="0" w:color="FFFFFF"/>
              <w:right w:val="single" w:sz="4" w:space="0" w:color="FFFFFF"/>
            </w:tcBorders>
            <w:shd w:val="clear" w:color="auto" w:fill="D6E3BC" w:themeFill="accent3" w:themeFillTint="66"/>
            <w:noWrap/>
            <w:hideMark/>
          </w:tcPr>
          <w:p w14:paraId="71561773" w14:textId="64983F82" w:rsidR="00913756" w:rsidRPr="00913756" w:rsidRDefault="00913756" w:rsidP="00F76D39">
            <w:pPr>
              <w:jc w:val="right"/>
              <w:rPr>
                <w:rFonts w:ascii="Calibri" w:hAnsi="Calibri" w:cs="Calibri"/>
                <w:color w:val="000000"/>
                <w:lang w:eastAsia="en-GB"/>
              </w:rPr>
            </w:pPr>
            <w:r w:rsidRPr="00913756">
              <w:rPr>
                <w:rFonts w:ascii="Calibri" w:hAnsi="Calibri" w:cs="Calibri"/>
                <w:color w:val="000000"/>
                <w:lang w:eastAsia="en-GB"/>
              </w:rPr>
              <w:t> </w:t>
            </w:r>
            <w:r w:rsidR="00F76D39">
              <w:rPr>
                <w:rFonts w:ascii="Calibri" w:hAnsi="Calibri" w:cs="Calibri"/>
                <w:color w:val="000000"/>
                <w:lang w:eastAsia="en-GB"/>
              </w:rPr>
              <w:t>13,086</w:t>
            </w:r>
          </w:p>
        </w:tc>
      </w:tr>
    </w:tbl>
    <w:p w14:paraId="58BEBD11" w14:textId="77777777" w:rsidR="00355967" w:rsidRPr="005F39EA" w:rsidRDefault="00355967" w:rsidP="00707761">
      <w:pPr>
        <w:widowControl w:val="0"/>
        <w:tabs>
          <w:tab w:val="left" w:pos="2160"/>
          <w:tab w:val="left" w:pos="7200"/>
          <w:tab w:val="left" w:pos="7920"/>
        </w:tabs>
        <w:ind w:right="25"/>
        <w:jc w:val="both"/>
        <w:rPr>
          <w:rFonts w:asciiTheme="minorHAnsi" w:hAnsiTheme="minorHAnsi" w:cs="Arial"/>
        </w:rPr>
      </w:pPr>
    </w:p>
    <w:p w14:paraId="3D19B9E3" w14:textId="77777777" w:rsidR="00707761" w:rsidRPr="00510ADB" w:rsidRDefault="00707761" w:rsidP="00707761">
      <w:pPr>
        <w:widowControl w:val="0"/>
        <w:tabs>
          <w:tab w:val="left" w:pos="2160"/>
          <w:tab w:val="left" w:pos="7200"/>
          <w:tab w:val="left" w:pos="7920"/>
        </w:tabs>
        <w:ind w:right="25"/>
        <w:jc w:val="both"/>
        <w:rPr>
          <w:rFonts w:asciiTheme="minorHAnsi" w:hAnsiTheme="minorHAnsi" w:cs="Arial"/>
          <w:sz w:val="22"/>
          <w:szCs w:val="22"/>
        </w:rPr>
      </w:pPr>
      <w:r w:rsidRPr="00510ADB">
        <w:rPr>
          <w:rFonts w:asciiTheme="minorHAnsi" w:hAnsiTheme="minorHAnsi" w:cs="Arial"/>
          <w:sz w:val="22"/>
          <w:szCs w:val="22"/>
        </w:rPr>
        <w:t xml:space="preserve">Remuneration for these purposes includes all taxable sums paid to or receivable by an employee, sums due by way of expenses allowances, and the money value of any other benefits received other than in cash, albeit the latter does not apply. </w:t>
      </w:r>
      <w:r w:rsidR="00170BF4">
        <w:rPr>
          <w:rFonts w:asciiTheme="minorHAnsi" w:hAnsiTheme="minorHAnsi" w:cs="Arial"/>
          <w:sz w:val="22"/>
          <w:szCs w:val="22"/>
        </w:rPr>
        <w:t xml:space="preserve">  </w:t>
      </w:r>
    </w:p>
    <w:p w14:paraId="1EFD1508" w14:textId="77777777" w:rsidR="00707761" w:rsidRPr="00510ADB" w:rsidRDefault="00707761" w:rsidP="00707761">
      <w:pPr>
        <w:widowControl w:val="0"/>
        <w:tabs>
          <w:tab w:val="left" w:pos="2160"/>
          <w:tab w:val="left" w:pos="7200"/>
          <w:tab w:val="left" w:pos="7920"/>
        </w:tabs>
        <w:ind w:right="25"/>
        <w:jc w:val="both"/>
        <w:rPr>
          <w:rFonts w:asciiTheme="minorHAnsi" w:hAnsiTheme="minorHAnsi" w:cs="Arial"/>
          <w:sz w:val="22"/>
          <w:szCs w:val="22"/>
        </w:rPr>
      </w:pPr>
    </w:p>
    <w:p w14:paraId="6E1C8608" w14:textId="5420B06E" w:rsidR="00707761" w:rsidRDefault="00707761" w:rsidP="00707761">
      <w:pPr>
        <w:widowControl w:val="0"/>
        <w:tabs>
          <w:tab w:val="left" w:pos="993"/>
          <w:tab w:val="left" w:pos="2160"/>
          <w:tab w:val="left" w:pos="7200"/>
          <w:tab w:val="left" w:pos="7920"/>
          <w:tab w:val="left" w:pos="9639"/>
        </w:tabs>
        <w:spacing w:line="220" w:lineRule="exact"/>
        <w:ind w:right="25"/>
        <w:jc w:val="both"/>
        <w:rPr>
          <w:rFonts w:asciiTheme="minorHAnsi" w:hAnsiTheme="minorHAnsi" w:cs="Arial"/>
          <w:sz w:val="22"/>
          <w:szCs w:val="22"/>
        </w:rPr>
      </w:pPr>
      <w:r w:rsidRPr="00B137D8">
        <w:rPr>
          <w:rFonts w:asciiTheme="minorHAnsi" w:hAnsiTheme="minorHAnsi" w:cs="Arial"/>
          <w:sz w:val="22"/>
          <w:szCs w:val="22"/>
        </w:rPr>
        <w:t>In accordance with Regulation 7(3) of the Accounts and Audit Regulations 2015 the Council is also required to disclose the number of other employees whose remuneration is in excess of £50,000 per annum, starting at that level and increasing</w:t>
      </w:r>
      <w:r w:rsidR="00170BF4" w:rsidRPr="00B137D8">
        <w:rPr>
          <w:rFonts w:asciiTheme="minorHAnsi" w:hAnsiTheme="minorHAnsi" w:cs="Arial"/>
          <w:sz w:val="22"/>
          <w:szCs w:val="22"/>
        </w:rPr>
        <w:t xml:space="preserve"> in multiples of £5,000. </w:t>
      </w:r>
      <w:r w:rsidR="00170BF4" w:rsidRPr="000B6358">
        <w:rPr>
          <w:rFonts w:asciiTheme="minorHAnsi" w:hAnsiTheme="minorHAnsi" w:cs="Arial"/>
          <w:sz w:val="22"/>
          <w:szCs w:val="22"/>
        </w:rPr>
        <w:t xml:space="preserve">There </w:t>
      </w:r>
      <w:r w:rsidR="009F5E68" w:rsidRPr="000B6358">
        <w:rPr>
          <w:rFonts w:asciiTheme="minorHAnsi" w:hAnsiTheme="minorHAnsi" w:cs="Arial"/>
          <w:sz w:val="22"/>
          <w:szCs w:val="22"/>
        </w:rPr>
        <w:t xml:space="preserve">are </w:t>
      </w:r>
      <w:r w:rsidR="00B30C98">
        <w:rPr>
          <w:rFonts w:asciiTheme="minorHAnsi" w:hAnsiTheme="minorHAnsi" w:cs="Arial"/>
          <w:sz w:val="22"/>
          <w:szCs w:val="22"/>
        </w:rPr>
        <w:t>four</w:t>
      </w:r>
      <w:r w:rsidRPr="000B6358">
        <w:rPr>
          <w:rFonts w:asciiTheme="minorHAnsi" w:hAnsiTheme="minorHAnsi" w:cs="Arial"/>
          <w:sz w:val="22"/>
          <w:szCs w:val="22"/>
        </w:rPr>
        <w:t xml:space="preserve"> </w:t>
      </w:r>
      <w:r w:rsidRPr="009F5E68">
        <w:rPr>
          <w:rFonts w:asciiTheme="minorHAnsi" w:hAnsiTheme="minorHAnsi" w:cs="Arial"/>
          <w:sz w:val="22"/>
          <w:szCs w:val="22"/>
        </w:rPr>
        <w:t>employee</w:t>
      </w:r>
      <w:r w:rsidR="009F5E68" w:rsidRPr="009F5E68">
        <w:rPr>
          <w:rFonts w:asciiTheme="minorHAnsi" w:hAnsiTheme="minorHAnsi" w:cs="Arial"/>
          <w:sz w:val="22"/>
          <w:szCs w:val="22"/>
        </w:rPr>
        <w:t>s</w:t>
      </w:r>
      <w:r w:rsidRPr="009F5E68">
        <w:rPr>
          <w:rFonts w:asciiTheme="minorHAnsi" w:hAnsiTheme="minorHAnsi" w:cs="Arial"/>
          <w:sz w:val="22"/>
          <w:szCs w:val="22"/>
        </w:rPr>
        <w:t xml:space="preserve"> in this category</w:t>
      </w:r>
      <w:r w:rsidR="00170BF4" w:rsidRPr="009F5E68">
        <w:rPr>
          <w:rFonts w:asciiTheme="minorHAnsi" w:hAnsiTheme="minorHAnsi" w:cs="Arial"/>
          <w:sz w:val="22"/>
          <w:szCs w:val="22"/>
        </w:rPr>
        <w:t xml:space="preserve"> </w:t>
      </w:r>
      <w:r w:rsidR="00A4128D">
        <w:rPr>
          <w:rFonts w:asciiTheme="minorHAnsi" w:hAnsiTheme="minorHAnsi" w:cs="Arial"/>
          <w:sz w:val="22"/>
          <w:szCs w:val="22"/>
        </w:rPr>
        <w:t>in 202</w:t>
      </w:r>
      <w:r w:rsidR="000F51CA">
        <w:rPr>
          <w:rFonts w:asciiTheme="minorHAnsi" w:hAnsiTheme="minorHAnsi" w:cs="Arial"/>
          <w:sz w:val="22"/>
          <w:szCs w:val="22"/>
        </w:rPr>
        <w:t>2</w:t>
      </w:r>
      <w:r w:rsidR="00A4128D">
        <w:rPr>
          <w:rFonts w:asciiTheme="minorHAnsi" w:hAnsiTheme="minorHAnsi" w:cs="Arial"/>
          <w:sz w:val="22"/>
          <w:szCs w:val="22"/>
        </w:rPr>
        <w:t>-2</w:t>
      </w:r>
      <w:r w:rsidR="000F51CA">
        <w:rPr>
          <w:rFonts w:asciiTheme="minorHAnsi" w:hAnsiTheme="minorHAnsi" w:cs="Arial"/>
          <w:sz w:val="22"/>
          <w:szCs w:val="22"/>
        </w:rPr>
        <w:t>3</w:t>
      </w:r>
      <w:r w:rsidR="00A4128D">
        <w:rPr>
          <w:rFonts w:asciiTheme="minorHAnsi" w:hAnsiTheme="minorHAnsi" w:cs="Arial"/>
          <w:sz w:val="22"/>
          <w:szCs w:val="22"/>
        </w:rPr>
        <w:t xml:space="preserve"> </w:t>
      </w:r>
      <w:r w:rsidR="00170BF4" w:rsidRPr="009F5E68">
        <w:rPr>
          <w:rFonts w:asciiTheme="minorHAnsi" w:hAnsiTheme="minorHAnsi" w:cs="Arial"/>
          <w:sz w:val="22"/>
          <w:szCs w:val="22"/>
        </w:rPr>
        <w:t>as follows</w:t>
      </w:r>
      <w:r w:rsidRPr="009F5E68">
        <w:rPr>
          <w:rFonts w:asciiTheme="minorHAnsi" w:hAnsiTheme="minorHAnsi" w:cs="Arial"/>
          <w:sz w:val="22"/>
          <w:szCs w:val="22"/>
        </w:rPr>
        <w:t>.</w:t>
      </w:r>
    </w:p>
    <w:p w14:paraId="574ECE9A" w14:textId="77777777" w:rsidR="00EA7706" w:rsidRDefault="00EA7706" w:rsidP="00707761">
      <w:pPr>
        <w:widowControl w:val="0"/>
        <w:tabs>
          <w:tab w:val="left" w:pos="993"/>
          <w:tab w:val="left" w:pos="2160"/>
          <w:tab w:val="left" w:pos="7200"/>
          <w:tab w:val="left" w:pos="7920"/>
          <w:tab w:val="left" w:pos="9639"/>
        </w:tabs>
        <w:spacing w:line="220" w:lineRule="exact"/>
        <w:ind w:right="25"/>
        <w:jc w:val="both"/>
        <w:rPr>
          <w:rFonts w:asciiTheme="minorHAnsi" w:hAnsiTheme="minorHAnsi" w:cs="Arial"/>
          <w:sz w:val="22"/>
          <w:szCs w:val="22"/>
        </w:rPr>
      </w:pPr>
    </w:p>
    <w:tbl>
      <w:tblPr>
        <w:tblW w:w="8691" w:type="dxa"/>
        <w:tblInd w:w="93" w:type="dxa"/>
        <w:tblLook w:val="04A0" w:firstRow="1" w:lastRow="0" w:firstColumn="1" w:lastColumn="0" w:noHBand="0" w:noVBand="1"/>
        <w:tblCaption w:val="Renumeration by band"/>
        <w:tblDescription w:val="Details of the number of other officers whose renumeration is in excess of £50,000"/>
      </w:tblPr>
      <w:tblGrid>
        <w:gridCol w:w="3860"/>
        <w:gridCol w:w="2260"/>
        <w:gridCol w:w="2571"/>
      </w:tblGrid>
      <w:tr w:rsidR="00170BF4" w:rsidRPr="00170BF4" w14:paraId="109C8E6B" w14:textId="77777777" w:rsidTr="00B30C98">
        <w:trPr>
          <w:cantSplit/>
          <w:trHeight w:val="300"/>
          <w:tblHeader/>
        </w:trPr>
        <w:tc>
          <w:tcPr>
            <w:tcW w:w="3860" w:type="dxa"/>
            <w:tcBorders>
              <w:top w:val="single" w:sz="4" w:space="0" w:color="FFFFFF"/>
              <w:left w:val="single" w:sz="4" w:space="0" w:color="FFFFFF"/>
              <w:bottom w:val="nil"/>
              <w:right w:val="single" w:sz="4" w:space="0" w:color="FFFFFF"/>
            </w:tcBorders>
            <w:shd w:val="clear" w:color="000000" w:fill="C4D79B"/>
            <w:noWrap/>
            <w:vAlign w:val="bottom"/>
            <w:hideMark/>
          </w:tcPr>
          <w:p w14:paraId="0558C0CB" w14:textId="77777777" w:rsidR="00170BF4" w:rsidRPr="00170BF4" w:rsidRDefault="00170BF4" w:rsidP="00170BF4">
            <w:pPr>
              <w:rPr>
                <w:rFonts w:ascii="Calibri" w:hAnsi="Calibri"/>
                <w:color w:val="000000"/>
                <w:sz w:val="22"/>
                <w:szCs w:val="22"/>
                <w:lang w:eastAsia="en-GB"/>
              </w:rPr>
            </w:pPr>
            <w:r>
              <w:rPr>
                <w:rFonts w:ascii="Calibri" w:hAnsi="Calibri"/>
                <w:color w:val="000000"/>
                <w:sz w:val="22"/>
                <w:szCs w:val="22"/>
                <w:lang w:eastAsia="en-GB"/>
              </w:rPr>
              <w:t>Rem</w:t>
            </w:r>
            <w:r w:rsidRPr="00170BF4">
              <w:rPr>
                <w:rFonts w:ascii="Calibri" w:hAnsi="Calibri"/>
                <w:color w:val="000000"/>
                <w:sz w:val="22"/>
                <w:szCs w:val="22"/>
                <w:lang w:eastAsia="en-GB"/>
              </w:rPr>
              <w:t>u</w:t>
            </w:r>
            <w:r>
              <w:rPr>
                <w:rFonts w:ascii="Calibri" w:hAnsi="Calibri"/>
                <w:color w:val="000000"/>
                <w:sz w:val="22"/>
                <w:szCs w:val="22"/>
                <w:lang w:eastAsia="en-GB"/>
              </w:rPr>
              <w:t>n</w:t>
            </w:r>
            <w:r w:rsidRPr="00170BF4">
              <w:rPr>
                <w:rFonts w:ascii="Calibri" w:hAnsi="Calibri"/>
                <w:color w:val="000000"/>
                <w:sz w:val="22"/>
                <w:szCs w:val="22"/>
                <w:lang w:eastAsia="en-GB"/>
              </w:rPr>
              <w:t>eration Band</w:t>
            </w:r>
          </w:p>
        </w:tc>
        <w:tc>
          <w:tcPr>
            <w:tcW w:w="2260" w:type="dxa"/>
            <w:tcBorders>
              <w:top w:val="single" w:sz="4" w:space="0" w:color="FFFFFF"/>
              <w:left w:val="nil"/>
              <w:bottom w:val="single" w:sz="4" w:space="0" w:color="FFFFFF"/>
              <w:right w:val="single" w:sz="4" w:space="0" w:color="FFFFFF"/>
            </w:tcBorders>
            <w:shd w:val="clear" w:color="000000" w:fill="C4D79B"/>
            <w:noWrap/>
            <w:vAlign w:val="bottom"/>
            <w:hideMark/>
          </w:tcPr>
          <w:p w14:paraId="38E8CCDD" w14:textId="17491DFC" w:rsidR="00170BF4" w:rsidRPr="00170BF4" w:rsidRDefault="00170BF4" w:rsidP="00E31A8F">
            <w:pPr>
              <w:jc w:val="right"/>
              <w:rPr>
                <w:rFonts w:ascii="Calibri" w:hAnsi="Calibri"/>
                <w:color w:val="000000"/>
                <w:sz w:val="22"/>
                <w:szCs w:val="22"/>
                <w:lang w:eastAsia="en-GB"/>
              </w:rPr>
            </w:pPr>
            <w:r w:rsidRPr="00170BF4">
              <w:rPr>
                <w:rFonts w:ascii="Calibri" w:hAnsi="Calibri"/>
                <w:color w:val="000000"/>
                <w:sz w:val="22"/>
                <w:szCs w:val="22"/>
                <w:lang w:eastAsia="en-GB"/>
              </w:rPr>
              <w:t>20</w:t>
            </w:r>
            <w:r w:rsidR="00B01968">
              <w:rPr>
                <w:rFonts w:ascii="Calibri" w:hAnsi="Calibri"/>
                <w:color w:val="000000"/>
                <w:sz w:val="22"/>
                <w:szCs w:val="22"/>
                <w:lang w:eastAsia="en-GB"/>
              </w:rPr>
              <w:t>2</w:t>
            </w:r>
            <w:r w:rsidR="000F51CA">
              <w:rPr>
                <w:rFonts w:ascii="Calibri" w:hAnsi="Calibri"/>
                <w:color w:val="000000"/>
                <w:sz w:val="22"/>
                <w:szCs w:val="22"/>
                <w:lang w:eastAsia="en-GB"/>
              </w:rPr>
              <w:t>1</w:t>
            </w:r>
            <w:r w:rsidRPr="00170BF4">
              <w:rPr>
                <w:rFonts w:ascii="Calibri" w:hAnsi="Calibri"/>
                <w:color w:val="000000"/>
                <w:sz w:val="22"/>
                <w:szCs w:val="22"/>
                <w:lang w:eastAsia="en-GB"/>
              </w:rPr>
              <w:t>-</w:t>
            </w:r>
            <w:r w:rsidR="00E31A8F">
              <w:rPr>
                <w:rFonts w:ascii="Calibri" w:hAnsi="Calibri"/>
                <w:color w:val="000000"/>
                <w:sz w:val="22"/>
                <w:szCs w:val="22"/>
                <w:lang w:eastAsia="en-GB"/>
              </w:rPr>
              <w:t>2</w:t>
            </w:r>
            <w:r w:rsidR="000F51CA">
              <w:rPr>
                <w:rFonts w:ascii="Calibri" w:hAnsi="Calibri"/>
                <w:color w:val="000000"/>
                <w:sz w:val="22"/>
                <w:szCs w:val="22"/>
                <w:lang w:eastAsia="en-GB"/>
              </w:rPr>
              <w:t>2</w:t>
            </w:r>
          </w:p>
        </w:tc>
        <w:tc>
          <w:tcPr>
            <w:tcW w:w="2571" w:type="dxa"/>
            <w:tcBorders>
              <w:top w:val="single" w:sz="4" w:space="0" w:color="FFFFFF"/>
              <w:left w:val="nil"/>
              <w:bottom w:val="single" w:sz="4" w:space="0" w:color="FFFFFF"/>
              <w:right w:val="single" w:sz="4" w:space="0" w:color="FFFFFF"/>
            </w:tcBorders>
            <w:shd w:val="clear" w:color="000000" w:fill="C4D79B"/>
            <w:noWrap/>
            <w:vAlign w:val="bottom"/>
            <w:hideMark/>
          </w:tcPr>
          <w:p w14:paraId="56081F10" w14:textId="04E657C7" w:rsidR="00170BF4" w:rsidRPr="00170BF4" w:rsidRDefault="00170BF4" w:rsidP="00E31A8F">
            <w:pPr>
              <w:jc w:val="right"/>
              <w:rPr>
                <w:rFonts w:ascii="Calibri" w:hAnsi="Calibri"/>
                <w:color w:val="000000"/>
                <w:sz w:val="22"/>
                <w:szCs w:val="22"/>
                <w:lang w:eastAsia="en-GB"/>
              </w:rPr>
            </w:pPr>
            <w:r w:rsidRPr="00170BF4">
              <w:rPr>
                <w:rFonts w:ascii="Calibri" w:hAnsi="Calibri"/>
                <w:color w:val="000000"/>
                <w:sz w:val="22"/>
                <w:szCs w:val="22"/>
                <w:lang w:eastAsia="en-GB"/>
              </w:rPr>
              <w:t>20</w:t>
            </w:r>
            <w:r w:rsidR="00E31A8F">
              <w:rPr>
                <w:rFonts w:ascii="Calibri" w:hAnsi="Calibri"/>
                <w:color w:val="000000"/>
                <w:sz w:val="22"/>
                <w:szCs w:val="22"/>
                <w:lang w:eastAsia="en-GB"/>
              </w:rPr>
              <w:t>2</w:t>
            </w:r>
            <w:r w:rsidR="000F51CA">
              <w:rPr>
                <w:rFonts w:ascii="Calibri" w:hAnsi="Calibri"/>
                <w:color w:val="000000"/>
                <w:sz w:val="22"/>
                <w:szCs w:val="22"/>
                <w:lang w:eastAsia="en-GB"/>
              </w:rPr>
              <w:t>2</w:t>
            </w:r>
            <w:r w:rsidRPr="00170BF4">
              <w:rPr>
                <w:rFonts w:ascii="Calibri" w:hAnsi="Calibri"/>
                <w:color w:val="000000"/>
                <w:sz w:val="22"/>
                <w:szCs w:val="22"/>
                <w:lang w:eastAsia="en-GB"/>
              </w:rPr>
              <w:t>-</w:t>
            </w:r>
            <w:r w:rsidR="006C2A60">
              <w:rPr>
                <w:rFonts w:ascii="Calibri" w:hAnsi="Calibri"/>
                <w:color w:val="000000"/>
                <w:sz w:val="22"/>
                <w:szCs w:val="22"/>
                <w:lang w:eastAsia="en-GB"/>
              </w:rPr>
              <w:t>2</w:t>
            </w:r>
            <w:r w:rsidR="000F51CA">
              <w:rPr>
                <w:rFonts w:ascii="Calibri" w:hAnsi="Calibri"/>
                <w:color w:val="000000"/>
                <w:sz w:val="22"/>
                <w:szCs w:val="22"/>
                <w:lang w:eastAsia="en-GB"/>
              </w:rPr>
              <w:t>3</w:t>
            </w:r>
          </w:p>
        </w:tc>
      </w:tr>
      <w:tr w:rsidR="00170BF4" w:rsidRPr="00170BF4" w14:paraId="09B03EF9" w14:textId="77777777" w:rsidTr="00B30C98">
        <w:trPr>
          <w:trHeight w:val="300"/>
        </w:trPr>
        <w:tc>
          <w:tcPr>
            <w:tcW w:w="3860" w:type="dxa"/>
            <w:tcBorders>
              <w:top w:val="nil"/>
              <w:left w:val="single" w:sz="4" w:space="0" w:color="FFFFFF"/>
              <w:bottom w:val="nil"/>
              <w:right w:val="single" w:sz="4" w:space="0" w:color="FFFFFF"/>
            </w:tcBorders>
            <w:shd w:val="clear" w:color="000000" w:fill="C4D79B"/>
            <w:noWrap/>
            <w:vAlign w:val="bottom"/>
            <w:hideMark/>
          </w:tcPr>
          <w:p w14:paraId="61105E09" w14:textId="77777777" w:rsidR="00170BF4" w:rsidRPr="00170BF4" w:rsidRDefault="00170BF4" w:rsidP="00170BF4">
            <w:pPr>
              <w:rPr>
                <w:rFonts w:ascii="Calibri" w:hAnsi="Calibri"/>
                <w:color w:val="000000"/>
                <w:sz w:val="22"/>
                <w:szCs w:val="22"/>
                <w:lang w:eastAsia="en-GB"/>
              </w:rPr>
            </w:pPr>
            <w:r w:rsidRPr="00170BF4">
              <w:rPr>
                <w:rFonts w:ascii="Calibri" w:hAnsi="Calibri"/>
                <w:color w:val="000000"/>
                <w:sz w:val="22"/>
                <w:szCs w:val="22"/>
                <w:lang w:eastAsia="en-GB"/>
              </w:rPr>
              <w:t> </w:t>
            </w:r>
          </w:p>
        </w:tc>
        <w:tc>
          <w:tcPr>
            <w:tcW w:w="2260" w:type="dxa"/>
            <w:tcBorders>
              <w:top w:val="nil"/>
              <w:left w:val="nil"/>
              <w:bottom w:val="single" w:sz="4" w:space="0" w:color="FFFFFF"/>
              <w:right w:val="single" w:sz="4" w:space="0" w:color="FFFFFF"/>
            </w:tcBorders>
            <w:shd w:val="clear" w:color="000000" w:fill="C4D79B"/>
            <w:noWrap/>
            <w:vAlign w:val="bottom"/>
            <w:hideMark/>
          </w:tcPr>
          <w:p w14:paraId="4BF45DD4" w14:textId="77777777" w:rsidR="00170BF4" w:rsidRPr="00170BF4" w:rsidRDefault="00170BF4" w:rsidP="00170BF4">
            <w:pPr>
              <w:jc w:val="right"/>
              <w:rPr>
                <w:rFonts w:ascii="Calibri" w:hAnsi="Calibri"/>
                <w:color w:val="000000"/>
                <w:sz w:val="22"/>
                <w:szCs w:val="22"/>
                <w:lang w:eastAsia="en-GB"/>
              </w:rPr>
            </w:pPr>
            <w:r w:rsidRPr="00170BF4">
              <w:rPr>
                <w:rFonts w:ascii="Calibri" w:hAnsi="Calibri"/>
                <w:color w:val="000000"/>
                <w:sz w:val="22"/>
                <w:szCs w:val="22"/>
                <w:lang w:eastAsia="en-GB"/>
              </w:rPr>
              <w:t>Number of Employees</w:t>
            </w:r>
          </w:p>
        </w:tc>
        <w:tc>
          <w:tcPr>
            <w:tcW w:w="2571" w:type="dxa"/>
            <w:tcBorders>
              <w:top w:val="nil"/>
              <w:left w:val="nil"/>
              <w:bottom w:val="single" w:sz="4" w:space="0" w:color="FFFFFF"/>
              <w:right w:val="single" w:sz="4" w:space="0" w:color="FFFFFF"/>
            </w:tcBorders>
            <w:shd w:val="clear" w:color="000000" w:fill="C4D79B"/>
            <w:noWrap/>
            <w:vAlign w:val="bottom"/>
            <w:hideMark/>
          </w:tcPr>
          <w:p w14:paraId="78C070B1" w14:textId="77777777" w:rsidR="00170BF4" w:rsidRPr="00170BF4" w:rsidRDefault="00170BF4" w:rsidP="00170BF4">
            <w:pPr>
              <w:jc w:val="right"/>
              <w:rPr>
                <w:rFonts w:ascii="Calibri" w:hAnsi="Calibri"/>
                <w:color w:val="000000"/>
                <w:sz w:val="22"/>
                <w:szCs w:val="22"/>
                <w:lang w:eastAsia="en-GB"/>
              </w:rPr>
            </w:pPr>
            <w:r w:rsidRPr="00170BF4">
              <w:rPr>
                <w:rFonts w:ascii="Calibri" w:hAnsi="Calibri"/>
                <w:color w:val="000000"/>
                <w:sz w:val="22"/>
                <w:szCs w:val="22"/>
                <w:lang w:eastAsia="en-GB"/>
              </w:rPr>
              <w:t>Number of Employees</w:t>
            </w:r>
          </w:p>
        </w:tc>
      </w:tr>
      <w:tr w:rsidR="00170BF4" w:rsidRPr="00170BF4" w14:paraId="04BDC5B7" w14:textId="77777777" w:rsidTr="00B30C98">
        <w:trPr>
          <w:trHeight w:val="300"/>
        </w:trPr>
        <w:tc>
          <w:tcPr>
            <w:tcW w:w="3860" w:type="dxa"/>
            <w:tcBorders>
              <w:top w:val="single" w:sz="4" w:space="0" w:color="FFFFFF"/>
              <w:left w:val="single" w:sz="4" w:space="0" w:color="FFFFFF"/>
              <w:bottom w:val="single" w:sz="4" w:space="0" w:color="FFFFFF"/>
              <w:right w:val="single" w:sz="4" w:space="0" w:color="FFFFFF"/>
            </w:tcBorders>
            <w:shd w:val="clear" w:color="000000" w:fill="EBF1DE"/>
            <w:noWrap/>
            <w:vAlign w:val="bottom"/>
            <w:hideMark/>
          </w:tcPr>
          <w:p w14:paraId="496C95EC" w14:textId="77777777" w:rsidR="00170BF4" w:rsidRPr="00170BF4" w:rsidRDefault="00170BF4" w:rsidP="00170BF4">
            <w:pPr>
              <w:rPr>
                <w:rFonts w:ascii="Calibri" w:hAnsi="Calibri"/>
                <w:color w:val="000000"/>
                <w:sz w:val="22"/>
                <w:szCs w:val="22"/>
                <w:lang w:eastAsia="en-GB"/>
              </w:rPr>
            </w:pPr>
            <w:r w:rsidRPr="00170BF4">
              <w:rPr>
                <w:rFonts w:ascii="Calibri" w:hAnsi="Calibri"/>
                <w:color w:val="000000"/>
                <w:sz w:val="22"/>
                <w:szCs w:val="22"/>
                <w:lang w:eastAsia="en-GB"/>
              </w:rPr>
              <w:t>£50,000 - £54,999</w:t>
            </w:r>
          </w:p>
        </w:tc>
        <w:tc>
          <w:tcPr>
            <w:tcW w:w="2260" w:type="dxa"/>
            <w:tcBorders>
              <w:top w:val="single" w:sz="4" w:space="0" w:color="FFFFFF"/>
              <w:left w:val="nil"/>
              <w:bottom w:val="single" w:sz="4" w:space="0" w:color="FFFFFF" w:themeColor="background1"/>
              <w:right w:val="single" w:sz="4" w:space="0" w:color="FFFFFF" w:themeColor="background1"/>
            </w:tcBorders>
            <w:shd w:val="clear" w:color="000000" w:fill="EBF1DE"/>
            <w:noWrap/>
            <w:vAlign w:val="bottom"/>
            <w:hideMark/>
          </w:tcPr>
          <w:p w14:paraId="65C052CD" w14:textId="466B15AC" w:rsidR="00170BF4" w:rsidRPr="00170BF4" w:rsidRDefault="000F51CA" w:rsidP="00170BF4">
            <w:pPr>
              <w:jc w:val="right"/>
              <w:rPr>
                <w:rFonts w:ascii="Calibri" w:hAnsi="Calibri"/>
                <w:color w:val="000000"/>
                <w:sz w:val="22"/>
                <w:szCs w:val="22"/>
                <w:lang w:eastAsia="en-GB"/>
              </w:rPr>
            </w:pPr>
            <w:r>
              <w:rPr>
                <w:rFonts w:ascii="Calibri" w:hAnsi="Calibri"/>
                <w:color w:val="000000"/>
                <w:sz w:val="22"/>
                <w:szCs w:val="22"/>
                <w:lang w:eastAsia="en-GB"/>
              </w:rPr>
              <w:t>10</w:t>
            </w:r>
          </w:p>
        </w:tc>
        <w:tc>
          <w:tcPr>
            <w:tcW w:w="2571" w:type="dxa"/>
            <w:tcBorders>
              <w:top w:val="single" w:sz="4" w:space="0" w:color="FFFFFF"/>
              <w:left w:val="single" w:sz="4" w:space="0" w:color="FFFFFF" w:themeColor="background1"/>
              <w:bottom w:val="single" w:sz="4" w:space="0" w:color="FFFFFF" w:themeColor="background1"/>
              <w:right w:val="single" w:sz="4" w:space="0" w:color="FFFFFF"/>
            </w:tcBorders>
            <w:shd w:val="clear" w:color="000000" w:fill="EBF1DE"/>
            <w:noWrap/>
            <w:vAlign w:val="bottom"/>
          </w:tcPr>
          <w:p w14:paraId="1E357B09" w14:textId="5335AEC6" w:rsidR="00170BF4" w:rsidRPr="00170BF4" w:rsidRDefault="00053306" w:rsidP="00170BF4">
            <w:pPr>
              <w:jc w:val="right"/>
              <w:rPr>
                <w:rFonts w:ascii="Calibri" w:hAnsi="Calibri"/>
                <w:color w:val="000000"/>
                <w:sz w:val="22"/>
                <w:szCs w:val="22"/>
                <w:lang w:eastAsia="en-GB"/>
              </w:rPr>
            </w:pPr>
            <w:r>
              <w:rPr>
                <w:rFonts w:ascii="Calibri" w:hAnsi="Calibri"/>
                <w:color w:val="000000"/>
                <w:sz w:val="22"/>
                <w:szCs w:val="22"/>
                <w:lang w:eastAsia="en-GB"/>
              </w:rPr>
              <w:t>3</w:t>
            </w:r>
          </w:p>
        </w:tc>
      </w:tr>
      <w:tr w:rsidR="009F5E68" w:rsidRPr="00170BF4" w14:paraId="06BA1274" w14:textId="77777777" w:rsidTr="00B30C98">
        <w:trPr>
          <w:trHeight w:val="300"/>
        </w:trPr>
        <w:tc>
          <w:tcPr>
            <w:tcW w:w="3860" w:type="dxa"/>
            <w:tcBorders>
              <w:top w:val="single" w:sz="4" w:space="0" w:color="FFFFFF"/>
              <w:left w:val="single" w:sz="4" w:space="0" w:color="FFFFFF"/>
              <w:bottom w:val="single" w:sz="4" w:space="0" w:color="FFFFFF"/>
              <w:right w:val="single" w:sz="4" w:space="0" w:color="FFFFFF"/>
            </w:tcBorders>
            <w:shd w:val="clear" w:color="000000" w:fill="EBF1DE"/>
            <w:noWrap/>
            <w:vAlign w:val="bottom"/>
          </w:tcPr>
          <w:p w14:paraId="7F56AEDB" w14:textId="77777777" w:rsidR="009F5E68" w:rsidRPr="00170BF4" w:rsidRDefault="009F5E68" w:rsidP="00170BF4">
            <w:pPr>
              <w:rPr>
                <w:rFonts w:ascii="Calibri" w:hAnsi="Calibri"/>
                <w:color w:val="000000"/>
                <w:sz w:val="22"/>
                <w:szCs w:val="22"/>
                <w:lang w:eastAsia="en-GB"/>
              </w:rPr>
            </w:pPr>
            <w:r>
              <w:rPr>
                <w:rFonts w:ascii="Calibri" w:hAnsi="Calibri"/>
                <w:color w:val="000000"/>
                <w:sz w:val="22"/>
                <w:szCs w:val="22"/>
                <w:lang w:eastAsia="en-GB"/>
              </w:rPr>
              <w:t>£55,000 - £59,999</w:t>
            </w:r>
          </w:p>
        </w:tc>
        <w:tc>
          <w:tcPr>
            <w:tcW w:w="2260" w:type="dxa"/>
            <w:tcBorders>
              <w:top w:val="single" w:sz="4" w:space="0" w:color="FFFFFF" w:themeColor="background1"/>
              <w:left w:val="nil"/>
              <w:bottom w:val="single" w:sz="4" w:space="0" w:color="FFFFFF" w:themeColor="background1"/>
              <w:right w:val="single" w:sz="4" w:space="0" w:color="FFFFFF" w:themeColor="background1"/>
            </w:tcBorders>
            <w:shd w:val="clear" w:color="000000" w:fill="EBF1DE"/>
            <w:noWrap/>
            <w:vAlign w:val="bottom"/>
          </w:tcPr>
          <w:p w14:paraId="3B7EFC4C" w14:textId="34BB5E40" w:rsidR="009F5E68" w:rsidRDefault="000F51CA" w:rsidP="00170BF4">
            <w:pPr>
              <w:jc w:val="right"/>
              <w:rPr>
                <w:rFonts w:ascii="Calibri" w:hAnsi="Calibri"/>
                <w:color w:val="000000"/>
                <w:sz w:val="22"/>
                <w:szCs w:val="22"/>
                <w:lang w:eastAsia="en-GB"/>
              </w:rPr>
            </w:pPr>
            <w:r>
              <w:rPr>
                <w:rFonts w:ascii="Calibri" w:hAnsi="Calibri"/>
                <w:color w:val="000000"/>
                <w:sz w:val="22"/>
                <w:szCs w:val="22"/>
                <w:lang w:eastAsia="en-GB"/>
              </w:rPr>
              <w:t>1</w:t>
            </w:r>
          </w:p>
        </w:tc>
        <w:tc>
          <w:tcPr>
            <w:tcW w:w="2571"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EBF1DE"/>
            <w:noWrap/>
            <w:vAlign w:val="bottom"/>
          </w:tcPr>
          <w:p w14:paraId="11A1C974" w14:textId="1312D970" w:rsidR="009F5E68" w:rsidRPr="00170BF4" w:rsidRDefault="00053306" w:rsidP="00170BF4">
            <w:pPr>
              <w:jc w:val="right"/>
              <w:rPr>
                <w:rFonts w:ascii="Calibri" w:hAnsi="Calibri"/>
                <w:color w:val="000000"/>
                <w:sz w:val="22"/>
                <w:szCs w:val="22"/>
                <w:lang w:eastAsia="en-GB"/>
              </w:rPr>
            </w:pPr>
            <w:r>
              <w:rPr>
                <w:rFonts w:ascii="Calibri" w:hAnsi="Calibri"/>
                <w:color w:val="000000"/>
                <w:sz w:val="22"/>
                <w:szCs w:val="22"/>
                <w:lang w:eastAsia="en-GB"/>
              </w:rPr>
              <w:t>1</w:t>
            </w:r>
          </w:p>
        </w:tc>
      </w:tr>
    </w:tbl>
    <w:p w14:paraId="2B629F2B" w14:textId="525A6743" w:rsidR="00170BF4" w:rsidRDefault="00170BF4" w:rsidP="00707761">
      <w:pPr>
        <w:widowControl w:val="0"/>
        <w:tabs>
          <w:tab w:val="left" w:pos="993"/>
          <w:tab w:val="left" w:pos="2160"/>
          <w:tab w:val="left" w:pos="7200"/>
          <w:tab w:val="left" w:pos="7920"/>
          <w:tab w:val="left" w:pos="9639"/>
        </w:tabs>
        <w:spacing w:line="220" w:lineRule="exact"/>
        <w:ind w:right="25"/>
        <w:jc w:val="both"/>
        <w:rPr>
          <w:rFonts w:asciiTheme="minorHAnsi" w:hAnsiTheme="minorHAnsi" w:cs="Arial"/>
          <w:sz w:val="22"/>
          <w:szCs w:val="22"/>
        </w:rPr>
      </w:pPr>
    </w:p>
    <w:p w14:paraId="71384AC1" w14:textId="77777777" w:rsidR="00D3279C" w:rsidRDefault="00D3279C" w:rsidP="00707761">
      <w:pPr>
        <w:widowControl w:val="0"/>
        <w:tabs>
          <w:tab w:val="left" w:pos="993"/>
          <w:tab w:val="left" w:pos="2160"/>
          <w:tab w:val="left" w:pos="7200"/>
          <w:tab w:val="left" w:pos="7920"/>
          <w:tab w:val="left" w:pos="9639"/>
        </w:tabs>
        <w:spacing w:line="220" w:lineRule="exact"/>
        <w:ind w:right="25"/>
        <w:jc w:val="both"/>
        <w:rPr>
          <w:rFonts w:asciiTheme="minorHAnsi" w:hAnsiTheme="minorHAnsi" w:cs="Arial"/>
          <w:sz w:val="22"/>
          <w:szCs w:val="22"/>
        </w:rPr>
      </w:pPr>
    </w:p>
    <w:p w14:paraId="018102DA" w14:textId="538F6FD1" w:rsidR="00707761" w:rsidRPr="0045463E" w:rsidRDefault="001726F4" w:rsidP="00704A70">
      <w:pPr>
        <w:pStyle w:val="Heading2"/>
      </w:pPr>
      <w:r>
        <w:lastRenderedPageBreak/>
        <w:t>1</w:t>
      </w:r>
      <w:r w:rsidR="00D3279C">
        <w:t>1</w:t>
      </w:r>
      <w:r w:rsidR="00707761" w:rsidRPr="0045463E">
        <w:tab/>
        <w:t>E</w:t>
      </w:r>
      <w:r w:rsidR="0045463E" w:rsidRPr="0045463E">
        <w:t>xit Packages</w:t>
      </w:r>
    </w:p>
    <w:p w14:paraId="4D570A96" w14:textId="77777777" w:rsidR="00707761" w:rsidRDefault="00707761" w:rsidP="00707761">
      <w:pPr>
        <w:widowControl w:val="0"/>
        <w:tabs>
          <w:tab w:val="left" w:pos="567"/>
          <w:tab w:val="left" w:pos="7200"/>
          <w:tab w:val="left" w:pos="7920"/>
        </w:tabs>
        <w:ind w:right="25"/>
        <w:jc w:val="both"/>
        <w:rPr>
          <w:rFonts w:ascii="Arial" w:hAnsi="Arial" w:cs="Arial"/>
          <w:b/>
        </w:rPr>
      </w:pPr>
    </w:p>
    <w:p w14:paraId="1D8606C0" w14:textId="5C9FBE6D" w:rsidR="00B72A55" w:rsidRDefault="00707761" w:rsidP="002B39FB">
      <w:pPr>
        <w:widowControl w:val="0"/>
        <w:tabs>
          <w:tab w:val="left" w:pos="567"/>
          <w:tab w:val="left" w:pos="7200"/>
          <w:tab w:val="left" w:pos="7920"/>
        </w:tabs>
        <w:ind w:right="25"/>
        <w:jc w:val="both"/>
        <w:rPr>
          <w:rFonts w:asciiTheme="minorHAnsi" w:hAnsiTheme="minorHAnsi" w:cs="Arial"/>
          <w:color w:val="000000" w:themeColor="text1"/>
          <w:sz w:val="22"/>
          <w:szCs w:val="22"/>
        </w:rPr>
      </w:pPr>
      <w:r w:rsidRPr="0045463E">
        <w:rPr>
          <w:rFonts w:asciiTheme="minorHAnsi" w:hAnsiTheme="minorHAnsi" w:cs="Arial"/>
          <w:sz w:val="22"/>
          <w:szCs w:val="22"/>
        </w:rPr>
        <w:t>The</w:t>
      </w:r>
      <w:r w:rsidR="002B39FB">
        <w:rPr>
          <w:rFonts w:asciiTheme="minorHAnsi" w:hAnsiTheme="minorHAnsi" w:cs="Arial"/>
          <w:sz w:val="22"/>
          <w:szCs w:val="22"/>
        </w:rPr>
        <w:t xml:space="preserve"> Council did not incur any costs in relation to exit packages </w:t>
      </w:r>
      <w:r w:rsidR="00B72A55" w:rsidRPr="006F57BD">
        <w:rPr>
          <w:rFonts w:asciiTheme="minorHAnsi" w:hAnsiTheme="minorHAnsi" w:cs="Arial"/>
          <w:color w:val="000000" w:themeColor="text1"/>
          <w:sz w:val="22"/>
          <w:szCs w:val="22"/>
        </w:rPr>
        <w:t>in 2022-23 (£0 in 2021</w:t>
      </w:r>
      <w:r w:rsidR="00B72A55" w:rsidRPr="0060378A">
        <w:rPr>
          <w:rFonts w:asciiTheme="minorHAnsi" w:hAnsiTheme="minorHAnsi" w:cs="Arial"/>
          <w:color w:val="000000" w:themeColor="text1"/>
          <w:sz w:val="22"/>
          <w:szCs w:val="22"/>
        </w:rPr>
        <w:t>-</w:t>
      </w:r>
      <w:r w:rsidR="00B72A55">
        <w:rPr>
          <w:rFonts w:asciiTheme="minorHAnsi" w:hAnsiTheme="minorHAnsi" w:cs="Arial"/>
          <w:color w:val="000000" w:themeColor="text1"/>
          <w:sz w:val="22"/>
          <w:szCs w:val="22"/>
        </w:rPr>
        <w:t>22</w:t>
      </w:r>
      <w:r w:rsidR="00B72A55" w:rsidRPr="0060378A">
        <w:rPr>
          <w:rFonts w:asciiTheme="minorHAnsi" w:hAnsiTheme="minorHAnsi" w:cs="Arial"/>
          <w:color w:val="000000" w:themeColor="text1"/>
          <w:sz w:val="22"/>
          <w:szCs w:val="22"/>
        </w:rPr>
        <w:t>).</w:t>
      </w:r>
      <w:r w:rsidR="00B72A55" w:rsidRPr="008917BB">
        <w:rPr>
          <w:rFonts w:asciiTheme="minorHAnsi" w:hAnsiTheme="minorHAnsi" w:cs="Arial"/>
          <w:color w:val="000000" w:themeColor="text1"/>
          <w:sz w:val="22"/>
          <w:szCs w:val="22"/>
        </w:rPr>
        <w:t xml:space="preserve"> </w:t>
      </w:r>
    </w:p>
    <w:p w14:paraId="77593B47" w14:textId="77777777" w:rsidR="00A54A62" w:rsidRDefault="00A54A62" w:rsidP="002B39FB">
      <w:pPr>
        <w:widowControl w:val="0"/>
        <w:tabs>
          <w:tab w:val="left" w:pos="567"/>
          <w:tab w:val="left" w:pos="7200"/>
          <w:tab w:val="left" w:pos="7920"/>
        </w:tabs>
        <w:ind w:right="25"/>
        <w:jc w:val="both"/>
        <w:rPr>
          <w:rFonts w:asciiTheme="minorHAnsi" w:hAnsiTheme="minorHAnsi" w:cs="Arial"/>
          <w:color w:val="000000" w:themeColor="text1"/>
          <w:sz w:val="22"/>
          <w:szCs w:val="22"/>
        </w:rPr>
      </w:pPr>
    </w:p>
    <w:p w14:paraId="0B04779D" w14:textId="3B99C12D" w:rsidR="00D97BFF" w:rsidRDefault="00E84800" w:rsidP="00704A70">
      <w:pPr>
        <w:pStyle w:val="Heading2"/>
      </w:pPr>
      <w:r>
        <w:t>1</w:t>
      </w:r>
      <w:r w:rsidR="00D3279C">
        <w:t>2</w:t>
      </w:r>
      <w:r w:rsidR="008917BB" w:rsidRPr="008917BB">
        <w:tab/>
        <w:t>T</w:t>
      </w:r>
      <w:r w:rsidR="008917BB">
        <w:t>ermination Benefits</w:t>
      </w:r>
    </w:p>
    <w:p w14:paraId="1494C0CE" w14:textId="77777777" w:rsidR="00AE3DF2" w:rsidRPr="00AE3DF2" w:rsidRDefault="00AE3DF2" w:rsidP="00AE3DF2"/>
    <w:p w14:paraId="456D8AF1" w14:textId="77777777" w:rsidR="00D97BFF" w:rsidRPr="00B921B9" w:rsidRDefault="00D97BFF" w:rsidP="00D97BFF">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Termination benefits are amounts payable as a result of a decision by the Council to terminate an officer’s employment before the normal retirement date or an officer’s decision to accept voluntary redundancy in exchange for those benefits and are charged on an accruals basis to the appropriate service at the earlier of when the Council can no longer withdraw the offer of those benefits or when the Council recognises costs for a restructuring.</w:t>
      </w:r>
    </w:p>
    <w:p w14:paraId="16780F47" w14:textId="77777777" w:rsidR="00D97BFF" w:rsidRPr="00B921B9" w:rsidRDefault="00D97BFF" w:rsidP="00D97BFF">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Where termination benefits involve the enhancements of pensions, statutory provisions require the General Fund balance to be charged with the amount payable by the Council to the pension fund in the year, not the amount calculated according to the relevant accounting standards. </w:t>
      </w:r>
    </w:p>
    <w:p w14:paraId="16EED476" w14:textId="77777777" w:rsidR="00D97BFF" w:rsidRPr="00B921B9" w:rsidRDefault="00D97BFF" w:rsidP="00D97BFF">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In the Movement in Reserves Statement, appropriations are required to and from the Pensions Reserve to remove the notional debits and credits for pension enhancement termination benefits and replace them with debits for the cash paid to the pension fund and any such amounts payable but unpaid at the year-end.  </w:t>
      </w:r>
    </w:p>
    <w:p w14:paraId="63597926" w14:textId="65D60429" w:rsidR="008917BB" w:rsidRDefault="008917BB" w:rsidP="008917BB">
      <w:pPr>
        <w:widowControl w:val="0"/>
        <w:spacing w:after="120"/>
        <w:jc w:val="both"/>
        <w:rPr>
          <w:rFonts w:asciiTheme="minorHAnsi" w:hAnsiTheme="minorHAnsi" w:cs="Arial"/>
          <w:color w:val="000000" w:themeColor="text1"/>
          <w:sz w:val="22"/>
          <w:szCs w:val="22"/>
        </w:rPr>
      </w:pPr>
      <w:r w:rsidRPr="008917BB">
        <w:rPr>
          <w:rFonts w:asciiTheme="minorHAnsi" w:hAnsiTheme="minorHAnsi" w:cs="Arial"/>
          <w:color w:val="000000" w:themeColor="text1"/>
          <w:sz w:val="22"/>
          <w:szCs w:val="22"/>
        </w:rPr>
        <w:t>The Authority</w:t>
      </w:r>
      <w:r w:rsidR="00554540">
        <w:rPr>
          <w:rFonts w:asciiTheme="minorHAnsi" w:hAnsiTheme="minorHAnsi" w:cs="Arial"/>
          <w:color w:val="000000" w:themeColor="text1"/>
          <w:sz w:val="22"/>
          <w:szCs w:val="22"/>
        </w:rPr>
        <w:t xml:space="preserve"> </w:t>
      </w:r>
      <w:r w:rsidR="000B6358" w:rsidRPr="006F57BD">
        <w:rPr>
          <w:rFonts w:asciiTheme="minorHAnsi" w:hAnsiTheme="minorHAnsi" w:cs="Arial"/>
          <w:color w:val="000000" w:themeColor="text1"/>
          <w:sz w:val="22"/>
          <w:szCs w:val="22"/>
        </w:rPr>
        <w:t xml:space="preserve">did not </w:t>
      </w:r>
      <w:r w:rsidR="00554540" w:rsidRPr="006F57BD">
        <w:rPr>
          <w:rFonts w:asciiTheme="minorHAnsi" w:hAnsiTheme="minorHAnsi" w:cs="Arial"/>
          <w:color w:val="000000" w:themeColor="text1"/>
          <w:sz w:val="22"/>
          <w:szCs w:val="22"/>
        </w:rPr>
        <w:t>commit to</w:t>
      </w:r>
      <w:r w:rsidRPr="006F57BD">
        <w:rPr>
          <w:rFonts w:asciiTheme="minorHAnsi" w:hAnsiTheme="minorHAnsi" w:cs="Arial"/>
          <w:color w:val="000000" w:themeColor="text1"/>
          <w:sz w:val="22"/>
          <w:szCs w:val="22"/>
        </w:rPr>
        <w:t xml:space="preserve"> terminate </w:t>
      </w:r>
      <w:r w:rsidR="000B6358" w:rsidRPr="006F57BD">
        <w:rPr>
          <w:rFonts w:asciiTheme="minorHAnsi" w:hAnsiTheme="minorHAnsi" w:cs="Arial"/>
          <w:color w:val="000000" w:themeColor="text1"/>
          <w:sz w:val="22"/>
          <w:szCs w:val="22"/>
        </w:rPr>
        <w:t>any</w:t>
      </w:r>
      <w:r w:rsidR="001C6F2D" w:rsidRPr="006F57BD">
        <w:rPr>
          <w:rFonts w:asciiTheme="minorHAnsi" w:hAnsiTheme="minorHAnsi" w:cs="Arial"/>
          <w:color w:val="000000" w:themeColor="text1"/>
          <w:sz w:val="22"/>
          <w:szCs w:val="22"/>
        </w:rPr>
        <w:t xml:space="preserve"> </w:t>
      </w:r>
      <w:r w:rsidRPr="006F57BD">
        <w:rPr>
          <w:rFonts w:asciiTheme="minorHAnsi" w:hAnsiTheme="minorHAnsi" w:cs="Arial"/>
          <w:color w:val="000000" w:themeColor="text1"/>
          <w:sz w:val="22"/>
          <w:szCs w:val="22"/>
        </w:rPr>
        <w:t>contracts in 20</w:t>
      </w:r>
      <w:r w:rsidR="009B48B8" w:rsidRPr="006F57BD">
        <w:rPr>
          <w:rFonts w:asciiTheme="minorHAnsi" w:hAnsiTheme="minorHAnsi" w:cs="Arial"/>
          <w:color w:val="000000" w:themeColor="text1"/>
          <w:sz w:val="22"/>
          <w:szCs w:val="22"/>
        </w:rPr>
        <w:t>2</w:t>
      </w:r>
      <w:r w:rsidR="000F51CA" w:rsidRPr="006F57BD">
        <w:rPr>
          <w:rFonts w:asciiTheme="minorHAnsi" w:hAnsiTheme="minorHAnsi" w:cs="Arial"/>
          <w:color w:val="000000" w:themeColor="text1"/>
          <w:sz w:val="22"/>
          <w:szCs w:val="22"/>
        </w:rPr>
        <w:t>2</w:t>
      </w:r>
      <w:r w:rsidRPr="006F57BD">
        <w:rPr>
          <w:rFonts w:asciiTheme="minorHAnsi" w:hAnsiTheme="minorHAnsi" w:cs="Arial"/>
          <w:color w:val="000000" w:themeColor="text1"/>
          <w:sz w:val="22"/>
          <w:szCs w:val="22"/>
        </w:rPr>
        <w:t>-</w:t>
      </w:r>
      <w:r w:rsidR="009B48B8" w:rsidRPr="006F57BD">
        <w:rPr>
          <w:rFonts w:asciiTheme="minorHAnsi" w:hAnsiTheme="minorHAnsi" w:cs="Arial"/>
          <w:color w:val="000000" w:themeColor="text1"/>
          <w:sz w:val="22"/>
          <w:szCs w:val="22"/>
        </w:rPr>
        <w:t>2</w:t>
      </w:r>
      <w:r w:rsidR="000F51CA" w:rsidRPr="006F57BD">
        <w:rPr>
          <w:rFonts w:asciiTheme="minorHAnsi" w:hAnsiTheme="minorHAnsi" w:cs="Arial"/>
          <w:color w:val="000000" w:themeColor="text1"/>
          <w:sz w:val="22"/>
          <w:szCs w:val="22"/>
        </w:rPr>
        <w:t>3</w:t>
      </w:r>
      <w:r w:rsidRPr="006F57BD">
        <w:rPr>
          <w:rFonts w:asciiTheme="minorHAnsi" w:hAnsiTheme="minorHAnsi" w:cs="Arial"/>
          <w:color w:val="000000" w:themeColor="text1"/>
          <w:sz w:val="22"/>
          <w:szCs w:val="22"/>
        </w:rPr>
        <w:t>, so incurring £</w:t>
      </w:r>
      <w:r w:rsidR="001C6F2D" w:rsidRPr="006F57BD">
        <w:rPr>
          <w:rFonts w:asciiTheme="minorHAnsi" w:hAnsiTheme="minorHAnsi" w:cs="Arial"/>
          <w:color w:val="000000" w:themeColor="text1"/>
          <w:sz w:val="22"/>
          <w:szCs w:val="22"/>
        </w:rPr>
        <w:t>0</w:t>
      </w:r>
      <w:r w:rsidRPr="006F57BD">
        <w:rPr>
          <w:rFonts w:asciiTheme="minorHAnsi" w:hAnsiTheme="minorHAnsi" w:cs="Arial"/>
          <w:color w:val="000000" w:themeColor="text1"/>
          <w:sz w:val="22"/>
          <w:szCs w:val="22"/>
        </w:rPr>
        <w:t xml:space="preserve"> in liabilities (£</w:t>
      </w:r>
      <w:r w:rsidR="000F51CA" w:rsidRPr="006F57BD">
        <w:rPr>
          <w:rFonts w:asciiTheme="minorHAnsi" w:hAnsiTheme="minorHAnsi" w:cs="Arial"/>
          <w:color w:val="000000" w:themeColor="text1"/>
          <w:sz w:val="22"/>
          <w:szCs w:val="22"/>
        </w:rPr>
        <w:t>0</w:t>
      </w:r>
      <w:r w:rsidRPr="006F57BD">
        <w:rPr>
          <w:rFonts w:asciiTheme="minorHAnsi" w:hAnsiTheme="minorHAnsi" w:cs="Arial"/>
          <w:color w:val="000000" w:themeColor="text1"/>
          <w:sz w:val="22"/>
          <w:szCs w:val="22"/>
        </w:rPr>
        <w:t xml:space="preserve"> in 20</w:t>
      </w:r>
      <w:r w:rsidR="00B01968" w:rsidRPr="006F57BD">
        <w:rPr>
          <w:rFonts w:asciiTheme="minorHAnsi" w:hAnsiTheme="minorHAnsi" w:cs="Arial"/>
          <w:color w:val="000000" w:themeColor="text1"/>
          <w:sz w:val="22"/>
          <w:szCs w:val="22"/>
        </w:rPr>
        <w:t>2</w:t>
      </w:r>
      <w:r w:rsidR="000F51CA" w:rsidRPr="006F57BD">
        <w:rPr>
          <w:rFonts w:asciiTheme="minorHAnsi" w:hAnsiTheme="minorHAnsi" w:cs="Arial"/>
          <w:color w:val="000000" w:themeColor="text1"/>
          <w:sz w:val="22"/>
          <w:szCs w:val="22"/>
        </w:rPr>
        <w:t>1</w:t>
      </w:r>
      <w:r w:rsidRPr="0060378A">
        <w:rPr>
          <w:rFonts w:asciiTheme="minorHAnsi" w:hAnsiTheme="minorHAnsi" w:cs="Arial"/>
          <w:color w:val="000000" w:themeColor="text1"/>
          <w:sz w:val="22"/>
          <w:szCs w:val="22"/>
        </w:rPr>
        <w:t>-</w:t>
      </w:r>
      <w:r w:rsidR="009B48B8">
        <w:rPr>
          <w:rFonts w:asciiTheme="minorHAnsi" w:hAnsiTheme="minorHAnsi" w:cs="Arial"/>
          <w:color w:val="000000" w:themeColor="text1"/>
          <w:sz w:val="22"/>
          <w:szCs w:val="22"/>
        </w:rPr>
        <w:t>2</w:t>
      </w:r>
      <w:r w:rsidR="000F51CA">
        <w:rPr>
          <w:rFonts w:asciiTheme="minorHAnsi" w:hAnsiTheme="minorHAnsi" w:cs="Arial"/>
          <w:color w:val="000000" w:themeColor="text1"/>
          <w:sz w:val="22"/>
          <w:szCs w:val="22"/>
        </w:rPr>
        <w:t>2</w:t>
      </w:r>
      <w:r w:rsidRPr="0060378A">
        <w:rPr>
          <w:rFonts w:asciiTheme="minorHAnsi" w:hAnsiTheme="minorHAnsi" w:cs="Arial"/>
          <w:color w:val="000000" w:themeColor="text1"/>
          <w:sz w:val="22"/>
          <w:szCs w:val="22"/>
        </w:rPr>
        <w:t>).</w:t>
      </w:r>
      <w:r w:rsidRPr="008917BB">
        <w:rPr>
          <w:rFonts w:asciiTheme="minorHAnsi" w:hAnsiTheme="minorHAnsi" w:cs="Arial"/>
          <w:color w:val="000000" w:themeColor="text1"/>
          <w:sz w:val="22"/>
          <w:szCs w:val="22"/>
        </w:rPr>
        <w:t xml:space="preserve"> </w:t>
      </w:r>
    </w:p>
    <w:p w14:paraId="7A898F2D" w14:textId="22E4BB76" w:rsidR="00707761" w:rsidRPr="000228D8" w:rsidRDefault="00484DC3" w:rsidP="00704A70">
      <w:pPr>
        <w:pStyle w:val="Heading2"/>
      </w:pPr>
      <w:r>
        <w:t>1</w:t>
      </w:r>
      <w:r w:rsidR="00D3279C">
        <w:t>3</w:t>
      </w:r>
      <w:r w:rsidR="00707761" w:rsidRPr="000228D8">
        <w:tab/>
        <w:t>E</w:t>
      </w:r>
      <w:r w:rsidR="000228D8" w:rsidRPr="000228D8">
        <w:t>xternal Audit Costs</w:t>
      </w:r>
    </w:p>
    <w:p w14:paraId="0A46B287" w14:textId="77777777" w:rsidR="00707761" w:rsidRDefault="00707761" w:rsidP="00707761">
      <w:pPr>
        <w:widowControl w:val="0"/>
        <w:tabs>
          <w:tab w:val="left" w:pos="2520"/>
          <w:tab w:val="left" w:pos="7200"/>
          <w:tab w:val="left" w:pos="8460"/>
        </w:tabs>
        <w:jc w:val="both"/>
        <w:rPr>
          <w:rFonts w:ascii="Arial" w:hAnsi="Arial" w:cs="Arial"/>
        </w:rPr>
      </w:pPr>
    </w:p>
    <w:p w14:paraId="553B9E36" w14:textId="77777777" w:rsidR="00707761" w:rsidRPr="000228D8" w:rsidRDefault="00707761" w:rsidP="00707761">
      <w:pPr>
        <w:widowControl w:val="0"/>
        <w:tabs>
          <w:tab w:val="left" w:pos="2520"/>
          <w:tab w:val="left" w:pos="7200"/>
          <w:tab w:val="left" w:pos="8460"/>
        </w:tabs>
        <w:jc w:val="both"/>
        <w:rPr>
          <w:rFonts w:asciiTheme="minorHAnsi" w:hAnsiTheme="minorHAnsi" w:cs="Arial"/>
          <w:sz w:val="22"/>
          <w:szCs w:val="22"/>
        </w:rPr>
      </w:pPr>
      <w:r w:rsidRPr="000228D8">
        <w:rPr>
          <w:rFonts w:asciiTheme="minorHAnsi" w:hAnsiTheme="minorHAnsi" w:cs="Arial"/>
          <w:sz w:val="22"/>
          <w:szCs w:val="22"/>
        </w:rPr>
        <w:t>The Council has incurred the following costs in relation to the audit of the Statement of Accounts</w:t>
      </w:r>
      <w:r w:rsidR="00ED47CD">
        <w:rPr>
          <w:rFonts w:asciiTheme="minorHAnsi" w:hAnsiTheme="minorHAnsi" w:cs="Arial"/>
          <w:sz w:val="22"/>
          <w:szCs w:val="22"/>
        </w:rPr>
        <w:t xml:space="preserve"> and</w:t>
      </w:r>
      <w:r w:rsidRPr="000228D8">
        <w:rPr>
          <w:rFonts w:asciiTheme="minorHAnsi" w:hAnsiTheme="minorHAnsi" w:cs="Arial"/>
          <w:sz w:val="22"/>
          <w:szCs w:val="22"/>
        </w:rPr>
        <w:t xml:space="preserve"> certification of grant claims provided by the Council’s external auditors:</w:t>
      </w:r>
    </w:p>
    <w:p w14:paraId="6B316E28" w14:textId="77777777" w:rsidR="00707761" w:rsidRPr="004C6DC4" w:rsidRDefault="00707761" w:rsidP="00707761">
      <w:pPr>
        <w:pStyle w:val="BodyTextIndent"/>
        <w:tabs>
          <w:tab w:val="clear" w:pos="2160"/>
          <w:tab w:val="clear" w:pos="7200"/>
          <w:tab w:val="clear" w:pos="7920"/>
          <w:tab w:val="left" w:pos="720"/>
        </w:tabs>
        <w:spacing w:line="240" w:lineRule="auto"/>
        <w:ind w:left="0" w:firstLine="0"/>
        <w:rPr>
          <w:rFonts w:ascii="Arial" w:hAnsi="Arial" w:cs="Arial"/>
        </w:rPr>
      </w:pPr>
      <w:r w:rsidRPr="004C6DC4">
        <w:rPr>
          <w:rFonts w:ascii="Arial" w:hAnsi="Arial" w:cs="Arial"/>
        </w:rPr>
        <w:tab/>
      </w:r>
    </w:p>
    <w:tbl>
      <w:tblPr>
        <w:tblW w:w="9240" w:type="dxa"/>
        <w:tblInd w:w="93" w:type="dxa"/>
        <w:tblLayout w:type="fixed"/>
        <w:tblLook w:val="04A0" w:firstRow="1" w:lastRow="0" w:firstColumn="1" w:lastColumn="0" w:noHBand="0" w:noVBand="1"/>
        <w:tblCaption w:val="External Audit Costs"/>
        <w:tblDescription w:val="External Audit Costs"/>
      </w:tblPr>
      <w:tblGrid>
        <w:gridCol w:w="1680"/>
        <w:gridCol w:w="5840"/>
        <w:gridCol w:w="1720"/>
      </w:tblGrid>
      <w:tr w:rsidR="000228D8" w:rsidRPr="000228D8" w14:paraId="65921AE9"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C4D79B"/>
            <w:vAlign w:val="center"/>
            <w:hideMark/>
          </w:tcPr>
          <w:p w14:paraId="625BEDFD" w14:textId="36338C11" w:rsidR="000228D8" w:rsidRPr="000228D8" w:rsidRDefault="000228D8" w:rsidP="006B5BAE">
            <w:pPr>
              <w:jc w:val="right"/>
              <w:rPr>
                <w:rFonts w:ascii="Calibri" w:hAnsi="Calibri"/>
                <w:color w:val="000000"/>
                <w:lang w:eastAsia="en-GB"/>
              </w:rPr>
            </w:pPr>
            <w:r w:rsidRPr="000228D8">
              <w:rPr>
                <w:rFonts w:ascii="Calibri" w:hAnsi="Calibri"/>
                <w:color w:val="000000"/>
                <w:lang w:eastAsia="en-GB"/>
              </w:rPr>
              <w:t>20</w:t>
            </w:r>
            <w:r w:rsidR="00B01968">
              <w:rPr>
                <w:rFonts w:ascii="Calibri" w:hAnsi="Calibri"/>
                <w:color w:val="000000"/>
                <w:lang w:eastAsia="en-GB"/>
              </w:rPr>
              <w:t>2</w:t>
            </w:r>
            <w:r w:rsidR="00CB0915">
              <w:rPr>
                <w:rFonts w:ascii="Calibri" w:hAnsi="Calibri"/>
                <w:color w:val="000000"/>
                <w:lang w:eastAsia="en-GB"/>
              </w:rPr>
              <w:t>1</w:t>
            </w:r>
            <w:r w:rsidRPr="000228D8">
              <w:rPr>
                <w:rFonts w:ascii="Calibri" w:hAnsi="Calibri"/>
                <w:color w:val="000000"/>
                <w:lang w:eastAsia="en-GB"/>
              </w:rPr>
              <w:t>-</w:t>
            </w:r>
            <w:r w:rsidR="006B5BAE">
              <w:rPr>
                <w:rFonts w:ascii="Calibri" w:hAnsi="Calibri"/>
                <w:color w:val="000000"/>
                <w:lang w:eastAsia="en-GB"/>
              </w:rPr>
              <w:t>2</w:t>
            </w:r>
            <w:r w:rsidR="00CB0915">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C4D79B"/>
            <w:vAlign w:val="center"/>
            <w:hideMark/>
          </w:tcPr>
          <w:p w14:paraId="7BC5EDAE" w14:textId="77777777" w:rsidR="000228D8" w:rsidRPr="000228D8" w:rsidRDefault="000228D8" w:rsidP="000228D8">
            <w:pPr>
              <w:ind w:firstLineChars="100" w:firstLine="200"/>
              <w:rPr>
                <w:rFonts w:ascii="Calibri" w:hAnsi="Calibri"/>
                <w:color w:val="000000"/>
                <w:lang w:eastAsia="en-GB"/>
              </w:rPr>
            </w:pPr>
            <w:r w:rsidRPr="000228D8">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C4D79B"/>
            <w:vAlign w:val="center"/>
            <w:hideMark/>
          </w:tcPr>
          <w:p w14:paraId="733C2631" w14:textId="7323622C" w:rsidR="000228D8" w:rsidRPr="000228D8" w:rsidRDefault="00A164B1" w:rsidP="006B5BAE">
            <w:pPr>
              <w:jc w:val="right"/>
              <w:rPr>
                <w:rFonts w:ascii="Calibri" w:hAnsi="Calibri"/>
                <w:color w:val="000000"/>
                <w:lang w:eastAsia="en-GB"/>
              </w:rPr>
            </w:pPr>
            <w:r>
              <w:rPr>
                <w:rFonts w:ascii="Calibri" w:hAnsi="Calibri"/>
                <w:color w:val="000000"/>
                <w:lang w:eastAsia="en-GB"/>
              </w:rPr>
              <w:t>20</w:t>
            </w:r>
            <w:r w:rsidR="006B5BAE">
              <w:rPr>
                <w:rFonts w:ascii="Calibri" w:hAnsi="Calibri"/>
                <w:color w:val="000000"/>
                <w:lang w:eastAsia="en-GB"/>
              </w:rPr>
              <w:t>2</w:t>
            </w:r>
            <w:r w:rsidR="00CB0915">
              <w:rPr>
                <w:rFonts w:ascii="Calibri" w:hAnsi="Calibri"/>
                <w:color w:val="000000"/>
                <w:lang w:eastAsia="en-GB"/>
              </w:rPr>
              <w:t>2</w:t>
            </w:r>
            <w:r w:rsidR="000228D8" w:rsidRPr="000228D8">
              <w:rPr>
                <w:rFonts w:ascii="Calibri" w:hAnsi="Calibri"/>
                <w:color w:val="000000"/>
                <w:lang w:eastAsia="en-GB"/>
              </w:rPr>
              <w:t>-</w:t>
            </w:r>
            <w:r w:rsidR="006C2A60">
              <w:rPr>
                <w:rFonts w:ascii="Calibri" w:hAnsi="Calibri"/>
                <w:color w:val="000000"/>
                <w:lang w:eastAsia="en-GB"/>
              </w:rPr>
              <w:t>2</w:t>
            </w:r>
            <w:r w:rsidR="00CB0915">
              <w:rPr>
                <w:rFonts w:ascii="Calibri" w:hAnsi="Calibri"/>
                <w:color w:val="000000"/>
                <w:lang w:eastAsia="en-GB"/>
              </w:rPr>
              <w:t>3</w:t>
            </w:r>
          </w:p>
        </w:tc>
      </w:tr>
      <w:tr w:rsidR="000228D8" w:rsidRPr="000228D8" w14:paraId="60DF8A1B" w14:textId="77777777" w:rsidTr="000228D8">
        <w:trPr>
          <w:trHeight w:val="300"/>
        </w:trPr>
        <w:tc>
          <w:tcPr>
            <w:tcW w:w="1680" w:type="dxa"/>
            <w:tcBorders>
              <w:top w:val="nil"/>
              <w:left w:val="single" w:sz="4" w:space="0" w:color="FFFFFF"/>
              <w:bottom w:val="single" w:sz="4" w:space="0" w:color="FFFFFF"/>
              <w:right w:val="single" w:sz="4" w:space="0" w:color="FFFFFF"/>
            </w:tcBorders>
            <w:shd w:val="clear" w:color="000000" w:fill="C4D79B"/>
            <w:vAlign w:val="center"/>
            <w:hideMark/>
          </w:tcPr>
          <w:p w14:paraId="311F5940" w14:textId="77777777" w:rsidR="000228D8" w:rsidRPr="000228D8" w:rsidRDefault="000228D8" w:rsidP="000228D8">
            <w:pPr>
              <w:jc w:val="right"/>
              <w:rPr>
                <w:rFonts w:ascii="Calibri" w:hAnsi="Calibri"/>
                <w:color w:val="000000"/>
                <w:lang w:eastAsia="en-GB"/>
              </w:rPr>
            </w:pPr>
            <w:r w:rsidRPr="000228D8">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C4D79B"/>
            <w:vAlign w:val="center"/>
            <w:hideMark/>
          </w:tcPr>
          <w:p w14:paraId="1AAFC8B7" w14:textId="77777777" w:rsidR="000228D8" w:rsidRPr="000228D8" w:rsidRDefault="000228D8" w:rsidP="000228D8">
            <w:pPr>
              <w:ind w:firstLineChars="100" w:firstLine="200"/>
              <w:jc w:val="right"/>
              <w:rPr>
                <w:rFonts w:ascii="Calibri" w:hAnsi="Calibri"/>
                <w:color w:val="000000"/>
                <w:lang w:eastAsia="en-GB"/>
              </w:rPr>
            </w:pPr>
            <w:r w:rsidRPr="000228D8">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C4D79B"/>
            <w:vAlign w:val="center"/>
            <w:hideMark/>
          </w:tcPr>
          <w:p w14:paraId="64B3CD80" w14:textId="77777777" w:rsidR="000228D8" w:rsidRPr="000228D8" w:rsidRDefault="000228D8" w:rsidP="000228D8">
            <w:pPr>
              <w:jc w:val="right"/>
              <w:rPr>
                <w:rFonts w:ascii="Calibri" w:hAnsi="Calibri"/>
                <w:color w:val="000000"/>
                <w:lang w:eastAsia="en-GB"/>
              </w:rPr>
            </w:pPr>
            <w:r w:rsidRPr="000228D8">
              <w:rPr>
                <w:rFonts w:ascii="Calibri" w:hAnsi="Calibri"/>
                <w:color w:val="000000"/>
                <w:lang w:eastAsia="en-GB"/>
              </w:rPr>
              <w:t>£’000</w:t>
            </w:r>
          </w:p>
        </w:tc>
      </w:tr>
      <w:tr w:rsidR="000228D8" w:rsidRPr="000228D8" w14:paraId="29BF15A4" w14:textId="77777777" w:rsidTr="00A164B1">
        <w:trPr>
          <w:trHeight w:val="51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7AC20925" w14:textId="77777777" w:rsidR="000228D8" w:rsidRPr="000228D8" w:rsidRDefault="006C2A60" w:rsidP="006B5BAE">
            <w:pPr>
              <w:jc w:val="right"/>
              <w:rPr>
                <w:rFonts w:ascii="Calibri" w:hAnsi="Calibri"/>
                <w:color w:val="000000"/>
                <w:lang w:eastAsia="en-GB"/>
              </w:rPr>
            </w:pPr>
            <w:r>
              <w:rPr>
                <w:rFonts w:ascii="Calibri" w:hAnsi="Calibri"/>
                <w:color w:val="000000"/>
                <w:lang w:eastAsia="en-GB"/>
              </w:rPr>
              <w:t>3</w:t>
            </w:r>
            <w:r w:rsidR="006B5BAE">
              <w:rPr>
                <w:rFonts w:ascii="Calibri" w:hAnsi="Calibri"/>
                <w:color w:val="000000"/>
                <w:lang w:eastAsia="en-GB"/>
              </w:rPr>
              <w:t>3</w:t>
            </w:r>
          </w:p>
        </w:tc>
        <w:tc>
          <w:tcPr>
            <w:tcW w:w="5840" w:type="dxa"/>
            <w:tcBorders>
              <w:top w:val="nil"/>
              <w:left w:val="nil"/>
              <w:bottom w:val="single" w:sz="4" w:space="0" w:color="FFFFFF"/>
              <w:right w:val="single" w:sz="4" w:space="0" w:color="FFFFFF"/>
            </w:tcBorders>
            <w:shd w:val="clear" w:color="000000" w:fill="EBF1DE"/>
            <w:vAlign w:val="center"/>
            <w:hideMark/>
          </w:tcPr>
          <w:p w14:paraId="00E5BA65" w14:textId="77777777" w:rsidR="000228D8" w:rsidRPr="000228D8" w:rsidRDefault="000228D8" w:rsidP="004226ED">
            <w:pPr>
              <w:rPr>
                <w:rFonts w:ascii="Calibri" w:hAnsi="Calibri"/>
                <w:color w:val="000000"/>
                <w:lang w:eastAsia="en-GB"/>
              </w:rPr>
            </w:pPr>
            <w:r w:rsidRPr="000228D8">
              <w:rPr>
                <w:rFonts w:ascii="Calibri" w:hAnsi="Calibri"/>
                <w:color w:val="000000"/>
                <w:lang w:eastAsia="en-GB"/>
              </w:rPr>
              <w:t>Fees payable to the appointed auditor in respect of external audit services</w:t>
            </w:r>
          </w:p>
        </w:tc>
        <w:tc>
          <w:tcPr>
            <w:tcW w:w="1720" w:type="dxa"/>
            <w:tcBorders>
              <w:top w:val="nil"/>
              <w:left w:val="nil"/>
              <w:bottom w:val="single" w:sz="4" w:space="0" w:color="FFFFFF"/>
              <w:right w:val="single" w:sz="4" w:space="0" w:color="FFFFFF"/>
            </w:tcBorders>
            <w:shd w:val="clear" w:color="000000" w:fill="D8E4BC"/>
            <w:vAlign w:val="center"/>
          </w:tcPr>
          <w:p w14:paraId="082C622D" w14:textId="59137434" w:rsidR="000228D8" w:rsidRPr="000228D8" w:rsidRDefault="00686314" w:rsidP="001D6170">
            <w:pPr>
              <w:jc w:val="right"/>
              <w:rPr>
                <w:rFonts w:ascii="Calibri" w:hAnsi="Calibri"/>
                <w:color w:val="000000"/>
                <w:lang w:eastAsia="en-GB"/>
              </w:rPr>
            </w:pPr>
            <w:r>
              <w:rPr>
                <w:rFonts w:ascii="Calibri" w:hAnsi="Calibri"/>
                <w:color w:val="000000"/>
                <w:lang w:eastAsia="en-GB"/>
              </w:rPr>
              <w:t>0</w:t>
            </w:r>
          </w:p>
        </w:tc>
      </w:tr>
      <w:tr w:rsidR="0053264F" w:rsidRPr="000228D8" w14:paraId="5D7F276C" w14:textId="77777777" w:rsidTr="00A164B1">
        <w:trPr>
          <w:trHeight w:val="510"/>
        </w:trPr>
        <w:tc>
          <w:tcPr>
            <w:tcW w:w="1680" w:type="dxa"/>
            <w:tcBorders>
              <w:top w:val="nil"/>
              <w:left w:val="single" w:sz="4" w:space="0" w:color="FFFFFF"/>
              <w:bottom w:val="single" w:sz="4" w:space="0" w:color="FFFFFF"/>
              <w:right w:val="single" w:sz="4" w:space="0" w:color="FFFFFF"/>
            </w:tcBorders>
            <w:shd w:val="clear" w:color="000000" w:fill="D8E4BC"/>
            <w:vAlign w:val="center"/>
          </w:tcPr>
          <w:p w14:paraId="22AE09E3" w14:textId="163F1A8F" w:rsidR="0053264F" w:rsidRDefault="00CB0915" w:rsidP="000228D8">
            <w:pPr>
              <w:jc w:val="right"/>
              <w:rPr>
                <w:rFonts w:ascii="Calibri" w:hAnsi="Calibri"/>
                <w:color w:val="000000"/>
                <w:lang w:eastAsia="en-GB"/>
              </w:rPr>
            </w:pPr>
            <w:r>
              <w:rPr>
                <w:rFonts w:ascii="Calibri" w:hAnsi="Calibri"/>
                <w:color w:val="000000"/>
                <w:lang w:eastAsia="en-GB"/>
              </w:rPr>
              <w:t>-6</w:t>
            </w:r>
          </w:p>
        </w:tc>
        <w:tc>
          <w:tcPr>
            <w:tcW w:w="5840" w:type="dxa"/>
            <w:tcBorders>
              <w:top w:val="nil"/>
              <w:left w:val="nil"/>
              <w:bottom w:val="single" w:sz="4" w:space="0" w:color="FFFFFF"/>
              <w:right w:val="single" w:sz="4" w:space="0" w:color="FFFFFF"/>
            </w:tcBorders>
            <w:shd w:val="clear" w:color="000000" w:fill="EBF1DE"/>
            <w:vAlign w:val="center"/>
          </w:tcPr>
          <w:p w14:paraId="09BE085F" w14:textId="77777777" w:rsidR="0053264F" w:rsidRDefault="0053264F" w:rsidP="0056366A">
            <w:pPr>
              <w:rPr>
                <w:rFonts w:ascii="Calibri" w:hAnsi="Calibri"/>
                <w:color w:val="000000"/>
                <w:lang w:eastAsia="en-GB"/>
              </w:rPr>
            </w:pPr>
            <w:r>
              <w:rPr>
                <w:rFonts w:ascii="Calibri" w:hAnsi="Calibri"/>
                <w:color w:val="000000"/>
                <w:lang w:eastAsia="en-GB"/>
              </w:rPr>
              <w:t>Refund from PSAA in relation to prior year audit fee</w:t>
            </w:r>
          </w:p>
        </w:tc>
        <w:tc>
          <w:tcPr>
            <w:tcW w:w="1720" w:type="dxa"/>
            <w:tcBorders>
              <w:top w:val="nil"/>
              <w:left w:val="nil"/>
              <w:bottom w:val="single" w:sz="4" w:space="0" w:color="FFFFFF"/>
              <w:right w:val="single" w:sz="4" w:space="0" w:color="FFFFFF"/>
            </w:tcBorders>
            <w:shd w:val="clear" w:color="000000" w:fill="D8E4BC"/>
            <w:vAlign w:val="center"/>
          </w:tcPr>
          <w:p w14:paraId="5A53D780" w14:textId="5A5DD4DE" w:rsidR="0053264F" w:rsidRPr="000228D8" w:rsidRDefault="00686314" w:rsidP="001D6170">
            <w:pPr>
              <w:jc w:val="right"/>
              <w:rPr>
                <w:rFonts w:ascii="Calibri" w:hAnsi="Calibri"/>
                <w:color w:val="000000"/>
                <w:lang w:eastAsia="en-GB"/>
              </w:rPr>
            </w:pPr>
            <w:r>
              <w:rPr>
                <w:rFonts w:ascii="Calibri" w:hAnsi="Calibri"/>
                <w:color w:val="000000"/>
                <w:lang w:eastAsia="en-GB"/>
              </w:rPr>
              <w:t>0</w:t>
            </w:r>
          </w:p>
        </w:tc>
      </w:tr>
      <w:tr w:rsidR="000228D8" w:rsidRPr="000228D8" w14:paraId="0252BB1C" w14:textId="77777777" w:rsidTr="00A164B1">
        <w:trPr>
          <w:trHeight w:val="51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72183B30" w14:textId="4CEDC9AB" w:rsidR="000228D8" w:rsidRPr="000228D8" w:rsidRDefault="00CB0915" w:rsidP="000228D8">
            <w:pPr>
              <w:jc w:val="right"/>
              <w:rPr>
                <w:rFonts w:ascii="Calibri" w:hAnsi="Calibri"/>
                <w:color w:val="000000"/>
                <w:lang w:eastAsia="en-GB"/>
              </w:rPr>
            </w:pPr>
            <w:r>
              <w:rPr>
                <w:rFonts w:ascii="Calibri" w:hAnsi="Calibri"/>
                <w:color w:val="000000"/>
                <w:lang w:eastAsia="en-GB"/>
              </w:rPr>
              <w:t>62</w:t>
            </w:r>
          </w:p>
        </w:tc>
        <w:tc>
          <w:tcPr>
            <w:tcW w:w="5840" w:type="dxa"/>
            <w:tcBorders>
              <w:top w:val="nil"/>
              <w:left w:val="nil"/>
              <w:bottom w:val="single" w:sz="4" w:space="0" w:color="FFFFFF"/>
              <w:right w:val="single" w:sz="4" w:space="0" w:color="FFFFFF"/>
            </w:tcBorders>
            <w:shd w:val="clear" w:color="000000" w:fill="EBF1DE"/>
            <w:vAlign w:val="center"/>
            <w:hideMark/>
          </w:tcPr>
          <w:p w14:paraId="26A3A24A" w14:textId="77777777" w:rsidR="000228D8" w:rsidRPr="000228D8" w:rsidRDefault="0056366A" w:rsidP="0056366A">
            <w:pPr>
              <w:rPr>
                <w:rFonts w:ascii="Calibri" w:hAnsi="Calibri"/>
                <w:color w:val="000000"/>
                <w:lang w:eastAsia="en-GB"/>
              </w:rPr>
            </w:pPr>
            <w:r>
              <w:rPr>
                <w:rFonts w:ascii="Calibri" w:hAnsi="Calibri"/>
                <w:color w:val="000000"/>
                <w:lang w:eastAsia="en-GB"/>
              </w:rPr>
              <w:t xml:space="preserve">Other </w:t>
            </w:r>
            <w:r w:rsidR="000228D8" w:rsidRPr="000228D8">
              <w:rPr>
                <w:rFonts w:ascii="Calibri" w:hAnsi="Calibri"/>
                <w:color w:val="000000"/>
                <w:lang w:eastAsia="en-GB"/>
              </w:rPr>
              <w:t xml:space="preserve">Fees payable to the appointed auditor </w:t>
            </w:r>
            <w:r>
              <w:rPr>
                <w:rFonts w:ascii="Calibri" w:hAnsi="Calibri"/>
                <w:color w:val="000000"/>
                <w:lang w:eastAsia="en-GB"/>
              </w:rPr>
              <w:t>including</w:t>
            </w:r>
            <w:r w:rsidR="000228D8" w:rsidRPr="000228D8">
              <w:rPr>
                <w:rFonts w:ascii="Calibri" w:hAnsi="Calibri"/>
                <w:color w:val="000000"/>
                <w:lang w:eastAsia="en-GB"/>
              </w:rPr>
              <w:t xml:space="preserve"> the certification of grant claims and returns</w:t>
            </w:r>
          </w:p>
        </w:tc>
        <w:tc>
          <w:tcPr>
            <w:tcW w:w="1720" w:type="dxa"/>
            <w:tcBorders>
              <w:top w:val="nil"/>
              <w:left w:val="nil"/>
              <w:bottom w:val="single" w:sz="4" w:space="0" w:color="FFFFFF"/>
              <w:right w:val="single" w:sz="4" w:space="0" w:color="FFFFFF"/>
            </w:tcBorders>
            <w:shd w:val="clear" w:color="000000" w:fill="D8E4BC"/>
            <w:vAlign w:val="center"/>
          </w:tcPr>
          <w:p w14:paraId="6E95C27A" w14:textId="39BD38FC" w:rsidR="000228D8" w:rsidRPr="000228D8" w:rsidRDefault="00686314" w:rsidP="00C12DF8">
            <w:pPr>
              <w:jc w:val="right"/>
              <w:rPr>
                <w:rFonts w:ascii="Calibri" w:hAnsi="Calibri"/>
                <w:color w:val="000000"/>
                <w:lang w:eastAsia="en-GB"/>
              </w:rPr>
            </w:pPr>
            <w:r>
              <w:rPr>
                <w:rFonts w:ascii="Calibri" w:hAnsi="Calibri"/>
                <w:color w:val="000000"/>
                <w:lang w:eastAsia="en-GB"/>
              </w:rPr>
              <w:t>13</w:t>
            </w:r>
          </w:p>
        </w:tc>
      </w:tr>
      <w:tr w:rsidR="000228D8" w:rsidRPr="000228D8" w14:paraId="692836DC" w14:textId="77777777" w:rsidTr="00A164B1">
        <w:trPr>
          <w:trHeight w:val="300"/>
        </w:trPr>
        <w:tc>
          <w:tcPr>
            <w:tcW w:w="1680" w:type="dxa"/>
            <w:tcBorders>
              <w:top w:val="nil"/>
              <w:left w:val="single" w:sz="4" w:space="0" w:color="FFFFFF"/>
              <w:bottom w:val="single" w:sz="4" w:space="0" w:color="FFFFFF"/>
              <w:right w:val="single" w:sz="4" w:space="0" w:color="FFFFFF"/>
            </w:tcBorders>
            <w:shd w:val="clear" w:color="000000" w:fill="D8E4BC"/>
            <w:vAlign w:val="center"/>
            <w:hideMark/>
          </w:tcPr>
          <w:p w14:paraId="3AE0CD28" w14:textId="1D45F5E0" w:rsidR="000228D8" w:rsidRPr="000228D8" w:rsidRDefault="00CB0915" w:rsidP="00F50543">
            <w:pPr>
              <w:jc w:val="right"/>
              <w:rPr>
                <w:rFonts w:ascii="Calibri" w:hAnsi="Calibri"/>
                <w:b/>
                <w:bCs/>
                <w:color w:val="000000"/>
                <w:lang w:eastAsia="en-GB"/>
              </w:rPr>
            </w:pPr>
            <w:r>
              <w:rPr>
                <w:rFonts w:ascii="Calibri" w:hAnsi="Calibri"/>
                <w:b/>
                <w:bCs/>
                <w:color w:val="000000"/>
                <w:lang w:eastAsia="en-GB"/>
              </w:rPr>
              <w:t>89</w:t>
            </w:r>
          </w:p>
        </w:tc>
        <w:tc>
          <w:tcPr>
            <w:tcW w:w="5840" w:type="dxa"/>
            <w:tcBorders>
              <w:top w:val="nil"/>
              <w:left w:val="nil"/>
              <w:bottom w:val="single" w:sz="4" w:space="0" w:color="FFFFFF"/>
              <w:right w:val="single" w:sz="4" w:space="0" w:color="FFFFFF"/>
            </w:tcBorders>
            <w:shd w:val="clear" w:color="000000" w:fill="D8E4BC"/>
            <w:vAlign w:val="center"/>
            <w:hideMark/>
          </w:tcPr>
          <w:p w14:paraId="5D2B42E9" w14:textId="77777777" w:rsidR="000228D8" w:rsidRPr="000228D8" w:rsidRDefault="000228D8" w:rsidP="000228D8">
            <w:pPr>
              <w:ind w:firstLineChars="100" w:firstLine="201"/>
              <w:rPr>
                <w:rFonts w:ascii="Calibri" w:hAnsi="Calibri"/>
                <w:b/>
                <w:bCs/>
                <w:color w:val="000000"/>
                <w:lang w:eastAsia="en-GB"/>
              </w:rPr>
            </w:pPr>
            <w:r w:rsidRPr="000228D8">
              <w:rPr>
                <w:rFonts w:ascii="Calibri" w:hAnsi="Calibri"/>
                <w:b/>
                <w:bCs/>
                <w:color w:val="000000"/>
                <w:lang w:eastAsia="en-GB"/>
              </w:rPr>
              <w:t>Total</w:t>
            </w:r>
          </w:p>
        </w:tc>
        <w:tc>
          <w:tcPr>
            <w:tcW w:w="1720" w:type="dxa"/>
            <w:tcBorders>
              <w:top w:val="nil"/>
              <w:left w:val="nil"/>
              <w:bottom w:val="single" w:sz="4" w:space="0" w:color="FFFFFF"/>
              <w:right w:val="single" w:sz="4" w:space="0" w:color="FFFFFF"/>
            </w:tcBorders>
            <w:shd w:val="clear" w:color="000000" w:fill="D8E4BC"/>
            <w:vAlign w:val="center"/>
          </w:tcPr>
          <w:p w14:paraId="5FB2CB25" w14:textId="5150B624" w:rsidR="000228D8" w:rsidRPr="000228D8" w:rsidRDefault="00686314" w:rsidP="00033169">
            <w:pPr>
              <w:jc w:val="right"/>
              <w:rPr>
                <w:rFonts w:ascii="Calibri" w:hAnsi="Calibri"/>
                <w:b/>
                <w:bCs/>
                <w:color w:val="000000"/>
                <w:lang w:eastAsia="en-GB"/>
              </w:rPr>
            </w:pPr>
            <w:r>
              <w:rPr>
                <w:rFonts w:ascii="Calibri" w:hAnsi="Calibri"/>
                <w:b/>
                <w:bCs/>
                <w:color w:val="000000"/>
                <w:lang w:eastAsia="en-GB"/>
              </w:rPr>
              <w:t>13</w:t>
            </w:r>
          </w:p>
        </w:tc>
      </w:tr>
    </w:tbl>
    <w:p w14:paraId="46CD8FC1" w14:textId="77777777" w:rsidR="001D6170" w:rsidRDefault="001D6170" w:rsidP="00A164B1">
      <w:pPr>
        <w:jc w:val="both"/>
        <w:rPr>
          <w:rFonts w:asciiTheme="minorHAnsi" w:hAnsiTheme="minorHAnsi" w:cs="Arial"/>
          <w:bCs/>
          <w:sz w:val="22"/>
          <w:szCs w:val="22"/>
        </w:rPr>
      </w:pPr>
    </w:p>
    <w:p w14:paraId="50357510" w14:textId="35852FC1" w:rsidR="003F77B6" w:rsidRDefault="009E4234" w:rsidP="00F154EC">
      <w:pPr>
        <w:jc w:val="both"/>
        <w:rPr>
          <w:rFonts w:asciiTheme="minorHAnsi" w:hAnsiTheme="minorHAnsi" w:cs="Arial"/>
          <w:bCs/>
          <w:sz w:val="22"/>
          <w:szCs w:val="22"/>
        </w:rPr>
      </w:pPr>
      <w:r>
        <w:rPr>
          <w:rFonts w:asciiTheme="minorHAnsi" w:hAnsiTheme="minorHAnsi" w:cs="Arial"/>
          <w:bCs/>
          <w:sz w:val="22"/>
          <w:szCs w:val="22"/>
        </w:rPr>
        <w:t xml:space="preserve">No fees were paid in year for external audit services as no external audits were completed.  </w:t>
      </w:r>
      <w:r w:rsidR="003F77B6" w:rsidRPr="003F77B6">
        <w:rPr>
          <w:rFonts w:asciiTheme="minorHAnsi" w:hAnsiTheme="minorHAnsi" w:cs="Arial"/>
          <w:bCs/>
          <w:sz w:val="22"/>
          <w:szCs w:val="22"/>
        </w:rPr>
        <w:t xml:space="preserve">Other Fees payable for Grant and certification claims </w:t>
      </w:r>
      <w:r w:rsidR="003F77B6">
        <w:rPr>
          <w:rFonts w:asciiTheme="minorHAnsi" w:hAnsiTheme="minorHAnsi" w:cs="Arial"/>
          <w:bCs/>
          <w:sz w:val="22"/>
          <w:szCs w:val="22"/>
        </w:rPr>
        <w:t>and</w:t>
      </w:r>
      <w:r w:rsidR="003F77B6" w:rsidRPr="003F77B6">
        <w:rPr>
          <w:rFonts w:asciiTheme="minorHAnsi" w:hAnsiTheme="minorHAnsi" w:cs="Arial"/>
          <w:bCs/>
          <w:sz w:val="22"/>
          <w:szCs w:val="22"/>
        </w:rPr>
        <w:t xml:space="preserve"> returns include £</w:t>
      </w:r>
      <w:r w:rsidR="003F77B6" w:rsidRPr="00686314">
        <w:rPr>
          <w:rFonts w:asciiTheme="minorHAnsi" w:hAnsiTheme="minorHAnsi" w:cs="Arial"/>
          <w:bCs/>
          <w:sz w:val="22"/>
          <w:szCs w:val="22"/>
        </w:rPr>
        <w:t>13k in respect</w:t>
      </w:r>
      <w:r w:rsidR="003F77B6" w:rsidRPr="003F77B6">
        <w:rPr>
          <w:rFonts w:asciiTheme="minorHAnsi" w:hAnsiTheme="minorHAnsi" w:cs="Arial"/>
          <w:bCs/>
          <w:sz w:val="22"/>
          <w:szCs w:val="22"/>
        </w:rPr>
        <w:t xml:space="preserve"> of the 202</w:t>
      </w:r>
      <w:r w:rsidR="00686314">
        <w:rPr>
          <w:rFonts w:asciiTheme="minorHAnsi" w:hAnsiTheme="minorHAnsi" w:cs="Arial"/>
          <w:bCs/>
          <w:sz w:val="22"/>
          <w:szCs w:val="22"/>
        </w:rPr>
        <w:t>0</w:t>
      </w:r>
      <w:r w:rsidR="003F77B6" w:rsidRPr="003F77B6">
        <w:rPr>
          <w:rFonts w:asciiTheme="minorHAnsi" w:hAnsiTheme="minorHAnsi" w:cs="Arial"/>
          <w:bCs/>
          <w:sz w:val="22"/>
          <w:szCs w:val="22"/>
        </w:rPr>
        <w:t>-2</w:t>
      </w:r>
      <w:r w:rsidR="00686314">
        <w:rPr>
          <w:rFonts w:asciiTheme="minorHAnsi" w:hAnsiTheme="minorHAnsi" w:cs="Arial"/>
          <w:bCs/>
          <w:sz w:val="22"/>
          <w:szCs w:val="22"/>
        </w:rPr>
        <w:t>1</w:t>
      </w:r>
      <w:r w:rsidR="003F77B6" w:rsidRPr="003F77B6">
        <w:rPr>
          <w:rFonts w:asciiTheme="minorHAnsi" w:hAnsiTheme="minorHAnsi" w:cs="Arial"/>
          <w:bCs/>
          <w:sz w:val="22"/>
          <w:szCs w:val="22"/>
        </w:rPr>
        <w:t xml:space="preserve"> Housing Benefit Subsidy Claim</w:t>
      </w:r>
      <w:r w:rsidR="00686314">
        <w:rPr>
          <w:rFonts w:asciiTheme="minorHAnsi" w:hAnsiTheme="minorHAnsi" w:cs="Arial"/>
          <w:bCs/>
          <w:sz w:val="22"/>
          <w:szCs w:val="22"/>
        </w:rPr>
        <w:t>.</w:t>
      </w:r>
    </w:p>
    <w:p w14:paraId="70E81E0A" w14:textId="77777777" w:rsidR="00383879" w:rsidRDefault="00383879" w:rsidP="00F154EC">
      <w:pPr>
        <w:jc w:val="both"/>
        <w:rPr>
          <w:rFonts w:asciiTheme="minorHAnsi" w:hAnsiTheme="minorHAnsi" w:cs="Arial"/>
          <w:bCs/>
          <w:sz w:val="22"/>
          <w:szCs w:val="22"/>
        </w:rPr>
      </w:pPr>
    </w:p>
    <w:p w14:paraId="798388FD" w14:textId="26321314" w:rsidR="00707761" w:rsidRPr="00F630E7" w:rsidRDefault="000228D8" w:rsidP="00704A70">
      <w:pPr>
        <w:pStyle w:val="Heading2"/>
        <w:rPr>
          <w:color w:val="FF0000"/>
        </w:rPr>
      </w:pPr>
      <w:r w:rsidRPr="000228D8">
        <w:t>1</w:t>
      </w:r>
      <w:r w:rsidR="00D3279C">
        <w:t>4</w:t>
      </w:r>
      <w:r w:rsidR="00707761" w:rsidRPr="000228D8">
        <w:tab/>
        <w:t>R</w:t>
      </w:r>
      <w:r w:rsidRPr="000228D8">
        <w:t>elated Parties</w:t>
      </w:r>
      <w:r w:rsidR="00F630E7">
        <w:t xml:space="preserve">  </w:t>
      </w:r>
    </w:p>
    <w:p w14:paraId="462B3C75" w14:textId="77777777" w:rsidR="00707761" w:rsidRDefault="00707761" w:rsidP="00707761">
      <w:pPr>
        <w:widowControl w:val="0"/>
        <w:tabs>
          <w:tab w:val="left" w:pos="2520"/>
          <w:tab w:val="left" w:pos="7200"/>
          <w:tab w:val="left" w:pos="8460"/>
        </w:tabs>
        <w:rPr>
          <w:rFonts w:ascii="Arial" w:hAnsi="Arial" w:cs="Arial"/>
        </w:rPr>
      </w:pPr>
    </w:p>
    <w:p w14:paraId="03BB39BC" w14:textId="77777777" w:rsidR="00707761" w:rsidRPr="00B26589" w:rsidRDefault="00707761" w:rsidP="00707761">
      <w:pPr>
        <w:pStyle w:val="BodyTextIndent"/>
        <w:spacing w:line="240" w:lineRule="auto"/>
        <w:ind w:left="0" w:right="25" w:firstLine="0"/>
        <w:rPr>
          <w:rFonts w:asciiTheme="minorHAnsi" w:hAnsiTheme="minorHAnsi" w:cs="Arial"/>
          <w:sz w:val="22"/>
          <w:szCs w:val="22"/>
        </w:rPr>
      </w:pPr>
      <w:r w:rsidRPr="00B26589">
        <w:rPr>
          <w:rFonts w:asciiTheme="minorHAnsi" w:hAnsiTheme="minorHAnsi" w:cs="Arial"/>
          <w:sz w:val="22"/>
          <w:szCs w:val="22"/>
        </w:rPr>
        <w:t>The Council is required to disclose material transactions with related parties – bodies or individuals that have the potential to control or influence the Council or to be controlled or influenced by the Council.  Disclosure of these transactions allows readers to assess the extent to which the Council might have been constrained in its ability to operate independently or might have secured the ability to limit another party’s ability to bargain freely with the Council.</w:t>
      </w:r>
    </w:p>
    <w:p w14:paraId="40A2A3FC" w14:textId="77777777" w:rsidR="00707761" w:rsidRPr="00B01968" w:rsidRDefault="00707761" w:rsidP="00707761">
      <w:pPr>
        <w:pStyle w:val="BodyTextIndent"/>
        <w:spacing w:line="240" w:lineRule="auto"/>
        <w:ind w:left="0" w:right="25" w:firstLine="0"/>
        <w:rPr>
          <w:rFonts w:asciiTheme="minorHAnsi" w:hAnsiTheme="minorHAnsi" w:cs="Arial"/>
          <w:highlight w:val="yellow"/>
        </w:rPr>
      </w:pPr>
    </w:p>
    <w:p w14:paraId="3A79C759" w14:textId="6B2308C5" w:rsidR="00707761" w:rsidRPr="00B26589" w:rsidRDefault="00707761" w:rsidP="00707761">
      <w:pPr>
        <w:pStyle w:val="BodyTextIndent"/>
        <w:spacing w:line="240" w:lineRule="auto"/>
        <w:ind w:left="0" w:right="25" w:firstLine="0"/>
        <w:rPr>
          <w:rFonts w:asciiTheme="minorHAnsi" w:hAnsiTheme="minorHAnsi" w:cs="Arial"/>
          <w:sz w:val="22"/>
          <w:szCs w:val="22"/>
        </w:rPr>
      </w:pPr>
      <w:r w:rsidRPr="00B26589">
        <w:rPr>
          <w:rFonts w:asciiTheme="minorHAnsi" w:hAnsiTheme="minorHAnsi" w:cs="Arial"/>
          <w:b/>
          <w:sz w:val="22"/>
          <w:szCs w:val="22"/>
        </w:rPr>
        <w:t>Central Government</w:t>
      </w:r>
      <w:r w:rsidRPr="00B26589">
        <w:rPr>
          <w:rFonts w:asciiTheme="minorHAnsi" w:hAnsiTheme="minorHAnsi" w:cs="Arial"/>
          <w:sz w:val="22"/>
          <w:szCs w:val="22"/>
        </w:rPr>
        <w:t xml:space="preserve"> has significant influence over the general operations of the Council – it is responsible for providing the statutory framework, within which the Council operates, provides the majority of its funding in the form of grants and prescribes the terms of many of the transactions that the Council has with other parties (</w:t>
      </w:r>
      <w:proofErr w:type="gramStart"/>
      <w:r w:rsidR="002604EE" w:rsidRPr="00B26589">
        <w:rPr>
          <w:rFonts w:asciiTheme="minorHAnsi" w:hAnsiTheme="minorHAnsi" w:cs="Arial"/>
          <w:sz w:val="22"/>
          <w:szCs w:val="22"/>
        </w:rPr>
        <w:t>e.g.</w:t>
      </w:r>
      <w:proofErr w:type="gramEnd"/>
      <w:r w:rsidRPr="00B26589">
        <w:rPr>
          <w:rFonts w:asciiTheme="minorHAnsi" w:hAnsiTheme="minorHAnsi" w:cs="Arial"/>
          <w:sz w:val="22"/>
          <w:szCs w:val="22"/>
        </w:rPr>
        <w:t xml:space="preserve"> council tax bills</w:t>
      </w:r>
      <w:r w:rsidR="00A23B81" w:rsidRPr="00B26589">
        <w:rPr>
          <w:rFonts w:asciiTheme="minorHAnsi" w:hAnsiTheme="minorHAnsi" w:cs="Arial"/>
          <w:sz w:val="22"/>
          <w:szCs w:val="22"/>
        </w:rPr>
        <w:t>, housing benefits</w:t>
      </w:r>
      <w:r w:rsidRPr="00B26589">
        <w:rPr>
          <w:rFonts w:asciiTheme="minorHAnsi" w:hAnsiTheme="minorHAnsi" w:cs="Arial"/>
          <w:sz w:val="22"/>
          <w:szCs w:val="22"/>
        </w:rPr>
        <w:t xml:space="preserve">).  Grants received from government departments are set out in the </w:t>
      </w:r>
      <w:r w:rsidR="00472649" w:rsidRPr="00B26589">
        <w:rPr>
          <w:rFonts w:asciiTheme="minorHAnsi" w:hAnsiTheme="minorHAnsi" w:cs="Arial"/>
          <w:sz w:val="22"/>
          <w:szCs w:val="22"/>
        </w:rPr>
        <w:t>Expenditure an</w:t>
      </w:r>
      <w:r w:rsidR="00AE6C38" w:rsidRPr="00B26589">
        <w:rPr>
          <w:rFonts w:asciiTheme="minorHAnsi" w:hAnsiTheme="minorHAnsi" w:cs="Arial"/>
          <w:sz w:val="22"/>
          <w:szCs w:val="22"/>
        </w:rPr>
        <w:t>d Income Analysed by Nature in n</w:t>
      </w:r>
      <w:r w:rsidR="00472649" w:rsidRPr="00B26589">
        <w:rPr>
          <w:rFonts w:asciiTheme="minorHAnsi" w:hAnsiTheme="minorHAnsi" w:cs="Arial"/>
          <w:sz w:val="22"/>
          <w:szCs w:val="22"/>
        </w:rPr>
        <w:t>ote</w:t>
      </w:r>
      <w:r w:rsidR="00AE6C38" w:rsidRPr="00B26589">
        <w:rPr>
          <w:rFonts w:asciiTheme="minorHAnsi" w:hAnsiTheme="minorHAnsi" w:cs="Arial"/>
          <w:sz w:val="22"/>
          <w:szCs w:val="22"/>
        </w:rPr>
        <w:t xml:space="preserve"> </w:t>
      </w:r>
      <w:r w:rsidR="00472649" w:rsidRPr="00B26589">
        <w:rPr>
          <w:rFonts w:asciiTheme="minorHAnsi" w:hAnsiTheme="minorHAnsi" w:cs="Arial"/>
          <w:sz w:val="22"/>
          <w:szCs w:val="22"/>
        </w:rPr>
        <w:t>4</w:t>
      </w:r>
      <w:r w:rsidRPr="00B26589">
        <w:rPr>
          <w:rFonts w:asciiTheme="minorHAnsi" w:hAnsiTheme="minorHAnsi" w:cs="Arial"/>
          <w:sz w:val="22"/>
          <w:szCs w:val="22"/>
        </w:rPr>
        <w:t>.  Grant rece</w:t>
      </w:r>
      <w:r w:rsidR="00F630E7" w:rsidRPr="00B26589">
        <w:rPr>
          <w:rFonts w:asciiTheme="minorHAnsi" w:hAnsiTheme="minorHAnsi" w:cs="Arial"/>
          <w:sz w:val="22"/>
          <w:szCs w:val="22"/>
        </w:rPr>
        <w:t xml:space="preserve">ipts outstanding </w:t>
      </w:r>
      <w:r w:rsidR="002604EE" w:rsidRPr="00B26589">
        <w:rPr>
          <w:rFonts w:asciiTheme="minorHAnsi" w:hAnsiTheme="minorHAnsi" w:cs="Arial"/>
          <w:sz w:val="22"/>
          <w:szCs w:val="22"/>
        </w:rPr>
        <w:t>on</w:t>
      </w:r>
      <w:r w:rsidR="00F630E7" w:rsidRPr="00B26589">
        <w:rPr>
          <w:rFonts w:asciiTheme="minorHAnsi" w:hAnsiTheme="minorHAnsi" w:cs="Arial"/>
          <w:sz w:val="22"/>
          <w:szCs w:val="22"/>
        </w:rPr>
        <w:t xml:space="preserve"> 31 Mar</w:t>
      </w:r>
      <w:r w:rsidR="00160237" w:rsidRPr="00B26589">
        <w:rPr>
          <w:rFonts w:asciiTheme="minorHAnsi" w:hAnsiTheme="minorHAnsi" w:cs="Arial"/>
          <w:sz w:val="22"/>
          <w:szCs w:val="22"/>
        </w:rPr>
        <w:t>ch 202</w:t>
      </w:r>
      <w:r w:rsidR="00BF3DE5">
        <w:rPr>
          <w:rFonts w:asciiTheme="minorHAnsi" w:hAnsiTheme="minorHAnsi" w:cs="Arial"/>
          <w:sz w:val="22"/>
          <w:szCs w:val="22"/>
        </w:rPr>
        <w:t>3</w:t>
      </w:r>
      <w:r w:rsidRPr="00B26589">
        <w:rPr>
          <w:rFonts w:asciiTheme="minorHAnsi" w:hAnsiTheme="minorHAnsi" w:cs="Arial"/>
          <w:sz w:val="22"/>
          <w:szCs w:val="22"/>
        </w:rPr>
        <w:t xml:space="preserve"> are shown in note </w:t>
      </w:r>
      <w:r w:rsidR="00472649" w:rsidRPr="00B26589">
        <w:rPr>
          <w:rFonts w:asciiTheme="minorHAnsi" w:hAnsiTheme="minorHAnsi" w:cs="Arial"/>
          <w:sz w:val="22"/>
          <w:szCs w:val="22"/>
        </w:rPr>
        <w:t>8</w:t>
      </w:r>
      <w:r w:rsidRPr="00B26589">
        <w:rPr>
          <w:rFonts w:asciiTheme="minorHAnsi" w:hAnsiTheme="minorHAnsi" w:cs="Arial"/>
          <w:sz w:val="22"/>
          <w:szCs w:val="22"/>
        </w:rPr>
        <w:t xml:space="preserve">. </w:t>
      </w:r>
    </w:p>
    <w:p w14:paraId="6CE18223" w14:textId="77777777" w:rsidR="00707761" w:rsidRPr="00B26589" w:rsidRDefault="00707761" w:rsidP="00707761">
      <w:pPr>
        <w:pStyle w:val="BodyTextIndent"/>
        <w:spacing w:line="240" w:lineRule="auto"/>
        <w:ind w:left="0" w:right="25" w:firstLine="0"/>
        <w:rPr>
          <w:rFonts w:ascii="Arial" w:hAnsi="Arial" w:cs="Arial"/>
        </w:rPr>
      </w:pPr>
    </w:p>
    <w:p w14:paraId="224A6CA2" w14:textId="77777777" w:rsidR="00707761" w:rsidRPr="00B26589" w:rsidRDefault="00707761" w:rsidP="00707761">
      <w:pPr>
        <w:pStyle w:val="BodyTextIndent"/>
        <w:tabs>
          <w:tab w:val="left" w:pos="9923"/>
        </w:tabs>
        <w:spacing w:line="240" w:lineRule="auto"/>
        <w:ind w:left="0" w:right="25" w:firstLine="0"/>
        <w:rPr>
          <w:rFonts w:asciiTheme="minorHAnsi" w:hAnsiTheme="minorHAnsi" w:cs="Arial"/>
          <w:sz w:val="22"/>
          <w:szCs w:val="22"/>
        </w:rPr>
      </w:pPr>
      <w:r w:rsidRPr="00B26589">
        <w:rPr>
          <w:rFonts w:asciiTheme="minorHAnsi" w:hAnsiTheme="minorHAnsi" w:cs="Arial"/>
          <w:b/>
          <w:sz w:val="22"/>
          <w:szCs w:val="22"/>
        </w:rPr>
        <w:t>Members</w:t>
      </w:r>
      <w:r w:rsidRPr="00B26589">
        <w:rPr>
          <w:rFonts w:asciiTheme="minorHAnsi" w:hAnsiTheme="minorHAnsi" w:cs="Arial"/>
          <w:sz w:val="22"/>
          <w:szCs w:val="22"/>
        </w:rPr>
        <w:t xml:space="preserve"> of the Council have direct control over the Council’s financial and operating policies. The following Members have declared 'related party transactions' with the Council during the year:</w:t>
      </w:r>
    </w:p>
    <w:p w14:paraId="1C363654" w14:textId="77777777" w:rsidR="00707761" w:rsidRPr="00B01968" w:rsidRDefault="00707761" w:rsidP="00707761">
      <w:pPr>
        <w:pStyle w:val="BodyTextIndent"/>
        <w:tabs>
          <w:tab w:val="left" w:pos="9923"/>
        </w:tabs>
        <w:spacing w:line="240" w:lineRule="auto"/>
        <w:ind w:left="0" w:right="25" w:firstLine="0"/>
        <w:rPr>
          <w:rFonts w:asciiTheme="minorHAnsi" w:hAnsiTheme="minorHAnsi" w:cs="Arial"/>
          <w:highlight w:val="yellow"/>
        </w:rPr>
      </w:pPr>
    </w:p>
    <w:p w14:paraId="66CF062F" w14:textId="77777777" w:rsidR="00707761" w:rsidRPr="007E2192" w:rsidRDefault="009D50C0" w:rsidP="005C5DE6">
      <w:pPr>
        <w:pStyle w:val="BodyTextIndent"/>
        <w:tabs>
          <w:tab w:val="num" w:pos="2629"/>
          <w:tab w:val="left" w:pos="9923"/>
        </w:tabs>
        <w:spacing w:line="240" w:lineRule="auto"/>
        <w:ind w:left="567" w:right="25" w:hanging="567"/>
        <w:rPr>
          <w:rFonts w:asciiTheme="minorHAnsi" w:hAnsiTheme="minorHAnsi" w:cs="Arial"/>
          <w:sz w:val="22"/>
          <w:szCs w:val="22"/>
        </w:rPr>
      </w:pPr>
      <w:r w:rsidRPr="005940FA">
        <w:rPr>
          <w:rFonts w:asciiTheme="minorHAnsi" w:hAnsiTheme="minorHAnsi" w:cs="Arial"/>
          <w:sz w:val="22"/>
          <w:szCs w:val="22"/>
        </w:rPr>
        <w:lastRenderedPageBreak/>
        <w:t xml:space="preserve"> </w:t>
      </w:r>
      <w:r w:rsidRPr="007E2192">
        <w:rPr>
          <w:rFonts w:asciiTheme="minorHAnsi" w:hAnsiTheme="minorHAnsi" w:cs="Arial"/>
          <w:sz w:val="22"/>
          <w:szCs w:val="22"/>
        </w:rPr>
        <w:t>a)</w:t>
      </w:r>
      <w:r w:rsidR="00707761" w:rsidRPr="007E2192">
        <w:rPr>
          <w:rFonts w:asciiTheme="minorHAnsi" w:hAnsiTheme="minorHAnsi" w:cs="Arial"/>
          <w:sz w:val="22"/>
          <w:szCs w:val="22"/>
        </w:rPr>
        <w:t xml:space="preserve">       Councillor </w:t>
      </w:r>
      <w:r w:rsidR="00794480" w:rsidRPr="007E2192">
        <w:rPr>
          <w:rFonts w:asciiTheme="minorHAnsi" w:hAnsiTheme="minorHAnsi" w:cs="Arial"/>
          <w:sz w:val="22"/>
          <w:szCs w:val="22"/>
        </w:rPr>
        <w:t xml:space="preserve">R de </w:t>
      </w:r>
      <w:proofErr w:type="spellStart"/>
      <w:r w:rsidR="00794480" w:rsidRPr="007E2192">
        <w:rPr>
          <w:rFonts w:asciiTheme="minorHAnsi" w:hAnsiTheme="minorHAnsi" w:cs="Arial"/>
          <w:sz w:val="22"/>
          <w:szCs w:val="22"/>
        </w:rPr>
        <w:t>Burle</w:t>
      </w:r>
      <w:proofErr w:type="spellEnd"/>
      <w:r w:rsidR="00707761" w:rsidRPr="007E2192">
        <w:rPr>
          <w:rFonts w:asciiTheme="minorHAnsi" w:hAnsiTheme="minorHAnsi" w:cs="Arial"/>
          <w:sz w:val="22"/>
          <w:szCs w:val="22"/>
        </w:rPr>
        <w:t>:</w:t>
      </w:r>
    </w:p>
    <w:p w14:paraId="2F2D38D4" w14:textId="1C85C364" w:rsidR="00794480" w:rsidRPr="007E2192" w:rsidRDefault="00794480" w:rsidP="007E2192">
      <w:pPr>
        <w:ind w:left="720"/>
        <w:jc w:val="both"/>
        <w:rPr>
          <w:rFonts w:ascii="Calibri" w:hAnsi="Calibri" w:cs="Calibri"/>
          <w:color w:val="000000"/>
          <w:sz w:val="22"/>
          <w:szCs w:val="22"/>
          <w:lang w:eastAsia="en-GB"/>
        </w:rPr>
      </w:pPr>
      <w:r w:rsidRPr="007E2192">
        <w:rPr>
          <w:rFonts w:asciiTheme="minorHAnsi" w:hAnsiTheme="minorHAnsi" w:cs="Arial"/>
          <w:sz w:val="22"/>
          <w:szCs w:val="22"/>
        </w:rPr>
        <w:t xml:space="preserve">Chair of </w:t>
      </w:r>
      <w:proofErr w:type="spellStart"/>
      <w:r w:rsidRPr="007E2192">
        <w:rPr>
          <w:rFonts w:asciiTheme="minorHAnsi" w:hAnsiTheme="minorHAnsi" w:cs="Arial"/>
          <w:sz w:val="22"/>
          <w:szCs w:val="22"/>
        </w:rPr>
        <w:t>Asfordby</w:t>
      </w:r>
      <w:proofErr w:type="spellEnd"/>
      <w:r w:rsidRPr="007E2192">
        <w:rPr>
          <w:rFonts w:asciiTheme="minorHAnsi" w:hAnsiTheme="minorHAnsi" w:cs="Arial"/>
          <w:sz w:val="22"/>
          <w:szCs w:val="22"/>
        </w:rPr>
        <w:t xml:space="preserve"> Parish Council which received payments of </w:t>
      </w:r>
      <w:r w:rsidR="007E2192" w:rsidRPr="007E2192">
        <w:rPr>
          <w:rFonts w:ascii="Calibri" w:hAnsi="Calibri" w:cs="Calibri"/>
          <w:color w:val="000000"/>
          <w:sz w:val="22"/>
          <w:szCs w:val="22"/>
          <w:lang w:eastAsia="en-GB"/>
        </w:rPr>
        <w:t xml:space="preserve">£116,850.00 </w:t>
      </w:r>
      <w:r w:rsidRPr="007E2192">
        <w:rPr>
          <w:rFonts w:asciiTheme="minorHAnsi" w:hAnsiTheme="minorHAnsi" w:cs="Arial"/>
          <w:sz w:val="22"/>
          <w:szCs w:val="22"/>
        </w:rPr>
        <w:t>in the year</w:t>
      </w:r>
      <w:r w:rsidR="00C76AFB" w:rsidRPr="007E2192">
        <w:rPr>
          <w:rFonts w:asciiTheme="minorHAnsi" w:hAnsiTheme="minorHAnsi" w:cs="Arial"/>
          <w:sz w:val="22"/>
          <w:szCs w:val="22"/>
        </w:rPr>
        <w:t>,</w:t>
      </w:r>
      <w:r w:rsidR="00160237" w:rsidRPr="007E2192">
        <w:rPr>
          <w:rFonts w:asciiTheme="minorHAnsi" w:hAnsiTheme="minorHAnsi" w:cs="Arial"/>
          <w:sz w:val="22"/>
          <w:szCs w:val="22"/>
        </w:rPr>
        <w:t xml:space="preserve"> </w:t>
      </w:r>
      <w:r w:rsidRPr="007E2192">
        <w:rPr>
          <w:rFonts w:asciiTheme="minorHAnsi" w:hAnsiTheme="minorHAnsi" w:cs="Arial"/>
          <w:sz w:val="22"/>
          <w:szCs w:val="22"/>
        </w:rPr>
        <w:t xml:space="preserve">this </w:t>
      </w:r>
      <w:r w:rsidR="0048235E" w:rsidRPr="007E2192">
        <w:rPr>
          <w:rFonts w:asciiTheme="minorHAnsi" w:hAnsiTheme="minorHAnsi" w:cs="Arial"/>
          <w:sz w:val="22"/>
          <w:szCs w:val="22"/>
        </w:rPr>
        <w:t xml:space="preserve">is </w:t>
      </w:r>
      <w:r w:rsidRPr="007E2192">
        <w:rPr>
          <w:rFonts w:asciiTheme="minorHAnsi" w:hAnsiTheme="minorHAnsi" w:cs="Arial"/>
          <w:sz w:val="22"/>
          <w:szCs w:val="22"/>
        </w:rPr>
        <w:t xml:space="preserve">related to the </w:t>
      </w:r>
      <w:r w:rsidR="007E2192">
        <w:rPr>
          <w:rFonts w:asciiTheme="minorHAnsi" w:hAnsiTheme="minorHAnsi" w:cs="Arial"/>
          <w:sz w:val="22"/>
          <w:szCs w:val="22"/>
        </w:rPr>
        <w:t>P</w:t>
      </w:r>
      <w:r w:rsidRPr="007E2192">
        <w:rPr>
          <w:rFonts w:asciiTheme="minorHAnsi" w:hAnsiTheme="minorHAnsi" w:cs="Arial"/>
          <w:sz w:val="22"/>
          <w:szCs w:val="22"/>
        </w:rPr>
        <w:t xml:space="preserve">arish </w:t>
      </w:r>
      <w:r w:rsidR="007E2192">
        <w:rPr>
          <w:rFonts w:asciiTheme="minorHAnsi" w:hAnsiTheme="minorHAnsi" w:cs="Arial"/>
          <w:sz w:val="22"/>
          <w:szCs w:val="22"/>
        </w:rPr>
        <w:t>P</w:t>
      </w:r>
      <w:r w:rsidRPr="007E2192">
        <w:rPr>
          <w:rFonts w:asciiTheme="minorHAnsi" w:hAnsiTheme="minorHAnsi" w:cs="Arial"/>
          <w:sz w:val="22"/>
          <w:szCs w:val="22"/>
        </w:rPr>
        <w:t>recept.</w:t>
      </w:r>
      <w:r w:rsidR="00C76AFB" w:rsidRPr="007E2192">
        <w:rPr>
          <w:rFonts w:asciiTheme="minorHAnsi" w:hAnsiTheme="minorHAnsi" w:cs="Arial"/>
          <w:sz w:val="22"/>
          <w:szCs w:val="22"/>
        </w:rPr>
        <w:t xml:space="preserve"> </w:t>
      </w:r>
      <w:r w:rsidRPr="007E2192">
        <w:rPr>
          <w:rFonts w:asciiTheme="minorHAnsi" w:hAnsiTheme="minorHAnsi" w:cs="Arial"/>
          <w:sz w:val="22"/>
          <w:szCs w:val="22"/>
        </w:rPr>
        <w:t xml:space="preserve"> </w:t>
      </w:r>
      <w:r w:rsidR="00F40D24" w:rsidRPr="007E2192">
        <w:rPr>
          <w:rFonts w:asciiTheme="minorHAnsi" w:hAnsiTheme="minorHAnsi" w:cs="Arial"/>
          <w:sz w:val="22"/>
          <w:szCs w:val="22"/>
        </w:rPr>
        <w:t xml:space="preserve">Payments totalling </w:t>
      </w:r>
      <w:r w:rsidR="007E2192" w:rsidRPr="007E2192">
        <w:rPr>
          <w:rFonts w:ascii="Calibri" w:hAnsi="Calibri" w:cs="Calibri"/>
          <w:color w:val="000000"/>
          <w:sz w:val="22"/>
          <w:szCs w:val="22"/>
          <w:lang w:eastAsia="en-GB"/>
        </w:rPr>
        <w:t xml:space="preserve">£2,673.60 </w:t>
      </w:r>
      <w:r w:rsidRPr="007E2192">
        <w:rPr>
          <w:rFonts w:asciiTheme="minorHAnsi" w:hAnsiTheme="minorHAnsi" w:cs="Arial"/>
          <w:sz w:val="22"/>
          <w:szCs w:val="22"/>
        </w:rPr>
        <w:t xml:space="preserve">were received from </w:t>
      </w:r>
      <w:proofErr w:type="spellStart"/>
      <w:r w:rsidRPr="007E2192">
        <w:rPr>
          <w:rFonts w:asciiTheme="minorHAnsi" w:hAnsiTheme="minorHAnsi" w:cs="Arial"/>
          <w:sz w:val="22"/>
          <w:szCs w:val="22"/>
        </w:rPr>
        <w:t>Asfordby</w:t>
      </w:r>
      <w:proofErr w:type="spellEnd"/>
      <w:r w:rsidRPr="007E2192">
        <w:rPr>
          <w:rFonts w:asciiTheme="minorHAnsi" w:hAnsiTheme="minorHAnsi" w:cs="Arial"/>
          <w:sz w:val="22"/>
          <w:szCs w:val="22"/>
        </w:rPr>
        <w:t xml:space="preserve"> Parish Council. </w:t>
      </w:r>
    </w:p>
    <w:p w14:paraId="52CF078B" w14:textId="77777777" w:rsidR="00D020AC" w:rsidRPr="007E2192" w:rsidRDefault="00D020AC" w:rsidP="005940FA">
      <w:pPr>
        <w:pStyle w:val="BodyTextIndent"/>
        <w:tabs>
          <w:tab w:val="clear" w:pos="2160"/>
          <w:tab w:val="left" w:pos="567"/>
        </w:tabs>
        <w:spacing w:line="240" w:lineRule="auto"/>
        <w:ind w:left="0" w:right="25" w:firstLine="0"/>
        <w:rPr>
          <w:rFonts w:asciiTheme="minorHAnsi" w:hAnsiTheme="minorHAnsi" w:cs="Arial"/>
          <w:sz w:val="22"/>
          <w:szCs w:val="22"/>
        </w:rPr>
      </w:pPr>
    </w:p>
    <w:p w14:paraId="0FD25C86" w14:textId="68DE9B0E" w:rsidR="00D020AC" w:rsidRPr="001867AD" w:rsidRDefault="005940FA" w:rsidP="005A07D8">
      <w:pPr>
        <w:pStyle w:val="BodyTextIndent"/>
        <w:tabs>
          <w:tab w:val="clear" w:pos="2160"/>
          <w:tab w:val="left" w:pos="567"/>
        </w:tabs>
        <w:spacing w:line="240" w:lineRule="auto"/>
        <w:ind w:left="567" w:right="25" w:hanging="567"/>
        <w:rPr>
          <w:rFonts w:asciiTheme="minorHAnsi" w:hAnsiTheme="minorHAnsi" w:cs="Arial"/>
          <w:sz w:val="22"/>
          <w:szCs w:val="22"/>
        </w:rPr>
      </w:pPr>
      <w:r w:rsidRPr="001867AD">
        <w:rPr>
          <w:rFonts w:asciiTheme="minorHAnsi" w:hAnsiTheme="minorHAnsi" w:cs="Arial"/>
          <w:sz w:val="22"/>
          <w:szCs w:val="22"/>
        </w:rPr>
        <w:t>b</w:t>
      </w:r>
      <w:r w:rsidR="00F26F1C" w:rsidRPr="001867AD">
        <w:rPr>
          <w:rFonts w:asciiTheme="minorHAnsi" w:hAnsiTheme="minorHAnsi" w:cs="Arial"/>
          <w:sz w:val="22"/>
          <w:szCs w:val="22"/>
        </w:rPr>
        <w:t>)</w:t>
      </w:r>
      <w:r w:rsidR="00F26F1C" w:rsidRPr="001867AD">
        <w:rPr>
          <w:rFonts w:asciiTheme="minorHAnsi" w:hAnsiTheme="minorHAnsi" w:cs="Arial"/>
          <w:sz w:val="22"/>
          <w:szCs w:val="22"/>
        </w:rPr>
        <w:tab/>
        <w:t xml:space="preserve">Councillor </w:t>
      </w:r>
      <w:r w:rsidR="001867AD" w:rsidRPr="001867AD">
        <w:rPr>
          <w:rFonts w:asciiTheme="minorHAnsi" w:hAnsiTheme="minorHAnsi" w:cs="Arial"/>
          <w:sz w:val="22"/>
          <w:szCs w:val="22"/>
        </w:rPr>
        <w:t>P Posnett</w:t>
      </w:r>
      <w:r w:rsidR="005A07D8" w:rsidRPr="001867AD">
        <w:rPr>
          <w:rFonts w:asciiTheme="minorHAnsi" w:hAnsiTheme="minorHAnsi" w:cs="Arial"/>
          <w:sz w:val="22"/>
          <w:szCs w:val="22"/>
        </w:rPr>
        <w:t>:</w:t>
      </w:r>
    </w:p>
    <w:p w14:paraId="5A2F6E20" w14:textId="41A97AEA" w:rsidR="005A07D8" w:rsidRPr="001867AD" w:rsidRDefault="001867AD" w:rsidP="001867AD">
      <w:pPr>
        <w:ind w:left="720"/>
        <w:jc w:val="both"/>
        <w:rPr>
          <w:rFonts w:ascii="Calibri" w:hAnsi="Calibri" w:cs="Calibri"/>
          <w:color w:val="000000"/>
          <w:sz w:val="22"/>
          <w:szCs w:val="22"/>
          <w:lang w:eastAsia="en-GB"/>
        </w:rPr>
      </w:pPr>
      <w:r w:rsidRPr="001867AD">
        <w:rPr>
          <w:rFonts w:asciiTheme="minorHAnsi" w:hAnsiTheme="minorHAnsi" w:cs="Arial"/>
          <w:sz w:val="22"/>
          <w:szCs w:val="22"/>
        </w:rPr>
        <w:t xml:space="preserve">Chair of Melton Mencap until February 2023. Chairs the Governors at </w:t>
      </w:r>
      <w:r w:rsidR="005A07D8" w:rsidRPr="001867AD">
        <w:rPr>
          <w:rFonts w:asciiTheme="minorHAnsi" w:hAnsiTheme="minorHAnsi" w:cs="Arial"/>
          <w:sz w:val="22"/>
          <w:szCs w:val="22"/>
        </w:rPr>
        <w:t>Melton Learning Hub</w:t>
      </w:r>
      <w:r w:rsidR="009C3664" w:rsidRPr="001867AD">
        <w:rPr>
          <w:rFonts w:asciiTheme="minorHAnsi" w:hAnsiTheme="minorHAnsi" w:cs="Arial"/>
          <w:sz w:val="22"/>
          <w:szCs w:val="22"/>
        </w:rPr>
        <w:t xml:space="preserve"> which received </w:t>
      </w:r>
      <w:r w:rsidR="005940FA" w:rsidRPr="001867AD">
        <w:rPr>
          <w:rFonts w:asciiTheme="minorHAnsi" w:hAnsiTheme="minorHAnsi" w:cs="Arial"/>
          <w:sz w:val="22"/>
          <w:szCs w:val="22"/>
        </w:rPr>
        <w:t xml:space="preserve">payments of </w:t>
      </w:r>
      <w:r w:rsidRPr="001867AD">
        <w:rPr>
          <w:rFonts w:ascii="Calibri" w:hAnsi="Calibri" w:cs="Calibri"/>
          <w:color w:val="000000"/>
          <w:sz w:val="22"/>
          <w:szCs w:val="22"/>
          <w:lang w:eastAsia="en-GB"/>
        </w:rPr>
        <w:t xml:space="preserve">£2,591.87 </w:t>
      </w:r>
      <w:r w:rsidR="009C3664" w:rsidRPr="001867AD">
        <w:rPr>
          <w:rFonts w:asciiTheme="minorHAnsi" w:hAnsiTheme="minorHAnsi" w:cs="Arial"/>
          <w:sz w:val="22"/>
          <w:szCs w:val="22"/>
        </w:rPr>
        <w:t>during the year and made payments of £12,000 to the Council.</w:t>
      </w:r>
      <w:r>
        <w:rPr>
          <w:rFonts w:asciiTheme="minorHAnsi" w:hAnsiTheme="minorHAnsi" w:cs="Arial"/>
          <w:sz w:val="22"/>
          <w:szCs w:val="22"/>
        </w:rPr>
        <w:t xml:space="preserve"> A member of Melton Belvoir Rotary Club. A member of Rutland and Melton Conservative Association of which payments totalling £92.00 were received.</w:t>
      </w:r>
    </w:p>
    <w:p w14:paraId="158C3309" w14:textId="3E8E8C54" w:rsidR="005940FA" w:rsidRPr="001867AD" w:rsidRDefault="005940FA" w:rsidP="005A07D8">
      <w:pPr>
        <w:pStyle w:val="BodyTextIndent"/>
        <w:tabs>
          <w:tab w:val="clear" w:pos="2160"/>
          <w:tab w:val="left" w:pos="567"/>
        </w:tabs>
        <w:spacing w:line="240" w:lineRule="auto"/>
        <w:ind w:left="567" w:right="25" w:hanging="567"/>
        <w:rPr>
          <w:rFonts w:asciiTheme="minorHAnsi" w:hAnsiTheme="minorHAnsi" w:cs="Arial"/>
          <w:sz w:val="22"/>
          <w:szCs w:val="22"/>
        </w:rPr>
      </w:pPr>
    </w:p>
    <w:p w14:paraId="41A6299E" w14:textId="477C7575" w:rsidR="005C5DE6" w:rsidRPr="00043BC5" w:rsidRDefault="008D67EE" w:rsidP="00D75114">
      <w:pPr>
        <w:pStyle w:val="BodyTextIndent"/>
        <w:tabs>
          <w:tab w:val="clear" w:pos="2160"/>
          <w:tab w:val="left" w:pos="567"/>
          <w:tab w:val="left" w:pos="9923"/>
        </w:tabs>
        <w:spacing w:line="240" w:lineRule="auto"/>
        <w:ind w:left="0" w:right="25" w:firstLine="0"/>
        <w:rPr>
          <w:rFonts w:asciiTheme="minorHAnsi" w:hAnsiTheme="minorHAnsi" w:cs="Arial"/>
          <w:sz w:val="22"/>
          <w:szCs w:val="22"/>
        </w:rPr>
      </w:pPr>
      <w:r w:rsidRPr="00BA22B7">
        <w:rPr>
          <w:rFonts w:asciiTheme="minorHAnsi" w:hAnsiTheme="minorHAnsi" w:cs="Arial"/>
          <w:sz w:val="22"/>
          <w:szCs w:val="22"/>
        </w:rPr>
        <w:t xml:space="preserve">Completed forms were not received back from Councillor </w:t>
      </w:r>
      <w:r w:rsidR="00BD5B6C" w:rsidRPr="00BA22B7">
        <w:rPr>
          <w:rFonts w:asciiTheme="minorHAnsi" w:hAnsiTheme="minorHAnsi" w:cs="Arial"/>
          <w:sz w:val="22"/>
          <w:szCs w:val="22"/>
        </w:rPr>
        <w:t>R Smith</w:t>
      </w:r>
      <w:r w:rsidR="00043BC5" w:rsidRPr="00BA22B7">
        <w:rPr>
          <w:rFonts w:asciiTheme="minorHAnsi" w:hAnsiTheme="minorHAnsi" w:cs="Arial"/>
          <w:sz w:val="22"/>
          <w:szCs w:val="22"/>
        </w:rPr>
        <w:t xml:space="preserve">, </w:t>
      </w:r>
      <w:r w:rsidR="00B8632C" w:rsidRPr="00BA22B7">
        <w:rPr>
          <w:rFonts w:asciiTheme="minorHAnsi" w:hAnsiTheme="minorHAnsi" w:cs="Arial"/>
          <w:sz w:val="22"/>
          <w:szCs w:val="22"/>
        </w:rPr>
        <w:t xml:space="preserve">Councillor </w:t>
      </w:r>
      <w:r w:rsidR="00BD5B6C" w:rsidRPr="00BA22B7">
        <w:rPr>
          <w:rFonts w:asciiTheme="minorHAnsi" w:hAnsiTheme="minorHAnsi" w:cs="Arial"/>
          <w:sz w:val="22"/>
          <w:szCs w:val="22"/>
        </w:rPr>
        <w:t>P Wood, Councillor L Higgins</w:t>
      </w:r>
      <w:r w:rsidR="00043BC5" w:rsidRPr="00BA22B7">
        <w:rPr>
          <w:rFonts w:asciiTheme="minorHAnsi" w:hAnsiTheme="minorHAnsi" w:cs="Arial"/>
          <w:sz w:val="22"/>
          <w:szCs w:val="22"/>
        </w:rPr>
        <w:t xml:space="preserve"> and Councillor</w:t>
      </w:r>
      <w:r w:rsidR="00BD5B6C" w:rsidRPr="00BA22B7">
        <w:rPr>
          <w:rFonts w:asciiTheme="minorHAnsi" w:hAnsiTheme="minorHAnsi" w:cs="Arial"/>
          <w:sz w:val="22"/>
          <w:szCs w:val="22"/>
        </w:rPr>
        <w:t xml:space="preserve"> C Evans</w:t>
      </w:r>
      <w:r w:rsidR="00BA22B7">
        <w:rPr>
          <w:rFonts w:asciiTheme="minorHAnsi" w:hAnsiTheme="minorHAnsi" w:cs="Arial"/>
          <w:sz w:val="22"/>
          <w:szCs w:val="22"/>
        </w:rPr>
        <w:t>.</w:t>
      </w:r>
    </w:p>
    <w:p w14:paraId="1E976A24" w14:textId="77777777" w:rsidR="007479AC" w:rsidRPr="00043BC5" w:rsidRDefault="007479AC" w:rsidP="00D75114">
      <w:pPr>
        <w:pStyle w:val="BodyTextIndent"/>
        <w:tabs>
          <w:tab w:val="clear" w:pos="2160"/>
          <w:tab w:val="left" w:pos="567"/>
          <w:tab w:val="left" w:pos="9923"/>
        </w:tabs>
        <w:spacing w:line="240" w:lineRule="auto"/>
        <w:ind w:left="0" w:right="25" w:firstLine="0"/>
        <w:rPr>
          <w:rFonts w:asciiTheme="minorHAnsi" w:hAnsiTheme="minorHAnsi" w:cs="Arial"/>
        </w:rPr>
      </w:pPr>
    </w:p>
    <w:p w14:paraId="31CFB574" w14:textId="77777777" w:rsidR="00FE260B" w:rsidRPr="00B22128" w:rsidRDefault="00BD01C1" w:rsidP="00BD01C1">
      <w:pPr>
        <w:widowControl w:val="0"/>
        <w:tabs>
          <w:tab w:val="left" w:pos="720"/>
          <w:tab w:val="left" w:pos="7200"/>
          <w:tab w:val="left" w:pos="8640"/>
        </w:tabs>
        <w:jc w:val="both"/>
        <w:rPr>
          <w:rFonts w:asciiTheme="minorHAnsi" w:hAnsiTheme="minorHAnsi" w:cs="Arial"/>
          <w:b/>
          <w:sz w:val="22"/>
          <w:szCs w:val="22"/>
        </w:rPr>
      </w:pPr>
      <w:r w:rsidRPr="00B22128">
        <w:rPr>
          <w:rFonts w:asciiTheme="minorHAnsi" w:hAnsiTheme="minorHAnsi" w:cs="Arial"/>
          <w:b/>
          <w:sz w:val="22"/>
          <w:szCs w:val="22"/>
        </w:rPr>
        <w:t>Melton Community Lottery</w:t>
      </w:r>
    </w:p>
    <w:p w14:paraId="0870FCD5" w14:textId="77777777" w:rsidR="00FE260B" w:rsidRPr="00B22128" w:rsidRDefault="00FE260B" w:rsidP="00BD01C1">
      <w:pPr>
        <w:widowControl w:val="0"/>
        <w:tabs>
          <w:tab w:val="left" w:pos="720"/>
          <w:tab w:val="left" w:pos="7200"/>
          <w:tab w:val="left" w:pos="8640"/>
        </w:tabs>
        <w:jc w:val="both"/>
        <w:rPr>
          <w:rFonts w:asciiTheme="minorHAnsi" w:hAnsiTheme="minorHAnsi" w:cs="Arial"/>
          <w:b/>
        </w:rPr>
      </w:pPr>
    </w:p>
    <w:p w14:paraId="71A03B1D" w14:textId="69B07EE9" w:rsidR="00BD01C1" w:rsidRDefault="00BD01C1" w:rsidP="00BD01C1">
      <w:pPr>
        <w:widowControl w:val="0"/>
        <w:tabs>
          <w:tab w:val="left" w:pos="720"/>
          <w:tab w:val="left" w:pos="7200"/>
          <w:tab w:val="left" w:pos="8640"/>
        </w:tabs>
        <w:jc w:val="both"/>
        <w:rPr>
          <w:rFonts w:asciiTheme="minorHAnsi" w:hAnsiTheme="minorHAnsi" w:cs="Arial"/>
          <w:sz w:val="22"/>
          <w:szCs w:val="22"/>
        </w:rPr>
      </w:pPr>
      <w:r w:rsidRPr="00B22128">
        <w:rPr>
          <w:rFonts w:asciiTheme="minorHAnsi" w:hAnsiTheme="minorHAnsi" w:cs="Arial"/>
          <w:sz w:val="22"/>
          <w:szCs w:val="22"/>
        </w:rPr>
        <w:t xml:space="preserve">The Melton Community Lottery is promoted by Melton Borough Council and is a Local Authority Lottery licensed by the Gambling Commission.  </w:t>
      </w:r>
      <w:r w:rsidR="001E7DE7">
        <w:rPr>
          <w:rFonts w:asciiTheme="minorHAnsi" w:hAnsiTheme="minorHAnsi" w:cs="Arial"/>
          <w:sz w:val="22"/>
          <w:szCs w:val="22"/>
        </w:rPr>
        <w:t xml:space="preserve">Melton </w:t>
      </w:r>
      <w:r w:rsidR="001E7DE7" w:rsidRPr="001E7DE7">
        <w:rPr>
          <w:rFonts w:asciiTheme="minorHAnsi" w:hAnsiTheme="minorHAnsi" w:cs="Arial"/>
          <w:sz w:val="22"/>
          <w:szCs w:val="22"/>
        </w:rPr>
        <w:t xml:space="preserve">Mencap, </w:t>
      </w:r>
      <w:r w:rsidR="00F74132" w:rsidRPr="001E7DE7">
        <w:rPr>
          <w:rFonts w:asciiTheme="minorHAnsi" w:hAnsiTheme="minorHAnsi" w:cs="Arial"/>
          <w:sz w:val="22"/>
          <w:szCs w:val="22"/>
        </w:rPr>
        <w:t xml:space="preserve">Melton Learning Hub </w:t>
      </w:r>
      <w:r w:rsidR="001E7DE7" w:rsidRPr="001E7DE7">
        <w:rPr>
          <w:rFonts w:asciiTheme="minorHAnsi" w:hAnsiTheme="minorHAnsi" w:cs="Arial"/>
          <w:sz w:val="22"/>
          <w:szCs w:val="22"/>
        </w:rPr>
        <w:t xml:space="preserve">and Melton Belvoir Rotary Club </w:t>
      </w:r>
      <w:r w:rsidRPr="001E7DE7">
        <w:rPr>
          <w:rFonts w:asciiTheme="minorHAnsi" w:hAnsiTheme="minorHAnsi" w:cs="Arial"/>
          <w:sz w:val="22"/>
          <w:szCs w:val="22"/>
        </w:rPr>
        <w:t>under the terms of the Melton Community Lottery, are registered as good causes and therefore receive funding from this source</w:t>
      </w:r>
      <w:r w:rsidRPr="00B22128">
        <w:rPr>
          <w:rFonts w:asciiTheme="minorHAnsi" w:hAnsiTheme="minorHAnsi" w:cs="Arial"/>
          <w:sz w:val="22"/>
          <w:szCs w:val="22"/>
        </w:rPr>
        <w:t>.</w:t>
      </w:r>
    </w:p>
    <w:p w14:paraId="5E613BE9"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7D4F2CFF"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405A6079"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D33A1E9"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02B3EDD"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2AB68CAF"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04277158"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7BA79691"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5636FE74"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3FF95C77"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7C1225A1"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347B864"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462981A0"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A9D8F8B"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343D9AB1"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365F58DD"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072A12AD"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5164789E"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02ED15A9"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B35B6F3"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65D3B54"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FC9599E"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1349B40"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8A816C4"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18919B05"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5FB4278D"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41797361"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3AC564C"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384588B8"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74FACDF3"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46943D1F"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671A65F8"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3803395D"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4D72B2E7" w14:textId="77777777" w:rsidR="00D875DC" w:rsidRDefault="00D875DC" w:rsidP="00BD01C1">
      <w:pPr>
        <w:widowControl w:val="0"/>
        <w:tabs>
          <w:tab w:val="left" w:pos="720"/>
          <w:tab w:val="left" w:pos="7200"/>
          <w:tab w:val="left" w:pos="8640"/>
        </w:tabs>
        <w:jc w:val="both"/>
        <w:rPr>
          <w:rFonts w:asciiTheme="minorHAnsi" w:hAnsiTheme="minorHAnsi" w:cs="Arial"/>
          <w:sz w:val="22"/>
          <w:szCs w:val="22"/>
        </w:rPr>
      </w:pPr>
    </w:p>
    <w:p w14:paraId="05626EBD" w14:textId="2C3EFFF5" w:rsidR="0048235E" w:rsidRDefault="0048235E" w:rsidP="00BD01C1">
      <w:pPr>
        <w:widowControl w:val="0"/>
        <w:tabs>
          <w:tab w:val="left" w:pos="720"/>
          <w:tab w:val="left" w:pos="7200"/>
          <w:tab w:val="left" w:pos="8640"/>
        </w:tabs>
        <w:jc w:val="both"/>
        <w:rPr>
          <w:rFonts w:asciiTheme="minorHAnsi" w:hAnsiTheme="minorHAnsi" w:cs="Arial"/>
          <w:sz w:val="22"/>
          <w:szCs w:val="22"/>
        </w:rPr>
      </w:pPr>
    </w:p>
    <w:p w14:paraId="064EA42D" w14:textId="0F56C462" w:rsidR="00707761" w:rsidRPr="009D50C0" w:rsidRDefault="009D50C0" w:rsidP="00704A70">
      <w:pPr>
        <w:pStyle w:val="Heading2"/>
      </w:pPr>
      <w:r w:rsidRPr="009D50C0">
        <w:lastRenderedPageBreak/>
        <w:t>1</w:t>
      </w:r>
      <w:r w:rsidR="00D3279C">
        <w:t>5</w:t>
      </w:r>
      <w:r w:rsidR="00707761" w:rsidRPr="009D50C0">
        <w:t xml:space="preserve"> </w:t>
      </w:r>
      <w:r w:rsidR="00707761" w:rsidRPr="009D50C0">
        <w:tab/>
        <w:t>A</w:t>
      </w:r>
      <w:r w:rsidRPr="009D50C0">
        <w:t>djustments Between</w:t>
      </w:r>
      <w:r w:rsidR="00707761" w:rsidRPr="009D50C0">
        <w:t xml:space="preserve"> A</w:t>
      </w:r>
      <w:r w:rsidRPr="009D50C0">
        <w:t xml:space="preserve">ccounting Basis and Funding Basis Under </w:t>
      </w:r>
      <w:r w:rsidR="00707761" w:rsidRPr="009D50C0">
        <w:t>R</w:t>
      </w:r>
      <w:r w:rsidRPr="009D50C0">
        <w:t>egulations</w:t>
      </w:r>
    </w:p>
    <w:p w14:paraId="11FD05C0" w14:textId="77777777" w:rsidR="009D50C0" w:rsidRDefault="009D50C0" w:rsidP="009D50C0">
      <w:pPr>
        <w:widowControl w:val="0"/>
        <w:tabs>
          <w:tab w:val="left" w:pos="7200"/>
          <w:tab w:val="left" w:pos="8640"/>
        </w:tabs>
        <w:ind w:left="426" w:hanging="426"/>
        <w:rPr>
          <w:rFonts w:ascii="Arial" w:hAnsi="Arial" w:cs="Arial"/>
          <w:b/>
        </w:rPr>
      </w:pPr>
    </w:p>
    <w:p w14:paraId="32D26174" w14:textId="77777777" w:rsidR="00707761" w:rsidRPr="009D50C0"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This note details the adjustments made to the total Comprehensive Income and Expenditure statement recognised by the Council in the year in accordance with proper accounting practice to</w:t>
      </w:r>
      <w:r w:rsidR="00A23B81">
        <w:rPr>
          <w:rFonts w:asciiTheme="minorHAnsi" w:hAnsiTheme="minorHAnsi" w:cs="Arial"/>
          <w:sz w:val="22"/>
          <w:szCs w:val="22"/>
        </w:rPr>
        <w:t xml:space="preserve"> arrive at</w:t>
      </w:r>
      <w:r w:rsidRPr="009D50C0">
        <w:rPr>
          <w:rFonts w:asciiTheme="minorHAnsi" w:hAnsiTheme="minorHAnsi" w:cs="Arial"/>
          <w:sz w:val="22"/>
          <w:szCs w:val="22"/>
        </w:rPr>
        <w:t xml:space="preserve"> the resources that are specified by statutory provis</w:t>
      </w:r>
      <w:r w:rsidR="0091626F">
        <w:rPr>
          <w:rFonts w:asciiTheme="minorHAnsi" w:hAnsiTheme="minorHAnsi" w:cs="Arial"/>
          <w:sz w:val="22"/>
          <w:szCs w:val="22"/>
        </w:rPr>
        <w:t>ions as being available to the Council</w:t>
      </w:r>
      <w:r w:rsidRPr="009D50C0">
        <w:rPr>
          <w:rFonts w:asciiTheme="minorHAnsi" w:hAnsiTheme="minorHAnsi" w:cs="Arial"/>
          <w:sz w:val="22"/>
          <w:szCs w:val="22"/>
        </w:rPr>
        <w:t xml:space="preserve"> to meet future capital and revenue expenditure.</w:t>
      </w:r>
    </w:p>
    <w:p w14:paraId="4BF17CA7" w14:textId="77777777" w:rsidR="00707761" w:rsidRPr="0029188A" w:rsidRDefault="00707761" w:rsidP="00707761">
      <w:pPr>
        <w:widowControl w:val="0"/>
        <w:tabs>
          <w:tab w:val="left" w:pos="720"/>
          <w:tab w:val="left" w:pos="7200"/>
          <w:tab w:val="left" w:pos="8640"/>
        </w:tabs>
        <w:jc w:val="both"/>
        <w:rPr>
          <w:rFonts w:asciiTheme="minorHAnsi" w:hAnsiTheme="minorHAnsi" w:cs="Arial"/>
        </w:rPr>
      </w:pPr>
    </w:p>
    <w:p w14:paraId="0A47E086" w14:textId="77777777" w:rsidR="00707761" w:rsidRPr="009D50C0"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The following sets out a description of the reserves that the adjustments are made against:</w:t>
      </w:r>
    </w:p>
    <w:p w14:paraId="027D1D98" w14:textId="77777777" w:rsidR="00707761" w:rsidRDefault="00707761" w:rsidP="00707761">
      <w:pPr>
        <w:widowControl w:val="0"/>
        <w:tabs>
          <w:tab w:val="left" w:pos="720"/>
          <w:tab w:val="left" w:pos="7200"/>
          <w:tab w:val="left" w:pos="8640"/>
        </w:tabs>
        <w:jc w:val="both"/>
        <w:rPr>
          <w:rFonts w:ascii="Arial" w:hAnsi="Arial" w:cs="Arial"/>
          <w:b/>
        </w:rPr>
      </w:pPr>
    </w:p>
    <w:p w14:paraId="14E50A71" w14:textId="77777777" w:rsidR="00707761" w:rsidRPr="009D50C0" w:rsidRDefault="00707761" w:rsidP="00707761">
      <w:pPr>
        <w:widowControl w:val="0"/>
        <w:tabs>
          <w:tab w:val="left" w:pos="720"/>
          <w:tab w:val="left" w:pos="7200"/>
          <w:tab w:val="left" w:pos="8640"/>
        </w:tabs>
        <w:jc w:val="both"/>
        <w:rPr>
          <w:rFonts w:asciiTheme="minorHAnsi" w:hAnsiTheme="minorHAnsi" w:cs="Arial"/>
          <w:b/>
          <w:sz w:val="22"/>
          <w:szCs w:val="22"/>
        </w:rPr>
      </w:pPr>
      <w:r w:rsidRPr="009D50C0">
        <w:rPr>
          <w:rFonts w:asciiTheme="minorHAnsi" w:hAnsiTheme="minorHAnsi" w:cs="Arial"/>
          <w:b/>
          <w:sz w:val="22"/>
          <w:szCs w:val="22"/>
        </w:rPr>
        <w:t>General Fund Balance</w:t>
      </w:r>
    </w:p>
    <w:p w14:paraId="31CE49B3" w14:textId="74F0D5F5" w:rsidR="00707761" w:rsidRPr="009D50C0"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 xml:space="preserve">The General Fund is the statutory fund </w:t>
      </w:r>
      <w:r w:rsidR="00C12DF8">
        <w:rPr>
          <w:rFonts w:asciiTheme="minorHAnsi" w:hAnsiTheme="minorHAnsi" w:cs="Arial"/>
          <w:sz w:val="22"/>
          <w:szCs w:val="22"/>
        </w:rPr>
        <w:t xml:space="preserve">into </w:t>
      </w:r>
      <w:r w:rsidRPr="009D50C0">
        <w:rPr>
          <w:rFonts w:asciiTheme="minorHAnsi" w:hAnsiTheme="minorHAnsi" w:cs="Arial"/>
          <w:sz w:val="22"/>
          <w:szCs w:val="22"/>
        </w:rPr>
        <w:t>which all the receipts of the Council are required to be paid and out of which all liabilities of the Council are to be met, except to the extent that statutory rules might provide otherwise.   These rules can also specify the financial year in which liabilities and payments should impact the General Fund balance, which is not necessarily in accordance with proper accounting practice.  The General Fund balance therefore summarises the resources that the Council is statutorily empowered to spend on its services or on capital investment (or the deficit of resources that the Council is required to recover) at the end of the financial year.  This balance however is not available to be applied to fund HRA services.</w:t>
      </w:r>
    </w:p>
    <w:p w14:paraId="51EE2ECB" w14:textId="73CA1B52" w:rsidR="00707761" w:rsidRDefault="00707761" w:rsidP="00707761">
      <w:pPr>
        <w:widowControl w:val="0"/>
        <w:tabs>
          <w:tab w:val="left" w:pos="720"/>
          <w:tab w:val="left" w:pos="7200"/>
          <w:tab w:val="left" w:pos="8640"/>
        </w:tabs>
        <w:jc w:val="both"/>
        <w:rPr>
          <w:rFonts w:asciiTheme="minorHAnsi" w:hAnsiTheme="minorHAnsi" w:cs="Arial"/>
        </w:rPr>
      </w:pPr>
    </w:p>
    <w:p w14:paraId="398608A0" w14:textId="77777777" w:rsidR="00707761" w:rsidRPr="009D50C0" w:rsidRDefault="00707761" w:rsidP="00707761">
      <w:pPr>
        <w:widowControl w:val="0"/>
        <w:tabs>
          <w:tab w:val="left" w:pos="720"/>
          <w:tab w:val="left" w:pos="7200"/>
          <w:tab w:val="left" w:pos="8640"/>
        </w:tabs>
        <w:jc w:val="both"/>
        <w:rPr>
          <w:rFonts w:asciiTheme="minorHAnsi" w:hAnsiTheme="minorHAnsi" w:cs="Arial"/>
          <w:b/>
          <w:sz w:val="22"/>
          <w:szCs w:val="22"/>
        </w:rPr>
      </w:pPr>
      <w:r w:rsidRPr="009D50C0">
        <w:rPr>
          <w:rFonts w:asciiTheme="minorHAnsi" w:hAnsiTheme="minorHAnsi" w:cs="Arial"/>
          <w:b/>
          <w:sz w:val="22"/>
          <w:szCs w:val="22"/>
        </w:rPr>
        <w:t>Housing Revenue Account Balance</w:t>
      </w:r>
    </w:p>
    <w:p w14:paraId="6605A4A9" w14:textId="5B256E56" w:rsidR="00707761"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 xml:space="preserve">The Housing Revenue Account balance reflects the statutory obligation to maintain a revenue account for local authority council housing provision in accordance with Part VI of the Local Government </w:t>
      </w:r>
      <w:r w:rsidR="00704A70">
        <w:rPr>
          <w:rFonts w:asciiTheme="minorHAnsi" w:hAnsiTheme="minorHAnsi" w:cs="Arial"/>
          <w:sz w:val="22"/>
          <w:szCs w:val="22"/>
        </w:rPr>
        <w:t>and</w:t>
      </w:r>
      <w:r w:rsidRPr="009D50C0">
        <w:rPr>
          <w:rFonts w:asciiTheme="minorHAnsi" w:hAnsiTheme="minorHAnsi" w:cs="Arial"/>
          <w:sz w:val="22"/>
          <w:szCs w:val="22"/>
        </w:rPr>
        <w:t xml:space="preserve"> Housing Act 1989.  It contains the balance of income and expenditure as defined by the 1989 Act that is available to fund future expenditure in connection with the Council’s landlord function or (where in deficit) that is required to be recovered from tenants in future years.</w:t>
      </w:r>
    </w:p>
    <w:p w14:paraId="018ACCA0" w14:textId="77777777" w:rsidR="00707761" w:rsidRPr="0029188A" w:rsidRDefault="00707761" w:rsidP="00707761">
      <w:pPr>
        <w:widowControl w:val="0"/>
        <w:tabs>
          <w:tab w:val="left" w:pos="720"/>
          <w:tab w:val="left" w:pos="7200"/>
          <w:tab w:val="left" w:pos="8640"/>
        </w:tabs>
        <w:jc w:val="both"/>
        <w:rPr>
          <w:rFonts w:asciiTheme="minorHAnsi" w:hAnsiTheme="minorHAnsi" w:cs="Arial"/>
        </w:rPr>
      </w:pPr>
    </w:p>
    <w:p w14:paraId="44D8D8D0" w14:textId="77777777" w:rsidR="00707761" w:rsidRPr="009D50C0" w:rsidRDefault="00707761" w:rsidP="00707761">
      <w:pPr>
        <w:widowControl w:val="0"/>
        <w:tabs>
          <w:tab w:val="left" w:pos="720"/>
          <w:tab w:val="left" w:pos="7200"/>
          <w:tab w:val="left" w:pos="8640"/>
        </w:tabs>
        <w:jc w:val="both"/>
        <w:rPr>
          <w:rFonts w:asciiTheme="minorHAnsi" w:hAnsiTheme="minorHAnsi" w:cs="Arial"/>
          <w:b/>
          <w:sz w:val="22"/>
          <w:szCs w:val="22"/>
        </w:rPr>
      </w:pPr>
      <w:r w:rsidRPr="009D50C0">
        <w:rPr>
          <w:rFonts w:asciiTheme="minorHAnsi" w:hAnsiTheme="minorHAnsi" w:cs="Arial"/>
          <w:b/>
          <w:sz w:val="22"/>
          <w:szCs w:val="22"/>
        </w:rPr>
        <w:t>Major Repairs Reserve</w:t>
      </w:r>
    </w:p>
    <w:p w14:paraId="4E02705D" w14:textId="77777777" w:rsidR="00707761" w:rsidRPr="009D50C0"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The Council is required to maintain the Major Repairs Reserve, which controls an element of the capital resources limited to being used on capital expenditure on HRA assets or the financing of historical capital expenditure by the HRA.  The balance shows the capital resources that have yet to be applied at the year end.</w:t>
      </w:r>
    </w:p>
    <w:p w14:paraId="4E9D8C0E" w14:textId="77777777" w:rsidR="00707761" w:rsidRPr="0029188A" w:rsidRDefault="00707761" w:rsidP="00707761">
      <w:pPr>
        <w:widowControl w:val="0"/>
        <w:tabs>
          <w:tab w:val="left" w:pos="720"/>
          <w:tab w:val="left" w:pos="7200"/>
          <w:tab w:val="left" w:pos="8640"/>
        </w:tabs>
        <w:jc w:val="both"/>
        <w:rPr>
          <w:rFonts w:asciiTheme="minorHAnsi" w:hAnsiTheme="minorHAnsi" w:cs="Arial"/>
        </w:rPr>
      </w:pPr>
    </w:p>
    <w:p w14:paraId="0D12E0FC" w14:textId="77777777" w:rsidR="00707761" w:rsidRPr="009D50C0" w:rsidRDefault="00707761" w:rsidP="00707761">
      <w:pPr>
        <w:widowControl w:val="0"/>
        <w:tabs>
          <w:tab w:val="left" w:pos="720"/>
          <w:tab w:val="left" w:pos="7200"/>
          <w:tab w:val="left" w:pos="8640"/>
        </w:tabs>
        <w:jc w:val="both"/>
        <w:rPr>
          <w:rFonts w:asciiTheme="minorHAnsi" w:hAnsiTheme="minorHAnsi" w:cs="Arial"/>
          <w:b/>
          <w:sz w:val="22"/>
          <w:szCs w:val="22"/>
        </w:rPr>
      </w:pPr>
      <w:r w:rsidRPr="009D50C0">
        <w:rPr>
          <w:rFonts w:asciiTheme="minorHAnsi" w:hAnsiTheme="minorHAnsi" w:cs="Arial"/>
          <w:b/>
          <w:sz w:val="22"/>
          <w:szCs w:val="22"/>
        </w:rPr>
        <w:t>Capital Receipts Reserve</w:t>
      </w:r>
    </w:p>
    <w:p w14:paraId="284DEC9B" w14:textId="77777777" w:rsidR="00707761" w:rsidRPr="009D50C0"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 end.</w:t>
      </w:r>
    </w:p>
    <w:p w14:paraId="507AAD9B" w14:textId="77777777" w:rsidR="004300FF" w:rsidRDefault="004300FF" w:rsidP="00707761">
      <w:pPr>
        <w:widowControl w:val="0"/>
        <w:tabs>
          <w:tab w:val="left" w:pos="720"/>
          <w:tab w:val="left" w:pos="7200"/>
          <w:tab w:val="left" w:pos="8640"/>
        </w:tabs>
        <w:jc w:val="both"/>
        <w:rPr>
          <w:rFonts w:asciiTheme="minorHAnsi" w:hAnsiTheme="minorHAnsi" w:cs="Arial"/>
          <w:b/>
          <w:sz w:val="22"/>
          <w:szCs w:val="22"/>
        </w:rPr>
      </w:pPr>
    </w:p>
    <w:p w14:paraId="0D62EF19" w14:textId="77777777" w:rsidR="00707761" w:rsidRPr="009D50C0" w:rsidRDefault="00707761" w:rsidP="00707761">
      <w:pPr>
        <w:widowControl w:val="0"/>
        <w:tabs>
          <w:tab w:val="left" w:pos="720"/>
          <w:tab w:val="left" w:pos="7200"/>
          <w:tab w:val="left" w:pos="8640"/>
        </w:tabs>
        <w:jc w:val="both"/>
        <w:rPr>
          <w:rFonts w:asciiTheme="minorHAnsi" w:hAnsiTheme="minorHAnsi" w:cs="Arial"/>
          <w:b/>
          <w:sz w:val="22"/>
          <w:szCs w:val="22"/>
        </w:rPr>
      </w:pPr>
      <w:r w:rsidRPr="009D50C0">
        <w:rPr>
          <w:rFonts w:asciiTheme="minorHAnsi" w:hAnsiTheme="minorHAnsi" w:cs="Arial"/>
          <w:b/>
          <w:sz w:val="22"/>
          <w:szCs w:val="22"/>
        </w:rPr>
        <w:t>Capital Grants Unapplied</w:t>
      </w:r>
    </w:p>
    <w:p w14:paraId="277B591E" w14:textId="1EFE415E" w:rsidR="00707761" w:rsidRDefault="00707761" w:rsidP="00707761">
      <w:pPr>
        <w:widowControl w:val="0"/>
        <w:tabs>
          <w:tab w:val="left" w:pos="720"/>
          <w:tab w:val="left" w:pos="7200"/>
          <w:tab w:val="left" w:pos="8640"/>
        </w:tabs>
        <w:jc w:val="both"/>
        <w:rPr>
          <w:rFonts w:asciiTheme="minorHAnsi" w:hAnsiTheme="minorHAnsi" w:cs="Arial"/>
          <w:sz w:val="22"/>
          <w:szCs w:val="22"/>
        </w:rPr>
      </w:pPr>
      <w:r w:rsidRPr="009D50C0">
        <w:rPr>
          <w:rFonts w:asciiTheme="minorHAnsi" w:hAnsiTheme="minorHAnsi" w:cs="Arial"/>
          <w:sz w:val="22"/>
          <w:szCs w:val="22"/>
        </w:rPr>
        <w:t xml:space="preserve">The Capital Grants Unapplied Account holds the grants and contributions received towards capital projects for which the Council has met the conditions that would otherwise require repayment of the </w:t>
      </w:r>
      <w:proofErr w:type="gramStart"/>
      <w:r w:rsidRPr="009D50C0">
        <w:rPr>
          <w:rFonts w:asciiTheme="minorHAnsi" w:hAnsiTheme="minorHAnsi" w:cs="Arial"/>
          <w:sz w:val="22"/>
          <w:szCs w:val="22"/>
        </w:rPr>
        <w:t>monies</w:t>
      </w:r>
      <w:proofErr w:type="gramEnd"/>
      <w:r w:rsidRPr="009D50C0">
        <w:rPr>
          <w:rFonts w:asciiTheme="minorHAnsi" w:hAnsiTheme="minorHAnsi" w:cs="Arial"/>
          <w:sz w:val="22"/>
          <w:szCs w:val="22"/>
        </w:rPr>
        <w:t xml:space="preserve"> but which have yet to be applied to meet expenditure.  The balance is restricted by grant terms as to the capital expenditure against which it can be applied and/or the financial year in which this can take place.</w:t>
      </w:r>
    </w:p>
    <w:p w14:paraId="3D600F31" w14:textId="29339D73" w:rsidR="00097CA9" w:rsidRDefault="00097CA9">
      <w:pPr>
        <w:rPr>
          <w:rFonts w:asciiTheme="minorHAnsi" w:hAnsiTheme="minorHAnsi" w:cs="Arial"/>
          <w:sz w:val="22"/>
          <w:szCs w:val="22"/>
        </w:rPr>
      </w:pPr>
      <w:r>
        <w:rPr>
          <w:rFonts w:asciiTheme="minorHAnsi" w:hAnsiTheme="minorHAnsi" w:cs="Arial"/>
          <w:sz w:val="22"/>
          <w:szCs w:val="22"/>
        </w:rPr>
        <w:br w:type="page"/>
      </w:r>
    </w:p>
    <w:p w14:paraId="3B042AFA" w14:textId="545E408F" w:rsidR="000E61C4" w:rsidRDefault="000E61C4" w:rsidP="000E61C4">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lastRenderedPageBreak/>
        <w:t>2022-2023</w:t>
      </w:r>
    </w:p>
    <w:p w14:paraId="29F17B95" w14:textId="77777777" w:rsidR="000E61C4" w:rsidRDefault="000E61C4" w:rsidP="000E61C4">
      <w:pPr>
        <w:widowControl w:val="0"/>
        <w:tabs>
          <w:tab w:val="left" w:pos="720"/>
          <w:tab w:val="left" w:pos="7200"/>
          <w:tab w:val="left" w:pos="8640"/>
        </w:tabs>
        <w:jc w:val="both"/>
        <w:rPr>
          <w:rFonts w:asciiTheme="minorHAnsi" w:hAnsiTheme="minorHAnsi" w:cs="Arial"/>
          <w:sz w:val="22"/>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5DFEC" w:themeFill="accent4" w:themeFillTint="33"/>
        <w:tblLook w:val="04A0" w:firstRow="1" w:lastRow="0" w:firstColumn="1" w:lastColumn="0" w:noHBand="0" w:noVBand="1"/>
        <w:tblCaption w:val="Adjustments between Accounting Basis and Funding Basis under Regulations"/>
        <w:tblDescription w:val="Adjustments between Accounting Basis and Funding Basis under Regulations for 2022-2023"/>
      </w:tblPr>
      <w:tblGrid>
        <w:gridCol w:w="5535"/>
        <w:gridCol w:w="922"/>
        <w:gridCol w:w="817"/>
        <w:gridCol w:w="1012"/>
        <w:gridCol w:w="926"/>
        <w:gridCol w:w="1136"/>
      </w:tblGrid>
      <w:tr w:rsidR="000E61C4" w14:paraId="6DA74FF3" w14:textId="77777777" w:rsidTr="00EF3B80">
        <w:trPr>
          <w:tblHeader/>
        </w:trPr>
        <w:tc>
          <w:tcPr>
            <w:tcW w:w="2688" w:type="pct"/>
            <w:tcBorders>
              <w:top w:val="nil"/>
              <w:left w:val="nil"/>
              <w:bottom w:val="nil"/>
              <w:right w:val="single" w:sz="4" w:space="0" w:color="FFFFFF" w:themeColor="background1"/>
            </w:tcBorders>
            <w:shd w:val="clear" w:color="auto" w:fill="B2A1C7" w:themeFill="accent4" w:themeFillTint="99"/>
          </w:tcPr>
          <w:p w14:paraId="301ED6E6" w14:textId="77777777" w:rsidR="000E61C4" w:rsidRPr="00097CA9" w:rsidRDefault="000E61C4" w:rsidP="00EF3B80">
            <w:pPr>
              <w:widowControl w:val="0"/>
              <w:tabs>
                <w:tab w:val="left" w:pos="720"/>
                <w:tab w:val="left" w:pos="7200"/>
                <w:tab w:val="left" w:pos="8640"/>
              </w:tabs>
              <w:jc w:val="both"/>
              <w:rPr>
                <w:rFonts w:asciiTheme="minorHAnsi" w:hAnsiTheme="minorHAnsi" w:cs="Arial"/>
                <w:b/>
                <w:bCs/>
                <w:sz w:val="22"/>
                <w:szCs w:val="22"/>
              </w:rPr>
            </w:pPr>
          </w:p>
        </w:tc>
        <w:tc>
          <w:tcPr>
            <w:tcW w:w="436" w:type="pct"/>
            <w:tcBorders>
              <w:top w:val="nil"/>
              <w:left w:val="single" w:sz="4" w:space="0" w:color="FFFFFF" w:themeColor="background1"/>
              <w:bottom w:val="single" w:sz="4" w:space="0" w:color="FFFFFF" w:themeColor="background1"/>
              <w:right w:val="nil"/>
            </w:tcBorders>
            <w:shd w:val="clear" w:color="auto" w:fill="B2A1C7" w:themeFill="accent4" w:themeFillTint="99"/>
          </w:tcPr>
          <w:p w14:paraId="2A27123E"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c>
          <w:tcPr>
            <w:tcW w:w="409" w:type="pct"/>
            <w:tcBorders>
              <w:top w:val="nil"/>
              <w:left w:val="nil"/>
              <w:bottom w:val="single" w:sz="4" w:space="0" w:color="FFFFFF" w:themeColor="background1"/>
              <w:right w:val="nil"/>
            </w:tcBorders>
            <w:shd w:val="clear" w:color="auto" w:fill="B2A1C7" w:themeFill="accent4" w:themeFillTint="99"/>
          </w:tcPr>
          <w:p w14:paraId="37F3A273"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c>
          <w:tcPr>
            <w:tcW w:w="490" w:type="pct"/>
            <w:tcBorders>
              <w:top w:val="nil"/>
              <w:left w:val="nil"/>
              <w:bottom w:val="single" w:sz="4" w:space="0" w:color="FFFFFF" w:themeColor="background1"/>
              <w:right w:val="nil"/>
            </w:tcBorders>
            <w:shd w:val="clear" w:color="auto" w:fill="B2A1C7" w:themeFill="accent4" w:themeFillTint="99"/>
          </w:tcPr>
          <w:p w14:paraId="18ABEC06" w14:textId="77777777" w:rsidR="000E61C4" w:rsidRDefault="000E61C4" w:rsidP="00EF3B80">
            <w:pPr>
              <w:widowControl w:val="0"/>
              <w:tabs>
                <w:tab w:val="left" w:pos="720"/>
                <w:tab w:val="left" w:pos="7200"/>
                <w:tab w:val="left" w:pos="8640"/>
              </w:tabs>
              <w:jc w:val="center"/>
              <w:rPr>
                <w:rFonts w:asciiTheme="minorHAnsi" w:hAnsiTheme="minorHAnsi" w:cs="Arial"/>
                <w:sz w:val="22"/>
                <w:szCs w:val="22"/>
              </w:rPr>
            </w:pPr>
            <w:r>
              <w:rPr>
                <w:rFonts w:asciiTheme="minorHAnsi" w:hAnsiTheme="minorHAnsi" w:cs="Arial"/>
                <w:sz w:val="22"/>
                <w:szCs w:val="22"/>
              </w:rPr>
              <w:t>Usable Reserves</w:t>
            </w:r>
          </w:p>
        </w:tc>
        <w:tc>
          <w:tcPr>
            <w:tcW w:w="438" w:type="pct"/>
            <w:tcBorders>
              <w:top w:val="nil"/>
              <w:left w:val="nil"/>
              <w:bottom w:val="single" w:sz="4" w:space="0" w:color="FFFFFF" w:themeColor="background1"/>
              <w:right w:val="nil"/>
            </w:tcBorders>
            <w:shd w:val="clear" w:color="auto" w:fill="B2A1C7" w:themeFill="accent4" w:themeFillTint="99"/>
          </w:tcPr>
          <w:p w14:paraId="168A5848"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c>
          <w:tcPr>
            <w:tcW w:w="538" w:type="pct"/>
            <w:tcBorders>
              <w:top w:val="nil"/>
              <w:left w:val="nil"/>
              <w:bottom w:val="single" w:sz="4" w:space="0" w:color="FFFFFF" w:themeColor="background1"/>
              <w:right w:val="nil"/>
            </w:tcBorders>
            <w:shd w:val="clear" w:color="auto" w:fill="B2A1C7" w:themeFill="accent4" w:themeFillTint="99"/>
          </w:tcPr>
          <w:p w14:paraId="54697B2D"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r>
      <w:tr w:rsidR="000E61C4" w14:paraId="56311F40" w14:textId="77777777" w:rsidTr="00EF3B80">
        <w:trPr>
          <w:tblHeader/>
        </w:trPr>
        <w:tc>
          <w:tcPr>
            <w:tcW w:w="2688" w:type="pct"/>
            <w:tcBorders>
              <w:top w:val="nil"/>
              <w:left w:val="nil"/>
              <w:bottom w:val="nil"/>
              <w:right w:val="single" w:sz="4" w:space="0" w:color="FFFFFF" w:themeColor="background1"/>
            </w:tcBorders>
            <w:shd w:val="clear" w:color="auto" w:fill="B2A1C7" w:themeFill="accent4" w:themeFillTint="99"/>
          </w:tcPr>
          <w:p w14:paraId="46B31EFA"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c>
          <w:tcPr>
            <w:tcW w:w="436" w:type="pct"/>
            <w:tcBorders>
              <w:top w:val="single" w:sz="4" w:space="0" w:color="FFFFFF" w:themeColor="background1"/>
              <w:left w:val="single" w:sz="4" w:space="0" w:color="FFFFFF" w:themeColor="background1"/>
            </w:tcBorders>
            <w:shd w:val="clear" w:color="auto" w:fill="B2A1C7" w:themeFill="accent4" w:themeFillTint="99"/>
            <w:vAlign w:val="center"/>
          </w:tcPr>
          <w:p w14:paraId="60B846D8"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General Fund Balance</w:t>
            </w:r>
          </w:p>
        </w:tc>
        <w:tc>
          <w:tcPr>
            <w:tcW w:w="409" w:type="pct"/>
            <w:tcBorders>
              <w:top w:val="single" w:sz="4" w:space="0" w:color="FFFFFF" w:themeColor="background1"/>
            </w:tcBorders>
            <w:shd w:val="clear" w:color="auto" w:fill="B2A1C7" w:themeFill="accent4" w:themeFillTint="99"/>
            <w:vAlign w:val="center"/>
          </w:tcPr>
          <w:p w14:paraId="1882A722"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HRA</w:t>
            </w:r>
          </w:p>
        </w:tc>
        <w:tc>
          <w:tcPr>
            <w:tcW w:w="490" w:type="pct"/>
            <w:tcBorders>
              <w:top w:val="single" w:sz="4" w:space="0" w:color="FFFFFF" w:themeColor="background1"/>
            </w:tcBorders>
            <w:shd w:val="clear" w:color="auto" w:fill="B2A1C7" w:themeFill="accent4" w:themeFillTint="99"/>
            <w:vAlign w:val="center"/>
          </w:tcPr>
          <w:p w14:paraId="675294F2"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Capital Receipts Reserve</w:t>
            </w:r>
          </w:p>
        </w:tc>
        <w:tc>
          <w:tcPr>
            <w:tcW w:w="438" w:type="pct"/>
            <w:tcBorders>
              <w:top w:val="single" w:sz="4" w:space="0" w:color="FFFFFF" w:themeColor="background1"/>
            </w:tcBorders>
            <w:shd w:val="clear" w:color="auto" w:fill="B2A1C7" w:themeFill="accent4" w:themeFillTint="99"/>
            <w:vAlign w:val="center"/>
          </w:tcPr>
          <w:p w14:paraId="662900B2"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Major Repairs Reserve</w:t>
            </w:r>
          </w:p>
        </w:tc>
        <w:tc>
          <w:tcPr>
            <w:tcW w:w="538" w:type="pct"/>
            <w:tcBorders>
              <w:top w:val="single" w:sz="4" w:space="0" w:color="FFFFFF" w:themeColor="background1"/>
            </w:tcBorders>
            <w:shd w:val="clear" w:color="auto" w:fill="B2A1C7" w:themeFill="accent4" w:themeFillTint="99"/>
            <w:vAlign w:val="center"/>
          </w:tcPr>
          <w:p w14:paraId="4E0CA55F"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 xml:space="preserve">Capital Grants Unapplied </w:t>
            </w:r>
          </w:p>
        </w:tc>
      </w:tr>
      <w:tr w:rsidR="000E61C4" w14:paraId="2CC31F43" w14:textId="77777777" w:rsidTr="00EF3B80">
        <w:trPr>
          <w:tblHeader/>
        </w:trPr>
        <w:tc>
          <w:tcPr>
            <w:tcW w:w="2688" w:type="pct"/>
            <w:tcBorders>
              <w:top w:val="nil"/>
              <w:bottom w:val="single" w:sz="4" w:space="0" w:color="FFFFFF" w:themeColor="background1"/>
            </w:tcBorders>
            <w:shd w:val="clear" w:color="auto" w:fill="B2A1C7" w:themeFill="accent4" w:themeFillTint="99"/>
          </w:tcPr>
          <w:p w14:paraId="3588D01D"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
        </w:tc>
        <w:tc>
          <w:tcPr>
            <w:tcW w:w="436" w:type="pct"/>
            <w:tcBorders>
              <w:bottom w:val="single" w:sz="4" w:space="0" w:color="FFFFFF" w:themeColor="background1"/>
            </w:tcBorders>
            <w:shd w:val="clear" w:color="auto" w:fill="B2A1C7" w:themeFill="accent4" w:themeFillTint="99"/>
          </w:tcPr>
          <w:p w14:paraId="5CA4B7A8" w14:textId="191FE0C5"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£’000</w:t>
            </w:r>
          </w:p>
        </w:tc>
        <w:tc>
          <w:tcPr>
            <w:tcW w:w="409" w:type="pct"/>
            <w:tcBorders>
              <w:bottom w:val="single" w:sz="4" w:space="0" w:color="FFFFFF" w:themeColor="background1"/>
            </w:tcBorders>
            <w:shd w:val="clear" w:color="auto" w:fill="B2A1C7" w:themeFill="accent4" w:themeFillTint="99"/>
          </w:tcPr>
          <w:p w14:paraId="3626A10B" w14:textId="4F438A11"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£’000</w:t>
            </w:r>
          </w:p>
        </w:tc>
        <w:tc>
          <w:tcPr>
            <w:tcW w:w="490" w:type="pct"/>
            <w:tcBorders>
              <w:bottom w:val="single" w:sz="4" w:space="0" w:color="FFFFFF" w:themeColor="background1"/>
            </w:tcBorders>
            <w:shd w:val="clear" w:color="auto" w:fill="B2A1C7" w:themeFill="accent4" w:themeFillTint="99"/>
          </w:tcPr>
          <w:p w14:paraId="02FCE3E3" w14:textId="25640895"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£’000</w:t>
            </w:r>
          </w:p>
        </w:tc>
        <w:tc>
          <w:tcPr>
            <w:tcW w:w="438" w:type="pct"/>
            <w:tcBorders>
              <w:bottom w:val="single" w:sz="4" w:space="0" w:color="FFFFFF" w:themeColor="background1"/>
            </w:tcBorders>
            <w:shd w:val="clear" w:color="auto" w:fill="B2A1C7" w:themeFill="accent4" w:themeFillTint="99"/>
          </w:tcPr>
          <w:p w14:paraId="3ABF3A7B" w14:textId="25BD81BE"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£’000</w:t>
            </w:r>
          </w:p>
        </w:tc>
        <w:tc>
          <w:tcPr>
            <w:tcW w:w="538" w:type="pct"/>
            <w:tcBorders>
              <w:bottom w:val="nil"/>
            </w:tcBorders>
            <w:shd w:val="clear" w:color="auto" w:fill="B2A1C7" w:themeFill="accent4" w:themeFillTint="99"/>
          </w:tcPr>
          <w:p w14:paraId="5533514F" w14:textId="3157D7AC" w:rsidR="000E61C4" w:rsidRDefault="000E61C4" w:rsidP="00EF3B8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£’000</w:t>
            </w:r>
          </w:p>
        </w:tc>
      </w:tr>
      <w:tr w:rsidR="000E61C4" w14:paraId="5977B8F5" w14:textId="77777777" w:rsidTr="00EF3B80">
        <w:tc>
          <w:tcPr>
            <w:tcW w:w="2688" w:type="pct"/>
            <w:tcBorders>
              <w:top w:val="single" w:sz="4" w:space="0" w:color="FFFFFF" w:themeColor="background1"/>
              <w:left w:val="nil"/>
              <w:bottom w:val="nil"/>
              <w:right w:val="single" w:sz="4" w:space="0" w:color="FFFFFF" w:themeColor="background1"/>
            </w:tcBorders>
            <w:shd w:val="clear" w:color="auto" w:fill="E5DFEC" w:themeFill="accent4" w:themeFillTint="33"/>
          </w:tcPr>
          <w:p w14:paraId="549325D4"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b/>
                <w:bCs/>
                <w:color w:val="000000"/>
                <w:u w:val="single"/>
                <w:lang w:eastAsia="en-GB"/>
              </w:rPr>
              <w:t>Adjustments to Revenue Resources</w:t>
            </w:r>
          </w:p>
        </w:tc>
        <w:tc>
          <w:tcPr>
            <w:tcW w:w="436" w:type="pct"/>
            <w:tcBorders>
              <w:top w:val="single" w:sz="4" w:space="0" w:color="FFFFFF" w:themeColor="background1"/>
              <w:left w:val="single" w:sz="4" w:space="0" w:color="FFFFFF" w:themeColor="background1"/>
              <w:bottom w:val="nil"/>
              <w:right w:val="nil"/>
            </w:tcBorders>
            <w:shd w:val="clear" w:color="auto" w:fill="E5DFEC" w:themeFill="accent4" w:themeFillTint="33"/>
          </w:tcPr>
          <w:p w14:paraId="2C1F23B6"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09" w:type="pct"/>
            <w:tcBorders>
              <w:top w:val="single" w:sz="4" w:space="0" w:color="FFFFFF" w:themeColor="background1"/>
              <w:left w:val="nil"/>
              <w:bottom w:val="nil"/>
              <w:right w:val="nil"/>
            </w:tcBorders>
            <w:shd w:val="clear" w:color="auto" w:fill="E5DFEC" w:themeFill="accent4" w:themeFillTint="33"/>
          </w:tcPr>
          <w:p w14:paraId="41A9D3F6"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90" w:type="pct"/>
            <w:tcBorders>
              <w:top w:val="single" w:sz="4" w:space="0" w:color="FFFFFF" w:themeColor="background1"/>
              <w:left w:val="nil"/>
              <w:bottom w:val="nil"/>
              <w:right w:val="nil"/>
            </w:tcBorders>
            <w:shd w:val="clear" w:color="auto" w:fill="E5DFEC" w:themeFill="accent4" w:themeFillTint="33"/>
          </w:tcPr>
          <w:p w14:paraId="2B354BDA"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38" w:type="pct"/>
            <w:tcBorders>
              <w:top w:val="single" w:sz="4" w:space="0" w:color="FFFFFF" w:themeColor="background1"/>
              <w:left w:val="nil"/>
              <w:bottom w:val="nil"/>
              <w:right w:val="nil"/>
            </w:tcBorders>
            <w:shd w:val="clear" w:color="auto" w:fill="E5DFEC" w:themeFill="accent4" w:themeFillTint="33"/>
          </w:tcPr>
          <w:p w14:paraId="36ABA89D"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538" w:type="pct"/>
            <w:tcBorders>
              <w:top w:val="nil"/>
              <w:left w:val="nil"/>
              <w:bottom w:val="nil"/>
              <w:right w:val="nil"/>
            </w:tcBorders>
            <w:shd w:val="clear" w:color="auto" w:fill="E5DFEC" w:themeFill="accent4" w:themeFillTint="33"/>
          </w:tcPr>
          <w:p w14:paraId="72704E46"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r>
      <w:tr w:rsidR="000E61C4" w14:paraId="075BCF3B" w14:textId="77777777" w:rsidTr="00EF3B80">
        <w:tc>
          <w:tcPr>
            <w:tcW w:w="2688" w:type="pct"/>
            <w:tcBorders>
              <w:top w:val="nil"/>
              <w:left w:val="nil"/>
              <w:bottom w:val="single" w:sz="4" w:space="0" w:color="FFFFFF" w:themeColor="background1"/>
              <w:right w:val="single" w:sz="4" w:space="0" w:color="FFFFFF" w:themeColor="background1"/>
            </w:tcBorders>
            <w:shd w:val="clear" w:color="auto" w:fill="E5DFEC" w:themeFill="accent4" w:themeFillTint="33"/>
          </w:tcPr>
          <w:p w14:paraId="60FF6DA3"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xml:space="preserve">Amounts by which income and expenditure included in the Comprehensive Income </w:t>
            </w:r>
            <w:r>
              <w:rPr>
                <w:rFonts w:ascii="Calibri" w:hAnsi="Calibri"/>
                <w:color w:val="000000"/>
                <w:lang w:eastAsia="en-GB"/>
              </w:rPr>
              <w:t>and</w:t>
            </w:r>
            <w:r w:rsidRPr="00A55585">
              <w:rPr>
                <w:rFonts w:ascii="Calibri" w:hAnsi="Calibri"/>
                <w:color w:val="000000"/>
                <w:lang w:eastAsia="en-GB"/>
              </w:rPr>
              <w:t xml:space="preserve"> Expenditure Statement are different from revenue for the year calculated in accordance with statutory requirements</w:t>
            </w:r>
          </w:p>
        </w:tc>
        <w:tc>
          <w:tcPr>
            <w:tcW w:w="436" w:type="pct"/>
            <w:tcBorders>
              <w:top w:val="nil"/>
              <w:left w:val="single" w:sz="4" w:space="0" w:color="FFFFFF" w:themeColor="background1"/>
              <w:bottom w:val="single" w:sz="4" w:space="0" w:color="FFFFFF" w:themeColor="background1"/>
              <w:right w:val="nil"/>
            </w:tcBorders>
            <w:shd w:val="clear" w:color="auto" w:fill="E5DFEC" w:themeFill="accent4" w:themeFillTint="33"/>
            <w:vAlign w:val="center"/>
          </w:tcPr>
          <w:p w14:paraId="421DEFDD"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09" w:type="pct"/>
            <w:tcBorders>
              <w:top w:val="nil"/>
              <w:left w:val="nil"/>
              <w:bottom w:val="single" w:sz="4" w:space="0" w:color="FFFFFF" w:themeColor="background1"/>
              <w:right w:val="nil"/>
            </w:tcBorders>
            <w:shd w:val="clear" w:color="auto" w:fill="E5DFEC" w:themeFill="accent4" w:themeFillTint="33"/>
            <w:vAlign w:val="center"/>
          </w:tcPr>
          <w:p w14:paraId="1187CF79"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90" w:type="pct"/>
            <w:tcBorders>
              <w:top w:val="nil"/>
              <w:left w:val="nil"/>
              <w:bottom w:val="single" w:sz="4" w:space="0" w:color="FFFFFF" w:themeColor="background1"/>
              <w:right w:val="nil"/>
            </w:tcBorders>
            <w:shd w:val="clear" w:color="auto" w:fill="E5DFEC" w:themeFill="accent4" w:themeFillTint="33"/>
            <w:vAlign w:val="center"/>
          </w:tcPr>
          <w:p w14:paraId="222F14CC"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438" w:type="pct"/>
            <w:tcBorders>
              <w:top w:val="nil"/>
              <w:left w:val="nil"/>
              <w:bottom w:val="single" w:sz="4" w:space="0" w:color="FFFFFF" w:themeColor="background1"/>
              <w:right w:val="nil"/>
            </w:tcBorders>
            <w:shd w:val="clear" w:color="auto" w:fill="E5DFEC" w:themeFill="accent4" w:themeFillTint="33"/>
            <w:vAlign w:val="center"/>
          </w:tcPr>
          <w:p w14:paraId="033DA6A9"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c>
          <w:tcPr>
            <w:tcW w:w="538" w:type="pct"/>
            <w:tcBorders>
              <w:top w:val="nil"/>
              <w:left w:val="nil"/>
              <w:bottom w:val="single" w:sz="4" w:space="0" w:color="FFFFFF" w:themeColor="background1"/>
              <w:right w:val="nil"/>
            </w:tcBorders>
            <w:shd w:val="clear" w:color="auto" w:fill="E5DFEC" w:themeFill="accent4" w:themeFillTint="33"/>
            <w:vAlign w:val="center"/>
          </w:tcPr>
          <w:p w14:paraId="6F2F5EFC" w14:textId="77777777" w:rsidR="000E61C4" w:rsidRDefault="000E61C4" w:rsidP="00EF3B80">
            <w:pPr>
              <w:widowControl w:val="0"/>
              <w:tabs>
                <w:tab w:val="left" w:pos="720"/>
                <w:tab w:val="left" w:pos="7200"/>
                <w:tab w:val="left" w:pos="8640"/>
              </w:tabs>
              <w:jc w:val="right"/>
              <w:rPr>
                <w:rFonts w:asciiTheme="minorHAnsi" w:hAnsiTheme="minorHAnsi" w:cs="Arial"/>
                <w:sz w:val="22"/>
                <w:szCs w:val="22"/>
              </w:rPr>
            </w:pPr>
          </w:p>
        </w:tc>
      </w:tr>
      <w:tr w:rsidR="000E61C4" w14:paraId="3FD4CAAB" w14:textId="77777777" w:rsidTr="00EF3B80">
        <w:tc>
          <w:tcPr>
            <w:tcW w:w="2688" w:type="pct"/>
            <w:tcBorders>
              <w:top w:val="single" w:sz="4" w:space="0" w:color="FFFFFF" w:themeColor="background1"/>
            </w:tcBorders>
            <w:shd w:val="clear" w:color="auto" w:fill="E5DFEC" w:themeFill="accent4" w:themeFillTint="33"/>
          </w:tcPr>
          <w:p w14:paraId="6829C134"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Pensions costs (transferred to/from the Pensions Reserve)</w:t>
            </w:r>
          </w:p>
        </w:tc>
        <w:tc>
          <w:tcPr>
            <w:tcW w:w="436" w:type="pct"/>
            <w:tcBorders>
              <w:top w:val="single" w:sz="4" w:space="0" w:color="FFFFFF" w:themeColor="background1"/>
            </w:tcBorders>
            <w:shd w:val="clear" w:color="auto" w:fill="E5DFEC" w:themeFill="accent4" w:themeFillTint="33"/>
            <w:vAlign w:val="center"/>
          </w:tcPr>
          <w:p w14:paraId="24E5DFA1" w14:textId="44C3ACB1"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1,396</w:t>
            </w:r>
          </w:p>
        </w:tc>
        <w:tc>
          <w:tcPr>
            <w:tcW w:w="409" w:type="pct"/>
            <w:tcBorders>
              <w:top w:val="single" w:sz="4" w:space="0" w:color="FFFFFF" w:themeColor="background1"/>
            </w:tcBorders>
            <w:shd w:val="clear" w:color="auto" w:fill="E5DFEC" w:themeFill="accent4" w:themeFillTint="33"/>
            <w:vAlign w:val="center"/>
          </w:tcPr>
          <w:p w14:paraId="21C0E102" w14:textId="15A56309"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197</w:t>
            </w:r>
          </w:p>
        </w:tc>
        <w:tc>
          <w:tcPr>
            <w:tcW w:w="490" w:type="pct"/>
            <w:tcBorders>
              <w:top w:val="single" w:sz="4" w:space="0" w:color="FFFFFF" w:themeColor="background1"/>
            </w:tcBorders>
            <w:shd w:val="clear" w:color="auto" w:fill="E5DFEC" w:themeFill="accent4" w:themeFillTint="33"/>
            <w:vAlign w:val="center"/>
          </w:tcPr>
          <w:p w14:paraId="7F84C21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tcBorders>
              <w:top w:val="single" w:sz="4" w:space="0" w:color="FFFFFF" w:themeColor="background1"/>
            </w:tcBorders>
            <w:shd w:val="clear" w:color="auto" w:fill="E5DFEC" w:themeFill="accent4" w:themeFillTint="33"/>
            <w:vAlign w:val="center"/>
          </w:tcPr>
          <w:p w14:paraId="23161D29"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tcBorders>
              <w:top w:val="single" w:sz="4" w:space="0" w:color="FFFFFF" w:themeColor="background1"/>
            </w:tcBorders>
            <w:shd w:val="clear" w:color="auto" w:fill="E5DFEC" w:themeFill="accent4" w:themeFillTint="33"/>
            <w:vAlign w:val="center"/>
          </w:tcPr>
          <w:p w14:paraId="226961AC"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15809425" w14:textId="77777777" w:rsidTr="00EF3B80">
        <w:tc>
          <w:tcPr>
            <w:tcW w:w="2688" w:type="pct"/>
            <w:shd w:val="clear" w:color="auto" w:fill="E5DFEC" w:themeFill="accent4" w:themeFillTint="33"/>
          </w:tcPr>
          <w:p w14:paraId="616FCB06"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xml:space="preserve">- Council Tax </w:t>
            </w:r>
            <w:r>
              <w:rPr>
                <w:rFonts w:ascii="Calibri" w:hAnsi="Calibri"/>
                <w:color w:val="000000"/>
                <w:lang w:eastAsia="en-GB"/>
              </w:rPr>
              <w:t>and</w:t>
            </w:r>
            <w:r w:rsidRPr="00A55585">
              <w:rPr>
                <w:rFonts w:ascii="Calibri" w:hAnsi="Calibri"/>
                <w:color w:val="000000"/>
                <w:lang w:eastAsia="en-GB"/>
              </w:rPr>
              <w:t xml:space="preserve"> NDR (transfers to/from the Collection Fund)</w:t>
            </w:r>
          </w:p>
        </w:tc>
        <w:tc>
          <w:tcPr>
            <w:tcW w:w="436" w:type="pct"/>
            <w:shd w:val="clear" w:color="auto" w:fill="E5DFEC" w:themeFill="accent4" w:themeFillTint="33"/>
            <w:vAlign w:val="center"/>
          </w:tcPr>
          <w:p w14:paraId="18CC9B45" w14:textId="2064A0A6"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871</w:t>
            </w:r>
          </w:p>
        </w:tc>
        <w:tc>
          <w:tcPr>
            <w:tcW w:w="409" w:type="pct"/>
            <w:shd w:val="clear" w:color="auto" w:fill="E5DFEC" w:themeFill="accent4" w:themeFillTint="33"/>
            <w:vAlign w:val="center"/>
          </w:tcPr>
          <w:p w14:paraId="7C6D63BB" w14:textId="04D51F9F"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0B97E995"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5DE8BB4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4465EEA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7E04208F" w14:textId="77777777" w:rsidTr="00EF3B80">
        <w:tc>
          <w:tcPr>
            <w:tcW w:w="2688" w:type="pct"/>
            <w:shd w:val="clear" w:color="auto" w:fill="E5DFEC" w:themeFill="accent4" w:themeFillTint="33"/>
          </w:tcPr>
          <w:p w14:paraId="00C01A60"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Holiday Pay (transferred to the Accumulated Absence Reserve)</w:t>
            </w:r>
          </w:p>
        </w:tc>
        <w:tc>
          <w:tcPr>
            <w:tcW w:w="436" w:type="pct"/>
            <w:shd w:val="clear" w:color="auto" w:fill="E5DFEC" w:themeFill="accent4" w:themeFillTint="33"/>
            <w:vAlign w:val="center"/>
          </w:tcPr>
          <w:p w14:paraId="64C07A90" w14:textId="5038BD60"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-64</w:t>
            </w:r>
          </w:p>
        </w:tc>
        <w:tc>
          <w:tcPr>
            <w:tcW w:w="409" w:type="pct"/>
            <w:shd w:val="clear" w:color="auto" w:fill="E5DFEC" w:themeFill="accent4" w:themeFillTint="33"/>
            <w:vAlign w:val="center"/>
          </w:tcPr>
          <w:p w14:paraId="472ACE2A" w14:textId="2E9511D6"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-16</w:t>
            </w:r>
          </w:p>
        </w:tc>
        <w:tc>
          <w:tcPr>
            <w:tcW w:w="490" w:type="pct"/>
            <w:shd w:val="clear" w:color="auto" w:fill="E5DFEC" w:themeFill="accent4" w:themeFillTint="33"/>
            <w:vAlign w:val="center"/>
          </w:tcPr>
          <w:p w14:paraId="5033FD1F"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75825C4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51A538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4C4A13A4" w14:textId="77777777" w:rsidTr="00EF3B80">
        <w:tc>
          <w:tcPr>
            <w:tcW w:w="2688" w:type="pct"/>
            <w:shd w:val="clear" w:color="auto" w:fill="E5DFEC" w:themeFill="accent4" w:themeFillTint="33"/>
          </w:tcPr>
          <w:p w14:paraId="7F621411"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Reversal of entries included in the Surplus or Deficit on the Provision of Services in relation to Non-Current Assets (Charged to the Capital Adjustment Account)</w:t>
            </w:r>
          </w:p>
        </w:tc>
        <w:tc>
          <w:tcPr>
            <w:tcW w:w="436" w:type="pct"/>
            <w:shd w:val="clear" w:color="auto" w:fill="E5DFEC" w:themeFill="accent4" w:themeFillTint="33"/>
            <w:vAlign w:val="center"/>
          </w:tcPr>
          <w:p w14:paraId="70A8D5C5" w14:textId="24290056"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1,268</w:t>
            </w:r>
          </w:p>
        </w:tc>
        <w:tc>
          <w:tcPr>
            <w:tcW w:w="409" w:type="pct"/>
            <w:shd w:val="clear" w:color="auto" w:fill="E5DFEC" w:themeFill="accent4" w:themeFillTint="33"/>
            <w:vAlign w:val="center"/>
          </w:tcPr>
          <w:p w14:paraId="181DE1AD" w14:textId="1FF0677D"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2,15</w:t>
            </w:r>
            <w:r w:rsidR="00D875DC">
              <w:rPr>
                <w:rFonts w:asciiTheme="minorHAnsi" w:hAnsiTheme="minorHAnsi" w:cstheme="minorHAnsi"/>
              </w:rPr>
              <w:t>5</w:t>
            </w:r>
          </w:p>
        </w:tc>
        <w:tc>
          <w:tcPr>
            <w:tcW w:w="490" w:type="pct"/>
            <w:shd w:val="clear" w:color="auto" w:fill="E5DFEC" w:themeFill="accent4" w:themeFillTint="33"/>
            <w:vAlign w:val="center"/>
          </w:tcPr>
          <w:p w14:paraId="4D676E1B"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13F7EDDC"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96CC18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44D43C41" w14:textId="77777777" w:rsidTr="00EF3B80">
        <w:tc>
          <w:tcPr>
            <w:tcW w:w="2688" w:type="pct"/>
            <w:shd w:val="clear" w:color="auto" w:fill="E5DFEC" w:themeFill="accent4" w:themeFillTint="33"/>
          </w:tcPr>
          <w:p w14:paraId="50E0571D"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proofErr w:type="gramStart"/>
            <w:r>
              <w:rPr>
                <w:rFonts w:ascii="Calibri" w:hAnsi="Calibri"/>
                <w:color w:val="000000"/>
                <w:lang w:eastAsia="en-GB"/>
              </w:rPr>
              <w:t>Surplus(</w:t>
            </w:r>
            <w:proofErr w:type="gramEnd"/>
            <w:r>
              <w:rPr>
                <w:rFonts w:ascii="Calibri" w:hAnsi="Calibri"/>
                <w:color w:val="000000"/>
                <w:lang w:eastAsia="en-GB"/>
              </w:rPr>
              <w:t>-)/Deficit on financial assets measured at fair value</w:t>
            </w:r>
          </w:p>
        </w:tc>
        <w:tc>
          <w:tcPr>
            <w:tcW w:w="436" w:type="pct"/>
            <w:shd w:val="clear" w:color="auto" w:fill="E5DFEC" w:themeFill="accent4" w:themeFillTint="33"/>
            <w:vAlign w:val="center"/>
          </w:tcPr>
          <w:p w14:paraId="497AD9E3" w14:textId="6E24663F"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365</w:t>
            </w:r>
          </w:p>
        </w:tc>
        <w:tc>
          <w:tcPr>
            <w:tcW w:w="409" w:type="pct"/>
            <w:shd w:val="clear" w:color="auto" w:fill="E5DFEC" w:themeFill="accent4" w:themeFillTint="33"/>
            <w:vAlign w:val="center"/>
          </w:tcPr>
          <w:p w14:paraId="0905B7F4" w14:textId="76D645B9"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3B6EC0F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22EE9057"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52418B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BD7A8C" w14:paraId="39826197" w14:textId="77777777" w:rsidTr="00EF3B80">
        <w:tc>
          <w:tcPr>
            <w:tcW w:w="2688" w:type="pct"/>
            <w:shd w:val="clear" w:color="auto" w:fill="E5DFEC" w:themeFill="accent4" w:themeFillTint="33"/>
          </w:tcPr>
          <w:p w14:paraId="25DE28CE" w14:textId="7F9366F5" w:rsidR="00BD7A8C" w:rsidRPr="00A55585" w:rsidRDefault="00BD7A8C" w:rsidP="00EF3B80">
            <w:pPr>
              <w:widowControl w:val="0"/>
              <w:tabs>
                <w:tab w:val="left" w:pos="1427"/>
              </w:tabs>
              <w:jc w:val="both"/>
              <w:rPr>
                <w:rFonts w:ascii="Calibri" w:hAnsi="Calibri"/>
                <w:color w:val="000000"/>
                <w:lang w:eastAsia="en-GB"/>
              </w:rPr>
            </w:pPr>
            <w:r>
              <w:rPr>
                <w:rFonts w:ascii="Calibri" w:hAnsi="Calibri"/>
                <w:color w:val="000000"/>
                <w:lang w:eastAsia="en-GB"/>
              </w:rPr>
              <w:t>Capital Grants &amp; Contributions unapplied credited to the Surplus/Deficit on Provision of Services</w:t>
            </w:r>
          </w:p>
        </w:tc>
        <w:tc>
          <w:tcPr>
            <w:tcW w:w="436" w:type="pct"/>
            <w:shd w:val="clear" w:color="auto" w:fill="E5DFEC" w:themeFill="accent4" w:themeFillTint="33"/>
            <w:vAlign w:val="center"/>
          </w:tcPr>
          <w:p w14:paraId="56D036C9" w14:textId="25C6B6F9" w:rsidR="00BD7A8C"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-15</w:t>
            </w:r>
          </w:p>
        </w:tc>
        <w:tc>
          <w:tcPr>
            <w:tcW w:w="409" w:type="pct"/>
            <w:shd w:val="clear" w:color="auto" w:fill="E5DFEC" w:themeFill="accent4" w:themeFillTint="33"/>
            <w:vAlign w:val="center"/>
          </w:tcPr>
          <w:p w14:paraId="0CD28F98" w14:textId="54E1BE2A" w:rsidR="00BD7A8C"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04DB7424" w14:textId="73492BB2" w:rsidR="00BD7A8C"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38" w:type="pct"/>
            <w:shd w:val="clear" w:color="auto" w:fill="E5DFEC" w:themeFill="accent4" w:themeFillTint="33"/>
            <w:vAlign w:val="center"/>
          </w:tcPr>
          <w:p w14:paraId="72034C36" w14:textId="591E2EB8" w:rsidR="00BD7A8C"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538" w:type="pct"/>
            <w:shd w:val="clear" w:color="auto" w:fill="E5DFEC" w:themeFill="accent4" w:themeFillTint="33"/>
            <w:vAlign w:val="center"/>
          </w:tcPr>
          <w:p w14:paraId="038FAA3C" w14:textId="0C49DC75" w:rsidR="00BD7A8C"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15</w:t>
            </w:r>
          </w:p>
        </w:tc>
      </w:tr>
      <w:tr w:rsidR="000E61C4" w14:paraId="1C4CD94C" w14:textId="77777777" w:rsidTr="00EF3B80">
        <w:tc>
          <w:tcPr>
            <w:tcW w:w="2688" w:type="pct"/>
            <w:shd w:val="clear" w:color="auto" w:fill="E5DFEC" w:themeFill="accent4" w:themeFillTint="33"/>
          </w:tcPr>
          <w:p w14:paraId="1D18706B" w14:textId="77777777" w:rsidR="000E61C4" w:rsidRDefault="000E61C4" w:rsidP="00EF3B80">
            <w:pPr>
              <w:widowControl w:val="0"/>
              <w:tabs>
                <w:tab w:val="left" w:pos="1427"/>
              </w:tabs>
              <w:jc w:val="both"/>
              <w:rPr>
                <w:rFonts w:asciiTheme="minorHAnsi" w:hAnsiTheme="minorHAnsi" w:cs="Arial"/>
                <w:sz w:val="22"/>
                <w:szCs w:val="22"/>
              </w:rPr>
            </w:pPr>
            <w:r w:rsidRPr="00A55585">
              <w:rPr>
                <w:rFonts w:ascii="Calibri" w:hAnsi="Calibri"/>
                <w:color w:val="000000"/>
                <w:lang w:eastAsia="en-GB"/>
              </w:rPr>
              <w:t>Miscellaneous adjustments between funds</w:t>
            </w:r>
          </w:p>
        </w:tc>
        <w:tc>
          <w:tcPr>
            <w:tcW w:w="436" w:type="pct"/>
            <w:shd w:val="clear" w:color="auto" w:fill="E5DFEC" w:themeFill="accent4" w:themeFillTint="33"/>
            <w:vAlign w:val="center"/>
          </w:tcPr>
          <w:p w14:paraId="4D9D7470" w14:textId="7183EAFA"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821</w:t>
            </w:r>
          </w:p>
        </w:tc>
        <w:tc>
          <w:tcPr>
            <w:tcW w:w="409" w:type="pct"/>
            <w:shd w:val="clear" w:color="auto" w:fill="E5DFEC" w:themeFill="accent4" w:themeFillTint="33"/>
            <w:vAlign w:val="center"/>
          </w:tcPr>
          <w:p w14:paraId="2C88D60A" w14:textId="4B2AAE02"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-821</w:t>
            </w:r>
          </w:p>
        </w:tc>
        <w:tc>
          <w:tcPr>
            <w:tcW w:w="490" w:type="pct"/>
            <w:shd w:val="clear" w:color="auto" w:fill="E5DFEC" w:themeFill="accent4" w:themeFillTint="33"/>
            <w:vAlign w:val="center"/>
          </w:tcPr>
          <w:p w14:paraId="1887FFF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3472B73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FEC6E36"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rsidRPr="00FB37B3" w14:paraId="74999A89" w14:textId="77777777" w:rsidTr="00EF3B80">
        <w:tc>
          <w:tcPr>
            <w:tcW w:w="2688" w:type="pct"/>
            <w:shd w:val="clear" w:color="auto" w:fill="B2A1C7" w:themeFill="accent4" w:themeFillTint="99"/>
          </w:tcPr>
          <w:p w14:paraId="4B38FD9E" w14:textId="77777777" w:rsidR="000E61C4" w:rsidRPr="00FB37B3" w:rsidRDefault="000E61C4" w:rsidP="00EF3B80">
            <w:pPr>
              <w:widowControl w:val="0"/>
              <w:tabs>
                <w:tab w:val="left" w:pos="720"/>
                <w:tab w:val="left" w:pos="7200"/>
                <w:tab w:val="left" w:pos="8640"/>
              </w:tabs>
              <w:jc w:val="both"/>
              <w:rPr>
                <w:rFonts w:asciiTheme="minorHAnsi" w:hAnsiTheme="minorHAnsi" w:cs="Arial"/>
                <w:b/>
                <w:bCs/>
                <w:sz w:val="22"/>
                <w:szCs w:val="22"/>
              </w:rPr>
            </w:pPr>
            <w:r w:rsidRPr="00FB37B3">
              <w:rPr>
                <w:rFonts w:ascii="Calibri" w:hAnsi="Calibri"/>
                <w:b/>
                <w:bCs/>
                <w:color w:val="000000"/>
                <w:lang w:eastAsia="en-GB"/>
              </w:rPr>
              <w:t>Total Adjustments to Revenue Resources</w:t>
            </w:r>
          </w:p>
        </w:tc>
        <w:tc>
          <w:tcPr>
            <w:tcW w:w="436" w:type="pct"/>
            <w:shd w:val="clear" w:color="auto" w:fill="B2A1C7" w:themeFill="accent4" w:themeFillTint="99"/>
            <w:vAlign w:val="center"/>
          </w:tcPr>
          <w:p w14:paraId="64667B66" w14:textId="553DBA56"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4,642</w:t>
            </w:r>
          </w:p>
        </w:tc>
        <w:tc>
          <w:tcPr>
            <w:tcW w:w="409" w:type="pct"/>
            <w:tcBorders>
              <w:bottom w:val="nil"/>
            </w:tcBorders>
            <w:shd w:val="clear" w:color="auto" w:fill="B2A1C7" w:themeFill="accent4" w:themeFillTint="99"/>
            <w:vAlign w:val="center"/>
          </w:tcPr>
          <w:p w14:paraId="4A98F290" w14:textId="0B998A08"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1,51</w:t>
            </w:r>
            <w:r w:rsidR="00D875DC">
              <w:rPr>
                <w:rFonts w:asciiTheme="minorHAnsi" w:hAnsiTheme="minorHAnsi" w:cstheme="minorHAnsi"/>
                <w:b/>
                <w:bCs/>
              </w:rPr>
              <w:t>5</w:t>
            </w:r>
          </w:p>
        </w:tc>
        <w:tc>
          <w:tcPr>
            <w:tcW w:w="490" w:type="pct"/>
            <w:tcBorders>
              <w:bottom w:val="nil"/>
            </w:tcBorders>
            <w:shd w:val="clear" w:color="auto" w:fill="B2A1C7" w:themeFill="accent4" w:themeFillTint="99"/>
            <w:vAlign w:val="center"/>
          </w:tcPr>
          <w:p w14:paraId="689E577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438" w:type="pct"/>
            <w:tcBorders>
              <w:bottom w:val="nil"/>
            </w:tcBorders>
            <w:shd w:val="clear" w:color="auto" w:fill="B2A1C7" w:themeFill="accent4" w:themeFillTint="99"/>
            <w:vAlign w:val="center"/>
          </w:tcPr>
          <w:p w14:paraId="1D8EC30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538" w:type="pct"/>
            <w:tcBorders>
              <w:bottom w:val="nil"/>
            </w:tcBorders>
            <w:shd w:val="clear" w:color="auto" w:fill="B2A1C7" w:themeFill="accent4" w:themeFillTint="99"/>
            <w:vAlign w:val="center"/>
          </w:tcPr>
          <w:p w14:paraId="08DBD57C" w14:textId="736E1170"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15</w:t>
            </w:r>
          </w:p>
        </w:tc>
      </w:tr>
      <w:tr w:rsidR="000E61C4" w14:paraId="7B68DC96" w14:textId="77777777" w:rsidTr="00EF3B80">
        <w:tc>
          <w:tcPr>
            <w:tcW w:w="2688" w:type="pct"/>
            <w:shd w:val="clear" w:color="auto" w:fill="E5DFEC" w:themeFill="accent4" w:themeFillTint="33"/>
          </w:tcPr>
          <w:p w14:paraId="43CA6538" w14:textId="77777777" w:rsidR="000E61C4" w:rsidRPr="00097CA9" w:rsidRDefault="000E61C4" w:rsidP="00EF3B80">
            <w:pPr>
              <w:jc w:val="both"/>
              <w:rPr>
                <w:rFonts w:ascii="Calibri" w:hAnsi="Calibri"/>
                <w:b/>
                <w:bCs/>
                <w:color w:val="000000"/>
                <w:u w:val="single"/>
                <w:lang w:eastAsia="en-GB"/>
              </w:rPr>
            </w:pPr>
            <w:r w:rsidRPr="00A55585">
              <w:rPr>
                <w:rFonts w:ascii="Calibri" w:hAnsi="Calibri"/>
                <w:b/>
                <w:bCs/>
                <w:color w:val="000000"/>
                <w:u w:val="single"/>
                <w:lang w:eastAsia="en-GB"/>
              </w:rPr>
              <w:t xml:space="preserve">Adjustments between Revenue </w:t>
            </w:r>
            <w:r>
              <w:rPr>
                <w:rFonts w:ascii="Calibri" w:hAnsi="Calibri"/>
                <w:b/>
                <w:bCs/>
                <w:color w:val="000000"/>
                <w:u w:val="single"/>
                <w:lang w:eastAsia="en-GB"/>
              </w:rPr>
              <w:t>and</w:t>
            </w:r>
            <w:r w:rsidRPr="00A55585">
              <w:rPr>
                <w:rFonts w:ascii="Calibri" w:hAnsi="Calibri"/>
                <w:b/>
                <w:bCs/>
                <w:color w:val="000000"/>
                <w:u w:val="single"/>
                <w:lang w:eastAsia="en-GB"/>
              </w:rPr>
              <w:t xml:space="preserve"> Capital Resources</w:t>
            </w:r>
          </w:p>
        </w:tc>
        <w:tc>
          <w:tcPr>
            <w:tcW w:w="436" w:type="pct"/>
            <w:tcBorders>
              <w:bottom w:val="single" w:sz="4" w:space="0" w:color="FFFFFF" w:themeColor="background1"/>
              <w:right w:val="nil"/>
            </w:tcBorders>
            <w:shd w:val="clear" w:color="auto" w:fill="E5DFEC" w:themeFill="accent4" w:themeFillTint="33"/>
            <w:vAlign w:val="center"/>
          </w:tcPr>
          <w:p w14:paraId="4699DB1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09" w:type="pct"/>
            <w:tcBorders>
              <w:top w:val="nil"/>
              <w:left w:val="nil"/>
              <w:bottom w:val="single" w:sz="4" w:space="0" w:color="FFFFFF" w:themeColor="background1"/>
              <w:right w:val="nil"/>
            </w:tcBorders>
            <w:shd w:val="clear" w:color="auto" w:fill="E5DFEC" w:themeFill="accent4" w:themeFillTint="33"/>
            <w:vAlign w:val="center"/>
          </w:tcPr>
          <w:p w14:paraId="17775268"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90" w:type="pct"/>
            <w:tcBorders>
              <w:top w:val="nil"/>
              <w:left w:val="nil"/>
              <w:bottom w:val="single" w:sz="4" w:space="0" w:color="FFFFFF" w:themeColor="background1"/>
              <w:right w:val="nil"/>
            </w:tcBorders>
            <w:shd w:val="clear" w:color="auto" w:fill="E5DFEC" w:themeFill="accent4" w:themeFillTint="33"/>
            <w:vAlign w:val="center"/>
          </w:tcPr>
          <w:p w14:paraId="57A13114"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38" w:type="pct"/>
            <w:tcBorders>
              <w:top w:val="nil"/>
              <w:left w:val="nil"/>
              <w:bottom w:val="single" w:sz="4" w:space="0" w:color="FFFFFF" w:themeColor="background1"/>
              <w:right w:val="nil"/>
            </w:tcBorders>
            <w:shd w:val="clear" w:color="auto" w:fill="E5DFEC" w:themeFill="accent4" w:themeFillTint="33"/>
            <w:vAlign w:val="center"/>
          </w:tcPr>
          <w:p w14:paraId="5DE4A92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538" w:type="pct"/>
            <w:tcBorders>
              <w:top w:val="nil"/>
              <w:left w:val="nil"/>
              <w:bottom w:val="single" w:sz="4" w:space="0" w:color="FFFFFF" w:themeColor="background1"/>
              <w:right w:val="nil"/>
            </w:tcBorders>
            <w:shd w:val="clear" w:color="auto" w:fill="E5DFEC" w:themeFill="accent4" w:themeFillTint="33"/>
            <w:vAlign w:val="center"/>
          </w:tcPr>
          <w:p w14:paraId="283B062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r>
      <w:tr w:rsidR="000E61C4" w14:paraId="44A89162" w14:textId="77777777" w:rsidTr="00EF3B80">
        <w:tc>
          <w:tcPr>
            <w:tcW w:w="2688" w:type="pct"/>
            <w:shd w:val="clear" w:color="auto" w:fill="E5DFEC" w:themeFill="accent4" w:themeFillTint="33"/>
          </w:tcPr>
          <w:p w14:paraId="00E36A72" w14:textId="77777777" w:rsidR="000E61C4" w:rsidRDefault="000E61C4" w:rsidP="00EF3B80">
            <w:pPr>
              <w:widowControl w:val="0"/>
              <w:tabs>
                <w:tab w:val="left" w:pos="4270"/>
              </w:tabs>
              <w:jc w:val="both"/>
              <w:rPr>
                <w:rFonts w:asciiTheme="minorHAnsi" w:hAnsiTheme="minorHAnsi" w:cs="Arial"/>
                <w:sz w:val="22"/>
                <w:szCs w:val="22"/>
              </w:rPr>
            </w:pPr>
            <w:r w:rsidRPr="00A55585">
              <w:rPr>
                <w:rFonts w:ascii="Calibri" w:hAnsi="Calibri"/>
                <w:color w:val="000000"/>
                <w:lang w:eastAsia="en-GB"/>
              </w:rPr>
              <w:t>Transfer of Non-Current Asset sale proceeds from revenue to the Capital Receipts Reserve</w:t>
            </w:r>
          </w:p>
        </w:tc>
        <w:tc>
          <w:tcPr>
            <w:tcW w:w="436" w:type="pct"/>
            <w:tcBorders>
              <w:top w:val="single" w:sz="4" w:space="0" w:color="FFFFFF" w:themeColor="background1"/>
            </w:tcBorders>
            <w:shd w:val="clear" w:color="auto" w:fill="E5DFEC" w:themeFill="accent4" w:themeFillTint="33"/>
            <w:vAlign w:val="center"/>
          </w:tcPr>
          <w:p w14:paraId="2F7745F2" w14:textId="05737C65"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09" w:type="pct"/>
            <w:tcBorders>
              <w:top w:val="single" w:sz="4" w:space="0" w:color="FFFFFF" w:themeColor="background1"/>
            </w:tcBorders>
            <w:shd w:val="clear" w:color="auto" w:fill="E5DFEC" w:themeFill="accent4" w:themeFillTint="33"/>
            <w:vAlign w:val="center"/>
          </w:tcPr>
          <w:p w14:paraId="0DC3270A" w14:textId="6E8A08F0"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-85</w:t>
            </w:r>
            <w:r w:rsidR="00D875DC">
              <w:rPr>
                <w:rFonts w:asciiTheme="minorHAnsi" w:hAnsiTheme="minorHAnsi" w:cstheme="minorHAnsi"/>
              </w:rPr>
              <w:t>8</w:t>
            </w:r>
          </w:p>
        </w:tc>
        <w:tc>
          <w:tcPr>
            <w:tcW w:w="490" w:type="pct"/>
            <w:tcBorders>
              <w:top w:val="single" w:sz="4" w:space="0" w:color="FFFFFF" w:themeColor="background1"/>
            </w:tcBorders>
            <w:shd w:val="clear" w:color="auto" w:fill="E5DFEC" w:themeFill="accent4" w:themeFillTint="33"/>
            <w:vAlign w:val="center"/>
          </w:tcPr>
          <w:p w14:paraId="12BD6C9C" w14:textId="41A8A55F"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85</w:t>
            </w:r>
            <w:r w:rsidR="00D875DC">
              <w:rPr>
                <w:rFonts w:asciiTheme="minorHAnsi" w:hAnsiTheme="minorHAnsi" w:cstheme="minorHAnsi"/>
              </w:rPr>
              <w:t>8</w:t>
            </w:r>
          </w:p>
        </w:tc>
        <w:tc>
          <w:tcPr>
            <w:tcW w:w="438" w:type="pct"/>
            <w:tcBorders>
              <w:top w:val="single" w:sz="4" w:space="0" w:color="FFFFFF" w:themeColor="background1"/>
            </w:tcBorders>
            <w:shd w:val="clear" w:color="auto" w:fill="E5DFEC" w:themeFill="accent4" w:themeFillTint="33"/>
            <w:vAlign w:val="center"/>
          </w:tcPr>
          <w:p w14:paraId="07FC60D3"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tcBorders>
              <w:top w:val="single" w:sz="4" w:space="0" w:color="FFFFFF" w:themeColor="background1"/>
            </w:tcBorders>
            <w:shd w:val="clear" w:color="auto" w:fill="E5DFEC" w:themeFill="accent4" w:themeFillTint="33"/>
            <w:vAlign w:val="center"/>
          </w:tcPr>
          <w:p w14:paraId="781B26B3"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101D9F17" w14:textId="77777777" w:rsidTr="00EF3B80">
        <w:tc>
          <w:tcPr>
            <w:tcW w:w="2688" w:type="pct"/>
            <w:shd w:val="clear" w:color="auto" w:fill="E5DFEC" w:themeFill="accent4" w:themeFillTint="33"/>
          </w:tcPr>
          <w:p w14:paraId="11DE3180" w14:textId="77777777" w:rsidR="000E61C4" w:rsidRDefault="000E61C4" w:rsidP="00EF3B80">
            <w:pPr>
              <w:widowControl w:val="0"/>
              <w:tabs>
                <w:tab w:val="left" w:pos="1515"/>
              </w:tabs>
              <w:jc w:val="both"/>
              <w:rPr>
                <w:rFonts w:asciiTheme="minorHAnsi" w:hAnsiTheme="minorHAnsi" w:cs="Arial"/>
                <w:sz w:val="22"/>
                <w:szCs w:val="22"/>
              </w:rPr>
            </w:pPr>
            <w:r w:rsidRPr="00A55585">
              <w:rPr>
                <w:rFonts w:ascii="Calibri" w:hAnsi="Calibri"/>
                <w:color w:val="000000"/>
                <w:lang w:eastAsia="en-GB"/>
              </w:rPr>
              <w:t>Administrative costs of Non-Current Asset disposals (funded by a contribution to the Capital Receipts Reserve)</w:t>
            </w:r>
          </w:p>
        </w:tc>
        <w:tc>
          <w:tcPr>
            <w:tcW w:w="436" w:type="pct"/>
            <w:shd w:val="clear" w:color="auto" w:fill="E5DFEC" w:themeFill="accent4" w:themeFillTint="33"/>
            <w:vAlign w:val="center"/>
          </w:tcPr>
          <w:p w14:paraId="141DA743"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50A66BD0" w14:textId="5EAA2F96"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13</w:t>
            </w:r>
          </w:p>
        </w:tc>
        <w:tc>
          <w:tcPr>
            <w:tcW w:w="490" w:type="pct"/>
            <w:shd w:val="clear" w:color="auto" w:fill="E5DFEC" w:themeFill="accent4" w:themeFillTint="33"/>
            <w:vAlign w:val="center"/>
          </w:tcPr>
          <w:p w14:paraId="1B82E66D" w14:textId="2D23AD2D"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-13</w:t>
            </w:r>
          </w:p>
        </w:tc>
        <w:tc>
          <w:tcPr>
            <w:tcW w:w="438" w:type="pct"/>
            <w:shd w:val="clear" w:color="auto" w:fill="E5DFEC" w:themeFill="accent4" w:themeFillTint="33"/>
            <w:vAlign w:val="center"/>
          </w:tcPr>
          <w:p w14:paraId="07CEB19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1F8017CC"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32F98B24" w14:textId="77777777" w:rsidTr="00EF3B80">
        <w:tc>
          <w:tcPr>
            <w:tcW w:w="2688" w:type="pct"/>
            <w:shd w:val="clear" w:color="auto" w:fill="E5DFEC" w:themeFill="accent4" w:themeFillTint="33"/>
          </w:tcPr>
          <w:p w14:paraId="5B6CEEC0" w14:textId="77777777" w:rsidR="000E61C4" w:rsidRDefault="000E61C4" w:rsidP="00EF3B8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Payment to the Government's Housing Receipts pool (funded by a contribution to the Capital Receipts Reserve)</w:t>
            </w:r>
          </w:p>
        </w:tc>
        <w:tc>
          <w:tcPr>
            <w:tcW w:w="436" w:type="pct"/>
            <w:shd w:val="clear" w:color="auto" w:fill="E5DFEC" w:themeFill="accent4" w:themeFillTint="33"/>
            <w:vAlign w:val="center"/>
          </w:tcPr>
          <w:p w14:paraId="7D101AD5"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6DE24A79" w14:textId="34A08E8F"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1D4FEFC8" w14:textId="4CB77216"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38" w:type="pct"/>
            <w:shd w:val="clear" w:color="auto" w:fill="E5DFEC" w:themeFill="accent4" w:themeFillTint="33"/>
            <w:vAlign w:val="center"/>
          </w:tcPr>
          <w:p w14:paraId="1EAE8DD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98373A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1B0D2576" w14:textId="77777777" w:rsidTr="00EF3B80">
        <w:tc>
          <w:tcPr>
            <w:tcW w:w="2688" w:type="pct"/>
            <w:shd w:val="clear" w:color="auto" w:fill="E5DFEC" w:themeFill="accent4" w:themeFillTint="33"/>
          </w:tcPr>
          <w:p w14:paraId="2A5BAF02" w14:textId="77777777" w:rsidR="000E61C4" w:rsidRDefault="000E61C4" w:rsidP="00EF3B80">
            <w:pPr>
              <w:widowControl w:val="0"/>
              <w:tabs>
                <w:tab w:val="left" w:pos="1715"/>
              </w:tabs>
              <w:jc w:val="both"/>
              <w:rPr>
                <w:rFonts w:asciiTheme="minorHAnsi" w:hAnsiTheme="minorHAnsi" w:cs="Arial"/>
                <w:sz w:val="22"/>
                <w:szCs w:val="22"/>
              </w:rPr>
            </w:pPr>
            <w:r w:rsidRPr="00A55585">
              <w:rPr>
                <w:rFonts w:ascii="Calibri" w:hAnsi="Calibri"/>
                <w:color w:val="000000"/>
                <w:lang w:eastAsia="en-GB"/>
              </w:rPr>
              <w:t>Posting of HRA resources from revenue to the Major Repairs Reserve</w:t>
            </w:r>
          </w:p>
        </w:tc>
        <w:tc>
          <w:tcPr>
            <w:tcW w:w="436" w:type="pct"/>
            <w:shd w:val="clear" w:color="auto" w:fill="E5DFEC" w:themeFill="accent4" w:themeFillTint="33"/>
            <w:vAlign w:val="center"/>
          </w:tcPr>
          <w:p w14:paraId="1A55ABC8"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63ABD924" w14:textId="6A148F18"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-1,777</w:t>
            </w:r>
          </w:p>
        </w:tc>
        <w:tc>
          <w:tcPr>
            <w:tcW w:w="490" w:type="pct"/>
            <w:shd w:val="clear" w:color="auto" w:fill="E5DFEC" w:themeFill="accent4" w:themeFillTint="33"/>
            <w:vAlign w:val="center"/>
          </w:tcPr>
          <w:p w14:paraId="52B630D7"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327C7E20" w14:textId="6FFB7925"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1,777</w:t>
            </w:r>
          </w:p>
        </w:tc>
        <w:tc>
          <w:tcPr>
            <w:tcW w:w="538" w:type="pct"/>
            <w:shd w:val="clear" w:color="auto" w:fill="E5DFEC" w:themeFill="accent4" w:themeFillTint="33"/>
            <w:vAlign w:val="center"/>
          </w:tcPr>
          <w:p w14:paraId="6CFF592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00573BE8" w14:textId="77777777" w:rsidTr="00EF3B80">
        <w:tc>
          <w:tcPr>
            <w:tcW w:w="2688" w:type="pct"/>
            <w:shd w:val="clear" w:color="auto" w:fill="E5DFEC" w:themeFill="accent4" w:themeFillTint="33"/>
          </w:tcPr>
          <w:p w14:paraId="6262DB22"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Pr>
                <w:rFonts w:ascii="Calibri" w:hAnsi="Calibri"/>
                <w:color w:val="000000"/>
                <w:lang w:eastAsia="en-GB"/>
              </w:rPr>
              <w:t>Statutory Provision for the r</w:t>
            </w:r>
            <w:r w:rsidRPr="00A55585">
              <w:rPr>
                <w:rFonts w:ascii="Calibri" w:hAnsi="Calibri"/>
                <w:color w:val="000000"/>
                <w:lang w:eastAsia="en-GB"/>
              </w:rPr>
              <w:t>epayment of debt (transfer from the Capital Adjustment Account)</w:t>
            </w:r>
          </w:p>
        </w:tc>
        <w:tc>
          <w:tcPr>
            <w:tcW w:w="436" w:type="pct"/>
            <w:shd w:val="clear" w:color="auto" w:fill="E5DFEC" w:themeFill="accent4" w:themeFillTint="33"/>
            <w:vAlign w:val="center"/>
          </w:tcPr>
          <w:p w14:paraId="057D9B3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3EB77999"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1FC0B169"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3E62BFEB"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6D696BB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5AE5423B" w14:textId="77777777" w:rsidTr="00EF3B80">
        <w:tc>
          <w:tcPr>
            <w:tcW w:w="2688" w:type="pct"/>
            <w:shd w:val="clear" w:color="auto" w:fill="E5DFEC" w:themeFill="accent4" w:themeFillTint="33"/>
          </w:tcPr>
          <w:p w14:paraId="2DA1EBB4" w14:textId="77777777" w:rsidR="000E61C4" w:rsidRDefault="000E61C4" w:rsidP="00EF3B8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Revenue Expenditure funded from capital under statute</w:t>
            </w:r>
          </w:p>
        </w:tc>
        <w:tc>
          <w:tcPr>
            <w:tcW w:w="436" w:type="pct"/>
            <w:shd w:val="clear" w:color="auto" w:fill="E5DFEC" w:themeFill="accent4" w:themeFillTint="33"/>
            <w:vAlign w:val="center"/>
          </w:tcPr>
          <w:p w14:paraId="37DC299D" w14:textId="6FF94A44"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586</w:t>
            </w:r>
          </w:p>
        </w:tc>
        <w:tc>
          <w:tcPr>
            <w:tcW w:w="409" w:type="pct"/>
            <w:shd w:val="clear" w:color="auto" w:fill="E5DFEC" w:themeFill="accent4" w:themeFillTint="33"/>
            <w:vAlign w:val="center"/>
          </w:tcPr>
          <w:p w14:paraId="1435505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5C58E1F1"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58E0B271"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F2A755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29EB0525" w14:textId="77777777" w:rsidTr="00EF3B80">
        <w:tc>
          <w:tcPr>
            <w:tcW w:w="2688" w:type="pct"/>
            <w:shd w:val="clear" w:color="auto" w:fill="E5DFEC" w:themeFill="accent4" w:themeFillTint="33"/>
          </w:tcPr>
          <w:p w14:paraId="282ABC48" w14:textId="77777777" w:rsidR="000E61C4" w:rsidRDefault="000E61C4" w:rsidP="00EF3B8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 xml:space="preserve">Transactions in relation to deferred capital receipts </w:t>
            </w:r>
            <w:r>
              <w:rPr>
                <w:rFonts w:ascii="Calibri" w:hAnsi="Calibri"/>
                <w:color w:val="000000"/>
                <w:lang w:eastAsia="en-GB"/>
              </w:rPr>
              <w:t>and</w:t>
            </w:r>
            <w:r w:rsidRPr="00A55585">
              <w:rPr>
                <w:rFonts w:ascii="Calibri" w:hAnsi="Calibri"/>
                <w:color w:val="000000"/>
                <w:lang w:eastAsia="en-GB"/>
              </w:rPr>
              <w:t xml:space="preserve"> liabilities</w:t>
            </w:r>
          </w:p>
        </w:tc>
        <w:tc>
          <w:tcPr>
            <w:tcW w:w="436" w:type="pct"/>
            <w:shd w:val="clear" w:color="auto" w:fill="E5DFEC" w:themeFill="accent4" w:themeFillTint="33"/>
            <w:vAlign w:val="center"/>
          </w:tcPr>
          <w:p w14:paraId="0A85F0C0" w14:textId="49A30378"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09" w:type="pct"/>
            <w:shd w:val="clear" w:color="auto" w:fill="E5DFEC" w:themeFill="accent4" w:themeFillTint="33"/>
            <w:vAlign w:val="center"/>
          </w:tcPr>
          <w:p w14:paraId="4F719A04"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542E61FF"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1272459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44E5409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7285BB53" w14:textId="77777777" w:rsidTr="00EF3B80">
        <w:tc>
          <w:tcPr>
            <w:tcW w:w="2688" w:type="pct"/>
            <w:shd w:val="clear" w:color="auto" w:fill="E5DFEC" w:themeFill="accent4" w:themeFillTint="33"/>
          </w:tcPr>
          <w:p w14:paraId="383129B1" w14:textId="77777777" w:rsidR="000E61C4" w:rsidRDefault="000E61C4" w:rsidP="00EF3B8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Use of Earmarked Reserves to finance capital expenditure</w:t>
            </w:r>
          </w:p>
        </w:tc>
        <w:tc>
          <w:tcPr>
            <w:tcW w:w="436" w:type="pct"/>
            <w:shd w:val="clear" w:color="auto" w:fill="E5DFEC" w:themeFill="accent4" w:themeFillTint="33"/>
            <w:vAlign w:val="center"/>
          </w:tcPr>
          <w:p w14:paraId="51194F8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530DD5C6" w14:textId="7245576C"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-7</w:t>
            </w:r>
          </w:p>
        </w:tc>
        <w:tc>
          <w:tcPr>
            <w:tcW w:w="490" w:type="pct"/>
            <w:shd w:val="clear" w:color="auto" w:fill="E5DFEC" w:themeFill="accent4" w:themeFillTint="33"/>
            <w:vAlign w:val="center"/>
          </w:tcPr>
          <w:p w14:paraId="54CEE8F1"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20CB417D"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09C2D61"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535605D1" w14:textId="77777777" w:rsidTr="00EF3B80">
        <w:tc>
          <w:tcPr>
            <w:tcW w:w="2688" w:type="pct"/>
            <w:shd w:val="clear" w:color="auto" w:fill="E5DFEC" w:themeFill="accent4" w:themeFillTint="33"/>
          </w:tcPr>
          <w:p w14:paraId="0F705E3C" w14:textId="77777777" w:rsidR="000E61C4" w:rsidRDefault="000E61C4" w:rsidP="00EF3B80">
            <w:pPr>
              <w:widowControl w:val="0"/>
              <w:tabs>
                <w:tab w:val="left" w:pos="1302"/>
              </w:tabs>
              <w:jc w:val="both"/>
              <w:rPr>
                <w:rFonts w:asciiTheme="minorHAnsi" w:hAnsiTheme="minorHAnsi" w:cs="Arial"/>
                <w:sz w:val="22"/>
                <w:szCs w:val="22"/>
              </w:rPr>
            </w:pPr>
            <w:r w:rsidRPr="00A55585">
              <w:rPr>
                <w:rFonts w:ascii="Calibri" w:hAnsi="Calibri"/>
                <w:color w:val="000000"/>
                <w:lang w:eastAsia="en-GB"/>
              </w:rPr>
              <w:t>Capital Expenditure financed from revenue balances (transfer to the Capital Adjustment Account)</w:t>
            </w:r>
          </w:p>
        </w:tc>
        <w:tc>
          <w:tcPr>
            <w:tcW w:w="436" w:type="pct"/>
            <w:shd w:val="clear" w:color="auto" w:fill="E5DFEC" w:themeFill="accent4" w:themeFillTint="33"/>
            <w:vAlign w:val="center"/>
          </w:tcPr>
          <w:p w14:paraId="64DBD9AB" w14:textId="6AEA3CA2"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-148</w:t>
            </w:r>
          </w:p>
        </w:tc>
        <w:tc>
          <w:tcPr>
            <w:tcW w:w="409" w:type="pct"/>
            <w:shd w:val="clear" w:color="auto" w:fill="E5DFEC" w:themeFill="accent4" w:themeFillTint="33"/>
            <w:vAlign w:val="center"/>
          </w:tcPr>
          <w:p w14:paraId="613A65F6"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18667D57"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2EE32675"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5B4724A7"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04966350" w14:textId="77777777" w:rsidTr="00EF3B80">
        <w:tc>
          <w:tcPr>
            <w:tcW w:w="2688" w:type="pct"/>
            <w:tcBorders>
              <w:bottom w:val="single" w:sz="4" w:space="0" w:color="FFFFFF" w:themeColor="background1"/>
            </w:tcBorders>
            <w:shd w:val="clear" w:color="auto" w:fill="B2A1C7" w:themeFill="accent4" w:themeFillTint="99"/>
          </w:tcPr>
          <w:p w14:paraId="2629F307" w14:textId="77777777" w:rsidR="000E61C4" w:rsidRDefault="000E61C4" w:rsidP="00EF3B80">
            <w:pPr>
              <w:widowControl w:val="0"/>
              <w:tabs>
                <w:tab w:val="left" w:pos="4207"/>
              </w:tabs>
              <w:jc w:val="both"/>
              <w:rPr>
                <w:rFonts w:asciiTheme="minorHAnsi" w:hAnsiTheme="minorHAnsi" w:cs="Arial"/>
                <w:sz w:val="22"/>
                <w:szCs w:val="22"/>
              </w:rPr>
            </w:pPr>
            <w:r w:rsidRPr="00A55585">
              <w:rPr>
                <w:rFonts w:ascii="Calibri" w:hAnsi="Calibri"/>
                <w:b/>
                <w:bCs/>
                <w:color w:val="000000"/>
                <w:lang w:eastAsia="en-GB"/>
              </w:rPr>
              <w:t xml:space="preserve">Total Adjustments between Revenue </w:t>
            </w:r>
            <w:r>
              <w:rPr>
                <w:rFonts w:ascii="Calibri" w:hAnsi="Calibri"/>
                <w:b/>
                <w:bCs/>
                <w:color w:val="000000"/>
                <w:lang w:eastAsia="en-GB"/>
              </w:rPr>
              <w:t>and</w:t>
            </w:r>
            <w:r w:rsidRPr="00A55585">
              <w:rPr>
                <w:rFonts w:ascii="Calibri" w:hAnsi="Calibri"/>
                <w:b/>
                <w:bCs/>
                <w:color w:val="000000"/>
                <w:lang w:eastAsia="en-GB"/>
              </w:rPr>
              <w:t xml:space="preserve"> Capital Resources</w:t>
            </w:r>
          </w:p>
        </w:tc>
        <w:tc>
          <w:tcPr>
            <w:tcW w:w="436" w:type="pct"/>
            <w:tcBorders>
              <w:bottom w:val="nil"/>
            </w:tcBorders>
            <w:shd w:val="clear" w:color="auto" w:fill="B2A1C7" w:themeFill="accent4" w:themeFillTint="99"/>
            <w:vAlign w:val="center"/>
          </w:tcPr>
          <w:p w14:paraId="325D0DB0" w14:textId="00DA113B"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438</w:t>
            </w:r>
          </w:p>
        </w:tc>
        <w:tc>
          <w:tcPr>
            <w:tcW w:w="409" w:type="pct"/>
            <w:tcBorders>
              <w:bottom w:val="nil"/>
            </w:tcBorders>
            <w:shd w:val="clear" w:color="auto" w:fill="B2A1C7" w:themeFill="accent4" w:themeFillTint="99"/>
            <w:vAlign w:val="center"/>
          </w:tcPr>
          <w:p w14:paraId="36E2F0FB" w14:textId="4D487062"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-2,6</w:t>
            </w:r>
            <w:r w:rsidR="00D875DC">
              <w:rPr>
                <w:rFonts w:asciiTheme="minorHAnsi" w:hAnsiTheme="minorHAnsi" w:cstheme="minorHAnsi"/>
                <w:b/>
                <w:bCs/>
              </w:rPr>
              <w:t>29</w:t>
            </w:r>
          </w:p>
        </w:tc>
        <w:tc>
          <w:tcPr>
            <w:tcW w:w="490" w:type="pct"/>
            <w:tcBorders>
              <w:bottom w:val="nil"/>
            </w:tcBorders>
            <w:shd w:val="clear" w:color="auto" w:fill="B2A1C7" w:themeFill="accent4" w:themeFillTint="99"/>
            <w:vAlign w:val="center"/>
          </w:tcPr>
          <w:p w14:paraId="3B439112" w14:textId="235E9A25"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84</w:t>
            </w:r>
            <w:r w:rsidR="00D875DC">
              <w:rPr>
                <w:rFonts w:asciiTheme="minorHAnsi" w:hAnsiTheme="minorHAnsi" w:cstheme="minorHAnsi"/>
                <w:b/>
                <w:bCs/>
              </w:rPr>
              <w:t>5</w:t>
            </w:r>
          </w:p>
        </w:tc>
        <w:tc>
          <w:tcPr>
            <w:tcW w:w="438" w:type="pct"/>
            <w:tcBorders>
              <w:bottom w:val="nil"/>
            </w:tcBorders>
            <w:shd w:val="clear" w:color="auto" w:fill="B2A1C7" w:themeFill="accent4" w:themeFillTint="99"/>
            <w:vAlign w:val="center"/>
          </w:tcPr>
          <w:p w14:paraId="2A2128BF" w14:textId="5128317C" w:rsidR="000E61C4" w:rsidRPr="0093059F" w:rsidRDefault="00BD7A8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1,777</w:t>
            </w:r>
          </w:p>
        </w:tc>
        <w:tc>
          <w:tcPr>
            <w:tcW w:w="538" w:type="pct"/>
            <w:tcBorders>
              <w:bottom w:val="nil"/>
            </w:tcBorders>
            <w:shd w:val="clear" w:color="auto" w:fill="B2A1C7" w:themeFill="accent4" w:themeFillTint="99"/>
            <w:vAlign w:val="center"/>
          </w:tcPr>
          <w:p w14:paraId="5524EC9F"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r w:rsidR="000E61C4" w14:paraId="7AB89F7F" w14:textId="77777777" w:rsidTr="00EF3B80">
        <w:tc>
          <w:tcPr>
            <w:tcW w:w="2688" w:type="pct"/>
            <w:tcBorders>
              <w:right w:val="single" w:sz="4" w:space="0" w:color="FFFFFF" w:themeColor="background1"/>
            </w:tcBorders>
            <w:shd w:val="clear" w:color="auto" w:fill="E5DFEC" w:themeFill="accent4" w:themeFillTint="33"/>
          </w:tcPr>
          <w:p w14:paraId="186C957C" w14:textId="77777777" w:rsidR="000E61C4" w:rsidRDefault="000E61C4" w:rsidP="00EF3B80">
            <w:pPr>
              <w:widowControl w:val="0"/>
              <w:tabs>
                <w:tab w:val="left" w:pos="720"/>
                <w:tab w:val="left" w:pos="7200"/>
                <w:tab w:val="left" w:pos="8640"/>
              </w:tabs>
              <w:rPr>
                <w:rFonts w:asciiTheme="minorHAnsi" w:hAnsiTheme="minorHAnsi" w:cs="Arial"/>
                <w:sz w:val="22"/>
                <w:szCs w:val="22"/>
              </w:rPr>
            </w:pPr>
            <w:r w:rsidRPr="00A55585">
              <w:rPr>
                <w:rFonts w:ascii="Calibri" w:hAnsi="Calibri"/>
                <w:b/>
                <w:bCs/>
                <w:color w:val="000000"/>
                <w:u w:val="single"/>
                <w:lang w:eastAsia="en-GB"/>
              </w:rPr>
              <w:t>Adjustments to Capital Resources</w:t>
            </w:r>
          </w:p>
        </w:tc>
        <w:tc>
          <w:tcPr>
            <w:tcW w:w="436" w:type="pct"/>
            <w:tcBorders>
              <w:top w:val="nil"/>
              <w:left w:val="single" w:sz="4" w:space="0" w:color="FFFFFF" w:themeColor="background1"/>
              <w:bottom w:val="single" w:sz="4" w:space="0" w:color="FFFFFF" w:themeColor="background1"/>
              <w:right w:val="nil"/>
            </w:tcBorders>
            <w:shd w:val="clear" w:color="auto" w:fill="E5DFEC" w:themeFill="accent4" w:themeFillTint="33"/>
            <w:vAlign w:val="center"/>
          </w:tcPr>
          <w:p w14:paraId="18AF69F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09" w:type="pct"/>
            <w:tcBorders>
              <w:top w:val="nil"/>
              <w:left w:val="nil"/>
              <w:bottom w:val="single" w:sz="4" w:space="0" w:color="FFFFFF" w:themeColor="background1"/>
              <w:right w:val="nil"/>
            </w:tcBorders>
            <w:shd w:val="clear" w:color="auto" w:fill="E5DFEC" w:themeFill="accent4" w:themeFillTint="33"/>
            <w:vAlign w:val="center"/>
          </w:tcPr>
          <w:p w14:paraId="1C814A94"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90" w:type="pct"/>
            <w:tcBorders>
              <w:top w:val="nil"/>
              <w:left w:val="nil"/>
              <w:bottom w:val="single" w:sz="4" w:space="0" w:color="FFFFFF" w:themeColor="background1"/>
              <w:right w:val="nil"/>
            </w:tcBorders>
            <w:shd w:val="clear" w:color="auto" w:fill="E5DFEC" w:themeFill="accent4" w:themeFillTint="33"/>
            <w:vAlign w:val="center"/>
          </w:tcPr>
          <w:p w14:paraId="2716D06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438" w:type="pct"/>
            <w:tcBorders>
              <w:top w:val="nil"/>
              <w:left w:val="nil"/>
              <w:bottom w:val="single" w:sz="4" w:space="0" w:color="FFFFFF" w:themeColor="background1"/>
              <w:right w:val="nil"/>
            </w:tcBorders>
            <w:shd w:val="clear" w:color="auto" w:fill="E5DFEC" w:themeFill="accent4" w:themeFillTint="33"/>
            <w:vAlign w:val="center"/>
          </w:tcPr>
          <w:p w14:paraId="3146DC6F"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c>
          <w:tcPr>
            <w:tcW w:w="538" w:type="pct"/>
            <w:tcBorders>
              <w:top w:val="nil"/>
              <w:left w:val="nil"/>
              <w:bottom w:val="single" w:sz="4" w:space="0" w:color="FFFFFF" w:themeColor="background1"/>
              <w:right w:val="nil"/>
            </w:tcBorders>
            <w:shd w:val="clear" w:color="auto" w:fill="E5DFEC" w:themeFill="accent4" w:themeFillTint="33"/>
            <w:vAlign w:val="center"/>
          </w:tcPr>
          <w:p w14:paraId="06836B50"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p>
        </w:tc>
      </w:tr>
      <w:tr w:rsidR="000E61C4" w14:paraId="6FAFB78C" w14:textId="77777777" w:rsidTr="00EF3B80">
        <w:tc>
          <w:tcPr>
            <w:tcW w:w="2688" w:type="pct"/>
            <w:shd w:val="clear" w:color="auto" w:fill="E5DFEC" w:themeFill="accent4" w:themeFillTint="33"/>
          </w:tcPr>
          <w:p w14:paraId="17CBB743" w14:textId="77777777" w:rsidR="000E61C4" w:rsidRDefault="000E61C4" w:rsidP="00EF3B80">
            <w:pPr>
              <w:widowControl w:val="0"/>
              <w:tabs>
                <w:tab w:val="left" w:pos="3907"/>
              </w:tabs>
              <w:jc w:val="both"/>
              <w:rPr>
                <w:rFonts w:asciiTheme="minorHAnsi" w:hAnsiTheme="minorHAnsi" w:cs="Arial"/>
                <w:sz w:val="22"/>
                <w:szCs w:val="22"/>
              </w:rPr>
            </w:pPr>
            <w:r w:rsidRPr="00A55585">
              <w:rPr>
                <w:rFonts w:ascii="Calibri" w:hAnsi="Calibri"/>
                <w:color w:val="000000"/>
                <w:lang w:eastAsia="en-GB"/>
              </w:rPr>
              <w:t>Use of Capital Receipts Reserve to finance capital expenditure</w:t>
            </w:r>
          </w:p>
        </w:tc>
        <w:tc>
          <w:tcPr>
            <w:tcW w:w="436" w:type="pct"/>
            <w:tcBorders>
              <w:top w:val="single" w:sz="4" w:space="0" w:color="FFFFFF" w:themeColor="background1"/>
            </w:tcBorders>
            <w:shd w:val="clear" w:color="auto" w:fill="E5DFEC" w:themeFill="accent4" w:themeFillTint="33"/>
            <w:vAlign w:val="center"/>
          </w:tcPr>
          <w:p w14:paraId="7D423D0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tcBorders>
              <w:top w:val="single" w:sz="4" w:space="0" w:color="FFFFFF" w:themeColor="background1"/>
            </w:tcBorders>
            <w:shd w:val="clear" w:color="auto" w:fill="E5DFEC" w:themeFill="accent4" w:themeFillTint="33"/>
            <w:vAlign w:val="center"/>
          </w:tcPr>
          <w:p w14:paraId="712B745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tcBorders>
              <w:top w:val="single" w:sz="4" w:space="0" w:color="FFFFFF" w:themeColor="background1"/>
            </w:tcBorders>
            <w:shd w:val="clear" w:color="auto" w:fill="E5DFEC" w:themeFill="accent4" w:themeFillTint="33"/>
            <w:vAlign w:val="center"/>
          </w:tcPr>
          <w:p w14:paraId="2B1BA000" w14:textId="46F02200"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-1,315</w:t>
            </w:r>
          </w:p>
        </w:tc>
        <w:tc>
          <w:tcPr>
            <w:tcW w:w="438" w:type="pct"/>
            <w:tcBorders>
              <w:top w:val="single" w:sz="4" w:space="0" w:color="FFFFFF" w:themeColor="background1"/>
            </w:tcBorders>
            <w:shd w:val="clear" w:color="auto" w:fill="E5DFEC" w:themeFill="accent4" w:themeFillTint="33"/>
            <w:vAlign w:val="center"/>
          </w:tcPr>
          <w:p w14:paraId="5DD5EAD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tcBorders>
              <w:top w:val="single" w:sz="4" w:space="0" w:color="FFFFFF" w:themeColor="background1"/>
            </w:tcBorders>
            <w:shd w:val="clear" w:color="auto" w:fill="E5DFEC" w:themeFill="accent4" w:themeFillTint="33"/>
            <w:vAlign w:val="center"/>
          </w:tcPr>
          <w:p w14:paraId="729F98A4"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48313EA3" w14:textId="77777777" w:rsidTr="00EF3B80">
        <w:tc>
          <w:tcPr>
            <w:tcW w:w="2688" w:type="pct"/>
            <w:shd w:val="clear" w:color="auto" w:fill="E5DFEC" w:themeFill="accent4" w:themeFillTint="33"/>
          </w:tcPr>
          <w:p w14:paraId="43216C52" w14:textId="77777777" w:rsidR="000E61C4" w:rsidRDefault="000E61C4" w:rsidP="00EF3B80">
            <w:pPr>
              <w:widowControl w:val="0"/>
              <w:tabs>
                <w:tab w:val="left" w:pos="3494"/>
              </w:tabs>
              <w:jc w:val="both"/>
              <w:rPr>
                <w:rFonts w:asciiTheme="minorHAnsi" w:hAnsiTheme="minorHAnsi" w:cs="Arial"/>
                <w:sz w:val="22"/>
                <w:szCs w:val="22"/>
              </w:rPr>
            </w:pPr>
            <w:r w:rsidRPr="00A55585">
              <w:rPr>
                <w:rFonts w:ascii="Calibri" w:hAnsi="Calibri"/>
                <w:color w:val="000000"/>
                <w:lang w:eastAsia="en-GB"/>
              </w:rPr>
              <w:t>Use of the Major Repairs Reserve to finance capital expenditure</w:t>
            </w:r>
          </w:p>
        </w:tc>
        <w:tc>
          <w:tcPr>
            <w:tcW w:w="436" w:type="pct"/>
            <w:shd w:val="clear" w:color="auto" w:fill="E5DFEC" w:themeFill="accent4" w:themeFillTint="33"/>
            <w:vAlign w:val="center"/>
          </w:tcPr>
          <w:p w14:paraId="7445665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25752986"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1AC6B97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54C513FE" w14:textId="651E2ACF"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-1,943</w:t>
            </w:r>
          </w:p>
        </w:tc>
        <w:tc>
          <w:tcPr>
            <w:tcW w:w="538" w:type="pct"/>
            <w:shd w:val="clear" w:color="auto" w:fill="E5DFEC" w:themeFill="accent4" w:themeFillTint="33"/>
            <w:vAlign w:val="center"/>
          </w:tcPr>
          <w:p w14:paraId="279CDF5A"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73252D1E" w14:textId="77777777" w:rsidTr="00EF3B80">
        <w:tc>
          <w:tcPr>
            <w:tcW w:w="2688" w:type="pct"/>
            <w:shd w:val="clear" w:color="auto" w:fill="E5DFEC" w:themeFill="accent4" w:themeFillTint="33"/>
          </w:tcPr>
          <w:p w14:paraId="243CBCDF" w14:textId="77777777" w:rsidR="000E61C4" w:rsidRDefault="000E61C4" w:rsidP="00EF3B8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Application of capital grants to finance capital expenditure</w:t>
            </w:r>
          </w:p>
        </w:tc>
        <w:tc>
          <w:tcPr>
            <w:tcW w:w="436" w:type="pct"/>
            <w:shd w:val="clear" w:color="auto" w:fill="E5DFEC" w:themeFill="accent4" w:themeFillTint="33"/>
            <w:vAlign w:val="center"/>
          </w:tcPr>
          <w:p w14:paraId="49267FB1" w14:textId="25E39CBA" w:rsidR="000E61C4" w:rsidRPr="0093059F" w:rsidRDefault="00BD7A8C" w:rsidP="00EF3B8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-911</w:t>
            </w:r>
          </w:p>
        </w:tc>
        <w:tc>
          <w:tcPr>
            <w:tcW w:w="409" w:type="pct"/>
            <w:shd w:val="clear" w:color="auto" w:fill="E5DFEC" w:themeFill="accent4" w:themeFillTint="33"/>
            <w:vAlign w:val="center"/>
          </w:tcPr>
          <w:p w14:paraId="64FD8A7B"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6DB68113"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0D82A16E"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67779F3F"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0E61C4" w14:paraId="7D788ECF" w14:textId="77777777" w:rsidTr="00EF3B80">
        <w:tc>
          <w:tcPr>
            <w:tcW w:w="2688" w:type="pct"/>
            <w:shd w:val="clear" w:color="auto" w:fill="B2A1C7" w:themeFill="accent4" w:themeFillTint="99"/>
          </w:tcPr>
          <w:p w14:paraId="7440D40D" w14:textId="77777777" w:rsidR="000E61C4" w:rsidRPr="00A55585" w:rsidRDefault="000E61C4" w:rsidP="00EF3B80">
            <w:pPr>
              <w:widowControl w:val="0"/>
              <w:tabs>
                <w:tab w:val="left" w:pos="720"/>
                <w:tab w:val="left" w:pos="7200"/>
                <w:tab w:val="left" w:pos="8640"/>
              </w:tabs>
              <w:jc w:val="both"/>
              <w:rPr>
                <w:rFonts w:ascii="Calibri" w:hAnsi="Calibri"/>
                <w:color w:val="000000"/>
                <w:lang w:eastAsia="en-GB"/>
              </w:rPr>
            </w:pPr>
            <w:r w:rsidRPr="00A55585">
              <w:rPr>
                <w:rFonts w:ascii="Calibri" w:hAnsi="Calibri"/>
                <w:b/>
                <w:bCs/>
                <w:color w:val="000000"/>
                <w:lang w:eastAsia="en-GB"/>
              </w:rPr>
              <w:t>Total Adjustments to Capital Resources</w:t>
            </w:r>
          </w:p>
        </w:tc>
        <w:tc>
          <w:tcPr>
            <w:tcW w:w="436" w:type="pct"/>
            <w:shd w:val="clear" w:color="auto" w:fill="B2A1C7" w:themeFill="accent4" w:themeFillTint="99"/>
            <w:vAlign w:val="center"/>
          </w:tcPr>
          <w:p w14:paraId="7613F62C" w14:textId="271547F4"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-911</w:t>
            </w:r>
          </w:p>
        </w:tc>
        <w:tc>
          <w:tcPr>
            <w:tcW w:w="409" w:type="pct"/>
            <w:shd w:val="clear" w:color="auto" w:fill="B2A1C7" w:themeFill="accent4" w:themeFillTint="99"/>
            <w:vAlign w:val="center"/>
          </w:tcPr>
          <w:p w14:paraId="76D7F522"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490" w:type="pct"/>
            <w:shd w:val="clear" w:color="auto" w:fill="B2A1C7" w:themeFill="accent4" w:themeFillTint="99"/>
            <w:vAlign w:val="center"/>
          </w:tcPr>
          <w:p w14:paraId="55E422FE" w14:textId="187DC2DF"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-1,315</w:t>
            </w:r>
          </w:p>
        </w:tc>
        <w:tc>
          <w:tcPr>
            <w:tcW w:w="438" w:type="pct"/>
            <w:shd w:val="clear" w:color="auto" w:fill="B2A1C7" w:themeFill="accent4" w:themeFillTint="99"/>
            <w:vAlign w:val="center"/>
          </w:tcPr>
          <w:p w14:paraId="2C1F5E0A" w14:textId="47EC899B"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-1,943</w:t>
            </w:r>
          </w:p>
        </w:tc>
        <w:tc>
          <w:tcPr>
            <w:tcW w:w="538" w:type="pct"/>
            <w:shd w:val="clear" w:color="auto" w:fill="B2A1C7" w:themeFill="accent4" w:themeFillTint="99"/>
            <w:vAlign w:val="center"/>
          </w:tcPr>
          <w:p w14:paraId="4A677176" w14:textId="77777777" w:rsidR="000E61C4" w:rsidRPr="0093059F" w:rsidRDefault="000E61C4" w:rsidP="00EF3B8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r w:rsidR="000E61C4" w14:paraId="504A518C" w14:textId="77777777" w:rsidTr="00EF3B80">
        <w:tc>
          <w:tcPr>
            <w:tcW w:w="2688" w:type="pct"/>
            <w:shd w:val="clear" w:color="auto" w:fill="B2A1C7" w:themeFill="accent4" w:themeFillTint="99"/>
          </w:tcPr>
          <w:p w14:paraId="150B9E54" w14:textId="77777777" w:rsidR="000E61C4" w:rsidRPr="00A55585" w:rsidRDefault="000E61C4" w:rsidP="00EF3B80">
            <w:pPr>
              <w:widowControl w:val="0"/>
              <w:tabs>
                <w:tab w:val="left" w:pos="720"/>
                <w:tab w:val="left" w:pos="7200"/>
                <w:tab w:val="left" w:pos="8640"/>
              </w:tabs>
              <w:jc w:val="both"/>
              <w:rPr>
                <w:rFonts w:ascii="Calibri" w:hAnsi="Calibri"/>
                <w:color w:val="000000"/>
                <w:lang w:eastAsia="en-GB"/>
              </w:rPr>
            </w:pPr>
            <w:r w:rsidRPr="00A55585">
              <w:rPr>
                <w:rFonts w:ascii="Calibri" w:hAnsi="Calibri"/>
                <w:b/>
                <w:bCs/>
                <w:color w:val="000000"/>
                <w:lang w:eastAsia="en-GB"/>
              </w:rPr>
              <w:t>Total Adjustments</w:t>
            </w:r>
          </w:p>
        </w:tc>
        <w:tc>
          <w:tcPr>
            <w:tcW w:w="436" w:type="pct"/>
            <w:shd w:val="clear" w:color="auto" w:fill="B2A1C7" w:themeFill="accent4" w:themeFillTint="99"/>
            <w:vAlign w:val="center"/>
          </w:tcPr>
          <w:p w14:paraId="79C5AB31" w14:textId="47A4C565"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4,169</w:t>
            </w:r>
          </w:p>
        </w:tc>
        <w:tc>
          <w:tcPr>
            <w:tcW w:w="409" w:type="pct"/>
            <w:shd w:val="clear" w:color="auto" w:fill="B2A1C7" w:themeFill="accent4" w:themeFillTint="99"/>
            <w:vAlign w:val="center"/>
          </w:tcPr>
          <w:p w14:paraId="2F457D39" w14:textId="6C1A6A28"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-1,114</w:t>
            </w:r>
          </w:p>
        </w:tc>
        <w:tc>
          <w:tcPr>
            <w:tcW w:w="490" w:type="pct"/>
            <w:shd w:val="clear" w:color="auto" w:fill="B2A1C7" w:themeFill="accent4" w:themeFillTint="99"/>
            <w:vAlign w:val="center"/>
          </w:tcPr>
          <w:p w14:paraId="17E1C874" w14:textId="5B2E09A0"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-4</w:t>
            </w:r>
            <w:r w:rsidR="00D875DC">
              <w:rPr>
                <w:rFonts w:asciiTheme="minorHAnsi" w:hAnsiTheme="minorHAnsi" w:cstheme="minorHAnsi"/>
                <w:b/>
                <w:bCs/>
              </w:rPr>
              <w:t>70</w:t>
            </w:r>
          </w:p>
        </w:tc>
        <w:tc>
          <w:tcPr>
            <w:tcW w:w="438" w:type="pct"/>
            <w:shd w:val="clear" w:color="auto" w:fill="B2A1C7" w:themeFill="accent4" w:themeFillTint="99"/>
            <w:vAlign w:val="center"/>
          </w:tcPr>
          <w:p w14:paraId="4BD3CE53" w14:textId="1D005B98" w:rsidR="000E61C4" w:rsidRPr="0093059F" w:rsidRDefault="007947E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-166</w:t>
            </w:r>
          </w:p>
        </w:tc>
        <w:tc>
          <w:tcPr>
            <w:tcW w:w="538" w:type="pct"/>
            <w:shd w:val="clear" w:color="auto" w:fill="B2A1C7" w:themeFill="accent4" w:themeFillTint="99"/>
            <w:vAlign w:val="center"/>
          </w:tcPr>
          <w:p w14:paraId="179F2B3C" w14:textId="039E9FFB" w:rsidR="000E61C4" w:rsidRPr="0093059F" w:rsidRDefault="00D875DC" w:rsidP="00EF3B8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15</w:t>
            </w:r>
          </w:p>
        </w:tc>
      </w:tr>
    </w:tbl>
    <w:p w14:paraId="15AFF601"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525849FA"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3FBA4F1F"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0D0C81B6"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21039303"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234992A7"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09FE16EC"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74C8F391"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74B912F8"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24DBB149"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29849183" w14:textId="77777777" w:rsidR="000E61C4" w:rsidRDefault="000E61C4" w:rsidP="00707761">
      <w:pPr>
        <w:widowControl w:val="0"/>
        <w:tabs>
          <w:tab w:val="left" w:pos="720"/>
          <w:tab w:val="left" w:pos="7200"/>
          <w:tab w:val="left" w:pos="8640"/>
        </w:tabs>
        <w:jc w:val="both"/>
        <w:rPr>
          <w:rFonts w:asciiTheme="minorHAnsi" w:hAnsiTheme="minorHAnsi" w:cs="Arial"/>
          <w:sz w:val="22"/>
          <w:szCs w:val="22"/>
        </w:rPr>
      </w:pPr>
    </w:p>
    <w:p w14:paraId="3C2C05AA" w14:textId="1B2D077A" w:rsidR="00097CA9" w:rsidRDefault="00097CA9" w:rsidP="00707761">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202</w:t>
      </w:r>
      <w:r w:rsidR="00FA61F7">
        <w:rPr>
          <w:rFonts w:asciiTheme="minorHAnsi" w:hAnsiTheme="minorHAnsi" w:cs="Arial"/>
          <w:sz w:val="22"/>
          <w:szCs w:val="22"/>
        </w:rPr>
        <w:t>1</w:t>
      </w:r>
      <w:r>
        <w:rPr>
          <w:rFonts w:asciiTheme="minorHAnsi" w:hAnsiTheme="minorHAnsi" w:cs="Arial"/>
          <w:sz w:val="22"/>
          <w:szCs w:val="22"/>
        </w:rPr>
        <w:t>-202</w:t>
      </w:r>
      <w:r w:rsidR="00FA61F7">
        <w:rPr>
          <w:rFonts w:asciiTheme="minorHAnsi" w:hAnsiTheme="minorHAnsi" w:cs="Arial"/>
          <w:sz w:val="22"/>
          <w:szCs w:val="22"/>
        </w:rPr>
        <w:t>2</w:t>
      </w:r>
    </w:p>
    <w:p w14:paraId="49DEC5FE" w14:textId="7D1DFDAA" w:rsidR="00C76AFB" w:rsidRDefault="00C76AFB" w:rsidP="00707761">
      <w:pPr>
        <w:widowControl w:val="0"/>
        <w:tabs>
          <w:tab w:val="left" w:pos="720"/>
          <w:tab w:val="left" w:pos="7200"/>
          <w:tab w:val="left" w:pos="8640"/>
        </w:tabs>
        <w:jc w:val="both"/>
        <w:rPr>
          <w:rFonts w:asciiTheme="minorHAnsi" w:hAnsiTheme="minorHAnsi" w:cs="Arial"/>
          <w:sz w:val="22"/>
          <w:szCs w:val="22"/>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5DFEC" w:themeFill="accent4" w:themeFillTint="33"/>
        <w:tblLook w:val="04A0" w:firstRow="1" w:lastRow="0" w:firstColumn="1" w:lastColumn="0" w:noHBand="0" w:noVBand="1"/>
        <w:tblCaption w:val="Adjustments between Accounting Basis and Funding Basis under Regulations"/>
        <w:tblDescription w:val="Adjustments between Accounting Basis and Funding Basis under Regulations for 2021-2022"/>
      </w:tblPr>
      <w:tblGrid>
        <w:gridCol w:w="5535"/>
        <w:gridCol w:w="922"/>
        <w:gridCol w:w="817"/>
        <w:gridCol w:w="1012"/>
        <w:gridCol w:w="926"/>
        <w:gridCol w:w="1136"/>
      </w:tblGrid>
      <w:tr w:rsidR="00097CA9" w14:paraId="4493EF19" w14:textId="77777777" w:rsidTr="00911350">
        <w:trPr>
          <w:cantSplit/>
          <w:tblHeader/>
        </w:trPr>
        <w:tc>
          <w:tcPr>
            <w:tcW w:w="2688" w:type="pct"/>
            <w:tcBorders>
              <w:top w:val="nil"/>
              <w:left w:val="nil"/>
              <w:bottom w:val="nil"/>
              <w:right w:val="single" w:sz="4" w:space="0" w:color="FFFFFF" w:themeColor="background1"/>
            </w:tcBorders>
            <w:shd w:val="clear" w:color="auto" w:fill="B2A1C7" w:themeFill="accent4" w:themeFillTint="99"/>
          </w:tcPr>
          <w:p w14:paraId="7D8ED50D" w14:textId="05EE726C" w:rsidR="00337C5D" w:rsidRPr="00097CA9" w:rsidRDefault="00337C5D" w:rsidP="00707761">
            <w:pPr>
              <w:widowControl w:val="0"/>
              <w:tabs>
                <w:tab w:val="left" w:pos="720"/>
                <w:tab w:val="left" w:pos="7200"/>
                <w:tab w:val="left" w:pos="8640"/>
              </w:tabs>
              <w:jc w:val="both"/>
              <w:rPr>
                <w:rFonts w:asciiTheme="minorHAnsi" w:hAnsiTheme="minorHAnsi" w:cs="Arial"/>
                <w:b/>
                <w:bCs/>
                <w:sz w:val="22"/>
                <w:szCs w:val="22"/>
              </w:rPr>
            </w:pPr>
          </w:p>
        </w:tc>
        <w:tc>
          <w:tcPr>
            <w:tcW w:w="436" w:type="pct"/>
            <w:tcBorders>
              <w:top w:val="nil"/>
              <w:left w:val="single" w:sz="4" w:space="0" w:color="FFFFFF" w:themeColor="background1"/>
              <w:bottom w:val="single" w:sz="4" w:space="0" w:color="FFFFFF" w:themeColor="background1"/>
              <w:right w:val="nil"/>
            </w:tcBorders>
            <w:shd w:val="clear" w:color="auto" w:fill="B2A1C7" w:themeFill="accent4" w:themeFillTint="99"/>
          </w:tcPr>
          <w:p w14:paraId="6B905DBD" w14:textId="77777777" w:rsidR="00337C5D" w:rsidRDefault="00337C5D" w:rsidP="00707761">
            <w:pPr>
              <w:widowControl w:val="0"/>
              <w:tabs>
                <w:tab w:val="left" w:pos="720"/>
                <w:tab w:val="left" w:pos="7200"/>
                <w:tab w:val="left" w:pos="8640"/>
              </w:tabs>
              <w:jc w:val="both"/>
              <w:rPr>
                <w:rFonts w:asciiTheme="minorHAnsi" w:hAnsiTheme="minorHAnsi" w:cs="Arial"/>
                <w:sz w:val="22"/>
                <w:szCs w:val="22"/>
              </w:rPr>
            </w:pPr>
          </w:p>
        </w:tc>
        <w:tc>
          <w:tcPr>
            <w:tcW w:w="409" w:type="pct"/>
            <w:tcBorders>
              <w:top w:val="nil"/>
              <w:left w:val="nil"/>
              <w:bottom w:val="single" w:sz="4" w:space="0" w:color="FFFFFF" w:themeColor="background1"/>
              <w:right w:val="nil"/>
            </w:tcBorders>
            <w:shd w:val="clear" w:color="auto" w:fill="B2A1C7" w:themeFill="accent4" w:themeFillTint="99"/>
          </w:tcPr>
          <w:p w14:paraId="1C690BFB" w14:textId="77777777" w:rsidR="00337C5D" w:rsidRDefault="00337C5D" w:rsidP="00707761">
            <w:pPr>
              <w:widowControl w:val="0"/>
              <w:tabs>
                <w:tab w:val="left" w:pos="720"/>
                <w:tab w:val="left" w:pos="7200"/>
                <w:tab w:val="left" w:pos="8640"/>
              </w:tabs>
              <w:jc w:val="both"/>
              <w:rPr>
                <w:rFonts w:asciiTheme="minorHAnsi" w:hAnsiTheme="minorHAnsi" w:cs="Arial"/>
                <w:sz w:val="22"/>
                <w:szCs w:val="22"/>
              </w:rPr>
            </w:pPr>
          </w:p>
        </w:tc>
        <w:tc>
          <w:tcPr>
            <w:tcW w:w="490" w:type="pct"/>
            <w:tcBorders>
              <w:top w:val="nil"/>
              <w:left w:val="nil"/>
              <w:bottom w:val="single" w:sz="4" w:space="0" w:color="FFFFFF" w:themeColor="background1"/>
              <w:right w:val="nil"/>
            </w:tcBorders>
            <w:shd w:val="clear" w:color="auto" w:fill="B2A1C7" w:themeFill="accent4" w:themeFillTint="99"/>
          </w:tcPr>
          <w:p w14:paraId="04FD5A74" w14:textId="6FDBF62C" w:rsidR="00337C5D" w:rsidRDefault="00097CA9" w:rsidP="00097CA9">
            <w:pPr>
              <w:widowControl w:val="0"/>
              <w:tabs>
                <w:tab w:val="left" w:pos="720"/>
                <w:tab w:val="left" w:pos="7200"/>
                <w:tab w:val="left" w:pos="8640"/>
              </w:tabs>
              <w:jc w:val="center"/>
              <w:rPr>
                <w:rFonts w:asciiTheme="minorHAnsi" w:hAnsiTheme="minorHAnsi" w:cs="Arial"/>
                <w:sz w:val="22"/>
                <w:szCs w:val="22"/>
              </w:rPr>
            </w:pPr>
            <w:r>
              <w:rPr>
                <w:rFonts w:asciiTheme="minorHAnsi" w:hAnsiTheme="minorHAnsi" w:cs="Arial"/>
                <w:sz w:val="22"/>
                <w:szCs w:val="22"/>
              </w:rPr>
              <w:t>Usable Reserves</w:t>
            </w:r>
          </w:p>
        </w:tc>
        <w:tc>
          <w:tcPr>
            <w:tcW w:w="438" w:type="pct"/>
            <w:tcBorders>
              <w:top w:val="nil"/>
              <w:left w:val="nil"/>
              <w:bottom w:val="single" w:sz="4" w:space="0" w:color="FFFFFF" w:themeColor="background1"/>
              <w:right w:val="nil"/>
            </w:tcBorders>
            <w:shd w:val="clear" w:color="auto" w:fill="B2A1C7" w:themeFill="accent4" w:themeFillTint="99"/>
          </w:tcPr>
          <w:p w14:paraId="0683C573" w14:textId="77777777" w:rsidR="00337C5D" w:rsidRDefault="00337C5D" w:rsidP="00707761">
            <w:pPr>
              <w:widowControl w:val="0"/>
              <w:tabs>
                <w:tab w:val="left" w:pos="720"/>
                <w:tab w:val="left" w:pos="7200"/>
                <w:tab w:val="left" w:pos="8640"/>
              </w:tabs>
              <w:jc w:val="both"/>
              <w:rPr>
                <w:rFonts w:asciiTheme="minorHAnsi" w:hAnsiTheme="minorHAnsi" w:cs="Arial"/>
                <w:sz w:val="22"/>
                <w:szCs w:val="22"/>
              </w:rPr>
            </w:pPr>
          </w:p>
        </w:tc>
        <w:tc>
          <w:tcPr>
            <w:tcW w:w="538" w:type="pct"/>
            <w:tcBorders>
              <w:top w:val="nil"/>
              <w:left w:val="nil"/>
              <w:bottom w:val="single" w:sz="4" w:space="0" w:color="FFFFFF" w:themeColor="background1"/>
              <w:right w:val="nil"/>
            </w:tcBorders>
            <w:shd w:val="clear" w:color="auto" w:fill="B2A1C7" w:themeFill="accent4" w:themeFillTint="99"/>
          </w:tcPr>
          <w:p w14:paraId="083A6DD3" w14:textId="77777777" w:rsidR="00337C5D" w:rsidRDefault="00337C5D" w:rsidP="00707761">
            <w:pPr>
              <w:widowControl w:val="0"/>
              <w:tabs>
                <w:tab w:val="left" w:pos="720"/>
                <w:tab w:val="left" w:pos="7200"/>
                <w:tab w:val="left" w:pos="8640"/>
              </w:tabs>
              <w:jc w:val="both"/>
              <w:rPr>
                <w:rFonts w:asciiTheme="minorHAnsi" w:hAnsiTheme="minorHAnsi" w:cs="Arial"/>
                <w:sz w:val="22"/>
                <w:szCs w:val="22"/>
              </w:rPr>
            </w:pPr>
          </w:p>
        </w:tc>
      </w:tr>
      <w:tr w:rsidR="00097CA9" w14:paraId="10A221C7" w14:textId="77777777" w:rsidTr="00911350">
        <w:trPr>
          <w:cantSplit/>
          <w:tblHeader/>
        </w:trPr>
        <w:tc>
          <w:tcPr>
            <w:tcW w:w="2688" w:type="pct"/>
            <w:tcBorders>
              <w:top w:val="nil"/>
              <w:left w:val="nil"/>
              <w:bottom w:val="nil"/>
              <w:right w:val="single" w:sz="4" w:space="0" w:color="FFFFFF" w:themeColor="background1"/>
            </w:tcBorders>
            <w:shd w:val="clear" w:color="auto" w:fill="B2A1C7" w:themeFill="accent4" w:themeFillTint="99"/>
          </w:tcPr>
          <w:p w14:paraId="7A487BCD" w14:textId="77777777" w:rsidR="00337C5D" w:rsidRDefault="00337C5D" w:rsidP="00707761">
            <w:pPr>
              <w:widowControl w:val="0"/>
              <w:tabs>
                <w:tab w:val="left" w:pos="720"/>
                <w:tab w:val="left" w:pos="7200"/>
                <w:tab w:val="left" w:pos="8640"/>
              </w:tabs>
              <w:jc w:val="both"/>
              <w:rPr>
                <w:rFonts w:asciiTheme="minorHAnsi" w:hAnsiTheme="minorHAnsi" w:cs="Arial"/>
                <w:sz w:val="22"/>
                <w:szCs w:val="22"/>
              </w:rPr>
            </w:pPr>
          </w:p>
        </w:tc>
        <w:tc>
          <w:tcPr>
            <w:tcW w:w="436" w:type="pct"/>
            <w:tcBorders>
              <w:top w:val="single" w:sz="4" w:space="0" w:color="FFFFFF" w:themeColor="background1"/>
              <w:left w:val="single" w:sz="4" w:space="0" w:color="FFFFFF" w:themeColor="background1"/>
            </w:tcBorders>
            <w:shd w:val="clear" w:color="auto" w:fill="B2A1C7" w:themeFill="accent4" w:themeFillTint="99"/>
            <w:vAlign w:val="center"/>
          </w:tcPr>
          <w:p w14:paraId="49C272FD" w14:textId="213F7959" w:rsidR="00337C5D" w:rsidRDefault="00097CA9" w:rsidP="00097CA9">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General Fund Balance</w:t>
            </w:r>
          </w:p>
        </w:tc>
        <w:tc>
          <w:tcPr>
            <w:tcW w:w="409" w:type="pct"/>
            <w:tcBorders>
              <w:top w:val="single" w:sz="4" w:space="0" w:color="FFFFFF" w:themeColor="background1"/>
            </w:tcBorders>
            <w:shd w:val="clear" w:color="auto" w:fill="B2A1C7" w:themeFill="accent4" w:themeFillTint="99"/>
            <w:vAlign w:val="center"/>
          </w:tcPr>
          <w:p w14:paraId="43C23624" w14:textId="318C2073" w:rsidR="00337C5D" w:rsidRDefault="00097CA9" w:rsidP="00097CA9">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HRA</w:t>
            </w:r>
          </w:p>
        </w:tc>
        <w:tc>
          <w:tcPr>
            <w:tcW w:w="490" w:type="pct"/>
            <w:tcBorders>
              <w:top w:val="single" w:sz="4" w:space="0" w:color="FFFFFF" w:themeColor="background1"/>
            </w:tcBorders>
            <w:shd w:val="clear" w:color="auto" w:fill="B2A1C7" w:themeFill="accent4" w:themeFillTint="99"/>
            <w:vAlign w:val="center"/>
          </w:tcPr>
          <w:p w14:paraId="0CA3E1F1" w14:textId="192FE03B" w:rsidR="00337C5D" w:rsidRDefault="00097CA9" w:rsidP="00097CA9">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Capital Receipts Reserve</w:t>
            </w:r>
          </w:p>
        </w:tc>
        <w:tc>
          <w:tcPr>
            <w:tcW w:w="438" w:type="pct"/>
            <w:tcBorders>
              <w:top w:val="single" w:sz="4" w:space="0" w:color="FFFFFF" w:themeColor="background1"/>
            </w:tcBorders>
            <w:shd w:val="clear" w:color="auto" w:fill="B2A1C7" w:themeFill="accent4" w:themeFillTint="99"/>
            <w:vAlign w:val="center"/>
          </w:tcPr>
          <w:p w14:paraId="061F8C62" w14:textId="5E2ACEAD" w:rsidR="00337C5D" w:rsidRDefault="00097CA9" w:rsidP="00097CA9">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Major Repairs Reserve</w:t>
            </w:r>
          </w:p>
        </w:tc>
        <w:tc>
          <w:tcPr>
            <w:tcW w:w="538" w:type="pct"/>
            <w:tcBorders>
              <w:top w:val="single" w:sz="4" w:space="0" w:color="FFFFFF" w:themeColor="background1"/>
            </w:tcBorders>
            <w:shd w:val="clear" w:color="auto" w:fill="B2A1C7" w:themeFill="accent4" w:themeFillTint="99"/>
            <w:vAlign w:val="center"/>
          </w:tcPr>
          <w:p w14:paraId="03593710" w14:textId="3BAE1AE1" w:rsidR="00337C5D" w:rsidRDefault="00097CA9" w:rsidP="00097CA9">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 xml:space="preserve">Capital Grants Unapplied </w:t>
            </w:r>
          </w:p>
        </w:tc>
      </w:tr>
      <w:tr w:rsidR="00911350" w14:paraId="018443A4" w14:textId="77777777" w:rsidTr="00911350">
        <w:trPr>
          <w:cantSplit/>
          <w:tblHeader/>
        </w:trPr>
        <w:tc>
          <w:tcPr>
            <w:tcW w:w="2688" w:type="pct"/>
            <w:tcBorders>
              <w:top w:val="nil"/>
            </w:tcBorders>
            <w:shd w:val="clear" w:color="auto" w:fill="B2A1C7" w:themeFill="accent4" w:themeFillTint="99"/>
          </w:tcPr>
          <w:p w14:paraId="36F69547" w14:textId="77777777" w:rsidR="00911350" w:rsidRDefault="00911350" w:rsidP="00911350">
            <w:pPr>
              <w:widowControl w:val="0"/>
              <w:tabs>
                <w:tab w:val="left" w:pos="720"/>
                <w:tab w:val="left" w:pos="7200"/>
                <w:tab w:val="left" w:pos="8640"/>
              </w:tabs>
              <w:jc w:val="both"/>
              <w:rPr>
                <w:rFonts w:asciiTheme="minorHAnsi" w:hAnsiTheme="minorHAnsi" w:cs="Arial"/>
                <w:sz w:val="22"/>
                <w:szCs w:val="22"/>
              </w:rPr>
            </w:pPr>
          </w:p>
        </w:tc>
        <w:tc>
          <w:tcPr>
            <w:tcW w:w="436" w:type="pct"/>
            <w:shd w:val="clear" w:color="auto" w:fill="B2A1C7" w:themeFill="accent4" w:themeFillTint="99"/>
          </w:tcPr>
          <w:p w14:paraId="2CC9914C" w14:textId="6A6E8A35" w:rsidR="00911350" w:rsidRDefault="00911350" w:rsidP="0091135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w:t>
            </w:r>
            <w:r w:rsidR="000E61C4">
              <w:rPr>
                <w:rFonts w:asciiTheme="minorHAnsi" w:hAnsiTheme="minorHAnsi" w:cs="Arial"/>
                <w:sz w:val="22"/>
                <w:szCs w:val="22"/>
              </w:rPr>
              <w:t>’</w:t>
            </w:r>
            <w:r>
              <w:rPr>
                <w:rFonts w:asciiTheme="minorHAnsi" w:hAnsiTheme="minorHAnsi" w:cs="Arial"/>
                <w:sz w:val="22"/>
                <w:szCs w:val="22"/>
              </w:rPr>
              <w:t>000</w:t>
            </w:r>
          </w:p>
        </w:tc>
        <w:tc>
          <w:tcPr>
            <w:tcW w:w="409" w:type="pct"/>
            <w:shd w:val="clear" w:color="auto" w:fill="B2A1C7" w:themeFill="accent4" w:themeFillTint="99"/>
          </w:tcPr>
          <w:p w14:paraId="4BD7D58B" w14:textId="414D7CB3" w:rsidR="00911350" w:rsidRDefault="00911350" w:rsidP="0091135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w:t>
            </w:r>
            <w:r w:rsidR="000E61C4">
              <w:rPr>
                <w:rFonts w:asciiTheme="minorHAnsi" w:hAnsiTheme="minorHAnsi" w:cs="Arial"/>
                <w:sz w:val="22"/>
                <w:szCs w:val="22"/>
              </w:rPr>
              <w:t>’</w:t>
            </w:r>
            <w:r>
              <w:rPr>
                <w:rFonts w:asciiTheme="minorHAnsi" w:hAnsiTheme="minorHAnsi" w:cs="Arial"/>
                <w:sz w:val="22"/>
                <w:szCs w:val="22"/>
              </w:rPr>
              <w:t>000</w:t>
            </w:r>
          </w:p>
        </w:tc>
        <w:tc>
          <w:tcPr>
            <w:tcW w:w="490" w:type="pct"/>
            <w:shd w:val="clear" w:color="auto" w:fill="B2A1C7" w:themeFill="accent4" w:themeFillTint="99"/>
          </w:tcPr>
          <w:p w14:paraId="32281388" w14:textId="4CD36861" w:rsidR="00911350" w:rsidRDefault="00911350" w:rsidP="0091135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w:t>
            </w:r>
            <w:r w:rsidR="000E61C4">
              <w:rPr>
                <w:rFonts w:asciiTheme="minorHAnsi" w:hAnsiTheme="minorHAnsi" w:cs="Arial"/>
                <w:sz w:val="22"/>
                <w:szCs w:val="22"/>
              </w:rPr>
              <w:t>’</w:t>
            </w:r>
            <w:r>
              <w:rPr>
                <w:rFonts w:asciiTheme="minorHAnsi" w:hAnsiTheme="minorHAnsi" w:cs="Arial"/>
                <w:sz w:val="22"/>
                <w:szCs w:val="22"/>
              </w:rPr>
              <w:t>000</w:t>
            </w:r>
          </w:p>
        </w:tc>
        <w:tc>
          <w:tcPr>
            <w:tcW w:w="438" w:type="pct"/>
            <w:shd w:val="clear" w:color="auto" w:fill="B2A1C7" w:themeFill="accent4" w:themeFillTint="99"/>
          </w:tcPr>
          <w:p w14:paraId="468220AC" w14:textId="47B0ED51" w:rsidR="00911350" w:rsidRDefault="00911350" w:rsidP="0091135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w:t>
            </w:r>
            <w:r w:rsidR="000E61C4">
              <w:rPr>
                <w:rFonts w:asciiTheme="minorHAnsi" w:hAnsiTheme="minorHAnsi" w:cs="Arial"/>
                <w:sz w:val="22"/>
                <w:szCs w:val="22"/>
              </w:rPr>
              <w:t>’</w:t>
            </w:r>
            <w:r>
              <w:rPr>
                <w:rFonts w:asciiTheme="minorHAnsi" w:hAnsiTheme="minorHAnsi" w:cs="Arial"/>
                <w:sz w:val="22"/>
                <w:szCs w:val="22"/>
              </w:rPr>
              <w:t>000</w:t>
            </w:r>
          </w:p>
        </w:tc>
        <w:tc>
          <w:tcPr>
            <w:tcW w:w="538" w:type="pct"/>
            <w:shd w:val="clear" w:color="auto" w:fill="B2A1C7" w:themeFill="accent4" w:themeFillTint="99"/>
          </w:tcPr>
          <w:p w14:paraId="092C3F47" w14:textId="5F9076A6" w:rsidR="00911350" w:rsidRDefault="00911350" w:rsidP="00911350">
            <w:pPr>
              <w:widowControl w:val="0"/>
              <w:tabs>
                <w:tab w:val="left" w:pos="720"/>
                <w:tab w:val="left" w:pos="7200"/>
                <w:tab w:val="left" w:pos="8640"/>
              </w:tabs>
              <w:jc w:val="right"/>
              <w:rPr>
                <w:rFonts w:asciiTheme="minorHAnsi" w:hAnsiTheme="minorHAnsi" w:cs="Arial"/>
                <w:sz w:val="22"/>
                <w:szCs w:val="22"/>
              </w:rPr>
            </w:pPr>
            <w:r>
              <w:rPr>
                <w:rFonts w:asciiTheme="minorHAnsi" w:hAnsiTheme="minorHAnsi" w:cs="Arial"/>
                <w:sz w:val="22"/>
                <w:szCs w:val="22"/>
              </w:rPr>
              <w:t>£</w:t>
            </w:r>
            <w:r w:rsidR="000E61C4">
              <w:rPr>
                <w:rFonts w:asciiTheme="minorHAnsi" w:hAnsiTheme="minorHAnsi" w:cs="Arial"/>
                <w:sz w:val="22"/>
                <w:szCs w:val="22"/>
              </w:rPr>
              <w:t>’</w:t>
            </w:r>
            <w:r>
              <w:rPr>
                <w:rFonts w:asciiTheme="minorHAnsi" w:hAnsiTheme="minorHAnsi" w:cs="Arial"/>
                <w:sz w:val="22"/>
                <w:szCs w:val="22"/>
              </w:rPr>
              <w:t>000</w:t>
            </w:r>
          </w:p>
        </w:tc>
      </w:tr>
      <w:tr w:rsidR="00911350" w14:paraId="140C66EA" w14:textId="77777777" w:rsidTr="00FB37B3">
        <w:tc>
          <w:tcPr>
            <w:tcW w:w="2688" w:type="pct"/>
            <w:shd w:val="clear" w:color="auto" w:fill="E5DFEC" w:themeFill="accent4" w:themeFillTint="33"/>
          </w:tcPr>
          <w:p w14:paraId="4A238A92" w14:textId="4399791C"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b/>
                <w:bCs/>
                <w:color w:val="000000"/>
                <w:u w:val="single"/>
                <w:lang w:eastAsia="en-GB"/>
              </w:rPr>
              <w:t>Adjustments to Revenue Resources</w:t>
            </w:r>
          </w:p>
        </w:tc>
        <w:tc>
          <w:tcPr>
            <w:tcW w:w="436" w:type="pct"/>
            <w:shd w:val="clear" w:color="auto" w:fill="E5DFEC" w:themeFill="accent4" w:themeFillTint="33"/>
          </w:tcPr>
          <w:p w14:paraId="5087F262" w14:textId="77777777"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09" w:type="pct"/>
            <w:shd w:val="clear" w:color="auto" w:fill="E5DFEC" w:themeFill="accent4" w:themeFillTint="33"/>
          </w:tcPr>
          <w:p w14:paraId="0A6A7BC3" w14:textId="77777777"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90" w:type="pct"/>
            <w:shd w:val="clear" w:color="auto" w:fill="E5DFEC" w:themeFill="accent4" w:themeFillTint="33"/>
          </w:tcPr>
          <w:p w14:paraId="321A995E" w14:textId="77777777"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38" w:type="pct"/>
            <w:shd w:val="clear" w:color="auto" w:fill="E5DFEC" w:themeFill="accent4" w:themeFillTint="33"/>
          </w:tcPr>
          <w:p w14:paraId="417A8776" w14:textId="77777777"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538" w:type="pct"/>
            <w:shd w:val="clear" w:color="auto" w:fill="E5DFEC" w:themeFill="accent4" w:themeFillTint="33"/>
          </w:tcPr>
          <w:p w14:paraId="14AB8B51" w14:textId="77777777"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r>
      <w:tr w:rsidR="00911350" w14:paraId="2B68ABAF" w14:textId="77777777" w:rsidTr="00FB37B3">
        <w:tc>
          <w:tcPr>
            <w:tcW w:w="2688" w:type="pct"/>
            <w:shd w:val="clear" w:color="auto" w:fill="E5DFEC" w:themeFill="accent4" w:themeFillTint="33"/>
          </w:tcPr>
          <w:p w14:paraId="3AD4D33C" w14:textId="6FFBF4E5"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xml:space="preserve">Amounts by which income and expenditure included in the Comprehensive Income </w:t>
            </w:r>
            <w:r>
              <w:rPr>
                <w:rFonts w:ascii="Calibri" w:hAnsi="Calibri"/>
                <w:color w:val="000000"/>
                <w:lang w:eastAsia="en-GB"/>
              </w:rPr>
              <w:t>and</w:t>
            </w:r>
            <w:r w:rsidRPr="00A55585">
              <w:rPr>
                <w:rFonts w:ascii="Calibri" w:hAnsi="Calibri"/>
                <w:color w:val="000000"/>
                <w:lang w:eastAsia="en-GB"/>
              </w:rPr>
              <w:t xml:space="preserve"> Expenditure Statement are different from revenue for the year calculated in accordance with statutory requirements</w:t>
            </w:r>
          </w:p>
        </w:tc>
        <w:tc>
          <w:tcPr>
            <w:tcW w:w="436" w:type="pct"/>
            <w:shd w:val="clear" w:color="auto" w:fill="E5DFEC" w:themeFill="accent4" w:themeFillTint="33"/>
            <w:vAlign w:val="center"/>
          </w:tcPr>
          <w:p w14:paraId="11B86F6E" w14:textId="23088862"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09" w:type="pct"/>
            <w:shd w:val="clear" w:color="auto" w:fill="E5DFEC" w:themeFill="accent4" w:themeFillTint="33"/>
            <w:vAlign w:val="center"/>
          </w:tcPr>
          <w:p w14:paraId="6B977F23" w14:textId="499638A9"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90" w:type="pct"/>
            <w:shd w:val="clear" w:color="auto" w:fill="E5DFEC" w:themeFill="accent4" w:themeFillTint="33"/>
            <w:vAlign w:val="center"/>
          </w:tcPr>
          <w:p w14:paraId="2DF55A0D" w14:textId="3D068EF1"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438" w:type="pct"/>
            <w:shd w:val="clear" w:color="auto" w:fill="E5DFEC" w:themeFill="accent4" w:themeFillTint="33"/>
            <w:vAlign w:val="center"/>
          </w:tcPr>
          <w:p w14:paraId="388C73C6" w14:textId="3BEAE2AB"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c>
          <w:tcPr>
            <w:tcW w:w="538" w:type="pct"/>
            <w:shd w:val="clear" w:color="auto" w:fill="E5DFEC" w:themeFill="accent4" w:themeFillTint="33"/>
            <w:vAlign w:val="center"/>
          </w:tcPr>
          <w:p w14:paraId="7F423E9B" w14:textId="6552FE19" w:rsidR="00911350" w:rsidRDefault="00911350" w:rsidP="00911350">
            <w:pPr>
              <w:widowControl w:val="0"/>
              <w:tabs>
                <w:tab w:val="left" w:pos="720"/>
                <w:tab w:val="left" w:pos="7200"/>
                <w:tab w:val="left" w:pos="8640"/>
              </w:tabs>
              <w:jc w:val="right"/>
              <w:rPr>
                <w:rFonts w:asciiTheme="minorHAnsi" w:hAnsiTheme="minorHAnsi" w:cs="Arial"/>
                <w:sz w:val="22"/>
                <w:szCs w:val="22"/>
              </w:rPr>
            </w:pPr>
          </w:p>
        </w:tc>
      </w:tr>
      <w:tr w:rsidR="00911350" w14:paraId="717F5CAE" w14:textId="77777777" w:rsidTr="00FB37B3">
        <w:tc>
          <w:tcPr>
            <w:tcW w:w="2688" w:type="pct"/>
            <w:shd w:val="clear" w:color="auto" w:fill="E5DFEC" w:themeFill="accent4" w:themeFillTint="33"/>
          </w:tcPr>
          <w:p w14:paraId="698F1749" w14:textId="15BA5C8D"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Pensions costs (transferred to/from the Pensions Reserve)</w:t>
            </w:r>
          </w:p>
        </w:tc>
        <w:tc>
          <w:tcPr>
            <w:tcW w:w="436" w:type="pct"/>
            <w:shd w:val="clear" w:color="auto" w:fill="E5DFEC" w:themeFill="accent4" w:themeFillTint="33"/>
            <w:vAlign w:val="center"/>
          </w:tcPr>
          <w:p w14:paraId="317D4CFF" w14:textId="3265B9B9"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1,632</w:t>
            </w:r>
          </w:p>
        </w:tc>
        <w:tc>
          <w:tcPr>
            <w:tcW w:w="409" w:type="pct"/>
            <w:shd w:val="clear" w:color="auto" w:fill="E5DFEC" w:themeFill="accent4" w:themeFillTint="33"/>
            <w:vAlign w:val="center"/>
          </w:tcPr>
          <w:p w14:paraId="2EFFA7AF" w14:textId="7903CE1A"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200</w:t>
            </w:r>
          </w:p>
        </w:tc>
        <w:tc>
          <w:tcPr>
            <w:tcW w:w="490" w:type="pct"/>
            <w:shd w:val="clear" w:color="auto" w:fill="E5DFEC" w:themeFill="accent4" w:themeFillTint="33"/>
            <w:vAlign w:val="center"/>
          </w:tcPr>
          <w:p w14:paraId="20D09E45" w14:textId="3966C975"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7E5491A8" w14:textId="374B6BC4"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0D64DD02" w14:textId="6372050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2BB06091" w14:textId="77777777" w:rsidTr="00FB37B3">
        <w:tc>
          <w:tcPr>
            <w:tcW w:w="2688" w:type="pct"/>
            <w:shd w:val="clear" w:color="auto" w:fill="E5DFEC" w:themeFill="accent4" w:themeFillTint="33"/>
          </w:tcPr>
          <w:p w14:paraId="3E137FF0" w14:textId="4B07FE70"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xml:space="preserve">- Council Tax </w:t>
            </w:r>
            <w:r>
              <w:rPr>
                <w:rFonts w:ascii="Calibri" w:hAnsi="Calibri"/>
                <w:color w:val="000000"/>
                <w:lang w:eastAsia="en-GB"/>
              </w:rPr>
              <w:t>and</w:t>
            </w:r>
            <w:r w:rsidRPr="00A55585">
              <w:rPr>
                <w:rFonts w:ascii="Calibri" w:hAnsi="Calibri"/>
                <w:color w:val="000000"/>
                <w:lang w:eastAsia="en-GB"/>
              </w:rPr>
              <w:t xml:space="preserve"> NDR (transfers to/from the Collection Fund)</w:t>
            </w:r>
          </w:p>
        </w:tc>
        <w:tc>
          <w:tcPr>
            <w:tcW w:w="436" w:type="pct"/>
            <w:shd w:val="clear" w:color="auto" w:fill="E5DFEC" w:themeFill="accent4" w:themeFillTint="33"/>
            <w:vAlign w:val="center"/>
          </w:tcPr>
          <w:p w14:paraId="0D1FF66D" w14:textId="3539E97D"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-2,592</w:t>
            </w:r>
          </w:p>
        </w:tc>
        <w:tc>
          <w:tcPr>
            <w:tcW w:w="409" w:type="pct"/>
            <w:shd w:val="clear" w:color="auto" w:fill="E5DFEC" w:themeFill="accent4" w:themeFillTint="33"/>
            <w:vAlign w:val="center"/>
          </w:tcPr>
          <w:p w14:paraId="1E3D7E14" w14:textId="2206ADF0"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381A8DDF" w14:textId="04A7E908"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6DC17E39" w14:textId="38A389F6"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3144539" w14:textId="74F062BA"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7C8AE36B" w14:textId="77777777" w:rsidTr="00FB37B3">
        <w:tc>
          <w:tcPr>
            <w:tcW w:w="2688" w:type="pct"/>
            <w:shd w:val="clear" w:color="auto" w:fill="E5DFEC" w:themeFill="accent4" w:themeFillTint="33"/>
          </w:tcPr>
          <w:p w14:paraId="287571BF" w14:textId="6023C3F0"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Holiday Pay (transferred to the Accumulated Absence Reserve)</w:t>
            </w:r>
          </w:p>
        </w:tc>
        <w:tc>
          <w:tcPr>
            <w:tcW w:w="436" w:type="pct"/>
            <w:shd w:val="clear" w:color="auto" w:fill="E5DFEC" w:themeFill="accent4" w:themeFillTint="33"/>
            <w:vAlign w:val="center"/>
          </w:tcPr>
          <w:p w14:paraId="3C996269" w14:textId="29E51CF3"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-60</w:t>
            </w:r>
          </w:p>
        </w:tc>
        <w:tc>
          <w:tcPr>
            <w:tcW w:w="409" w:type="pct"/>
            <w:shd w:val="clear" w:color="auto" w:fill="E5DFEC" w:themeFill="accent4" w:themeFillTint="33"/>
            <w:vAlign w:val="center"/>
          </w:tcPr>
          <w:p w14:paraId="63612E8F" w14:textId="108F4882"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-11</w:t>
            </w:r>
          </w:p>
        </w:tc>
        <w:tc>
          <w:tcPr>
            <w:tcW w:w="490" w:type="pct"/>
            <w:shd w:val="clear" w:color="auto" w:fill="E5DFEC" w:themeFill="accent4" w:themeFillTint="33"/>
            <w:vAlign w:val="center"/>
          </w:tcPr>
          <w:p w14:paraId="22440AAE" w14:textId="7B09621A"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275A69D0" w14:textId="3205674D"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529A17AB" w14:textId="1458B617"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33305839" w14:textId="77777777" w:rsidTr="00FB37B3">
        <w:tc>
          <w:tcPr>
            <w:tcW w:w="2688" w:type="pct"/>
            <w:shd w:val="clear" w:color="auto" w:fill="E5DFEC" w:themeFill="accent4" w:themeFillTint="33"/>
          </w:tcPr>
          <w:p w14:paraId="77437A13" w14:textId="1CD5F08C"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 Reversal of entries included in the Surplus or Deficit on the Provision of Services in relation to Non-Current Assets (Charged to the Capital Adjustment Account)</w:t>
            </w:r>
          </w:p>
        </w:tc>
        <w:tc>
          <w:tcPr>
            <w:tcW w:w="436" w:type="pct"/>
            <w:shd w:val="clear" w:color="auto" w:fill="E5DFEC" w:themeFill="accent4" w:themeFillTint="33"/>
            <w:vAlign w:val="center"/>
          </w:tcPr>
          <w:p w14:paraId="72AF34FE" w14:textId="08B91197"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1,871</w:t>
            </w:r>
          </w:p>
        </w:tc>
        <w:tc>
          <w:tcPr>
            <w:tcW w:w="409" w:type="pct"/>
            <w:shd w:val="clear" w:color="auto" w:fill="E5DFEC" w:themeFill="accent4" w:themeFillTint="33"/>
            <w:vAlign w:val="center"/>
          </w:tcPr>
          <w:p w14:paraId="4690EB7C" w14:textId="4D25653D"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783</w:t>
            </w:r>
          </w:p>
        </w:tc>
        <w:tc>
          <w:tcPr>
            <w:tcW w:w="490" w:type="pct"/>
            <w:shd w:val="clear" w:color="auto" w:fill="E5DFEC" w:themeFill="accent4" w:themeFillTint="33"/>
            <w:vAlign w:val="center"/>
          </w:tcPr>
          <w:p w14:paraId="40A6CD96" w14:textId="7901EC7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5A29CFA7" w14:textId="59D88796"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1110238B" w14:textId="62D66BEB"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1D76D1EB" w14:textId="77777777" w:rsidTr="00FB37B3">
        <w:tc>
          <w:tcPr>
            <w:tcW w:w="2688" w:type="pct"/>
            <w:shd w:val="clear" w:color="auto" w:fill="E5DFEC" w:themeFill="accent4" w:themeFillTint="33"/>
          </w:tcPr>
          <w:p w14:paraId="60B55C8B" w14:textId="515E35FB" w:rsidR="00911350" w:rsidRDefault="00911350" w:rsidP="00911350">
            <w:pPr>
              <w:widowControl w:val="0"/>
              <w:tabs>
                <w:tab w:val="left" w:pos="720"/>
                <w:tab w:val="left" w:pos="7200"/>
                <w:tab w:val="left" w:pos="8640"/>
              </w:tabs>
              <w:jc w:val="both"/>
              <w:rPr>
                <w:rFonts w:asciiTheme="minorHAnsi" w:hAnsiTheme="minorHAnsi" w:cs="Arial"/>
                <w:sz w:val="22"/>
                <w:szCs w:val="22"/>
              </w:rPr>
            </w:pPr>
            <w:proofErr w:type="gramStart"/>
            <w:r>
              <w:rPr>
                <w:rFonts w:ascii="Calibri" w:hAnsi="Calibri"/>
                <w:color w:val="000000"/>
                <w:lang w:eastAsia="en-GB"/>
              </w:rPr>
              <w:t>Surplus(</w:t>
            </w:r>
            <w:proofErr w:type="gramEnd"/>
            <w:r>
              <w:rPr>
                <w:rFonts w:ascii="Calibri" w:hAnsi="Calibri"/>
                <w:color w:val="000000"/>
                <w:lang w:eastAsia="en-GB"/>
              </w:rPr>
              <w:t>-)/Deficit on financial assets measured at fair value</w:t>
            </w:r>
          </w:p>
        </w:tc>
        <w:tc>
          <w:tcPr>
            <w:tcW w:w="436" w:type="pct"/>
            <w:shd w:val="clear" w:color="auto" w:fill="E5DFEC" w:themeFill="accent4" w:themeFillTint="33"/>
            <w:vAlign w:val="center"/>
          </w:tcPr>
          <w:p w14:paraId="28AC3888" w14:textId="219FBFBA"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-330</w:t>
            </w:r>
          </w:p>
        </w:tc>
        <w:tc>
          <w:tcPr>
            <w:tcW w:w="409" w:type="pct"/>
            <w:shd w:val="clear" w:color="auto" w:fill="E5DFEC" w:themeFill="accent4" w:themeFillTint="33"/>
            <w:vAlign w:val="center"/>
          </w:tcPr>
          <w:p w14:paraId="720192CB" w14:textId="088B094E"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0</w:t>
            </w:r>
          </w:p>
        </w:tc>
        <w:tc>
          <w:tcPr>
            <w:tcW w:w="490" w:type="pct"/>
            <w:shd w:val="clear" w:color="auto" w:fill="E5DFEC" w:themeFill="accent4" w:themeFillTint="33"/>
            <w:vAlign w:val="center"/>
          </w:tcPr>
          <w:p w14:paraId="41696A56" w14:textId="2FB68B0E"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04213100" w14:textId="0901617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0861729E" w14:textId="1503FF39"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53AC47EC" w14:textId="77777777" w:rsidTr="00FB37B3">
        <w:tc>
          <w:tcPr>
            <w:tcW w:w="2688" w:type="pct"/>
            <w:shd w:val="clear" w:color="auto" w:fill="E5DFEC" w:themeFill="accent4" w:themeFillTint="33"/>
          </w:tcPr>
          <w:p w14:paraId="725FF8E3" w14:textId="419C0AC3" w:rsidR="00911350" w:rsidRDefault="00911350" w:rsidP="00911350">
            <w:pPr>
              <w:widowControl w:val="0"/>
              <w:tabs>
                <w:tab w:val="left" w:pos="1427"/>
              </w:tabs>
              <w:jc w:val="both"/>
              <w:rPr>
                <w:rFonts w:asciiTheme="minorHAnsi" w:hAnsiTheme="minorHAnsi" w:cs="Arial"/>
                <w:sz w:val="22"/>
                <w:szCs w:val="22"/>
              </w:rPr>
            </w:pPr>
            <w:r w:rsidRPr="00A55585">
              <w:rPr>
                <w:rFonts w:ascii="Calibri" w:hAnsi="Calibri"/>
                <w:color w:val="000000"/>
                <w:lang w:eastAsia="en-GB"/>
              </w:rPr>
              <w:t>Miscellaneous adjustments between funds</w:t>
            </w:r>
          </w:p>
        </w:tc>
        <w:tc>
          <w:tcPr>
            <w:tcW w:w="436" w:type="pct"/>
            <w:shd w:val="clear" w:color="auto" w:fill="E5DFEC" w:themeFill="accent4" w:themeFillTint="33"/>
            <w:vAlign w:val="center"/>
          </w:tcPr>
          <w:p w14:paraId="66DC1878" w14:textId="4983B912"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1,212</w:t>
            </w:r>
          </w:p>
        </w:tc>
        <w:tc>
          <w:tcPr>
            <w:tcW w:w="409" w:type="pct"/>
            <w:shd w:val="clear" w:color="auto" w:fill="E5DFEC" w:themeFill="accent4" w:themeFillTint="33"/>
            <w:vAlign w:val="center"/>
          </w:tcPr>
          <w:p w14:paraId="24A3A51D" w14:textId="7339751F"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-1,212</w:t>
            </w:r>
          </w:p>
        </w:tc>
        <w:tc>
          <w:tcPr>
            <w:tcW w:w="490" w:type="pct"/>
            <w:shd w:val="clear" w:color="auto" w:fill="E5DFEC" w:themeFill="accent4" w:themeFillTint="33"/>
            <w:vAlign w:val="center"/>
          </w:tcPr>
          <w:p w14:paraId="35020421" w14:textId="7FD39668"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2965417A" w14:textId="733E0DC3"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C8DB6D8" w14:textId="2EA2E6F4"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rsidRPr="00FB37B3" w14:paraId="56BA5B8A" w14:textId="77777777" w:rsidTr="00FB37B3">
        <w:tc>
          <w:tcPr>
            <w:tcW w:w="2688" w:type="pct"/>
            <w:shd w:val="clear" w:color="auto" w:fill="B2A1C7" w:themeFill="accent4" w:themeFillTint="99"/>
          </w:tcPr>
          <w:p w14:paraId="134FFF34" w14:textId="20C90BB6" w:rsidR="00911350" w:rsidRPr="00FB37B3" w:rsidRDefault="00911350" w:rsidP="00911350">
            <w:pPr>
              <w:widowControl w:val="0"/>
              <w:tabs>
                <w:tab w:val="left" w:pos="720"/>
                <w:tab w:val="left" w:pos="7200"/>
                <w:tab w:val="left" w:pos="8640"/>
              </w:tabs>
              <w:jc w:val="both"/>
              <w:rPr>
                <w:rFonts w:asciiTheme="minorHAnsi" w:hAnsiTheme="minorHAnsi" w:cs="Arial"/>
                <w:b/>
                <w:bCs/>
                <w:sz w:val="22"/>
                <w:szCs w:val="22"/>
              </w:rPr>
            </w:pPr>
            <w:r w:rsidRPr="00FB37B3">
              <w:rPr>
                <w:rFonts w:ascii="Calibri" w:hAnsi="Calibri"/>
                <w:b/>
                <w:bCs/>
                <w:color w:val="000000"/>
                <w:lang w:eastAsia="en-GB"/>
              </w:rPr>
              <w:t>Total Adjustments to Revenue Resources</w:t>
            </w:r>
          </w:p>
        </w:tc>
        <w:tc>
          <w:tcPr>
            <w:tcW w:w="436" w:type="pct"/>
            <w:shd w:val="clear" w:color="auto" w:fill="B2A1C7" w:themeFill="accent4" w:themeFillTint="99"/>
            <w:vAlign w:val="center"/>
          </w:tcPr>
          <w:p w14:paraId="7EFE38E4" w14:textId="167E007F"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1,733</w:t>
            </w:r>
          </w:p>
        </w:tc>
        <w:tc>
          <w:tcPr>
            <w:tcW w:w="409" w:type="pct"/>
            <w:shd w:val="clear" w:color="auto" w:fill="B2A1C7" w:themeFill="accent4" w:themeFillTint="99"/>
            <w:vAlign w:val="center"/>
          </w:tcPr>
          <w:p w14:paraId="79D97C35" w14:textId="6AE07006"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-240</w:t>
            </w:r>
          </w:p>
        </w:tc>
        <w:tc>
          <w:tcPr>
            <w:tcW w:w="490" w:type="pct"/>
            <w:shd w:val="clear" w:color="auto" w:fill="B2A1C7" w:themeFill="accent4" w:themeFillTint="99"/>
            <w:vAlign w:val="center"/>
          </w:tcPr>
          <w:p w14:paraId="277F0759" w14:textId="2DF24668"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438" w:type="pct"/>
            <w:shd w:val="clear" w:color="auto" w:fill="B2A1C7" w:themeFill="accent4" w:themeFillTint="99"/>
            <w:vAlign w:val="center"/>
          </w:tcPr>
          <w:p w14:paraId="4F49B22E" w14:textId="4283C75E"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538" w:type="pct"/>
            <w:shd w:val="clear" w:color="auto" w:fill="B2A1C7" w:themeFill="accent4" w:themeFillTint="99"/>
            <w:vAlign w:val="center"/>
          </w:tcPr>
          <w:p w14:paraId="5945682D" w14:textId="548434D8"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r w:rsidR="00911350" w14:paraId="151D001D" w14:textId="77777777" w:rsidTr="00FB37B3">
        <w:tc>
          <w:tcPr>
            <w:tcW w:w="2688" w:type="pct"/>
            <w:shd w:val="clear" w:color="auto" w:fill="E5DFEC" w:themeFill="accent4" w:themeFillTint="33"/>
          </w:tcPr>
          <w:p w14:paraId="4656AB21" w14:textId="148B62C9" w:rsidR="00911350" w:rsidRPr="00097CA9" w:rsidRDefault="00911350" w:rsidP="00911350">
            <w:pPr>
              <w:jc w:val="both"/>
              <w:rPr>
                <w:rFonts w:ascii="Calibri" w:hAnsi="Calibri"/>
                <w:b/>
                <w:bCs/>
                <w:color w:val="000000"/>
                <w:u w:val="single"/>
                <w:lang w:eastAsia="en-GB"/>
              </w:rPr>
            </w:pPr>
            <w:r w:rsidRPr="00A55585">
              <w:rPr>
                <w:rFonts w:ascii="Calibri" w:hAnsi="Calibri"/>
                <w:b/>
                <w:bCs/>
                <w:color w:val="000000"/>
                <w:u w:val="single"/>
                <w:lang w:eastAsia="en-GB"/>
              </w:rPr>
              <w:t xml:space="preserve">Adjustments between Revenue </w:t>
            </w:r>
            <w:r>
              <w:rPr>
                <w:rFonts w:ascii="Calibri" w:hAnsi="Calibri"/>
                <w:b/>
                <w:bCs/>
                <w:color w:val="000000"/>
                <w:u w:val="single"/>
                <w:lang w:eastAsia="en-GB"/>
              </w:rPr>
              <w:t>and</w:t>
            </w:r>
            <w:r w:rsidRPr="00A55585">
              <w:rPr>
                <w:rFonts w:ascii="Calibri" w:hAnsi="Calibri"/>
                <w:b/>
                <w:bCs/>
                <w:color w:val="000000"/>
                <w:u w:val="single"/>
                <w:lang w:eastAsia="en-GB"/>
              </w:rPr>
              <w:t xml:space="preserve"> Capital Resources</w:t>
            </w:r>
          </w:p>
        </w:tc>
        <w:tc>
          <w:tcPr>
            <w:tcW w:w="436" w:type="pct"/>
            <w:shd w:val="clear" w:color="auto" w:fill="E5DFEC" w:themeFill="accent4" w:themeFillTint="33"/>
            <w:vAlign w:val="center"/>
          </w:tcPr>
          <w:p w14:paraId="05EFDD58"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09" w:type="pct"/>
            <w:shd w:val="clear" w:color="auto" w:fill="E5DFEC" w:themeFill="accent4" w:themeFillTint="33"/>
            <w:vAlign w:val="center"/>
          </w:tcPr>
          <w:p w14:paraId="5E0B2FF7"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90" w:type="pct"/>
            <w:shd w:val="clear" w:color="auto" w:fill="E5DFEC" w:themeFill="accent4" w:themeFillTint="33"/>
            <w:vAlign w:val="center"/>
          </w:tcPr>
          <w:p w14:paraId="6E3BFD01"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38" w:type="pct"/>
            <w:shd w:val="clear" w:color="auto" w:fill="E5DFEC" w:themeFill="accent4" w:themeFillTint="33"/>
            <w:vAlign w:val="center"/>
          </w:tcPr>
          <w:p w14:paraId="0E660D3F"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538" w:type="pct"/>
            <w:shd w:val="clear" w:color="auto" w:fill="E5DFEC" w:themeFill="accent4" w:themeFillTint="33"/>
            <w:vAlign w:val="center"/>
          </w:tcPr>
          <w:p w14:paraId="7C16E35A"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r>
      <w:tr w:rsidR="00911350" w14:paraId="12051454" w14:textId="77777777" w:rsidTr="00FB37B3">
        <w:tc>
          <w:tcPr>
            <w:tcW w:w="2688" w:type="pct"/>
            <w:shd w:val="clear" w:color="auto" w:fill="E5DFEC" w:themeFill="accent4" w:themeFillTint="33"/>
          </w:tcPr>
          <w:p w14:paraId="149A1B4D" w14:textId="2B37C6BF" w:rsidR="00911350" w:rsidRDefault="00911350" w:rsidP="00911350">
            <w:pPr>
              <w:widowControl w:val="0"/>
              <w:tabs>
                <w:tab w:val="left" w:pos="4270"/>
              </w:tabs>
              <w:jc w:val="both"/>
              <w:rPr>
                <w:rFonts w:asciiTheme="minorHAnsi" w:hAnsiTheme="minorHAnsi" w:cs="Arial"/>
                <w:sz w:val="22"/>
                <w:szCs w:val="22"/>
              </w:rPr>
            </w:pPr>
            <w:r w:rsidRPr="00A55585">
              <w:rPr>
                <w:rFonts w:ascii="Calibri" w:hAnsi="Calibri"/>
                <w:color w:val="000000"/>
                <w:lang w:eastAsia="en-GB"/>
              </w:rPr>
              <w:t>Transfer of Non-Current Asset sale proceeds from revenue to the Capital Receipts Reserve</w:t>
            </w:r>
          </w:p>
        </w:tc>
        <w:tc>
          <w:tcPr>
            <w:tcW w:w="436" w:type="pct"/>
            <w:shd w:val="clear" w:color="auto" w:fill="E5DFEC" w:themeFill="accent4" w:themeFillTint="33"/>
            <w:vAlign w:val="center"/>
          </w:tcPr>
          <w:p w14:paraId="77160660" w14:textId="0019E2F0"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-366</w:t>
            </w:r>
          </w:p>
        </w:tc>
        <w:tc>
          <w:tcPr>
            <w:tcW w:w="409" w:type="pct"/>
            <w:shd w:val="clear" w:color="auto" w:fill="E5DFEC" w:themeFill="accent4" w:themeFillTint="33"/>
            <w:vAlign w:val="center"/>
          </w:tcPr>
          <w:p w14:paraId="22FF93ED" w14:textId="698CB501"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-399</w:t>
            </w:r>
          </w:p>
        </w:tc>
        <w:tc>
          <w:tcPr>
            <w:tcW w:w="490" w:type="pct"/>
            <w:shd w:val="clear" w:color="auto" w:fill="E5DFEC" w:themeFill="accent4" w:themeFillTint="33"/>
            <w:vAlign w:val="center"/>
          </w:tcPr>
          <w:p w14:paraId="41DAB919" w14:textId="283F78C6"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765</w:t>
            </w:r>
          </w:p>
        </w:tc>
        <w:tc>
          <w:tcPr>
            <w:tcW w:w="438" w:type="pct"/>
            <w:shd w:val="clear" w:color="auto" w:fill="E5DFEC" w:themeFill="accent4" w:themeFillTint="33"/>
            <w:vAlign w:val="center"/>
          </w:tcPr>
          <w:p w14:paraId="7EFBD14A" w14:textId="53A4BD73"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1D990297" w14:textId="7204C7D4"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0E73091F" w14:textId="77777777" w:rsidTr="00FB37B3">
        <w:tc>
          <w:tcPr>
            <w:tcW w:w="2688" w:type="pct"/>
            <w:shd w:val="clear" w:color="auto" w:fill="E5DFEC" w:themeFill="accent4" w:themeFillTint="33"/>
          </w:tcPr>
          <w:p w14:paraId="67E99A34" w14:textId="1D98C0F6" w:rsidR="00911350" w:rsidRDefault="00911350" w:rsidP="00911350">
            <w:pPr>
              <w:widowControl w:val="0"/>
              <w:tabs>
                <w:tab w:val="left" w:pos="1515"/>
              </w:tabs>
              <w:jc w:val="both"/>
              <w:rPr>
                <w:rFonts w:asciiTheme="minorHAnsi" w:hAnsiTheme="minorHAnsi" w:cs="Arial"/>
                <w:sz w:val="22"/>
                <w:szCs w:val="22"/>
              </w:rPr>
            </w:pPr>
            <w:r w:rsidRPr="00A55585">
              <w:rPr>
                <w:rFonts w:ascii="Calibri" w:hAnsi="Calibri"/>
                <w:color w:val="000000"/>
                <w:lang w:eastAsia="en-GB"/>
              </w:rPr>
              <w:t>Administrative costs of Non-Current Asset disposals (funded by a contribution to the Capital Receipts Reserve)</w:t>
            </w:r>
          </w:p>
        </w:tc>
        <w:tc>
          <w:tcPr>
            <w:tcW w:w="436" w:type="pct"/>
            <w:shd w:val="clear" w:color="auto" w:fill="E5DFEC" w:themeFill="accent4" w:themeFillTint="33"/>
            <w:vAlign w:val="center"/>
          </w:tcPr>
          <w:p w14:paraId="07CDA5DE" w14:textId="42D9300B"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7760FB7B" w14:textId="260902DF"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7</w:t>
            </w:r>
          </w:p>
        </w:tc>
        <w:tc>
          <w:tcPr>
            <w:tcW w:w="490" w:type="pct"/>
            <w:shd w:val="clear" w:color="auto" w:fill="E5DFEC" w:themeFill="accent4" w:themeFillTint="33"/>
            <w:vAlign w:val="center"/>
          </w:tcPr>
          <w:p w14:paraId="5E9C829C" w14:textId="5833DECD"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-7</w:t>
            </w:r>
          </w:p>
        </w:tc>
        <w:tc>
          <w:tcPr>
            <w:tcW w:w="438" w:type="pct"/>
            <w:shd w:val="clear" w:color="auto" w:fill="E5DFEC" w:themeFill="accent4" w:themeFillTint="33"/>
            <w:vAlign w:val="center"/>
          </w:tcPr>
          <w:p w14:paraId="354B8E4A" w14:textId="25FFBD8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E9E6AC6" w14:textId="3C73152A"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2E1BA491" w14:textId="77777777" w:rsidTr="00FB37B3">
        <w:tc>
          <w:tcPr>
            <w:tcW w:w="2688" w:type="pct"/>
            <w:shd w:val="clear" w:color="auto" w:fill="E5DFEC" w:themeFill="accent4" w:themeFillTint="33"/>
          </w:tcPr>
          <w:p w14:paraId="6E319FE8" w14:textId="652706ED" w:rsidR="00911350" w:rsidRDefault="00911350" w:rsidP="0091135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Payment to the Government's Housing Receipts pool (funded by a contribution to the Capital Receipts Reserve)</w:t>
            </w:r>
          </w:p>
        </w:tc>
        <w:tc>
          <w:tcPr>
            <w:tcW w:w="436" w:type="pct"/>
            <w:shd w:val="clear" w:color="auto" w:fill="E5DFEC" w:themeFill="accent4" w:themeFillTint="33"/>
            <w:vAlign w:val="center"/>
          </w:tcPr>
          <w:p w14:paraId="00D08996" w14:textId="2114EAD1"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5B3AEE2C" w14:textId="7F275CF8"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172</w:t>
            </w:r>
          </w:p>
        </w:tc>
        <w:tc>
          <w:tcPr>
            <w:tcW w:w="490" w:type="pct"/>
            <w:shd w:val="clear" w:color="auto" w:fill="E5DFEC" w:themeFill="accent4" w:themeFillTint="33"/>
            <w:vAlign w:val="center"/>
          </w:tcPr>
          <w:p w14:paraId="7ECFEE0A" w14:textId="35C6EB21"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-172</w:t>
            </w:r>
          </w:p>
        </w:tc>
        <w:tc>
          <w:tcPr>
            <w:tcW w:w="438" w:type="pct"/>
            <w:shd w:val="clear" w:color="auto" w:fill="E5DFEC" w:themeFill="accent4" w:themeFillTint="33"/>
            <w:vAlign w:val="center"/>
          </w:tcPr>
          <w:p w14:paraId="09EBFC0F" w14:textId="51A8058E"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D3179D5" w14:textId="35E9FC51"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07FB853A" w14:textId="77777777" w:rsidTr="00FB37B3">
        <w:tc>
          <w:tcPr>
            <w:tcW w:w="2688" w:type="pct"/>
            <w:shd w:val="clear" w:color="auto" w:fill="E5DFEC" w:themeFill="accent4" w:themeFillTint="33"/>
          </w:tcPr>
          <w:p w14:paraId="75850D63" w14:textId="5D4593CA" w:rsidR="00911350" w:rsidRDefault="00911350" w:rsidP="00911350">
            <w:pPr>
              <w:widowControl w:val="0"/>
              <w:tabs>
                <w:tab w:val="left" w:pos="1715"/>
              </w:tabs>
              <w:jc w:val="both"/>
              <w:rPr>
                <w:rFonts w:asciiTheme="minorHAnsi" w:hAnsiTheme="minorHAnsi" w:cs="Arial"/>
                <w:sz w:val="22"/>
                <w:szCs w:val="22"/>
              </w:rPr>
            </w:pPr>
            <w:r w:rsidRPr="00A55585">
              <w:rPr>
                <w:rFonts w:ascii="Calibri" w:hAnsi="Calibri"/>
                <w:color w:val="000000"/>
                <w:lang w:eastAsia="en-GB"/>
              </w:rPr>
              <w:t>Posting of HRA resources from revenue to the Major Repairs Reserve</w:t>
            </w:r>
          </w:p>
        </w:tc>
        <w:tc>
          <w:tcPr>
            <w:tcW w:w="436" w:type="pct"/>
            <w:shd w:val="clear" w:color="auto" w:fill="E5DFEC" w:themeFill="accent4" w:themeFillTint="33"/>
            <w:vAlign w:val="center"/>
          </w:tcPr>
          <w:p w14:paraId="0C5F9072" w14:textId="3F1FF706"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49351418" w14:textId="3461C38B"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-1,724</w:t>
            </w:r>
          </w:p>
        </w:tc>
        <w:tc>
          <w:tcPr>
            <w:tcW w:w="490" w:type="pct"/>
            <w:shd w:val="clear" w:color="auto" w:fill="E5DFEC" w:themeFill="accent4" w:themeFillTint="33"/>
            <w:vAlign w:val="center"/>
          </w:tcPr>
          <w:p w14:paraId="1450BCC8" w14:textId="666FEB0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7866F2E2" w14:textId="72655C08"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1,724</w:t>
            </w:r>
          </w:p>
        </w:tc>
        <w:tc>
          <w:tcPr>
            <w:tcW w:w="538" w:type="pct"/>
            <w:shd w:val="clear" w:color="auto" w:fill="E5DFEC" w:themeFill="accent4" w:themeFillTint="33"/>
            <w:vAlign w:val="center"/>
          </w:tcPr>
          <w:p w14:paraId="2080CB14" w14:textId="6C81803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10DF0DD7" w14:textId="77777777" w:rsidTr="00FB37B3">
        <w:tc>
          <w:tcPr>
            <w:tcW w:w="2688" w:type="pct"/>
            <w:shd w:val="clear" w:color="auto" w:fill="E5DFEC" w:themeFill="accent4" w:themeFillTint="33"/>
          </w:tcPr>
          <w:p w14:paraId="5732B612" w14:textId="760B4279" w:rsidR="00911350" w:rsidRDefault="00911350" w:rsidP="00911350">
            <w:pPr>
              <w:widowControl w:val="0"/>
              <w:tabs>
                <w:tab w:val="left" w:pos="720"/>
                <w:tab w:val="left" w:pos="7200"/>
                <w:tab w:val="left" w:pos="8640"/>
              </w:tabs>
              <w:jc w:val="both"/>
              <w:rPr>
                <w:rFonts w:asciiTheme="minorHAnsi" w:hAnsiTheme="minorHAnsi" w:cs="Arial"/>
                <w:sz w:val="22"/>
                <w:szCs w:val="22"/>
              </w:rPr>
            </w:pPr>
            <w:r>
              <w:rPr>
                <w:rFonts w:ascii="Calibri" w:hAnsi="Calibri"/>
                <w:color w:val="000000"/>
                <w:lang w:eastAsia="en-GB"/>
              </w:rPr>
              <w:t>Statutory Provision for the r</w:t>
            </w:r>
            <w:r w:rsidRPr="00A55585">
              <w:rPr>
                <w:rFonts w:ascii="Calibri" w:hAnsi="Calibri"/>
                <w:color w:val="000000"/>
                <w:lang w:eastAsia="en-GB"/>
              </w:rPr>
              <w:t>epayment of debt (transfer from the Capital Adjustment Account)</w:t>
            </w:r>
          </w:p>
        </w:tc>
        <w:tc>
          <w:tcPr>
            <w:tcW w:w="436" w:type="pct"/>
            <w:shd w:val="clear" w:color="auto" w:fill="E5DFEC" w:themeFill="accent4" w:themeFillTint="33"/>
            <w:vAlign w:val="center"/>
          </w:tcPr>
          <w:p w14:paraId="4F7FACA0" w14:textId="70F3835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700E5907" w14:textId="49018F5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717A58C0" w14:textId="5BE40EFC"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7DABBDA6" w14:textId="571FBD5A"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40978BE8" w14:textId="77AFFD6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4C421560" w14:textId="77777777" w:rsidTr="00FB37B3">
        <w:tc>
          <w:tcPr>
            <w:tcW w:w="2688" w:type="pct"/>
            <w:shd w:val="clear" w:color="auto" w:fill="E5DFEC" w:themeFill="accent4" w:themeFillTint="33"/>
          </w:tcPr>
          <w:p w14:paraId="58229A51" w14:textId="56293720" w:rsidR="00911350" w:rsidRDefault="00911350" w:rsidP="0091135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Revenue Expenditure funded from capital under statute</w:t>
            </w:r>
          </w:p>
        </w:tc>
        <w:tc>
          <w:tcPr>
            <w:tcW w:w="436" w:type="pct"/>
            <w:shd w:val="clear" w:color="auto" w:fill="E5DFEC" w:themeFill="accent4" w:themeFillTint="33"/>
            <w:vAlign w:val="center"/>
          </w:tcPr>
          <w:p w14:paraId="4286EB85" w14:textId="699C3136"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282</w:t>
            </w:r>
          </w:p>
        </w:tc>
        <w:tc>
          <w:tcPr>
            <w:tcW w:w="409" w:type="pct"/>
            <w:shd w:val="clear" w:color="auto" w:fill="E5DFEC" w:themeFill="accent4" w:themeFillTint="33"/>
            <w:vAlign w:val="center"/>
          </w:tcPr>
          <w:p w14:paraId="4D061BD7" w14:textId="359A801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7E66EEBA" w14:textId="032FBFA8"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4DE15DCA" w14:textId="59D83B57"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59D7F0EA" w14:textId="576951F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47AD08D2" w14:textId="77777777" w:rsidTr="00FB37B3">
        <w:tc>
          <w:tcPr>
            <w:tcW w:w="2688" w:type="pct"/>
            <w:shd w:val="clear" w:color="auto" w:fill="E5DFEC" w:themeFill="accent4" w:themeFillTint="33"/>
          </w:tcPr>
          <w:p w14:paraId="1E3AF1F2" w14:textId="56DC0838" w:rsidR="00911350" w:rsidRDefault="00911350" w:rsidP="0091135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 xml:space="preserve">Transactions in relation to deferred capital receipts </w:t>
            </w:r>
            <w:r>
              <w:rPr>
                <w:rFonts w:ascii="Calibri" w:hAnsi="Calibri"/>
                <w:color w:val="000000"/>
                <w:lang w:eastAsia="en-GB"/>
              </w:rPr>
              <w:t>and</w:t>
            </w:r>
            <w:r w:rsidRPr="00A55585">
              <w:rPr>
                <w:rFonts w:ascii="Calibri" w:hAnsi="Calibri"/>
                <w:color w:val="000000"/>
                <w:lang w:eastAsia="en-GB"/>
              </w:rPr>
              <w:t xml:space="preserve"> liabilities</w:t>
            </w:r>
          </w:p>
        </w:tc>
        <w:tc>
          <w:tcPr>
            <w:tcW w:w="436" w:type="pct"/>
            <w:shd w:val="clear" w:color="auto" w:fill="E5DFEC" w:themeFill="accent4" w:themeFillTint="33"/>
            <w:vAlign w:val="center"/>
          </w:tcPr>
          <w:p w14:paraId="5660A43C" w14:textId="3490D56A"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-1,201</w:t>
            </w:r>
          </w:p>
        </w:tc>
        <w:tc>
          <w:tcPr>
            <w:tcW w:w="409" w:type="pct"/>
            <w:shd w:val="clear" w:color="auto" w:fill="E5DFEC" w:themeFill="accent4" w:themeFillTint="33"/>
            <w:vAlign w:val="center"/>
          </w:tcPr>
          <w:p w14:paraId="54896B09" w14:textId="7E7B88DD"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36DC1EEC" w14:textId="643E6F55"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359B17BB" w14:textId="4A420331"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19EA2C2A" w14:textId="61815D8B"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3609801D" w14:textId="77777777" w:rsidTr="00FB37B3">
        <w:tc>
          <w:tcPr>
            <w:tcW w:w="2688" w:type="pct"/>
            <w:shd w:val="clear" w:color="auto" w:fill="E5DFEC" w:themeFill="accent4" w:themeFillTint="33"/>
          </w:tcPr>
          <w:p w14:paraId="543837A8" w14:textId="56502341" w:rsidR="00911350" w:rsidRDefault="00911350" w:rsidP="00911350">
            <w:pPr>
              <w:widowControl w:val="0"/>
              <w:tabs>
                <w:tab w:val="left" w:pos="720"/>
                <w:tab w:val="left" w:pos="7200"/>
                <w:tab w:val="left" w:pos="8640"/>
              </w:tabs>
              <w:rPr>
                <w:rFonts w:asciiTheme="minorHAnsi" w:hAnsiTheme="minorHAnsi" w:cs="Arial"/>
                <w:sz w:val="22"/>
                <w:szCs w:val="22"/>
              </w:rPr>
            </w:pPr>
            <w:r w:rsidRPr="00A55585">
              <w:rPr>
                <w:rFonts w:ascii="Calibri" w:hAnsi="Calibri"/>
                <w:color w:val="000000"/>
                <w:lang w:eastAsia="en-GB"/>
              </w:rPr>
              <w:t>Use of Earmarked Reserves to finance capital expenditure</w:t>
            </w:r>
          </w:p>
        </w:tc>
        <w:tc>
          <w:tcPr>
            <w:tcW w:w="436" w:type="pct"/>
            <w:shd w:val="clear" w:color="auto" w:fill="E5DFEC" w:themeFill="accent4" w:themeFillTint="33"/>
            <w:vAlign w:val="center"/>
          </w:tcPr>
          <w:p w14:paraId="0BBBF9EE" w14:textId="7A5AB5EC"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456FE764" w14:textId="71707449"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-37</w:t>
            </w:r>
          </w:p>
        </w:tc>
        <w:tc>
          <w:tcPr>
            <w:tcW w:w="490" w:type="pct"/>
            <w:shd w:val="clear" w:color="auto" w:fill="E5DFEC" w:themeFill="accent4" w:themeFillTint="33"/>
            <w:vAlign w:val="center"/>
          </w:tcPr>
          <w:p w14:paraId="710CCF8D" w14:textId="3AEE892B"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13834777" w14:textId="6C111122"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E5961CB" w14:textId="65CB2F6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5F4B3373" w14:textId="77777777" w:rsidTr="00FB37B3">
        <w:tc>
          <w:tcPr>
            <w:tcW w:w="2688" w:type="pct"/>
            <w:shd w:val="clear" w:color="auto" w:fill="E5DFEC" w:themeFill="accent4" w:themeFillTint="33"/>
          </w:tcPr>
          <w:p w14:paraId="2584AA6F" w14:textId="212669A5" w:rsidR="00911350" w:rsidRDefault="00911350" w:rsidP="00911350">
            <w:pPr>
              <w:widowControl w:val="0"/>
              <w:tabs>
                <w:tab w:val="left" w:pos="1302"/>
              </w:tabs>
              <w:jc w:val="both"/>
              <w:rPr>
                <w:rFonts w:asciiTheme="minorHAnsi" w:hAnsiTheme="minorHAnsi" w:cs="Arial"/>
                <w:sz w:val="22"/>
                <w:szCs w:val="22"/>
              </w:rPr>
            </w:pPr>
            <w:r w:rsidRPr="00A55585">
              <w:rPr>
                <w:rFonts w:ascii="Calibri" w:hAnsi="Calibri"/>
                <w:color w:val="000000"/>
                <w:lang w:eastAsia="en-GB"/>
              </w:rPr>
              <w:t>Capital Expenditure financed from revenue balances (transfer to the Capital Adjustment Account)</w:t>
            </w:r>
          </w:p>
        </w:tc>
        <w:tc>
          <w:tcPr>
            <w:tcW w:w="436" w:type="pct"/>
            <w:shd w:val="clear" w:color="auto" w:fill="E5DFEC" w:themeFill="accent4" w:themeFillTint="33"/>
            <w:vAlign w:val="center"/>
          </w:tcPr>
          <w:p w14:paraId="6D8B2C41" w14:textId="1E4DB255"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-89</w:t>
            </w:r>
          </w:p>
        </w:tc>
        <w:tc>
          <w:tcPr>
            <w:tcW w:w="409" w:type="pct"/>
            <w:shd w:val="clear" w:color="auto" w:fill="E5DFEC" w:themeFill="accent4" w:themeFillTint="33"/>
            <w:vAlign w:val="center"/>
          </w:tcPr>
          <w:p w14:paraId="0F2DA1D8" w14:textId="7E526F99"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64A6820E" w14:textId="3B90353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62D841D4" w14:textId="265784A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1D624DB1" w14:textId="0689FC67"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45D3D50A" w14:textId="77777777" w:rsidTr="00FB37B3">
        <w:tc>
          <w:tcPr>
            <w:tcW w:w="2688" w:type="pct"/>
            <w:shd w:val="clear" w:color="auto" w:fill="B2A1C7" w:themeFill="accent4" w:themeFillTint="99"/>
          </w:tcPr>
          <w:p w14:paraId="6301ACCD" w14:textId="74E65876" w:rsidR="00911350" w:rsidRDefault="00911350" w:rsidP="00911350">
            <w:pPr>
              <w:widowControl w:val="0"/>
              <w:tabs>
                <w:tab w:val="left" w:pos="4207"/>
              </w:tabs>
              <w:jc w:val="both"/>
              <w:rPr>
                <w:rFonts w:asciiTheme="minorHAnsi" w:hAnsiTheme="minorHAnsi" w:cs="Arial"/>
                <w:sz w:val="22"/>
                <w:szCs w:val="22"/>
              </w:rPr>
            </w:pPr>
            <w:r w:rsidRPr="00A55585">
              <w:rPr>
                <w:rFonts w:ascii="Calibri" w:hAnsi="Calibri"/>
                <w:b/>
                <w:bCs/>
                <w:color w:val="000000"/>
                <w:lang w:eastAsia="en-GB"/>
              </w:rPr>
              <w:t xml:space="preserve">Total Adjustments between Revenue </w:t>
            </w:r>
            <w:r>
              <w:rPr>
                <w:rFonts w:ascii="Calibri" w:hAnsi="Calibri"/>
                <w:b/>
                <w:bCs/>
                <w:color w:val="000000"/>
                <w:lang w:eastAsia="en-GB"/>
              </w:rPr>
              <w:t>and</w:t>
            </w:r>
            <w:r w:rsidRPr="00A55585">
              <w:rPr>
                <w:rFonts w:ascii="Calibri" w:hAnsi="Calibri"/>
                <w:b/>
                <w:bCs/>
                <w:color w:val="000000"/>
                <w:lang w:eastAsia="en-GB"/>
              </w:rPr>
              <w:t xml:space="preserve"> Capital Resources</w:t>
            </w:r>
          </w:p>
        </w:tc>
        <w:tc>
          <w:tcPr>
            <w:tcW w:w="436" w:type="pct"/>
            <w:shd w:val="clear" w:color="auto" w:fill="B2A1C7" w:themeFill="accent4" w:themeFillTint="99"/>
            <w:vAlign w:val="center"/>
          </w:tcPr>
          <w:p w14:paraId="524F0F23" w14:textId="00EDD51D"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-1,374</w:t>
            </w:r>
          </w:p>
        </w:tc>
        <w:tc>
          <w:tcPr>
            <w:tcW w:w="409" w:type="pct"/>
            <w:shd w:val="clear" w:color="auto" w:fill="B2A1C7" w:themeFill="accent4" w:themeFillTint="99"/>
            <w:vAlign w:val="center"/>
          </w:tcPr>
          <w:p w14:paraId="3E048350" w14:textId="3438DD9D"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-1,981</w:t>
            </w:r>
          </w:p>
        </w:tc>
        <w:tc>
          <w:tcPr>
            <w:tcW w:w="490" w:type="pct"/>
            <w:shd w:val="clear" w:color="auto" w:fill="B2A1C7" w:themeFill="accent4" w:themeFillTint="99"/>
            <w:vAlign w:val="center"/>
          </w:tcPr>
          <w:p w14:paraId="4E2E667C" w14:textId="6C1B446F"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586</w:t>
            </w:r>
          </w:p>
        </w:tc>
        <w:tc>
          <w:tcPr>
            <w:tcW w:w="438" w:type="pct"/>
            <w:shd w:val="clear" w:color="auto" w:fill="B2A1C7" w:themeFill="accent4" w:themeFillTint="99"/>
            <w:vAlign w:val="center"/>
          </w:tcPr>
          <w:p w14:paraId="651E7564" w14:textId="380EC1E6"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1,724</w:t>
            </w:r>
          </w:p>
        </w:tc>
        <w:tc>
          <w:tcPr>
            <w:tcW w:w="538" w:type="pct"/>
            <w:shd w:val="clear" w:color="auto" w:fill="B2A1C7" w:themeFill="accent4" w:themeFillTint="99"/>
            <w:vAlign w:val="center"/>
          </w:tcPr>
          <w:p w14:paraId="5C8A6F11" w14:textId="2D4E1009"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r w:rsidR="00911350" w14:paraId="394D4EF8" w14:textId="77777777" w:rsidTr="00FB37B3">
        <w:tc>
          <w:tcPr>
            <w:tcW w:w="2688" w:type="pct"/>
            <w:shd w:val="clear" w:color="auto" w:fill="E5DFEC" w:themeFill="accent4" w:themeFillTint="33"/>
          </w:tcPr>
          <w:p w14:paraId="6AA0AFC1" w14:textId="63C0E66D" w:rsidR="00911350" w:rsidRDefault="00911350" w:rsidP="00911350">
            <w:pPr>
              <w:widowControl w:val="0"/>
              <w:tabs>
                <w:tab w:val="left" w:pos="720"/>
                <w:tab w:val="left" w:pos="7200"/>
                <w:tab w:val="left" w:pos="8640"/>
              </w:tabs>
              <w:rPr>
                <w:rFonts w:asciiTheme="minorHAnsi" w:hAnsiTheme="minorHAnsi" w:cs="Arial"/>
                <w:sz w:val="22"/>
                <w:szCs w:val="22"/>
              </w:rPr>
            </w:pPr>
            <w:r w:rsidRPr="00A55585">
              <w:rPr>
                <w:rFonts w:ascii="Calibri" w:hAnsi="Calibri"/>
                <w:b/>
                <w:bCs/>
                <w:color w:val="000000"/>
                <w:u w:val="single"/>
                <w:lang w:eastAsia="en-GB"/>
              </w:rPr>
              <w:t>Adjustments to Capital Resources</w:t>
            </w:r>
          </w:p>
        </w:tc>
        <w:tc>
          <w:tcPr>
            <w:tcW w:w="436" w:type="pct"/>
            <w:shd w:val="clear" w:color="auto" w:fill="E5DFEC" w:themeFill="accent4" w:themeFillTint="33"/>
            <w:vAlign w:val="center"/>
          </w:tcPr>
          <w:p w14:paraId="31837820"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09" w:type="pct"/>
            <w:shd w:val="clear" w:color="auto" w:fill="E5DFEC" w:themeFill="accent4" w:themeFillTint="33"/>
            <w:vAlign w:val="center"/>
          </w:tcPr>
          <w:p w14:paraId="1BA42484"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90" w:type="pct"/>
            <w:shd w:val="clear" w:color="auto" w:fill="E5DFEC" w:themeFill="accent4" w:themeFillTint="33"/>
            <w:vAlign w:val="center"/>
          </w:tcPr>
          <w:p w14:paraId="03199AF9"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438" w:type="pct"/>
            <w:shd w:val="clear" w:color="auto" w:fill="E5DFEC" w:themeFill="accent4" w:themeFillTint="33"/>
            <w:vAlign w:val="center"/>
          </w:tcPr>
          <w:p w14:paraId="085AECB8"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c>
          <w:tcPr>
            <w:tcW w:w="538" w:type="pct"/>
            <w:shd w:val="clear" w:color="auto" w:fill="E5DFEC" w:themeFill="accent4" w:themeFillTint="33"/>
            <w:vAlign w:val="center"/>
          </w:tcPr>
          <w:p w14:paraId="23381368" w14:textId="77777777" w:rsidR="00911350" w:rsidRPr="0093059F" w:rsidRDefault="00911350" w:rsidP="00911350">
            <w:pPr>
              <w:widowControl w:val="0"/>
              <w:tabs>
                <w:tab w:val="left" w:pos="720"/>
                <w:tab w:val="left" w:pos="7200"/>
                <w:tab w:val="left" w:pos="8640"/>
              </w:tabs>
              <w:jc w:val="right"/>
              <w:rPr>
                <w:rFonts w:asciiTheme="minorHAnsi" w:hAnsiTheme="minorHAnsi" w:cstheme="minorHAnsi"/>
              </w:rPr>
            </w:pPr>
          </w:p>
        </w:tc>
      </w:tr>
      <w:tr w:rsidR="00911350" w14:paraId="43783726" w14:textId="77777777" w:rsidTr="00FB37B3">
        <w:tc>
          <w:tcPr>
            <w:tcW w:w="2688" w:type="pct"/>
            <w:shd w:val="clear" w:color="auto" w:fill="E5DFEC" w:themeFill="accent4" w:themeFillTint="33"/>
          </w:tcPr>
          <w:p w14:paraId="65DB54A6" w14:textId="757218A4" w:rsidR="00911350" w:rsidRDefault="00911350" w:rsidP="00911350">
            <w:pPr>
              <w:widowControl w:val="0"/>
              <w:tabs>
                <w:tab w:val="left" w:pos="3907"/>
              </w:tabs>
              <w:jc w:val="both"/>
              <w:rPr>
                <w:rFonts w:asciiTheme="minorHAnsi" w:hAnsiTheme="minorHAnsi" w:cs="Arial"/>
                <w:sz w:val="22"/>
                <w:szCs w:val="22"/>
              </w:rPr>
            </w:pPr>
            <w:r w:rsidRPr="00A55585">
              <w:rPr>
                <w:rFonts w:ascii="Calibri" w:hAnsi="Calibri"/>
                <w:color w:val="000000"/>
                <w:lang w:eastAsia="en-GB"/>
              </w:rPr>
              <w:t>Use of Capital Receipts Reserve to finance capital expenditure</w:t>
            </w:r>
          </w:p>
        </w:tc>
        <w:tc>
          <w:tcPr>
            <w:tcW w:w="436" w:type="pct"/>
            <w:shd w:val="clear" w:color="auto" w:fill="E5DFEC" w:themeFill="accent4" w:themeFillTint="33"/>
            <w:vAlign w:val="center"/>
          </w:tcPr>
          <w:p w14:paraId="2A4B50A7" w14:textId="26C9FAA5"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2661E32C" w14:textId="2DA14975"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1454D3EC" w14:textId="3CAD1072"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-985</w:t>
            </w:r>
          </w:p>
        </w:tc>
        <w:tc>
          <w:tcPr>
            <w:tcW w:w="438" w:type="pct"/>
            <w:shd w:val="clear" w:color="auto" w:fill="E5DFEC" w:themeFill="accent4" w:themeFillTint="33"/>
            <w:vAlign w:val="center"/>
          </w:tcPr>
          <w:p w14:paraId="1552BC69" w14:textId="7D70E9E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2212BA0D" w14:textId="6FC937A0"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2FB6393D" w14:textId="77777777" w:rsidTr="00FB37B3">
        <w:tc>
          <w:tcPr>
            <w:tcW w:w="2688" w:type="pct"/>
            <w:shd w:val="clear" w:color="auto" w:fill="E5DFEC" w:themeFill="accent4" w:themeFillTint="33"/>
          </w:tcPr>
          <w:p w14:paraId="75E89002" w14:textId="70C53F46" w:rsidR="00911350" w:rsidRDefault="00911350" w:rsidP="00911350">
            <w:pPr>
              <w:widowControl w:val="0"/>
              <w:tabs>
                <w:tab w:val="left" w:pos="3494"/>
              </w:tabs>
              <w:jc w:val="both"/>
              <w:rPr>
                <w:rFonts w:asciiTheme="minorHAnsi" w:hAnsiTheme="minorHAnsi" w:cs="Arial"/>
                <w:sz w:val="22"/>
                <w:szCs w:val="22"/>
              </w:rPr>
            </w:pPr>
            <w:r w:rsidRPr="00A55585">
              <w:rPr>
                <w:rFonts w:ascii="Calibri" w:hAnsi="Calibri"/>
                <w:color w:val="000000"/>
                <w:lang w:eastAsia="en-GB"/>
              </w:rPr>
              <w:t>Use of the Major Repairs Reserve to finance capital expenditure</w:t>
            </w:r>
          </w:p>
        </w:tc>
        <w:tc>
          <w:tcPr>
            <w:tcW w:w="436" w:type="pct"/>
            <w:shd w:val="clear" w:color="auto" w:fill="E5DFEC" w:themeFill="accent4" w:themeFillTint="33"/>
            <w:vAlign w:val="center"/>
          </w:tcPr>
          <w:p w14:paraId="75E98972" w14:textId="1567DBB4"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09" w:type="pct"/>
            <w:shd w:val="clear" w:color="auto" w:fill="E5DFEC" w:themeFill="accent4" w:themeFillTint="33"/>
            <w:vAlign w:val="center"/>
          </w:tcPr>
          <w:p w14:paraId="1B4AC9D6" w14:textId="4C64557E"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1F2DCE1E" w14:textId="40309917"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3B49114B" w14:textId="593A1468"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-1,112</w:t>
            </w:r>
          </w:p>
        </w:tc>
        <w:tc>
          <w:tcPr>
            <w:tcW w:w="538" w:type="pct"/>
            <w:shd w:val="clear" w:color="auto" w:fill="E5DFEC" w:themeFill="accent4" w:themeFillTint="33"/>
            <w:vAlign w:val="center"/>
          </w:tcPr>
          <w:p w14:paraId="7D292D27" w14:textId="49E399C6"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3A4E26DD" w14:textId="77777777" w:rsidTr="00FB37B3">
        <w:tc>
          <w:tcPr>
            <w:tcW w:w="2688" w:type="pct"/>
            <w:shd w:val="clear" w:color="auto" w:fill="E5DFEC" w:themeFill="accent4" w:themeFillTint="33"/>
          </w:tcPr>
          <w:p w14:paraId="7CBEAD9A" w14:textId="203EB55F" w:rsidR="00911350" w:rsidRDefault="00911350" w:rsidP="00911350">
            <w:pPr>
              <w:widowControl w:val="0"/>
              <w:tabs>
                <w:tab w:val="left" w:pos="720"/>
                <w:tab w:val="left" w:pos="7200"/>
                <w:tab w:val="left" w:pos="8640"/>
              </w:tabs>
              <w:jc w:val="both"/>
              <w:rPr>
                <w:rFonts w:asciiTheme="minorHAnsi" w:hAnsiTheme="minorHAnsi" w:cs="Arial"/>
                <w:sz w:val="22"/>
                <w:szCs w:val="22"/>
              </w:rPr>
            </w:pPr>
            <w:r w:rsidRPr="00A55585">
              <w:rPr>
                <w:rFonts w:ascii="Calibri" w:hAnsi="Calibri"/>
                <w:color w:val="000000"/>
                <w:lang w:eastAsia="en-GB"/>
              </w:rPr>
              <w:t>Application of capital grants to finance capital expenditure</w:t>
            </w:r>
          </w:p>
        </w:tc>
        <w:tc>
          <w:tcPr>
            <w:tcW w:w="436" w:type="pct"/>
            <w:shd w:val="clear" w:color="auto" w:fill="E5DFEC" w:themeFill="accent4" w:themeFillTint="33"/>
            <w:vAlign w:val="center"/>
          </w:tcPr>
          <w:p w14:paraId="3A16E1FC" w14:textId="314B0BA9" w:rsidR="00911350" w:rsidRPr="0093059F" w:rsidRDefault="008F65CE" w:rsidP="00911350">
            <w:pPr>
              <w:widowControl w:val="0"/>
              <w:tabs>
                <w:tab w:val="left" w:pos="720"/>
                <w:tab w:val="left" w:pos="7200"/>
                <w:tab w:val="left" w:pos="8640"/>
              </w:tabs>
              <w:jc w:val="right"/>
              <w:rPr>
                <w:rFonts w:asciiTheme="minorHAnsi" w:hAnsiTheme="minorHAnsi" w:cstheme="minorHAnsi"/>
              </w:rPr>
            </w:pPr>
            <w:r>
              <w:rPr>
                <w:rFonts w:asciiTheme="minorHAnsi" w:hAnsiTheme="minorHAnsi" w:cstheme="minorHAnsi"/>
              </w:rPr>
              <w:t>-296</w:t>
            </w:r>
          </w:p>
        </w:tc>
        <w:tc>
          <w:tcPr>
            <w:tcW w:w="409" w:type="pct"/>
            <w:shd w:val="clear" w:color="auto" w:fill="E5DFEC" w:themeFill="accent4" w:themeFillTint="33"/>
            <w:vAlign w:val="center"/>
          </w:tcPr>
          <w:p w14:paraId="1AE84FE6" w14:textId="7BBE106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90" w:type="pct"/>
            <w:shd w:val="clear" w:color="auto" w:fill="E5DFEC" w:themeFill="accent4" w:themeFillTint="33"/>
            <w:vAlign w:val="center"/>
          </w:tcPr>
          <w:p w14:paraId="5D4DEBBE" w14:textId="20190AB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438" w:type="pct"/>
            <w:shd w:val="clear" w:color="auto" w:fill="E5DFEC" w:themeFill="accent4" w:themeFillTint="33"/>
            <w:vAlign w:val="center"/>
          </w:tcPr>
          <w:p w14:paraId="1159B2EA" w14:textId="79BB437D"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c>
          <w:tcPr>
            <w:tcW w:w="538" w:type="pct"/>
            <w:shd w:val="clear" w:color="auto" w:fill="E5DFEC" w:themeFill="accent4" w:themeFillTint="33"/>
            <w:vAlign w:val="center"/>
          </w:tcPr>
          <w:p w14:paraId="39317B26" w14:textId="3B8F0B8F" w:rsidR="00911350" w:rsidRPr="0093059F" w:rsidRDefault="00911350" w:rsidP="00911350">
            <w:pPr>
              <w:widowControl w:val="0"/>
              <w:tabs>
                <w:tab w:val="left" w:pos="720"/>
                <w:tab w:val="left" w:pos="7200"/>
                <w:tab w:val="left" w:pos="8640"/>
              </w:tabs>
              <w:jc w:val="right"/>
              <w:rPr>
                <w:rFonts w:asciiTheme="minorHAnsi" w:hAnsiTheme="minorHAnsi" w:cstheme="minorHAnsi"/>
              </w:rPr>
            </w:pPr>
            <w:r w:rsidRPr="0093059F">
              <w:rPr>
                <w:rFonts w:asciiTheme="minorHAnsi" w:hAnsiTheme="minorHAnsi" w:cstheme="minorHAnsi"/>
              </w:rPr>
              <w:t>0</w:t>
            </w:r>
          </w:p>
        </w:tc>
      </w:tr>
      <w:tr w:rsidR="00911350" w14:paraId="0F3F3858" w14:textId="77777777" w:rsidTr="00FB37B3">
        <w:tc>
          <w:tcPr>
            <w:tcW w:w="2688" w:type="pct"/>
            <w:shd w:val="clear" w:color="auto" w:fill="B2A1C7" w:themeFill="accent4" w:themeFillTint="99"/>
          </w:tcPr>
          <w:p w14:paraId="144A5837" w14:textId="18F20F28" w:rsidR="00911350" w:rsidRPr="00A55585" w:rsidRDefault="00911350" w:rsidP="00911350">
            <w:pPr>
              <w:widowControl w:val="0"/>
              <w:tabs>
                <w:tab w:val="left" w:pos="720"/>
                <w:tab w:val="left" w:pos="7200"/>
                <w:tab w:val="left" w:pos="8640"/>
              </w:tabs>
              <w:jc w:val="both"/>
              <w:rPr>
                <w:rFonts w:ascii="Calibri" w:hAnsi="Calibri"/>
                <w:color w:val="000000"/>
                <w:lang w:eastAsia="en-GB"/>
              </w:rPr>
            </w:pPr>
            <w:r w:rsidRPr="00A55585">
              <w:rPr>
                <w:rFonts w:ascii="Calibri" w:hAnsi="Calibri"/>
                <w:b/>
                <w:bCs/>
                <w:color w:val="000000"/>
                <w:lang w:eastAsia="en-GB"/>
              </w:rPr>
              <w:t>Total Adjustments to Capital Resources</w:t>
            </w:r>
          </w:p>
        </w:tc>
        <w:tc>
          <w:tcPr>
            <w:tcW w:w="436" w:type="pct"/>
            <w:shd w:val="clear" w:color="auto" w:fill="B2A1C7" w:themeFill="accent4" w:themeFillTint="99"/>
            <w:vAlign w:val="center"/>
          </w:tcPr>
          <w:p w14:paraId="03270003" w14:textId="13094D35"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-296</w:t>
            </w:r>
          </w:p>
        </w:tc>
        <w:tc>
          <w:tcPr>
            <w:tcW w:w="409" w:type="pct"/>
            <w:shd w:val="clear" w:color="auto" w:fill="B2A1C7" w:themeFill="accent4" w:themeFillTint="99"/>
            <w:vAlign w:val="center"/>
          </w:tcPr>
          <w:p w14:paraId="0A383841" w14:textId="65966562"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c>
          <w:tcPr>
            <w:tcW w:w="490" w:type="pct"/>
            <w:shd w:val="clear" w:color="auto" w:fill="B2A1C7" w:themeFill="accent4" w:themeFillTint="99"/>
            <w:vAlign w:val="center"/>
          </w:tcPr>
          <w:p w14:paraId="29D2BBD5" w14:textId="5534612D"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-985</w:t>
            </w:r>
          </w:p>
        </w:tc>
        <w:tc>
          <w:tcPr>
            <w:tcW w:w="438" w:type="pct"/>
            <w:shd w:val="clear" w:color="auto" w:fill="B2A1C7" w:themeFill="accent4" w:themeFillTint="99"/>
            <w:vAlign w:val="center"/>
          </w:tcPr>
          <w:p w14:paraId="147C96EA" w14:textId="5A6E4BBB"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-1,112</w:t>
            </w:r>
          </w:p>
        </w:tc>
        <w:tc>
          <w:tcPr>
            <w:tcW w:w="538" w:type="pct"/>
            <w:shd w:val="clear" w:color="auto" w:fill="B2A1C7" w:themeFill="accent4" w:themeFillTint="99"/>
            <w:vAlign w:val="center"/>
          </w:tcPr>
          <w:p w14:paraId="0AB6509C" w14:textId="66A6F6D2"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r w:rsidR="00911350" w14:paraId="629E98FF" w14:textId="77777777" w:rsidTr="00FB37B3">
        <w:tc>
          <w:tcPr>
            <w:tcW w:w="2688" w:type="pct"/>
            <w:shd w:val="clear" w:color="auto" w:fill="B2A1C7" w:themeFill="accent4" w:themeFillTint="99"/>
          </w:tcPr>
          <w:p w14:paraId="47408460" w14:textId="64091263" w:rsidR="00911350" w:rsidRPr="00A55585" w:rsidRDefault="00911350" w:rsidP="00911350">
            <w:pPr>
              <w:widowControl w:val="0"/>
              <w:tabs>
                <w:tab w:val="left" w:pos="720"/>
                <w:tab w:val="left" w:pos="7200"/>
                <w:tab w:val="left" w:pos="8640"/>
              </w:tabs>
              <w:jc w:val="both"/>
              <w:rPr>
                <w:rFonts w:ascii="Calibri" w:hAnsi="Calibri"/>
                <w:color w:val="000000"/>
                <w:lang w:eastAsia="en-GB"/>
              </w:rPr>
            </w:pPr>
            <w:r w:rsidRPr="00A55585">
              <w:rPr>
                <w:rFonts w:ascii="Calibri" w:hAnsi="Calibri"/>
                <w:b/>
                <w:bCs/>
                <w:color w:val="000000"/>
                <w:lang w:eastAsia="en-GB"/>
              </w:rPr>
              <w:t>Total Adjustments</w:t>
            </w:r>
          </w:p>
        </w:tc>
        <w:tc>
          <w:tcPr>
            <w:tcW w:w="436" w:type="pct"/>
            <w:shd w:val="clear" w:color="auto" w:fill="B2A1C7" w:themeFill="accent4" w:themeFillTint="99"/>
            <w:vAlign w:val="center"/>
          </w:tcPr>
          <w:p w14:paraId="11231F8F" w14:textId="48E135AB"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63</w:t>
            </w:r>
          </w:p>
        </w:tc>
        <w:tc>
          <w:tcPr>
            <w:tcW w:w="409" w:type="pct"/>
            <w:shd w:val="clear" w:color="auto" w:fill="B2A1C7" w:themeFill="accent4" w:themeFillTint="99"/>
            <w:vAlign w:val="center"/>
          </w:tcPr>
          <w:p w14:paraId="0B7E6BC5" w14:textId="6F8E11A6"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-2,221</w:t>
            </w:r>
          </w:p>
        </w:tc>
        <w:tc>
          <w:tcPr>
            <w:tcW w:w="490" w:type="pct"/>
            <w:shd w:val="clear" w:color="auto" w:fill="B2A1C7" w:themeFill="accent4" w:themeFillTint="99"/>
            <w:vAlign w:val="center"/>
          </w:tcPr>
          <w:p w14:paraId="0BF92E99" w14:textId="1D0788EA"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-399</w:t>
            </w:r>
          </w:p>
        </w:tc>
        <w:tc>
          <w:tcPr>
            <w:tcW w:w="438" w:type="pct"/>
            <w:shd w:val="clear" w:color="auto" w:fill="B2A1C7" w:themeFill="accent4" w:themeFillTint="99"/>
            <w:vAlign w:val="center"/>
          </w:tcPr>
          <w:p w14:paraId="717D68BD" w14:textId="66968760" w:rsidR="00911350" w:rsidRPr="0093059F" w:rsidRDefault="008F65CE" w:rsidP="00911350">
            <w:pPr>
              <w:widowControl w:val="0"/>
              <w:tabs>
                <w:tab w:val="left" w:pos="720"/>
                <w:tab w:val="left" w:pos="7200"/>
                <w:tab w:val="left" w:pos="8640"/>
              </w:tabs>
              <w:jc w:val="right"/>
              <w:rPr>
                <w:rFonts w:asciiTheme="minorHAnsi" w:hAnsiTheme="minorHAnsi" w:cstheme="minorHAnsi"/>
                <w:b/>
                <w:bCs/>
              </w:rPr>
            </w:pPr>
            <w:r>
              <w:rPr>
                <w:rFonts w:asciiTheme="minorHAnsi" w:hAnsiTheme="minorHAnsi" w:cstheme="minorHAnsi"/>
                <w:b/>
                <w:bCs/>
              </w:rPr>
              <w:t>612</w:t>
            </w:r>
          </w:p>
        </w:tc>
        <w:tc>
          <w:tcPr>
            <w:tcW w:w="538" w:type="pct"/>
            <w:shd w:val="clear" w:color="auto" w:fill="B2A1C7" w:themeFill="accent4" w:themeFillTint="99"/>
            <w:vAlign w:val="center"/>
          </w:tcPr>
          <w:p w14:paraId="73280D99" w14:textId="4FB20D5C" w:rsidR="00911350" w:rsidRPr="0093059F" w:rsidRDefault="00911350" w:rsidP="00911350">
            <w:pPr>
              <w:widowControl w:val="0"/>
              <w:tabs>
                <w:tab w:val="left" w:pos="720"/>
                <w:tab w:val="left" w:pos="7200"/>
                <w:tab w:val="left" w:pos="8640"/>
              </w:tabs>
              <w:jc w:val="right"/>
              <w:rPr>
                <w:rFonts w:asciiTheme="minorHAnsi" w:hAnsiTheme="minorHAnsi" w:cstheme="minorHAnsi"/>
                <w:b/>
                <w:bCs/>
              </w:rPr>
            </w:pPr>
            <w:r w:rsidRPr="0093059F">
              <w:rPr>
                <w:rFonts w:asciiTheme="minorHAnsi" w:hAnsiTheme="minorHAnsi" w:cstheme="minorHAnsi"/>
                <w:b/>
                <w:bCs/>
              </w:rPr>
              <w:t>0</w:t>
            </w:r>
          </w:p>
        </w:tc>
      </w:tr>
    </w:tbl>
    <w:p w14:paraId="02994C7C" w14:textId="71836D62" w:rsidR="00C76AFB" w:rsidRDefault="00C76AFB" w:rsidP="00707761">
      <w:pPr>
        <w:widowControl w:val="0"/>
        <w:tabs>
          <w:tab w:val="left" w:pos="720"/>
          <w:tab w:val="left" w:pos="7200"/>
          <w:tab w:val="left" w:pos="8640"/>
        </w:tabs>
        <w:jc w:val="both"/>
        <w:rPr>
          <w:rFonts w:asciiTheme="minorHAnsi" w:hAnsiTheme="minorHAnsi" w:cs="Arial"/>
          <w:sz w:val="22"/>
          <w:szCs w:val="22"/>
        </w:rPr>
      </w:pPr>
    </w:p>
    <w:p w14:paraId="5A0841C2" w14:textId="0799C9D4" w:rsidR="00C76AFB" w:rsidRDefault="00C76AFB" w:rsidP="00707761">
      <w:pPr>
        <w:widowControl w:val="0"/>
        <w:tabs>
          <w:tab w:val="left" w:pos="720"/>
          <w:tab w:val="left" w:pos="7200"/>
          <w:tab w:val="left" w:pos="8640"/>
        </w:tabs>
        <w:jc w:val="both"/>
        <w:rPr>
          <w:rFonts w:asciiTheme="minorHAnsi" w:hAnsiTheme="minorHAnsi" w:cs="Arial"/>
          <w:sz w:val="22"/>
          <w:szCs w:val="22"/>
        </w:rPr>
      </w:pPr>
    </w:p>
    <w:p w14:paraId="31E08283" w14:textId="46AEEF0D" w:rsidR="00C76AFB" w:rsidRDefault="00C76AFB" w:rsidP="00707761">
      <w:pPr>
        <w:widowControl w:val="0"/>
        <w:tabs>
          <w:tab w:val="left" w:pos="720"/>
          <w:tab w:val="left" w:pos="7200"/>
          <w:tab w:val="left" w:pos="8640"/>
        </w:tabs>
        <w:jc w:val="both"/>
        <w:rPr>
          <w:rFonts w:asciiTheme="minorHAnsi" w:hAnsiTheme="minorHAnsi" w:cs="Arial"/>
          <w:sz w:val="22"/>
          <w:szCs w:val="22"/>
        </w:rPr>
      </w:pPr>
    </w:p>
    <w:p w14:paraId="4015A901" w14:textId="38C35B88" w:rsidR="00C76AFB" w:rsidRDefault="00C76AFB" w:rsidP="00707761">
      <w:pPr>
        <w:widowControl w:val="0"/>
        <w:tabs>
          <w:tab w:val="left" w:pos="720"/>
          <w:tab w:val="left" w:pos="7200"/>
          <w:tab w:val="left" w:pos="8640"/>
        </w:tabs>
        <w:jc w:val="both"/>
        <w:rPr>
          <w:rFonts w:asciiTheme="minorHAnsi" w:hAnsiTheme="minorHAnsi" w:cs="Arial"/>
          <w:sz w:val="22"/>
          <w:szCs w:val="22"/>
        </w:rPr>
      </w:pPr>
    </w:p>
    <w:p w14:paraId="50CBAE16" w14:textId="62795502" w:rsidR="00D3279C" w:rsidRDefault="00D3279C" w:rsidP="00707761">
      <w:pPr>
        <w:widowControl w:val="0"/>
        <w:tabs>
          <w:tab w:val="left" w:pos="720"/>
          <w:tab w:val="left" w:pos="7200"/>
          <w:tab w:val="left" w:pos="8640"/>
        </w:tabs>
        <w:jc w:val="both"/>
        <w:rPr>
          <w:rFonts w:asciiTheme="minorHAnsi" w:hAnsiTheme="minorHAnsi" w:cs="Arial"/>
          <w:sz w:val="22"/>
          <w:szCs w:val="22"/>
        </w:rPr>
      </w:pPr>
    </w:p>
    <w:p w14:paraId="63BF15E0" w14:textId="1B97E275" w:rsidR="00FB37B3" w:rsidRDefault="00FB37B3" w:rsidP="00707761">
      <w:pPr>
        <w:widowControl w:val="0"/>
        <w:tabs>
          <w:tab w:val="left" w:pos="720"/>
          <w:tab w:val="left" w:pos="7200"/>
          <w:tab w:val="left" w:pos="8640"/>
        </w:tabs>
        <w:jc w:val="both"/>
        <w:rPr>
          <w:rFonts w:asciiTheme="minorHAnsi" w:hAnsiTheme="minorHAnsi" w:cs="Arial"/>
          <w:sz w:val="22"/>
          <w:szCs w:val="22"/>
        </w:rPr>
      </w:pPr>
    </w:p>
    <w:p w14:paraId="2CD76E55" w14:textId="77777777" w:rsidR="0093059F" w:rsidRDefault="0093059F" w:rsidP="00707761">
      <w:pPr>
        <w:widowControl w:val="0"/>
        <w:tabs>
          <w:tab w:val="left" w:pos="720"/>
          <w:tab w:val="left" w:pos="7200"/>
          <w:tab w:val="left" w:pos="8640"/>
        </w:tabs>
        <w:jc w:val="both"/>
        <w:rPr>
          <w:rFonts w:asciiTheme="minorHAnsi" w:hAnsiTheme="minorHAnsi" w:cs="Arial"/>
          <w:sz w:val="22"/>
          <w:szCs w:val="22"/>
        </w:rPr>
      </w:pPr>
    </w:p>
    <w:p w14:paraId="701F8BD6" w14:textId="0544802A" w:rsidR="00FB37B3" w:rsidRDefault="00FB37B3" w:rsidP="00707761">
      <w:pPr>
        <w:widowControl w:val="0"/>
        <w:tabs>
          <w:tab w:val="left" w:pos="720"/>
          <w:tab w:val="left" w:pos="7200"/>
          <w:tab w:val="left" w:pos="8640"/>
        </w:tabs>
        <w:jc w:val="both"/>
        <w:rPr>
          <w:rFonts w:asciiTheme="minorHAnsi" w:hAnsiTheme="minorHAnsi" w:cs="Arial"/>
          <w:sz w:val="22"/>
          <w:szCs w:val="22"/>
        </w:rPr>
      </w:pPr>
    </w:p>
    <w:p w14:paraId="2FF582A2" w14:textId="78A13D3E" w:rsidR="00FB37B3" w:rsidRDefault="00FB37B3" w:rsidP="00707761">
      <w:pPr>
        <w:widowControl w:val="0"/>
        <w:tabs>
          <w:tab w:val="left" w:pos="720"/>
          <w:tab w:val="left" w:pos="7200"/>
          <w:tab w:val="left" w:pos="8640"/>
        </w:tabs>
        <w:jc w:val="both"/>
        <w:rPr>
          <w:rFonts w:asciiTheme="minorHAnsi" w:hAnsiTheme="minorHAnsi" w:cs="Arial"/>
          <w:sz w:val="22"/>
          <w:szCs w:val="22"/>
        </w:rPr>
      </w:pPr>
    </w:p>
    <w:p w14:paraId="5CB75CCC" w14:textId="016FDFE5" w:rsidR="00FB37B3" w:rsidRDefault="00FB37B3" w:rsidP="00707761">
      <w:pPr>
        <w:widowControl w:val="0"/>
        <w:tabs>
          <w:tab w:val="left" w:pos="720"/>
          <w:tab w:val="left" w:pos="7200"/>
          <w:tab w:val="left" w:pos="8640"/>
        </w:tabs>
        <w:jc w:val="both"/>
        <w:rPr>
          <w:rFonts w:asciiTheme="minorHAnsi" w:hAnsiTheme="minorHAnsi" w:cs="Arial"/>
          <w:sz w:val="22"/>
          <w:szCs w:val="22"/>
        </w:rPr>
      </w:pPr>
    </w:p>
    <w:p w14:paraId="48675FFE" w14:textId="77777777" w:rsidR="00337C5D" w:rsidRDefault="00337C5D">
      <w:r>
        <w:br w:type="page"/>
      </w:r>
    </w:p>
    <w:p w14:paraId="22F5F9B8" w14:textId="10517627" w:rsidR="00707761" w:rsidRPr="002113D9" w:rsidRDefault="00A55585" w:rsidP="00337C5D">
      <w:pPr>
        <w:pStyle w:val="Heading2"/>
        <w:ind w:left="0" w:firstLine="0"/>
      </w:pPr>
      <w:r>
        <w:lastRenderedPageBreak/>
        <w:t>1</w:t>
      </w:r>
      <w:r w:rsidR="00D3279C">
        <w:t>6</w:t>
      </w:r>
      <w:r w:rsidR="00707761" w:rsidRPr="002113D9">
        <w:tab/>
        <w:t>Earmarked Reserves</w:t>
      </w:r>
    </w:p>
    <w:p w14:paraId="5179D997" w14:textId="404270AD" w:rsidR="00707761" w:rsidRDefault="00707761" w:rsidP="004300FF">
      <w:pPr>
        <w:widowControl w:val="0"/>
        <w:tabs>
          <w:tab w:val="left" w:pos="1800"/>
          <w:tab w:val="left" w:pos="6768"/>
          <w:tab w:val="left" w:pos="8640"/>
        </w:tabs>
        <w:ind w:right="142"/>
        <w:jc w:val="both"/>
        <w:rPr>
          <w:rFonts w:asciiTheme="minorHAnsi" w:hAnsiTheme="minorHAnsi" w:cs="Arial"/>
          <w:sz w:val="22"/>
          <w:szCs w:val="22"/>
        </w:rPr>
      </w:pPr>
      <w:r w:rsidRPr="002113D9">
        <w:rPr>
          <w:rFonts w:asciiTheme="minorHAnsi" w:hAnsiTheme="minorHAnsi" w:cs="Arial"/>
          <w:sz w:val="22"/>
          <w:szCs w:val="22"/>
        </w:rPr>
        <w:t>This note sets out the amounts set aside from the General Fund and HRA balances in earmarked reserves to provide financing for future expenditure plans and the amount posted back from earmarked reserves to meet General Fund and HRA expenditure in 20</w:t>
      </w:r>
      <w:r w:rsidR="000B2F60">
        <w:rPr>
          <w:rFonts w:asciiTheme="minorHAnsi" w:hAnsiTheme="minorHAnsi" w:cs="Arial"/>
          <w:sz w:val="22"/>
          <w:szCs w:val="22"/>
        </w:rPr>
        <w:t>2</w:t>
      </w:r>
      <w:r w:rsidR="000E61C4">
        <w:rPr>
          <w:rFonts w:asciiTheme="minorHAnsi" w:hAnsiTheme="minorHAnsi" w:cs="Arial"/>
          <w:sz w:val="22"/>
          <w:szCs w:val="22"/>
        </w:rPr>
        <w:t>2</w:t>
      </w:r>
      <w:r w:rsidRPr="002113D9">
        <w:rPr>
          <w:rFonts w:asciiTheme="minorHAnsi" w:hAnsiTheme="minorHAnsi" w:cs="Arial"/>
          <w:sz w:val="22"/>
          <w:szCs w:val="22"/>
        </w:rPr>
        <w:t>-</w:t>
      </w:r>
      <w:r w:rsidR="00F630E7">
        <w:rPr>
          <w:rFonts w:asciiTheme="minorHAnsi" w:hAnsiTheme="minorHAnsi" w:cs="Arial"/>
          <w:sz w:val="22"/>
          <w:szCs w:val="22"/>
        </w:rPr>
        <w:t>2</w:t>
      </w:r>
      <w:r w:rsidR="000E61C4">
        <w:rPr>
          <w:rFonts w:asciiTheme="minorHAnsi" w:hAnsiTheme="minorHAnsi" w:cs="Arial"/>
          <w:sz w:val="22"/>
          <w:szCs w:val="22"/>
        </w:rPr>
        <w:t>3</w:t>
      </w:r>
      <w:r w:rsidRPr="002113D9">
        <w:rPr>
          <w:rFonts w:asciiTheme="minorHAnsi" w:hAnsiTheme="minorHAnsi" w:cs="Arial"/>
          <w:sz w:val="22"/>
          <w:szCs w:val="22"/>
        </w:rPr>
        <w:t>.</w:t>
      </w:r>
    </w:p>
    <w:p w14:paraId="4A9D5637" w14:textId="77777777" w:rsidR="00917D68" w:rsidRDefault="00917D68" w:rsidP="004300FF">
      <w:pPr>
        <w:widowControl w:val="0"/>
        <w:tabs>
          <w:tab w:val="left" w:pos="1800"/>
          <w:tab w:val="left" w:pos="6768"/>
          <w:tab w:val="left" w:pos="8640"/>
        </w:tabs>
        <w:ind w:right="142"/>
        <w:jc w:val="both"/>
        <w:rPr>
          <w:rFonts w:asciiTheme="minorHAnsi" w:hAnsiTheme="minorHAnsi" w:cs="Arial"/>
          <w:sz w:val="22"/>
          <w:szCs w:val="22"/>
        </w:rPr>
      </w:pPr>
    </w:p>
    <w:p w14:paraId="11014616" w14:textId="77777777" w:rsidR="00917D68" w:rsidRPr="002113D9" w:rsidRDefault="00917D68" w:rsidP="004300FF">
      <w:pPr>
        <w:widowControl w:val="0"/>
        <w:tabs>
          <w:tab w:val="left" w:pos="1800"/>
          <w:tab w:val="left" w:pos="6768"/>
          <w:tab w:val="left" w:pos="8640"/>
        </w:tabs>
        <w:ind w:right="142"/>
        <w:jc w:val="both"/>
        <w:rPr>
          <w:rFonts w:asciiTheme="minorHAnsi" w:hAnsiTheme="minorHAnsi" w:cs="Arial"/>
          <w:sz w:val="22"/>
          <w:szCs w:val="22"/>
        </w:rPr>
      </w:pPr>
    </w:p>
    <w:tbl>
      <w:tblPr>
        <w:tblW w:w="10221" w:type="dxa"/>
        <w:tblInd w:w="93" w:type="dxa"/>
        <w:tblBorders>
          <w:top w:val="single" w:sz="4" w:space="0" w:color="FFFFFF"/>
          <w:bottom w:val="single" w:sz="4" w:space="0" w:color="FFFFFF"/>
          <w:right w:val="single" w:sz="4" w:space="0" w:color="FFFFFF"/>
          <w:insideH w:val="single" w:sz="4" w:space="0" w:color="FFFFFF" w:themeColor="background1"/>
          <w:insideV w:val="single" w:sz="4" w:space="0" w:color="FFFFFF" w:themeColor="background1"/>
        </w:tblBorders>
        <w:tblLook w:val="04A0" w:firstRow="1" w:lastRow="0" w:firstColumn="1" w:lastColumn="0" w:noHBand="0" w:noVBand="1"/>
        <w:tblCaption w:val="Earmarked Reserves"/>
        <w:tblDescription w:val="Earmarked Reserves from 1 April 2021 to 31 March 2023"/>
      </w:tblPr>
      <w:tblGrid>
        <w:gridCol w:w="2000"/>
        <w:gridCol w:w="1134"/>
        <w:gridCol w:w="1134"/>
        <w:gridCol w:w="1134"/>
        <w:gridCol w:w="1276"/>
        <w:gridCol w:w="1134"/>
        <w:gridCol w:w="1134"/>
        <w:gridCol w:w="1275"/>
      </w:tblGrid>
      <w:tr w:rsidR="00707761" w:rsidRPr="00050606" w14:paraId="2A5340BD" w14:textId="77777777" w:rsidTr="00F367A2">
        <w:trPr>
          <w:trHeight w:val="1230"/>
          <w:tblHeader/>
        </w:trPr>
        <w:tc>
          <w:tcPr>
            <w:tcW w:w="2000" w:type="dxa"/>
            <w:shd w:val="clear" w:color="000000" w:fill="B1A0C7"/>
            <w:noWrap/>
            <w:vAlign w:val="bottom"/>
            <w:hideMark/>
          </w:tcPr>
          <w:p w14:paraId="78EA861E"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 </w:t>
            </w:r>
          </w:p>
        </w:tc>
        <w:tc>
          <w:tcPr>
            <w:tcW w:w="1134" w:type="dxa"/>
            <w:shd w:val="clear" w:color="000000" w:fill="B1A0C7"/>
            <w:textDirection w:val="btLr"/>
            <w:vAlign w:val="bottom"/>
            <w:hideMark/>
          </w:tcPr>
          <w:p w14:paraId="58281BB7" w14:textId="474AB456" w:rsidR="00707761" w:rsidRPr="00050606" w:rsidRDefault="00707761" w:rsidP="000B2F60">
            <w:pPr>
              <w:rPr>
                <w:rFonts w:ascii="Calibri" w:hAnsi="Calibri"/>
                <w:color w:val="000000"/>
                <w:lang w:eastAsia="en-GB"/>
              </w:rPr>
            </w:pPr>
            <w:r w:rsidRPr="00050606">
              <w:rPr>
                <w:rFonts w:ascii="Calibri" w:hAnsi="Calibri"/>
                <w:color w:val="000000"/>
                <w:lang w:eastAsia="en-GB"/>
              </w:rPr>
              <w:t>Balance 1</w:t>
            </w:r>
            <w:r w:rsidRPr="00050606">
              <w:rPr>
                <w:rFonts w:ascii="Calibri" w:hAnsi="Calibri"/>
                <w:color w:val="000000"/>
                <w:lang w:eastAsia="en-GB"/>
              </w:rPr>
              <w:br/>
              <w:t>April 20</w:t>
            </w:r>
            <w:r w:rsidR="00F8235E">
              <w:rPr>
                <w:rFonts w:ascii="Calibri" w:hAnsi="Calibri"/>
                <w:color w:val="000000"/>
                <w:lang w:eastAsia="en-GB"/>
              </w:rPr>
              <w:t>2</w:t>
            </w:r>
            <w:r w:rsidR="000E61C4">
              <w:rPr>
                <w:rFonts w:ascii="Calibri" w:hAnsi="Calibri"/>
                <w:color w:val="000000"/>
                <w:lang w:eastAsia="en-GB"/>
              </w:rPr>
              <w:t>1</w:t>
            </w:r>
          </w:p>
        </w:tc>
        <w:tc>
          <w:tcPr>
            <w:tcW w:w="1134" w:type="dxa"/>
            <w:shd w:val="clear" w:color="000000" w:fill="B1A0C7"/>
            <w:textDirection w:val="btLr"/>
            <w:vAlign w:val="bottom"/>
            <w:hideMark/>
          </w:tcPr>
          <w:p w14:paraId="15BC2E33" w14:textId="55D5DC83" w:rsidR="00707761" w:rsidRPr="00050606" w:rsidRDefault="00920D50" w:rsidP="000B2F60">
            <w:pPr>
              <w:rPr>
                <w:rFonts w:ascii="Calibri" w:hAnsi="Calibri"/>
                <w:color w:val="000000"/>
                <w:lang w:eastAsia="en-GB"/>
              </w:rPr>
            </w:pPr>
            <w:r>
              <w:rPr>
                <w:rFonts w:ascii="Calibri" w:hAnsi="Calibri"/>
                <w:color w:val="000000"/>
                <w:lang w:eastAsia="en-GB"/>
              </w:rPr>
              <w:t>Transfers In</w:t>
            </w:r>
            <w:r>
              <w:rPr>
                <w:rFonts w:ascii="Calibri" w:hAnsi="Calibri"/>
                <w:color w:val="000000"/>
                <w:lang w:eastAsia="en-GB"/>
              </w:rPr>
              <w:br/>
              <w:t>20</w:t>
            </w:r>
            <w:r w:rsidR="00F8235E">
              <w:rPr>
                <w:rFonts w:ascii="Calibri" w:hAnsi="Calibri"/>
                <w:color w:val="000000"/>
                <w:lang w:eastAsia="en-GB"/>
              </w:rPr>
              <w:t>2</w:t>
            </w:r>
            <w:r w:rsidR="000E61C4">
              <w:rPr>
                <w:rFonts w:ascii="Calibri" w:hAnsi="Calibri"/>
                <w:color w:val="000000"/>
                <w:lang w:eastAsia="en-GB"/>
              </w:rPr>
              <w:t>1</w:t>
            </w:r>
            <w:r w:rsidR="007C7A6A">
              <w:rPr>
                <w:rFonts w:ascii="Calibri" w:hAnsi="Calibri"/>
                <w:color w:val="000000"/>
                <w:lang w:eastAsia="en-GB"/>
              </w:rPr>
              <w:t>-</w:t>
            </w:r>
            <w:r w:rsidR="000B2F60">
              <w:rPr>
                <w:rFonts w:ascii="Calibri" w:hAnsi="Calibri"/>
                <w:color w:val="000000"/>
                <w:lang w:eastAsia="en-GB"/>
              </w:rPr>
              <w:t>2</w:t>
            </w:r>
            <w:r w:rsidR="000E61C4">
              <w:rPr>
                <w:rFonts w:ascii="Calibri" w:hAnsi="Calibri"/>
                <w:color w:val="000000"/>
                <w:lang w:eastAsia="en-GB"/>
              </w:rPr>
              <w:t>2</w:t>
            </w:r>
          </w:p>
        </w:tc>
        <w:tc>
          <w:tcPr>
            <w:tcW w:w="1134" w:type="dxa"/>
            <w:shd w:val="clear" w:color="000000" w:fill="B1A0C7"/>
            <w:textDirection w:val="btLr"/>
            <w:vAlign w:val="bottom"/>
            <w:hideMark/>
          </w:tcPr>
          <w:p w14:paraId="6F451186" w14:textId="574EF198" w:rsidR="00707761" w:rsidRPr="00050606" w:rsidRDefault="00920D50" w:rsidP="000B2F60">
            <w:pPr>
              <w:rPr>
                <w:rFonts w:ascii="Calibri" w:hAnsi="Calibri"/>
                <w:color w:val="000000"/>
                <w:lang w:eastAsia="en-GB"/>
              </w:rPr>
            </w:pPr>
            <w:r>
              <w:rPr>
                <w:rFonts w:ascii="Calibri" w:hAnsi="Calibri"/>
                <w:color w:val="000000"/>
                <w:lang w:eastAsia="en-GB"/>
              </w:rPr>
              <w:t>Transfers Out</w:t>
            </w:r>
            <w:r>
              <w:rPr>
                <w:rFonts w:ascii="Calibri" w:hAnsi="Calibri"/>
                <w:color w:val="000000"/>
                <w:lang w:eastAsia="en-GB"/>
              </w:rPr>
              <w:br/>
              <w:t>20</w:t>
            </w:r>
            <w:r w:rsidR="00F8235E">
              <w:rPr>
                <w:rFonts w:ascii="Calibri" w:hAnsi="Calibri"/>
                <w:color w:val="000000"/>
                <w:lang w:eastAsia="en-GB"/>
              </w:rPr>
              <w:t>2</w:t>
            </w:r>
            <w:r w:rsidR="000E61C4">
              <w:rPr>
                <w:rFonts w:ascii="Calibri" w:hAnsi="Calibri"/>
                <w:color w:val="000000"/>
                <w:lang w:eastAsia="en-GB"/>
              </w:rPr>
              <w:t>1</w:t>
            </w:r>
            <w:r w:rsidR="00707761" w:rsidRPr="00050606">
              <w:rPr>
                <w:rFonts w:ascii="Calibri" w:hAnsi="Calibri"/>
                <w:color w:val="000000"/>
                <w:lang w:eastAsia="en-GB"/>
              </w:rPr>
              <w:t>-</w:t>
            </w:r>
            <w:r w:rsidR="000B2F60">
              <w:rPr>
                <w:rFonts w:ascii="Calibri" w:hAnsi="Calibri"/>
                <w:color w:val="000000"/>
                <w:lang w:eastAsia="en-GB"/>
              </w:rPr>
              <w:t>2</w:t>
            </w:r>
            <w:r w:rsidR="000E61C4">
              <w:rPr>
                <w:rFonts w:ascii="Calibri" w:hAnsi="Calibri"/>
                <w:color w:val="000000"/>
                <w:lang w:eastAsia="en-GB"/>
              </w:rPr>
              <w:t>2</w:t>
            </w:r>
          </w:p>
        </w:tc>
        <w:tc>
          <w:tcPr>
            <w:tcW w:w="1276" w:type="dxa"/>
            <w:shd w:val="clear" w:color="000000" w:fill="B1A0C7"/>
            <w:textDirection w:val="btLr"/>
            <w:vAlign w:val="bottom"/>
            <w:hideMark/>
          </w:tcPr>
          <w:p w14:paraId="47BE27F5" w14:textId="57BC08F9" w:rsidR="00707761" w:rsidRPr="00050606" w:rsidRDefault="00707761" w:rsidP="000B2F60">
            <w:pPr>
              <w:rPr>
                <w:rFonts w:ascii="Calibri" w:hAnsi="Calibri"/>
                <w:color w:val="000000"/>
                <w:lang w:eastAsia="en-GB"/>
              </w:rPr>
            </w:pPr>
            <w:r w:rsidRPr="00050606">
              <w:rPr>
                <w:rFonts w:ascii="Calibri" w:hAnsi="Calibri"/>
                <w:color w:val="000000"/>
                <w:lang w:eastAsia="en-GB"/>
              </w:rPr>
              <w:t>Balance 31</w:t>
            </w:r>
            <w:r w:rsidRPr="00050606">
              <w:rPr>
                <w:rFonts w:ascii="Calibri" w:hAnsi="Calibri"/>
                <w:color w:val="000000"/>
                <w:lang w:eastAsia="en-GB"/>
              </w:rPr>
              <w:br/>
              <w:t>March 20</w:t>
            </w:r>
            <w:r w:rsidR="000B2F60">
              <w:rPr>
                <w:rFonts w:ascii="Calibri" w:hAnsi="Calibri"/>
                <w:color w:val="000000"/>
                <w:lang w:eastAsia="en-GB"/>
              </w:rPr>
              <w:t>2</w:t>
            </w:r>
            <w:r w:rsidR="000E61C4">
              <w:rPr>
                <w:rFonts w:ascii="Calibri" w:hAnsi="Calibri"/>
                <w:color w:val="000000"/>
                <w:lang w:eastAsia="en-GB"/>
              </w:rPr>
              <w:t>2</w:t>
            </w:r>
          </w:p>
        </w:tc>
        <w:tc>
          <w:tcPr>
            <w:tcW w:w="1134" w:type="dxa"/>
            <w:shd w:val="clear" w:color="000000" w:fill="B1A0C7"/>
            <w:textDirection w:val="btLr"/>
            <w:vAlign w:val="bottom"/>
            <w:hideMark/>
          </w:tcPr>
          <w:p w14:paraId="650FB998" w14:textId="2E87A60E" w:rsidR="00707761" w:rsidRPr="00050606" w:rsidRDefault="00920D50" w:rsidP="000B2F60">
            <w:pPr>
              <w:rPr>
                <w:rFonts w:ascii="Calibri" w:hAnsi="Calibri"/>
                <w:color w:val="000000"/>
                <w:lang w:eastAsia="en-GB"/>
              </w:rPr>
            </w:pPr>
            <w:r>
              <w:rPr>
                <w:rFonts w:ascii="Calibri" w:hAnsi="Calibri"/>
                <w:color w:val="000000"/>
                <w:lang w:eastAsia="en-GB"/>
              </w:rPr>
              <w:t>Transfers In</w:t>
            </w:r>
            <w:r>
              <w:rPr>
                <w:rFonts w:ascii="Calibri" w:hAnsi="Calibri"/>
                <w:color w:val="000000"/>
                <w:lang w:eastAsia="en-GB"/>
              </w:rPr>
              <w:br/>
              <w:t>20</w:t>
            </w:r>
            <w:r w:rsidR="000B2F60">
              <w:rPr>
                <w:rFonts w:ascii="Calibri" w:hAnsi="Calibri"/>
                <w:color w:val="000000"/>
                <w:lang w:eastAsia="en-GB"/>
              </w:rPr>
              <w:t>2</w:t>
            </w:r>
            <w:r w:rsidR="000E61C4">
              <w:rPr>
                <w:rFonts w:ascii="Calibri" w:hAnsi="Calibri"/>
                <w:color w:val="000000"/>
                <w:lang w:eastAsia="en-GB"/>
              </w:rPr>
              <w:t>2</w:t>
            </w:r>
            <w:r w:rsidR="000B2F60">
              <w:rPr>
                <w:rFonts w:ascii="Calibri" w:hAnsi="Calibri"/>
                <w:color w:val="000000"/>
                <w:lang w:eastAsia="en-GB"/>
              </w:rPr>
              <w:t>-2</w:t>
            </w:r>
            <w:r w:rsidR="000E61C4">
              <w:rPr>
                <w:rFonts w:ascii="Calibri" w:hAnsi="Calibri"/>
                <w:color w:val="000000"/>
                <w:lang w:eastAsia="en-GB"/>
              </w:rPr>
              <w:t>3</w:t>
            </w:r>
          </w:p>
        </w:tc>
        <w:tc>
          <w:tcPr>
            <w:tcW w:w="1134" w:type="dxa"/>
            <w:shd w:val="clear" w:color="000000" w:fill="B1A0C7"/>
            <w:textDirection w:val="btLr"/>
            <w:vAlign w:val="bottom"/>
            <w:hideMark/>
          </w:tcPr>
          <w:p w14:paraId="274FE306" w14:textId="5CF76419" w:rsidR="00707761" w:rsidRPr="00050606" w:rsidRDefault="00920D50" w:rsidP="000B2F60">
            <w:pPr>
              <w:rPr>
                <w:rFonts w:ascii="Calibri" w:hAnsi="Calibri"/>
                <w:color w:val="000000"/>
                <w:lang w:eastAsia="en-GB"/>
              </w:rPr>
            </w:pPr>
            <w:r>
              <w:rPr>
                <w:rFonts w:ascii="Calibri" w:hAnsi="Calibri"/>
                <w:color w:val="000000"/>
                <w:lang w:eastAsia="en-GB"/>
              </w:rPr>
              <w:t>Transfers Out</w:t>
            </w:r>
            <w:r>
              <w:rPr>
                <w:rFonts w:ascii="Calibri" w:hAnsi="Calibri"/>
                <w:color w:val="000000"/>
                <w:lang w:eastAsia="en-GB"/>
              </w:rPr>
              <w:br/>
              <w:t>20</w:t>
            </w:r>
            <w:r w:rsidR="000B2F60">
              <w:rPr>
                <w:rFonts w:ascii="Calibri" w:hAnsi="Calibri"/>
                <w:color w:val="000000"/>
                <w:lang w:eastAsia="en-GB"/>
              </w:rPr>
              <w:t>2</w:t>
            </w:r>
            <w:r w:rsidR="000E61C4">
              <w:rPr>
                <w:rFonts w:ascii="Calibri" w:hAnsi="Calibri"/>
                <w:color w:val="000000"/>
                <w:lang w:eastAsia="en-GB"/>
              </w:rPr>
              <w:t>2</w:t>
            </w:r>
            <w:r w:rsidR="00707761" w:rsidRPr="00050606">
              <w:rPr>
                <w:rFonts w:ascii="Calibri" w:hAnsi="Calibri"/>
                <w:color w:val="000000"/>
                <w:lang w:eastAsia="en-GB"/>
              </w:rPr>
              <w:t>-</w:t>
            </w:r>
            <w:r w:rsidR="007C7A6A">
              <w:rPr>
                <w:rFonts w:ascii="Calibri" w:hAnsi="Calibri"/>
                <w:color w:val="000000"/>
                <w:lang w:eastAsia="en-GB"/>
              </w:rPr>
              <w:t>2</w:t>
            </w:r>
            <w:r w:rsidR="000E61C4">
              <w:rPr>
                <w:rFonts w:ascii="Calibri" w:hAnsi="Calibri"/>
                <w:color w:val="000000"/>
                <w:lang w:eastAsia="en-GB"/>
              </w:rPr>
              <w:t>3</w:t>
            </w:r>
          </w:p>
        </w:tc>
        <w:tc>
          <w:tcPr>
            <w:tcW w:w="1275" w:type="dxa"/>
            <w:shd w:val="clear" w:color="000000" w:fill="B1A0C7"/>
            <w:textDirection w:val="btLr"/>
            <w:vAlign w:val="bottom"/>
            <w:hideMark/>
          </w:tcPr>
          <w:p w14:paraId="3EC518C0" w14:textId="28964BDA" w:rsidR="00707761" w:rsidRPr="00050606" w:rsidRDefault="00707761" w:rsidP="000B2F60">
            <w:pPr>
              <w:rPr>
                <w:rFonts w:ascii="Calibri" w:hAnsi="Calibri"/>
                <w:color w:val="000000"/>
                <w:lang w:eastAsia="en-GB"/>
              </w:rPr>
            </w:pPr>
            <w:r w:rsidRPr="00050606">
              <w:rPr>
                <w:rFonts w:ascii="Calibri" w:hAnsi="Calibri"/>
                <w:color w:val="000000"/>
                <w:lang w:eastAsia="en-GB"/>
              </w:rPr>
              <w:t>Balance 31</w:t>
            </w:r>
            <w:r w:rsidRPr="00050606">
              <w:rPr>
                <w:rFonts w:ascii="Calibri" w:hAnsi="Calibri"/>
                <w:color w:val="000000"/>
                <w:lang w:eastAsia="en-GB"/>
              </w:rPr>
              <w:br/>
              <w:t>March 20</w:t>
            </w:r>
            <w:r w:rsidR="007C7A6A">
              <w:rPr>
                <w:rFonts w:ascii="Calibri" w:hAnsi="Calibri"/>
                <w:color w:val="000000"/>
                <w:lang w:eastAsia="en-GB"/>
              </w:rPr>
              <w:t>2</w:t>
            </w:r>
            <w:r w:rsidR="000E61C4">
              <w:rPr>
                <w:rFonts w:ascii="Calibri" w:hAnsi="Calibri"/>
                <w:color w:val="000000"/>
                <w:lang w:eastAsia="en-GB"/>
              </w:rPr>
              <w:t>3</w:t>
            </w:r>
          </w:p>
        </w:tc>
      </w:tr>
      <w:tr w:rsidR="00707761" w:rsidRPr="00050606" w14:paraId="2FB02468" w14:textId="77777777" w:rsidTr="003738A6">
        <w:trPr>
          <w:trHeight w:val="300"/>
        </w:trPr>
        <w:tc>
          <w:tcPr>
            <w:tcW w:w="2000" w:type="dxa"/>
            <w:shd w:val="clear" w:color="000000" w:fill="B1A0C7"/>
            <w:noWrap/>
            <w:vAlign w:val="bottom"/>
            <w:hideMark/>
          </w:tcPr>
          <w:p w14:paraId="56E754F8" w14:textId="77777777" w:rsidR="00707761" w:rsidRPr="00050606" w:rsidRDefault="00707761" w:rsidP="00ED6507">
            <w:pPr>
              <w:rPr>
                <w:rFonts w:ascii="Calibri" w:hAnsi="Calibri"/>
                <w:color w:val="000000"/>
                <w:lang w:eastAsia="en-GB"/>
              </w:rPr>
            </w:pPr>
            <w:bookmarkStart w:id="4" w:name="_Hlk106690468"/>
            <w:r w:rsidRPr="00050606">
              <w:rPr>
                <w:rFonts w:ascii="Calibri" w:hAnsi="Calibri"/>
                <w:color w:val="000000"/>
                <w:lang w:eastAsia="en-GB"/>
              </w:rPr>
              <w:t> </w:t>
            </w:r>
          </w:p>
        </w:tc>
        <w:tc>
          <w:tcPr>
            <w:tcW w:w="1134" w:type="dxa"/>
            <w:shd w:val="clear" w:color="000000" w:fill="B1A0C7"/>
            <w:noWrap/>
            <w:vAlign w:val="bottom"/>
            <w:hideMark/>
          </w:tcPr>
          <w:p w14:paraId="03B3A4C9"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134" w:type="dxa"/>
            <w:shd w:val="clear" w:color="000000" w:fill="B1A0C7"/>
            <w:noWrap/>
            <w:vAlign w:val="bottom"/>
            <w:hideMark/>
          </w:tcPr>
          <w:p w14:paraId="1DC55BB5"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134" w:type="dxa"/>
            <w:shd w:val="clear" w:color="000000" w:fill="B1A0C7"/>
            <w:noWrap/>
            <w:vAlign w:val="bottom"/>
            <w:hideMark/>
          </w:tcPr>
          <w:p w14:paraId="375BFA6F"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276" w:type="dxa"/>
            <w:shd w:val="clear" w:color="000000" w:fill="B1A0C7"/>
            <w:noWrap/>
            <w:vAlign w:val="bottom"/>
            <w:hideMark/>
          </w:tcPr>
          <w:p w14:paraId="5EA33955"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134" w:type="dxa"/>
            <w:shd w:val="clear" w:color="000000" w:fill="B1A0C7"/>
            <w:noWrap/>
            <w:vAlign w:val="bottom"/>
            <w:hideMark/>
          </w:tcPr>
          <w:p w14:paraId="36DB56E2"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134" w:type="dxa"/>
            <w:shd w:val="clear" w:color="000000" w:fill="B1A0C7"/>
            <w:noWrap/>
            <w:vAlign w:val="bottom"/>
            <w:hideMark/>
          </w:tcPr>
          <w:p w14:paraId="17A0F040"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c>
          <w:tcPr>
            <w:tcW w:w="1275" w:type="dxa"/>
            <w:shd w:val="clear" w:color="000000" w:fill="B1A0C7"/>
            <w:noWrap/>
            <w:vAlign w:val="bottom"/>
            <w:hideMark/>
          </w:tcPr>
          <w:p w14:paraId="142D7A0E" w14:textId="77777777" w:rsidR="00707761" w:rsidRPr="00050606" w:rsidRDefault="00707761" w:rsidP="00ED6507">
            <w:pPr>
              <w:jc w:val="right"/>
              <w:rPr>
                <w:rFonts w:ascii="Calibri" w:hAnsi="Calibri"/>
                <w:color w:val="000000"/>
                <w:lang w:eastAsia="en-GB"/>
              </w:rPr>
            </w:pPr>
            <w:r w:rsidRPr="00050606">
              <w:rPr>
                <w:rFonts w:ascii="Calibri" w:hAnsi="Calibri"/>
                <w:color w:val="000000"/>
                <w:lang w:eastAsia="en-GB"/>
              </w:rPr>
              <w:t>£'000</w:t>
            </w:r>
          </w:p>
        </w:tc>
      </w:tr>
      <w:bookmarkEnd w:id="4"/>
      <w:tr w:rsidR="00707761" w:rsidRPr="00050606" w14:paraId="426B0E12" w14:textId="77777777" w:rsidTr="003738A6">
        <w:trPr>
          <w:trHeight w:val="300"/>
        </w:trPr>
        <w:tc>
          <w:tcPr>
            <w:tcW w:w="2000" w:type="dxa"/>
            <w:shd w:val="clear" w:color="000000" w:fill="E4DFEC"/>
            <w:noWrap/>
            <w:vAlign w:val="bottom"/>
            <w:hideMark/>
          </w:tcPr>
          <w:p w14:paraId="137181E6" w14:textId="77777777" w:rsidR="00707761" w:rsidRPr="00050606" w:rsidRDefault="00B233CF" w:rsidP="00ED6507">
            <w:pPr>
              <w:rPr>
                <w:rFonts w:ascii="Calibri" w:hAnsi="Calibri"/>
                <w:b/>
                <w:bCs/>
                <w:color w:val="000000"/>
                <w:lang w:eastAsia="en-GB"/>
              </w:rPr>
            </w:pPr>
            <w:r>
              <w:rPr>
                <w:rFonts w:ascii="Calibri" w:hAnsi="Calibri"/>
                <w:b/>
                <w:bCs/>
                <w:color w:val="000000"/>
                <w:lang w:eastAsia="en-GB"/>
              </w:rPr>
              <w:t xml:space="preserve">General </w:t>
            </w:r>
            <w:r w:rsidR="00707761" w:rsidRPr="00050606">
              <w:rPr>
                <w:rFonts w:ascii="Calibri" w:hAnsi="Calibri"/>
                <w:b/>
                <w:bCs/>
                <w:color w:val="000000"/>
                <w:lang w:eastAsia="en-GB"/>
              </w:rPr>
              <w:t>Fund Balances</w:t>
            </w:r>
          </w:p>
        </w:tc>
        <w:tc>
          <w:tcPr>
            <w:tcW w:w="1134" w:type="dxa"/>
            <w:shd w:val="clear" w:color="auto" w:fill="E5DFEC" w:themeFill="accent4" w:themeFillTint="33"/>
            <w:noWrap/>
            <w:vAlign w:val="center"/>
            <w:hideMark/>
          </w:tcPr>
          <w:p w14:paraId="04911F69"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4E6EC43A"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0A6AD10C"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276" w:type="dxa"/>
            <w:shd w:val="clear" w:color="auto" w:fill="E5DFEC" w:themeFill="accent4" w:themeFillTint="33"/>
            <w:noWrap/>
            <w:vAlign w:val="center"/>
            <w:hideMark/>
          </w:tcPr>
          <w:p w14:paraId="3EE26305"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0DFD905C"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5397CF38"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275" w:type="dxa"/>
            <w:shd w:val="clear" w:color="auto" w:fill="E5DFEC" w:themeFill="accent4" w:themeFillTint="33"/>
            <w:noWrap/>
            <w:vAlign w:val="center"/>
            <w:hideMark/>
          </w:tcPr>
          <w:p w14:paraId="01F58139"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r>
      <w:tr w:rsidR="00707761" w:rsidRPr="00050606" w14:paraId="3A5F1AE6" w14:textId="77777777" w:rsidTr="0029188A">
        <w:trPr>
          <w:trHeight w:val="503"/>
        </w:trPr>
        <w:tc>
          <w:tcPr>
            <w:tcW w:w="2000" w:type="dxa"/>
            <w:shd w:val="clear" w:color="000000" w:fill="E4DFEC"/>
            <w:vAlign w:val="center"/>
            <w:hideMark/>
          </w:tcPr>
          <w:p w14:paraId="2007A262" w14:textId="4030C4BF" w:rsidR="00707761" w:rsidRPr="00050606" w:rsidRDefault="00707761" w:rsidP="00ED6507">
            <w:pPr>
              <w:rPr>
                <w:rFonts w:ascii="Calibri" w:hAnsi="Calibri"/>
                <w:color w:val="000000"/>
                <w:lang w:eastAsia="en-GB"/>
              </w:rPr>
            </w:pPr>
            <w:r w:rsidRPr="00050606">
              <w:rPr>
                <w:rFonts w:ascii="Calibri" w:hAnsi="Calibri"/>
                <w:color w:val="000000"/>
                <w:lang w:eastAsia="en-GB"/>
              </w:rPr>
              <w:t xml:space="preserve">Council Property Repairs </w:t>
            </w:r>
            <w:r w:rsidR="00704A70">
              <w:rPr>
                <w:rFonts w:ascii="Calibri" w:hAnsi="Calibri"/>
                <w:color w:val="000000"/>
                <w:lang w:eastAsia="en-GB"/>
              </w:rPr>
              <w:t>and</w:t>
            </w:r>
            <w:r w:rsidRPr="00050606">
              <w:rPr>
                <w:rFonts w:ascii="Calibri" w:hAnsi="Calibri"/>
                <w:color w:val="000000"/>
                <w:lang w:eastAsia="en-GB"/>
              </w:rPr>
              <w:t xml:space="preserve"> Renewals</w:t>
            </w:r>
          </w:p>
        </w:tc>
        <w:tc>
          <w:tcPr>
            <w:tcW w:w="1134" w:type="dxa"/>
            <w:shd w:val="clear" w:color="auto" w:fill="CCC0D9" w:themeFill="accent4" w:themeFillTint="66"/>
            <w:noWrap/>
            <w:vAlign w:val="center"/>
            <w:hideMark/>
          </w:tcPr>
          <w:p w14:paraId="5FED4BE9" w14:textId="036DADB0" w:rsidR="00707761" w:rsidRPr="00050606" w:rsidRDefault="000B2F60" w:rsidP="007C7A6A">
            <w:pPr>
              <w:jc w:val="right"/>
              <w:rPr>
                <w:rFonts w:ascii="Calibri" w:hAnsi="Calibri"/>
                <w:color w:val="000000"/>
                <w:lang w:eastAsia="en-GB"/>
              </w:rPr>
            </w:pPr>
            <w:r>
              <w:rPr>
                <w:rFonts w:ascii="Calibri" w:hAnsi="Calibri"/>
                <w:color w:val="000000"/>
                <w:lang w:eastAsia="en-GB"/>
              </w:rPr>
              <w:t>4</w:t>
            </w:r>
            <w:r w:rsidR="00F8235E">
              <w:rPr>
                <w:rFonts w:ascii="Calibri" w:hAnsi="Calibri"/>
                <w:color w:val="000000"/>
                <w:lang w:eastAsia="en-GB"/>
              </w:rPr>
              <w:t>8</w:t>
            </w:r>
            <w:r w:rsidR="000E61C4">
              <w:rPr>
                <w:rFonts w:ascii="Calibri" w:hAnsi="Calibri"/>
                <w:color w:val="000000"/>
                <w:lang w:eastAsia="en-GB"/>
              </w:rPr>
              <w:t>7</w:t>
            </w:r>
            <w:r w:rsidR="00707761" w:rsidRPr="00050606">
              <w:rPr>
                <w:rFonts w:ascii="Calibri" w:hAnsi="Calibri"/>
                <w:color w:val="000000"/>
                <w:lang w:eastAsia="en-GB"/>
              </w:rPr>
              <w:t> </w:t>
            </w:r>
          </w:p>
        </w:tc>
        <w:tc>
          <w:tcPr>
            <w:tcW w:w="1134" w:type="dxa"/>
            <w:shd w:val="clear" w:color="000000" w:fill="E4DFEC"/>
            <w:noWrap/>
            <w:vAlign w:val="center"/>
            <w:hideMark/>
          </w:tcPr>
          <w:p w14:paraId="2D862055" w14:textId="366428C4" w:rsidR="00707761" w:rsidRPr="00050606" w:rsidRDefault="000E61C4" w:rsidP="00630B56">
            <w:pPr>
              <w:jc w:val="right"/>
              <w:rPr>
                <w:rFonts w:ascii="Calibri" w:hAnsi="Calibri"/>
                <w:color w:val="000000"/>
                <w:lang w:eastAsia="en-GB"/>
              </w:rPr>
            </w:pPr>
            <w:r>
              <w:rPr>
                <w:rFonts w:ascii="Calibri" w:hAnsi="Calibri"/>
                <w:color w:val="000000"/>
                <w:lang w:eastAsia="en-GB"/>
              </w:rPr>
              <w:t>7</w:t>
            </w:r>
            <w:r w:rsidR="00630B56">
              <w:rPr>
                <w:rFonts w:ascii="Calibri" w:hAnsi="Calibri"/>
                <w:color w:val="000000"/>
                <w:lang w:eastAsia="en-GB"/>
              </w:rPr>
              <w:t>7</w:t>
            </w:r>
            <w:r w:rsidR="00707761" w:rsidRPr="00050606">
              <w:rPr>
                <w:rFonts w:ascii="Calibri" w:hAnsi="Calibri"/>
                <w:color w:val="000000"/>
                <w:lang w:eastAsia="en-GB"/>
              </w:rPr>
              <w:t> </w:t>
            </w:r>
          </w:p>
        </w:tc>
        <w:tc>
          <w:tcPr>
            <w:tcW w:w="1134" w:type="dxa"/>
            <w:shd w:val="clear" w:color="000000" w:fill="E4DFEC"/>
            <w:noWrap/>
            <w:vAlign w:val="center"/>
            <w:hideMark/>
          </w:tcPr>
          <w:p w14:paraId="0D932BEF" w14:textId="3C6A0A13" w:rsidR="00707761" w:rsidRPr="00050606" w:rsidRDefault="000E61C4" w:rsidP="000B2F60">
            <w:pPr>
              <w:jc w:val="right"/>
              <w:rPr>
                <w:rFonts w:ascii="Calibri" w:hAnsi="Calibri"/>
                <w:color w:val="000000"/>
                <w:lang w:eastAsia="en-GB"/>
              </w:rPr>
            </w:pPr>
            <w:r>
              <w:rPr>
                <w:rFonts w:ascii="Calibri" w:hAnsi="Calibri"/>
                <w:color w:val="000000"/>
                <w:lang w:eastAsia="en-GB"/>
              </w:rPr>
              <w:t>34</w:t>
            </w:r>
          </w:p>
        </w:tc>
        <w:tc>
          <w:tcPr>
            <w:tcW w:w="1276" w:type="dxa"/>
            <w:shd w:val="clear" w:color="auto" w:fill="CCC0D9" w:themeFill="accent4" w:themeFillTint="66"/>
            <w:noWrap/>
            <w:vAlign w:val="center"/>
            <w:hideMark/>
          </w:tcPr>
          <w:p w14:paraId="62091523" w14:textId="0238B2EA" w:rsidR="00707761" w:rsidRPr="00050606" w:rsidRDefault="000E61C4" w:rsidP="000B2F60">
            <w:pPr>
              <w:jc w:val="right"/>
              <w:rPr>
                <w:rFonts w:ascii="Calibri" w:hAnsi="Calibri"/>
                <w:color w:val="000000"/>
                <w:lang w:eastAsia="en-GB"/>
              </w:rPr>
            </w:pPr>
            <w:r>
              <w:rPr>
                <w:rFonts w:ascii="Calibri" w:hAnsi="Calibri"/>
                <w:color w:val="000000"/>
                <w:lang w:eastAsia="en-GB"/>
              </w:rPr>
              <w:t>530</w:t>
            </w:r>
            <w:r w:rsidR="00707761" w:rsidRPr="00050606">
              <w:rPr>
                <w:rFonts w:ascii="Calibri" w:hAnsi="Calibri"/>
                <w:color w:val="000000"/>
                <w:lang w:eastAsia="en-GB"/>
              </w:rPr>
              <w:t> </w:t>
            </w:r>
          </w:p>
        </w:tc>
        <w:tc>
          <w:tcPr>
            <w:tcW w:w="1134" w:type="dxa"/>
            <w:shd w:val="clear" w:color="000000" w:fill="E4DFEC"/>
            <w:noWrap/>
            <w:vAlign w:val="center"/>
          </w:tcPr>
          <w:p w14:paraId="117CCB17" w14:textId="54F654D4" w:rsidR="00707761" w:rsidRPr="00050606" w:rsidRDefault="00FB3992" w:rsidP="00ED6507">
            <w:pPr>
              <w:jc w:val="right"/>
              <w:rPr>
                <w:rFonts w:ascii="Calibri" w:hAnsi="Calibri"/>
                <w:color w:val="000000"/>
                <w:lang w:eastAsia="en-GB"/>
              </w:rPr>
            </w:pPr>
            <w:r>
              <w:rPr>
                <w:rFonts w:ascii="Calibri" w:hAnsi="Calibri"/>
                <w:color w:val="000000"/>
                <w:lang w:eastAsia="en-GB"/>
              </w:rPr>
              <w:t>79</w:t>
            </w:r>
          </w:p>
        </w:tc>
        <w:tc>
          <w:tcPr>
            <w:tcW w:w="1134" w:type="dxa"/>
            <w:shd w:val="clear" w:color="000000" w:fill="E4DFEC"/>
            <w:noWrap/>
            <w:vAlign w:val="center"/>
          </w:tcPr>
          <w:p w14:paraId="7B87EFFE" w14:textId="5A79183E" w:rsidR="00707761" w:rsidRPr="00050606" w:rsidRDefault="00FB3992" w:rsidP="00ED6507">
            <w:pPr>
              <w:jc w:val="right"/>
              <w:rPr>
                <w:rFonts w:ascii="Calibri" w:hAnsi="Calibri"/>
                <w:color w:val="000000"/>
                <w:lang w:eastAsia="en-GB"/>
              </w:rPr>
            </w:pPr>
            <w:r>
              <w:rPr>
                <w:rFonts w:ascii="Calibri" w:hAnsi="Calibri"/>
                <w:color w:val="000000"/>
                <w:lang w:eastAsia="en-GB"/>
              </w:rPr>
              <w:t>17</w:t>
            </w:r>
          </w:p>
        </w:tc>
        <w:tc>
          <w:tcPr>
            <w:tcW w:w="1275" w:type="dxa"/>
            <w:shd w:val="clear" w:color="auto" w:fill="CCC0D9" w:themeFill="accent4" w:themeFillTint="66"/>
            <w:noWrap/>
            <w:vAlign w:val="center"/>
          </w:tcPr>
          <w:p w14:paraId="290EDDC8" w14:textId="21F87C2D" w:rsidR="00707761" w:rsidRPr="00050606" w:rsidRDefault="00FB3992" w:rsidP="006D622C">
            <w:pPr>
              <w:jc w:val="right"/>
              <w:rPr>
                <w:rFonts w:ascii="Calibri" w:hAnsi="Calibri"/>
                <w:color w:val="000000"/>
                <w:lang w:eastAsia="en-GB"/>
              </w:rPr>
            </w:pPr>
            <w:r>
              <w:rPr>
                <w:rFonts w:ascii="Calibri" w:hAnsi="Calibri"/>
                <w:color w:val="000000"/>
                <w:lang w:eastAsia="en-GB"/>
              </w:rPr>
              <w:t>592</w:t>
            </w:r>
          </w:p>
        </w:tc>
      </w:tr>
      <w:tr w:rsidR="00707761" w:rsidRPr="00050606" w14:paraId="6033C8F2" w14:textId="77777777" w:rsidTr="003738A6">
        <w:trPr>
          <w:trHeight w:val="697"/>
        </w:trPr>
        <w:tc>
          <w:tcPr>
            <w:tcW w:w="2000" w:type="dxa"/>
            <w:shd w:val="clear" w:color="000000" w:fill="E4DFEC"/>
            <w:vAlign w:val="center"/>
            <w:hideMark/>
          </w:tcPr>
          <w:p w14:paraId="6D97A9D7" w14:textId="466CF2A3" w:rsidR="00707761" w:rsidRPr="00050606" w:rsidRDefault="00707761" w:rsidP="00ED6507">
            <w:pPr>
              <w:rPr>
                <w:rFonts w:ascii="Calibri" w:hAnsi="Calibri"/>
                <w:color w:val="000000"/>
                <w:lang w:eastAsia="en-GB"/>
              </w:rPr>
            </w:pPr>
            <w:r w:rsidRPr="00050606">
              <w:rPr>
                <w:rFonts w:ascii="Calibri" w:hAnsi="Calibri"/>
                <w:color w:val="000000"/>
                <w:lang w:eastAsia="en-GB"/>
              </w:rPr>
              <w:t xml:space="preserve">Vehicles </w:t>
            </w:r>
            <w:r w:rsidR="00704A70">
              <w:rPr>
                <w:rFonts w:ascii="Calibri" w:hAnsi="Calibri"/>
                <w:color w:val="000000"/>
                <w:lang w:eastAsia="en-GB"/>
              </w:rPr>
              <w:t>and</w:t>
            </w:r>
            <w:r w:rsidRPr="00050606">
              <w:rPr>
                <w:rFonts w:ascii="Calibri" w:hAnsi="Calibri"/>
                <w:color w:val="000000"/>
                <w:lang w:eastAsia="en-GB"/>
              </w:rPr>
              <w:t xml:space="preserve"> Equipment Repairs </w:t>
            </w:r>
            <w:r w:rsidR="00704A70">
              <w:rPr>
                <w:rFonts w:ascii="Calibri" w:hAnsi="Calibri"/>
                <w:color w:val="000000"/>
                <w:lang w:eastAsia="en-GB"/>
              </w:rPr>
              <w:t>and</w:t>
            </w:r>
            <w:r w:rsidRPr="00050606">
              <w:rPr>
                <w:rFonts w:ascii="Calibri" w:hAnsi="Calibri"/>
                <w:color w:val="000000"/>
                <w:lang w:eastAsia="en-GB"/>
              </w:rPr>
              <w:t xml:space="preserve"> Renewals</w:t>
            </w:r>
          </w:p>
        </w:tc>
        <w:tc>
          <w:tcPr>
            <w:tcW w:w="1134" w:type="dxa"/>
            <w:shd w:val="clear" w:color="auto" w:fill="CCC0D9" w:themeFill="accent4" w:themeFillTint="66"/>
            <w:noWrap/>
            <w:vAlign w:val="center"/>
            <w:hideMark/>
          </w:tcPr>
          <w:p w14:paraId="6E5B9776" w14:textId="157E805C" w:rsidR="00707761" w:rsidRPr="00050606" w:rsidRDefault="000E61C4" w:rsidP="007C7A6A">
            <w:pPr>
              <w:jc w:val="right"/>
              <w:rPr>
                <w:rFonts w:ascii="Calibri" w:hAnsi="Calibri"/>
                <w:color w:val="000000"/>
                <w:lang w:eastAsia="en-GB"/>
              </w:rPr>
            </w:pPr>
            <w:r>
              <w:rPr>
                <w:rFonts w:ascii="Calibri" w:hAnsi="Calibri"/>
                <w:color w:val="000000"/>
                <w:lang w:eastAsia="en-GB"/>
              </w:rPr>
              <w:t>611</w:t>
            </w:r>
            <w:r w:rsidR="00707761" w:rsidRPr="00050606">
              <w:rPr>
                <w:rFonts w:ascii="Calibri" w:hAnsi="Calibri"/>
                <w:color w:val="000000"/>
                <w:lang w:eastAsia="en-GB"/>
              </w:rPr>
              <w:t> </w:t>
            </w:r>
          </w:p>
        </w:tc>
        <w:tc>
          <w:tcPr>
            <w:tcW w:w="1134" w:type="dxa"/>
            <w:shd w:val="clear" w:color="000000" w:fill="E4DFEC"/>
            <w:noWrap/>
            <w:vAlign w:val="center"/>
            <w:hideMark/>
          </w:tcPr>
          <w:p w14:paraId="4ACE7B88" w14:textId="2E0DA8B4" w:rsidR="00707761" w:rsidRPr="00050606" w:rsidRDefault="000E61C4" w:rsidP="007C7A6A">
            <w:pPr>
              <w:jc w:val="right"/>
              <w:rPr>
                <w:rFonts w:ascii="Calibri" w:hAnsi="Calibri"/>
                <w:color w:val="000000"/>
                <w:lang w:eastAsia="en-GB"/>
              </w:rPr>
            </w:pPr>
            <w:r>
              <w:rPr>
                <w:rFonts w:ascii="Calibri" w:hAnsi="Calibri"/>
                <w:color w:val="000000"/>
                <w:lang w:eastAsia="en-GB"/>
              </w:rPr>
              <w:t>175</w:t>
            </w:r>
            <w:r w:rsidR="00707761" w:rsidRPr="00050606">
              <w:rPr>
                <w:rFonts w:ascii="Calibri" w:hAnsi="Calibri"/>
                <w:color w:val="000000"/>
                <w:lang w:eastAsia="en-GB"/>
              </w:rPr>
              <w:t> </w:t>
            </w:r>
          </w:p>
        </w:tc>
        <w:tc>
          <w:tcPr>
            <w:tcW w:w="1134" w:type="dxa"/>
            <w:shd w:val="clear" w:color="000000" w:fill="E4DFEC"/>
            <w:noWrap/>
            <w:vAlign w:val="center"/>
            <w:hideMark/>
          </w:tcPr>
          <w:p w14:paraId="6E65FF5F" w14:textId="6779D840" w:rsidR="00707761" w:rsidRPr="00050606" w:rsidRDefault="000B2F60" w:rsidP="000B2F60">
            <w:pPr>
              <w:jc w:val="right"/>
              <w:rPr>
                <w:rFonts w:ascii="Calibri" w:hAnsi="Calibri"/>
                <w:color w:val="000000"/>
                <w:lang w:eastAsia="en-GB"/>
              </w:rPr>
            </w:pPr>
            <w:r>
              <w:rPr>
                <w:rFonts w:ascii="Calibri" w:hAnsi="Calibri"/>
                <w:color w:val="000000"/>
                <w:lang w:eastAsia="en-GB"/>
              </w:rPr>
              <w:t>1</w:t>
            </w:r>
            <w:r w:rsidR="000E61C4">
              <w:rPr>
                <w:rFonts w:ascii="Calibri" w:hAnsi="Calibri"/>
                <w:color w:val="000000"/>
                <w:lang w:eastAsia="en-GB"/>
              </w:rPr>
              <w:t>30</w:t>
            </w:r>
          </w:p>
        </w:tc>
        <w:tc>
          <w:tcPr>
            <w:tcW w:w="1276" w:type="dxa"/>
            <w:shd w:val="clear" w:color="auto" w:fill="CCC0D9" w:themeFill="accent4" w:themeFillTint="66"/>
            <w:noWrap/>
            <w:vAlign w:val="center"/>
            <w:hideMark/>
          </w:tcPr>
          <w:p w14:paraId="5A02E016" w14:textId="06A36F70" w:rsidR="00707761" w:rsidRPr="00050606" w:rsidRDefault="00F8235E" w:rsidP="007C7A6A">
            <w:pPr>
              <w:jc w:val="right"/>
              <w:rPr>
                <w:rFonts w:ascii="Calibri" w:hAnsi="Calibri"/>
                <w:color w:val="000000"/>
                <w:lang w:eastAsia="en-GB"/>
              </w:rPr>
            </w:pPr>
            <w:r>
              <w:rPr>
                <w:rFonts w:ascii="Calibri" w:hAnsi="Calibri"/>
                <w:color w:val="000000"/>
                <w:lang w:eastAsia="en-GB"/>
              </w:rPr>
              <w:t>6</w:t>
            </w:r>
            <w:r w:rsidR="000E61C4">
              <w:rPr>
                <w:rFonts w:ascii="Calibri" w:hAnsi="Calibri"/>
                <w:color w:val="000000"/>
                <w:lang w:eastAsia="en-GB"/>
              </w:rPr>
              <w:t>56</w:t>
            </w:r>
            <w:r w:rsidR="00707761" w:rsidRPr="00050606">
              <w:rPr>
                <w:rFonts w:ascii="Calibri" w:hAnsi="Calibri"/>
                <w:color w:val="000000"/>
                <w:lang w:eastAsia="en-GB"/>
              </w:rPr>
              <w:t> </w:t>
            </w:r>
          </w:p>
        </w:tc>
        <w:tc>
          <w:tcPr>
            <w:tcW w:w="1134" w:type="dxa"/>
            <w:shd w:val="clear" w:color="000000" w:fill="E4DFEC"/>
            <w:noWrap/>
            <w:vAlign w:val="center"/>
          </w:tcPr>
          <w:p w14:paraId="3B5BA082" w14:textId="36056EC9" w:rsidR="00707761" w:rsidRPr="00050606" w:rsidRDefault="00FB3992" w:rsidP="00ED6507">
            <w:pPr>
              <w:jc w:val="right"/>
              <w:rPr>
                <w:rFonts w:ascii="Calibri" w:hAnsi="Calibri"/>
                <w:color w:val="000000"/>
                <w:lang w:eastAsia="en-GB"/>
              </w:rPr>
            </w:pPr>
            <w:r>
              <w:rPr>
                <w:rFonts w:ascii="Calibri" w:hAnsi="Calibri"/>
                <w:color w:val="000000"/>
                <w:lang w:eastAsia="en-GB"/>
              </w:rPr>
              <w:t>232</w:t>
            </w:r>
          </w:p>
        </w:tc>
        <w:tc>
          <w:tcPr>
            <w:tcW w:w="1134" w:type="dxa"/>
            <w:shd w:val="clear" w:color="000000" w:fill="E4DFEC"/>
            <w:noWrap/>
            <w:vAlign w:val="center"/>
          </w:tcPr>
          <w:p w14:paraId="45296003" w14:textId="0FDF67BB" w:rsidR="00707761" w:rsidRPr="00050606" w:rsidRDefault="00FB3992" w:rsidP="00ED6507">
            <w:pPr>
              <w:jc w:val="right"/>
              <w:rPr>
                <w:rFonts w:ascii="Calibri" w:hAnsi="Calibri"/>
                <w:color w:val="000000"/>
                <w:lang w:eastAsia="en-GB"/>
              </w:rPr>
            </w:pPr>
            <w:r>
              <w:rPr>
                <w:rFonts w:ascii="Calibri" w:hAnsi="Calibri"/>
                <w:color w:val="000000"/>
                <w:lang w:eastAsia="en-GB"/>
              </w:rPr>
              <w:t>169</w:t>
            </w:r>
          </w:p>
        </w:tc>
        <w:tc>
          <w:tcPr>
            <w:tcW w:w="1275" w:type="dxa"/>
            <w:shd w:val="clear" w:color="auto" w:fill="CCC0D9" w:themeFill="accent4" w:themeFillTint="66"/>
            <w:noWrap/>
            <w:vAlign w:val="center"/>
          </w:tcPr>
          <w:p w14:paraId="5F552330" w14:textId="60D58FE4" w:rsidR="00707761" w:rsidRPr="00050606" w:rsidRDefault="00FB3992" w:rsidP="00ED6507">
            <w:pPr>
              <w:jc w:val="right"/>
              <w:rPr>
                <w:rFonts w:ascii="Calibri" w:hAnsi="Calibri"/>
                <w:color w:val="000000"/>
                <w:lang w:eastAsia="en-GB"/>
              </w:rPr>
            </w:pPr>
            <w:r>
              <w:rPr>
                <w:rFonts w:ascii="Calibri" w:hAnsi="Calibri"/>
                <w:color w:val="000000"/>
                <w:lang w:eastAsia="en-GB"/>
              </w:rPr>
              <w:t>719</w:t>
            </w:r>
          </w:p>
        </w:tc>
      </w:tr>
      <w:tr w:rsidR="00F22C45" w:rsidRPr="00050606" w14:paraId="093192E8" w14:textId="77777777" w:rsidTr="003738A6">
        <w:trPr>
          <w:trHeight w:val="719"/>
        </w:trPr>
        <w:tc>
          <w:tcPr>
            <w:tcW w:w="2000" w:type="dxa"/>
            <w:shd w:val="clear" w:color="000000" w:fill="E4DFEC"/>
            <w:vAlign w:val="center"/>
          </w:tcPr>
          <w:p w14:paraId="4E3839B7" w14:textId="1C421AA1" w:rsidR="00F22C45" w:rsidRPr="00050606" w:rsidRDefault="00F22C45" w:rsidP="00ED6507">
            <w:pPr>
              <w:rPr>
                <w:rFonts w:ascii="Calibri" w:hAnsi="Calibri"/>
                <w:color w:val="000000"/>
                <w:lang w:eastAsia="en-GB"/>
              </w:rPr>
            </w:pPr>
            <w:r>
              <w:rPr>
                <w:rFonts w:ascii="Calibri" w:hAnsi="Calibri"/>
                <w:color w:val="000000"/>
                <w:lang w:eastAsia="en-GB"/>
              </w:rPr>
              <w:t>General Property Repair Fund</w:t>
            </w:r>
          </w:p>
        </w:tc>
        <w:tc>
          <w:tcPr>
            <w:tcW w:w="1134" w:type="dxa"/>
            <w:shd w:val="clear" w:color="auto" w:fill="CCC0D9" w:themeFill="accent4" w:themeFillTint="66"/>
            <w:noWrap/>
            <w:vAlign w:val="center"/>
          </w:tcPr>
          <w:p w14:paraId="5E0B10BF" w14:textId="6BFAB887" w:rsidR="00F22C45" w:rsidRDefault="00F22C45" w:rsidP="00ED6507">
            <w:pPr>
              <w:jc w:val="right"/>
              <w:rPr>
                <w:rFonts w:ascii="Calibri" w:hAnsi="Calibri"/>
                <w:color w:val="000000"/>
                <w:lang w:eastAsia="en-GB"/>
              </w:rPr>
            </w:pPr>
            <w:r>
              <w:rPr>
                <w:rFonts w:ascii="Calibri" w:hAnsi="Calibri"/>
                <w:color w:val="000000"/>
                <w:lang w:eastAsia="en-GB"/>
              </w:rPr>
              <w:t>0</w:t>
            </w:r>
          </w:p>
        </w:tc>
        <w:tc>
          <w:tcPr>
            <w:tcW w:w="1134" w:type="dxa"/>
            <w:shd w:val="clear" w:color="000000" w:fill="E4DFEC"/>
            <w:noWrap/>
            <w:vAlign w:val="center"/>
          </w:tcPr>
          <w:p w14:paraId="698E6579" w14:textId="08100529" w:rsidR="00F22C45" w:rsidRDefault="000E61C4" w:rsidP="00ED6507">
            <w:pPr>
              <w:jc w:val="right"/>
              <w:rPr>
                <w:rFonts w:ascii="Calibri" w:hAnsi="Calibri"/>
                <w:color w:val="000000"/>
                <w:lang w:eastAsia="en-GB"/>
              </w:rPr>
            </w:pPr>
            <w:r>
              <w:rPr>
                <w:rFonts w:ascii="Calibri" w:hAnsi="Calibri"/>
                <w:color w:val="000000"/>
                <w:lang w:eastAsia="en-GB"/>
              </w:rPr>
              <w:t>2</w:t>
            </w:r>
            <w:r w:rsidR="00F22C45">
              <w:rPr>
                <w:rFonts w:ascii="Calibri" w:hAnsi="Calibri"/>
                <w:color w:val="000000"/>
                <w:lang w:eastAsia="en-GB"/>
              </w:rPr>
              <w:t>0</w:t>
            </w:r>
            <w:r>
              <w:rPr>
                <w:rFonts w:ascii="Calibri" w:hAnsi="Calibri"/>
                <w:color w:val="000000"/>
                <w:lang w:eastAsia="en-GB"/>
              </w:rPr>
              <w:t>7</w:t>
            </w:r>
          </w:p>
        </w:tc>
        <w:tc>
          <w:tcPr>
            <w:tcW w:w="1134" w:type="dxa"/>
            <w:shd w:val="clear" w:color="000000" w:fill="E4DFEC"/>
            <w:noWrap/>
            <w:vAlign w:val="center"/>
          </w:tcPr>
          <w:p w14:paraId="16D7B6FD" w14:textId="0C66E330" w:rsidR="00F22C45" w:rsidRDefault="00F22C45" w:rsidP="000B2F60">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tcPr>
          <w:p w14:paraId="6C93CE31" w14:textId="4CD00746" w:rsidR="00F22C45" w:rsidRDefault="000E61C4" w:rsidP="00ED6507">
            <w:pPr>
              <w:jc w:val="right"/>
              <w:rPr>
                <w:rFonts w:ascii="Calibri" w:hAnsi="Calibri"/>
                <w:color w:val="000000"/>
                <w:lang w:eastAsia="en-GB"/>
              </w:rPr>
            </w:pPr>
            <w:r>
              <w:rPr>
                <w:rFonts w:ascii="Calibri" w:hAnsi="Calibri"/>
                <w:color w:val="000000"/>
                <w:lang w:eastAsia="en-GB"/>
              </w:rPr>
              <w:t>207</w:t>
            </w:r>
          </w:p>
        </w:tc>
        <w:tc>
          <w:tcPr>
            <w:tcW w:w="1134" w:type="dxa"/>
            <w:shd w:val="clear" w:color="000000" w:fill="E4DFEC"/>
            <w:noWrap/>
            <w:vAlign w:val="center"/>
          </w:tcPr>
          <w:p w14:paraId="7D5A162C" w14:textId="5A385F9A" w:rsidR="00F22C45" w:rsidRDefault="00FB3992" w:rsidP="00ED6507">
            <w:pPr>
              <w:jc w:val="right"/>
              <w:rPr>
                <w:rFonts w:ascii="Calibri" w:hAnsi="Calibri"/>
                <w:color w:val="000000"/>
                <w:lang w:eastAsia="en-GB"/>
              </w:rPr>
            </w:pPr>
            <w:r>
              <w:rPr>
                <w:rFonts w:ascii="Calibri" w:hAnsi="Calibri"/>
                <w:color w:val="000000"/>
                <w:lang w:eastAsia="en-GB"/>
              </w:rPr>
              <w:t>35</w:t>
            </w:r>
          </w:p>
        </w:tc>
        <w:tc>
          <w:tcPr>
            <w:tcW w:w="1134" w:type="dxa"/>
            <w:shd w:val="clear" w:color="000000" w:fill="E4DFEC"/>
            <w:noWrap/>
            <w:vAlign w:val="center"/>
          </w:tcPr>
          <w:p w14:paraId="0411973D" w14:textId="3FB871FC" w:rsidR="00F22C45" w:rsidRDefault="00FB3992" w:rsidP="003A2E38">
            <w:pPr>
              <w:jc w:val="right"/>
              <w:rPr>
                <w:rFonts w:ascii="Calibri" w:hAnsi="Calibri"/>
                <w:color w:val="000000"/>
                <w:lang w:eastAsia="en-GB"/>
              </w:rPr>
            </w:pPr>
            <w:r>
              <w:rPr>
                <w:rFonts w:ascii="Calibri" w:hAnsi="Calibri"/>
                <w:color w:val="000000"/>
                <w:lang w:eastAsia="en-GB"/>
              </w:rPr>
              <w:t>5</w:t>
            </w:r>
          </w:p>
        </w:tc>
        <w:tc>
          <w:tcPr>
            <w:tcW w:w="1275" w:type="dxa"/>
            <w:shd w:val="clear" w:color="auto" w:fill="CCC0D9" w:themeFill="accent4" w:themeFillTint="66"/>
            <w:noWrap/>
            <w:vAlign w:val="center"/>
          </w:tcPr>
          <w:p w14:paraId="31E3BF60" w14:textId="05F237FB" w:rsidR="00F22C45" w:rsidRDefault="00FB3992" w:rsidP="003A2E38">
            <w:pPr>
              <w:jc w:val="right"/>
              <w:rPr>
                <w:rFonts w:ascii="Calibri" w:hAnsi="Calibri"/>
                <w:color w:val="000000"/>
                <w:lang w:eastAsia="en-GB"/>
              </w:rPr>
            </w:pPr>
            <w:r>
              <w:rPr>
                <w:rFonts w:ascii="Calibri" w:hAnsi="Calibri"/>
                <w:color w:val="000000"/>
                <w:lang w:eastAsia="en-GB"/>
              </w:rPr>
              <w:t>237</w:t>
            </w:r>
          </w:p>
        </w:tc>
      </w:tr>
      <w:tr w:rsidR="00707761" w:rsidRPr="00050606" w14:paraId="37784F87" w14:textId="77777777" w:rsidTr="003738A6">
        <w:trPr>
          <w:trHeight w:val="719"/>
        </w:trPr>
        <w:tc>
          <w:tcPr>
            <w:tcW w:w="2000" w:type="dxa"/>
            <w:shd w:val="clear" w:color="000000" w:fill="E4DFEC"/>
            <w:vAlign w:val="center"/>
            <w:hideMark/>
          </w:tcPr>
          <w:p w14:paraId="3DB0C3F5"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Melton Local Development Framework</w:t>
            </w:r>
          </w:p>
        </w:tc>
        <w:tc>
          <w:tcPr>
            <w:tcW w:w="1134" w:type="dxa"/>
            <w:shd w:val="clear" w:color="auto" w:fill="CCC0D9" w:themeFill="accent4" w:themeFillTint="66"/>
            <w:noWrap/>
            <w:vAlign w:val="center"/>
            <w:hideMark/>
          </w:tcPr>
          <w:p w14:paraId="415A51E4" w14:textId="298138C7" w:rsidR="00707761" w:rsidRPr="00050606" w:rsidRDefault="00F8235E" w:rsidP="00ED6507">
            <w:pPr>
              <w:jc w:val="right"/>
              <w:rPr>
                <w:rFonts w:ascii="Calibri" w:hAnsi="Calibri"/>
                <w:color w:val="000000"/>
                <w:lang w:eastAsia="en-GB"/>
              </w:rPr>
            </w:pPr>
            <w:r>
              <w:rPr>
                <w:rFonts w:ascii="Calibri" w:hAnsi="Calibri"/>
                <w:color w:val="000000"/>
                <w:lang w:eastAsia="en-GB"/>
              </w:rPr>
              <w:t>2</w:t>
            </w:r>
            <w:r w:rsidR="000E61C4">
              <w:rPr>
                <w:rFonts w:ascii="Calibri" w:hAnsi="Calibri"/>
                <w:color w:val="000000"/>
                <w:lang w:eastAsia="en-GB"/>
              </w:rPr>
              <w:t>4</w:t>
            </w:r>
            <w:r>
              <w:rPr>
                <w:rFonts w:ascii="Calibri" w:hAnsi="Calibri"/>
                <w:color w:val="000000"/>
                <w:lang w:eastAsia="en-GB"/>
              </w:rPr>
              <w:t>2</w:t>
            </w:r>
            <w:r w:rsidR="00707761" w:rsidRPr="00050606">
              <w:rPr>
                <w:rFonts w:ascii="Calibri" w:hAnsi="Calibri"/>
                <w:color w:val="000000"/>
                <w:lang w:eastAsia="en-GB"/>
              </w:rPr>
              <w:t> </w:t>
            </w:r>
          </w:p>
        </w:tc>
        <w:tc>
          <w:tcPr>
            <w:tcW w:w="1134" w:type="dxa"/>
            <w:shd w:val="clear" w:color="000000" w:fill="E4DFEC"/>
            <w:noWrap/>
            <w:vAlign w:val="center"/>
            <w:hideMark/>
          </w:tcPr>
          <w:p w14:paraId="41046109" w14:textId="56AC4814" w:rsidR="00707761" w:rsidRPr="00050606" w:rsidRDefault="000E61C4" w:rsidP="00ED6507">
            <w:pPr>
              <w:jc w:val="right"/>
              <w:rPr>
                <w:rFonts w:ascii="Calibri" w:hAnsi="Calibri"/>
                <w:color w:val="000000"/>
                <w:lang w:eastAsia="en-GB"/>
              </w:rPr>
            </w:pPr>
            <w:r>
              <w:rPr>
                <w:rFonts w:ascii="Calibri" w:hAnsi="Calibri"/>
                <w:color w:val="000000"/>
                <w:lang w:eastAsia="en-GB"/>
              </w:rPr>
              <w:t>45</w:t>
            </w:r>
            <w:r w:rsidR="00707761" w:rsidRPr="00050606">
              <w:rPr>
                <w:rFonts w:ascii="Calibri" w:hAnsi="Calibri"/>
                <w:color w:val="000000"/>
                <w:lang w:eastAsia="en-GB"/>
              </w:rPr>
              <w:t> </w:t>
            </w:r>
          </w:p>
        </w:tc>
        <w:tc>
          <w:tcPr>
            <w:tcW w:w="1134" w:type="dxa"/>
            <w:shd w:val="clear" w:color="000000" w:fill="E4DFEC"/>
            <w:noWrap/>
            <w:vAlign w:val="center"/>
            <w:hideMark/>
          </w:tcPr>
          <w:p w14:paraId="600B5B80" w14:textId="184E8FF1" w:rsidR="00707761" w:rsidRPr="00050606" w:rsidRDefault="000B2F60" w:rsidP="000B2F60">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hideMark/>
          </w:tcPr>
          <w:p w14:paraId="2EC23769" w14:textId="08424140" w:rsidR="00707761" w:rsidRPr="00050606" w:rsidRDefault="004B0E90" w:rsidP="00ED6507">
            <w:pPr>
              <w:jc w:val="right"/>
              <w:rPr>
                <w:rFonts w:ascii="Calibri" w:hAnsi="Calibri"/>
                <w:color w:val="000000"/>
                <w:lang w:eastAsia="en-GB"/>
              </w:rPr>
            </w:pPr>
            <w:r>
              <w:rPr>
                <w:rFonts w:ascii="Calibri" w:hAnsi="Calibri"/>
                <w:color w:val="000000"/>
                <w:lang w:eastAsia="en-GB"/>
              </w:rPr>
              <w:t>287</w:t>
            </w:r>
            <w:r w:rsidR="00707761" w:rsidRPr="00050606">
              <w:rPr>
                <w:rFonts w:ascii="Calibri" w:hAnsi="Calibri"/>
                <w:color w:val="000000"/>
                <w:lang w:eastAsia="en-GB"/>
              </w:rPr>
              <w:t> </w:t>
            </w:r>
          </w:p>
        </w:tc>
        <w:tc>
          <w:tcPr>
            <w:tcW w:w="1134" w:type="dxa"/>
            <w:shd w:val="clear" w:color="000000" w:fill="E4DFEC"/>
            <w:noWrap/>
            <w:vAlign w:val="center"/>
          </w:tcPr>
          <w:p w14:paraId="6BD47EEC" w14:textId="385A4584" w:rsidR="00707761" w:rsidRPr="00050606" w:rsidRDefault="00FB3992" w:rsidP="00ED6507">
            <w:pPr>
              <w:jc w:val="right"/>
              <w:rPr>
                <w:rFonts w:ascii="Calibri" w:hAnsi="Calibri"/>
                <w:color w:val="000000"/>
                <w:lang w:eastAsia="en-GB"/>
              </w:rPr>
            </w:pPr>
            <w:r>
              <w:rPr>
                <w:rFonts w:ascii="Calibri" w:hAnsi="Calibri"/>
                <w:color w:val="000000"/>
                <w:lang w:eastAsia="en-GB"/>
              </w:rPr>
              <w:t>0</w:t>
            </w:r>
          </w:p>
        </w:tc>
        <w:tc>
          <w:tcPr>
            <w:tcW w:w="1134" w:type="dxa"/>
            <w:shd w:val="clear" w:color="000000" w:fill="E4DFEC"/>
            <w:noWrap/>
            <w:vAlign w:val="center"/>
          </w:tcPr>
          <w:p w14:paraId="52162463" w14:textId="2C1ECE88" w:rsidR="00707761" w:rsidRPr="00050606" w:rsidRDefault="00FB3992" w:rsidP="003A2E38">
            <w:pPr>
              <w:jc w:val="right"/>
              <w:rPr>
                <w:rFonts w:ascii="Calibri" w:hAnsi="Calibri"/>
                <w:color w:val="000000"/>
                <w:lang w:eastAsia="en-GB"/>
              </w:rPr>
            </w:pPr>
            <w:r>
              <w:rPr>
                <w:rFonts w:ascii="Calibri" w:hAnsi="Calibri"/>
                <w:color w:val="000000"/>
                <w:lang w:eastAsia="en-GB"/>
              </w:rPr>
              <w:t>73</w:t>
            </w:r>
          </w:p>
        </w:tc>
        <w:tc>
          <w:tcPr>
            <w:tcW w:w="1275" w:type="dxa"/>
            <w:shd w:val="clear" w:color="auto" w:fill="CCC0D9" w:themeFill="accent4" w:themeFillTint="66"/>
            <w:noWrap/>
            <w:vAlign w:val="center"/>
          </w:tcPr>
          <w:p w14:paraId="367EBF29" w14:textId="6BE71806" w:rsidR="00707761" w:rsidRPr="00050606" w:rsidRDefault="00FB3992" w:rsidP="003A2E38">
            <w:pPr>
              <w:jc w:val="right"/>
              <w:rPr>
                <w:rFonts w:ascii="Calibri" w:hAnsi="Calibri"/>
                <w:color w:val="000000"/>
                <w:lang w:eastAsia="en-GB"/>
              </w:rPr>
            </w:pPr>
            <w:r>
              <w:rPr>
                <w:rFonts w:ascii="Calibri" w:hAnsi="Calibri"/>
                <w:color w:val="000000"/>
                <w:lang w:eastAsia="en-GB"/>
              </w:rPr>
              <w:t>214</w:t>
            </w:r>
          </w:p>
        </w:tc>
      </w:tr>
      <w:tr w:rsidR="00707761" w:rsidRPr="00050606" w14:paraId="105E95F4" w14:textId="77777777" w:rsidTr="0029188A">
        <w:trPr>
          <w:trHeight w:val="335"/>
        </w:trPr>
        <w:tc>
          <w:tcPr>
            <w:tcW w:w="2000" w:type="dxa"/>
            <w:shd w:val="clear" w:color="000000" w:fill="E4DFEC"/>
            <w:vAlign w:val="center"/>
            <w:hideMark/>
          </w:tcPr>
          <w:p w14:paraId="1D8FBA66"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Open Spaces</w:t>
            </w:r>
          </w:p>
        </w:tc>
        <w:tc>
          <w:tcPr>
            <w:tcW w:w="1134" w:type="dxa"/>
            <w:shd w:val="clear" w:color="auto" w:fill="CCC0D9" w:themeFill="accent4" w:themeFillTint="66"/>
            <w:noWrap/>
            <w:vAlign w:val="center"/>
            <w:hideMark/>
          </w:tcPr>
          <w:p w14:paraId="2DEE920E" w14:textId="4C2A7D5A" w:rsidR="00707761" w:rsidRPr="00050606" w:rsidRDefault="000E61C4" w:rsidP="00ED6507">
            <w:pPr>
              <w:jc w:val="right"/>
              <w:rPr>
                <w:rFonts w:ascii="Calibri" w:hAnsi="Calibri"/>
                <w:color w:val="000000"/>
                <w:lang w:eastAsia="en-GB"/>
              </w:rPr>
            </w:pPr>
            <w:r>
              <w:rPr>
                <w:rFonts w:ascii="Calibri" w:hAnsi="Calibri"/>
                <w:color w:val="000000"/>
                <w:lang w:eastAsia="en-GB"/>
              </w:rPr>
              <w:t>81</w:t>
            </w:r>
            <w:r w:rsidR="00707761" w:rsidRPr="00050606">
              <w:rPr>
                <w:rFonts w:ascii="Calibri" w:hAnsi="Calibri"/>
                <w:color w:val="000000"/>
                <w:lang w:eastAsia="en-GB"/>
              </w:rPr>
              <w:t> </w:t>
            </w:r>
          </w:p>
        </w:tc>
        <w:tc>
          <w:tcPr>
            <w:tcW w:w="1134" w:type="dxa"/>
            <w:shd w:val="clear" w:color="000000" w:fill="E4DFEC"/>
            <w:noWrap/>
            <w:vAlign w:val="center"/>
            <w:hideMark/>
          </w:tcPr>
          <w:p w14:paraId="3465E300" w14:textId="3F69E682" w:rsidR="00707761" w:rsidRPr="00050606" w:rsidRDefault="000B2F60" w:rsidP="00ED6507">
            <w:pPr>
              <w:jc w:val="right"/>
              <w:rPr>
                <w:rFonts w:ascii="Calibri" w:hAnsi="Calibri"/>
                <w:color w:val="000000"/>
                <w:lang w:eastAsia="en-GB"/>
              </w:rPr>
            </w:pPr>
            <w:r>
              <w:rPr>
                <w:rFonts w:ascii="Calibri" w:hAnsi="Calibri"/>
                <w:color w:val="000000"/>
                <w:lang w:eastAsia="en-GB"/>
              </w:rPr>
              <w:t>3</w:t>
            </w:r>
            <w:r w:rsidR="000E61C4">
              <w:rPr>
                <w:rFonts w:ascii="Calibri" w:hAnsi="Calibri"/>
                <w:color w:val="000000"/>
                <w:lang w:eastAsia="en-GB"/>
              </w:rPr>
              <w:t>2</w:t>
            </w:r>
            <w:r w:rsidR="00707761" w:rsidRPr="00050606">
              <w:rPr>
                <w:rFonts w:ascii="Calibri" w:hAnsi="Calibri"/>
                <w:color w:val="000000"/>
                <w:lang w:eastAsia="en-GB"/>
              </w:rPr>
              <w:t> </w:t>
            </w:r>
          </w:p>
        </w:tc>
        <w:tc>
          <w:tcPr>
            <w:tcW w:w="1134" w:type="dxa"/>
            <w:shd w:val="clear" w:color="000000" w:fill="E4DFEC"/>
            <w:noWrap/>
            <w:vAlign w:val="center"/>
            <w:hideMark/>
          </w:tcPr>
          <w:p w14:paraId="43C24E84" w14:textId="25A3A08D" w:rsidR="00707761" w:rsidRPr="00050606" w:rsidRDefault="000E61C4" w:rsidP="000B2F60">
            <w:pPr>
              <w:jc w:val="right"/>
              <w:rPr>
                <w:rFonts w:ascii="Calibri" w:hAnsi="Calibri"/>
                <w:color w:val="000000"/>
                <w:lang w:eastAsia="en-GB"/>
              </w:rPr>
            </w:pPr>
            <w:r>
              <w:rPr>
                <w:rFonts w:ascii="Calibri" w:hAnsi="Calibri"/>
                <w:color w:val="000000"/>
                <w:lang w:eastAsia="en-GB"/>
              </w:rPr>
              <w:t>2</w:t>
            </w:r>
          </w:p>
        </w:tc>
        <w:tc>
          <w:tcPr>
            <w:tcW w:w="1276" w:type="dxa"/>
            <w:shd w:val="clear" w:color="auto" w:fill="CCC0D9" w:themeFill="accent4" w:themeFillTint="66"/>
            <w:noWrap/>
            <w:vAlign w:val="center"/>
            <w:hideMark/>
          </w:tcPr>
          <w:p w14:paraId="104AFDCA" w14:textId="675F7916" w:rsidR="00707761" w:rsidRPr="00050606" w:rsidRDefault="004B0E90" w:rsidP="00ED6507">
            <w:pPr>
              <w:jc w:val="right"/>
              <w:rPr>
                <w:rFonts w:ascii="Calibri" w:hAnsi="Calibri"/>
                <w:color w:val="000000"/>
                <w:lang w:eastAsia="en-GB"/>
              </w:rPr>
            </w:pPr>
            <w:r>
              <w:rPr>
                <w:rFonts w:ascii="Calibri" w:hAnsi="Calibri"/>
                <w:color w:val="000000"/>
                <w:lang w:eastAsia="en-GB"/>
              </w:rPr>
              <w:t>111</w:t>
            </w:r>
            <w:r w:rsidR="00707761" w:rsidRPr="00050606">
              <w:rPr>
                <w:rFonts w:ascii="Calibri" w:hAnsi="Calibri"/>
                <w:color w:val="000000"/>
                <w:lang w:eastAsia="en-GB"/>
              </w:rPr>
              <w:t> </w:t>
            </w:r>
          </w:p>
        </w:tc>
        <w:tc>
          <w:tcPr>
            <w:tcW w:w="1134" w:type="dxa"/>
            <w:shd w:val="clear" w:color="000000" w:fill="E4DFEC"/>
            <w:noWrap/>
            <w:vAlign w:val="center"/>
          </w:tcPr>
          <w:p w14:paraId="27F6EE13" w14:textId="37CFDCE4" w:rsidR="00707761" w:rsidRPr="00050606" w:rsidRDefault="00FB3992" w:rsidP="00ED6507">
            <w:pPr>
              <w:jc w:val="right"/>
              <w:rPr>
                <w:rFonts w:ascii="Calibri" w:hAnsi="Calibri"/>
                <w:color w:val="000000"/>
                <w:lang w:eastAsia="en-GB"/>
              </w:rPr>
            </w:pPr>
            <w:r>
              <w:rPr>
                <w:rFonts w:ascii="Calibri" w:hAnsi="Calibri"/>
                <w:color w:val="000000"/>
                <w:lang w:eastAsia="en-GB"/>
              </w:rPr>
              <w:t>32</w:t>
            </w:r>
          </w:p>
        </w:tc>
        <w:tc>
          <w:tcPr>
            <w:tcW w:w="1134" w:type="dxa"/>
            <w:shd w:val="clear" w:color="000000" w:fill="E4DFEC"/>
            <w:noWrap/>
            <w:vAlign w:val="center"/>
          </w:tcPr>
          <w:p w14:paraId="47181183" w14:textId="3C59E2F5" w:rsidR="00707761" w:rsidRPr="00050606" w:rsidRDefault="00FB3992" w:rsidP="00ED6507">
            <w:pPr>
              <w:jc w:val="right"/>
              <w:rPr>
                <w:rFonts w:ascii="Calibri" w:hAnsi="Calibri"/>
                <w:color w:val="000000"/>
                <w:lang w:eastAsia="en-GB"/>
              </w:rPr>
            </w:pPr>
            <w:r>
              <w:rPr>
                <w:rFonts w:ascii="Calibri" w:hAnsi="Calibri"/>
                <w:color w:val="000000"/>
                <w:lang w:eastAsia="en-GB"/>
              </w:rPr>
              <w:t>2</w:t>
            </w:r>
          </w:p>
        </w:tc>
        <w:tc>
          <w:tcPr>
            <w:tcW w:w="1275" w:type="dxa"/>
            <w:shd w:val="clear" w:color="auto" w:fill="CCC0D9" w:themeFill="accent4" w:themeFillTint="66"/>
            <w:noWrap/>
            <w:vAlign w:val="center"/>
          </w:tcPr>
          <w:p w14:paraId="0164BACA" w14:textId="4D5831D5" w:rsidR="00707761" w:rsidRPr="00050606" w:rsidRDefault="00FB3992" w:rsidP="00ED6507">
            <w:pPr>
              <w:jc w:val="right"/>
              <w:rPr>
                <w:rFonts w:ascii="Calibri" w:hAnsi="Calibri"/>
                <w:color w:val="000000"/>
                <w:lang w:eastAsia="en-GB"/>
              </w:rPr>
            </w:pPr>
            <w:r>
              <w:rPr>
                <w:rFonts w:ascii="Calibri" w:hAnsi="Calibri"/>
                <w:color w:val="000000"/>
                <w:lang w:eastAsia="en-GB"/>
              </w:rPr>
              <w:t>141</w:t>
            </w:r>
          </w:p>
        </w:tc>
      </w:tr>
      <w:tr w:rsidR="00707761" w:rsidRPr="00050606" w14:paraId="2281000E" w14:textId="77777777" w:rsidTr="0029188A">
        <w:trPr>
          <w:trHeight w:val="369"/>
        </w:trPr>
        <w:tc>
          <w:tcPr>
            <w:tcW w:w="2000" w:type="dxa"/>
            <w:shd w:val="clear" w:color="000000" w:fill="E4DFEC"/>
            <w:vAlign w:val="center"/>
            <w:hideMark/>
          </w:tcPr>
          <w:p w14:paraId="17AB5875" w14:textId="77319CF7" w:rsidR="00707761" w:rsidRPr="00050606" w:rsidRDefault="00C333A7" w:rsidP="00ED6507">
            <w:pPr>
              <w:rPr>
                <w:rFonts w:ascii="Calibri" w:hAnsi="Calibri"/>
                <w:color w:val="000000"/>
                <w:lang w:eastAsia="en-GB"/>
              </w:rPr>
            </w:pPr>
            <w:r>
              <w:rPr>
                <w:rFonts w:ascii="Calibri" w:hAnsi="Calibri"/>
                <w:color w:val="000000"/>
                <w:lang w:eastAsia="en-GB"/>
              </w:rPr>
              <w:t>COVID Funding Reserve</w:t>
            </w:r>
          </w:p>
        </w:tc>
        <w:tc>
          <w:tcPr>
            <w:tcW w:w="1134" w:type="dxa"/>
            <w:shd w:val="clear" w:color="auto" w:fill="CCC0D9" w:themeFill="accent4" w:themeFillTint="66"/>
            <w:noWrap/>
            <w:vAlign w:val="center"/>
            <w:hideMark/>
          </w:tcPr>
          <w:p w14:paraId="236D42EE" w14:textId="19DE1993" w:rsidR="00707761" w:rsidRPr="00050606" w:rsidRDefault="000E61C4" w:rsidP="00ED6507">
            <w:pPr>
              <w:jc w:val="right"/>
              <w:rPr>
                <w:rFonts w:ascii="Calibri" w:hAnsi="Calibri"/>
                <w:color w:val="000000"/>
                <w:lang w:eastAsia="en-GB"/>
              </w:rPr>
            </w:pPr>
            <w:r>
              <w:rPr>
                <w:rFonts w:ascii="Calibri" w:hAnsi="Calibri"/>
                <w:color w:val="000000"/>
                <w:lang w:eastAsia="en-GB"/>
              </w:rPr>
              <w:t>167</w:t>
            </w:r>
            <w:r w:rsidR="00707761" w:rsidRPr="00050606">
              <w:rPr>
                <w:rFonts w:ascii="Calibri" w:hAnsi="Calibri"/>
                <w:color w:val="000000"/>
                <w:lang w:eastAsia="en-GB"/>
              </w:rPr>
              <w:t> </w:t>
            </w:r>
          </w:p>
        </w:tc>
        <w:tc>
          <w:tcPr>
            <w:tcW w:w="1134" w:type="dxa"/>
            <w:shd w:val="clear" w:color="000000" w:fill="E4DFEC"/>
            <w:noWrap/>
            <w:vAlign w:val="center"/>
            <w:hideMark/>
          </w:tcPr>
          <w:p w14:paraId="31AD6C0E" w14:textId="0F9C4585" w:rsidR="00707761" w:rsidRPr="00050606" w:rsidRDefault="000E61C4" w:rsidP="00ED6507">
            <w:pPr>
              <w:jc w:val="right"/>
              <w:rPr>
                <w:rFonts w:ascii="Calibri" w:hAnsi="Calibri"/>
                <w:color w:val="000000"/>
                <w:lang w:eastAsia="en-GB"/>
              </w:rPr>
            </w:pPr>
            <w:r>
              <w:rPr>
                <w:rFonts w:ascii="Calibri" w:hAnsi="Calibri"/>
                <w:color w:val="000000"/>
                <w:lang w:eastAsia="en-GB"/>
              </w:rPr>
              <w:t>49</w:t>
            </w:r>
            <w:r w:rsidR="00707761" w:rsidRPr="00050606">
              <w:rPr>
                <w:rFonts w:ascii="Calibri" w:hAnsi="Calibri"/>
                <w:color w:val="000000"/>
                <w:lang w:eastAsia="en-GB"/>
              </w:rPr>
              <w:t> </w:t>
            </w:r>
          </w:p>
        </w:tc>
        <w:tc>
          <w:tcPr>
            <w:tcW w:w="1134" w:type="dxa"/>
            <w:shd w:val="clear" w:color="000000" w:fill="E4DFEC"/>
            <w:noWrap/>
            <w:vAlign w:val="center"/>
            <w:hideMark/>
          </w:tcPr>
          <w:p w14:paraId="65173122" w14:textId="4C9B2DF8" w:rsidR="00707761" w:rsidRPr="00050606" w:rsidRDefault="000E61C4" w:rsidP="000B2F60">
            <w:pPr>
              <w:jc w:val="right"/>
              <w:rPr>
                <w:rFonts w:ascii="Calibri" w:hAnsi="Calibri"/>
                <w:color w:val="000000"/>
                <w:lang w:eastAsia="en-GB"/>
              </w:rPr>
            </w:pPr>
            <w:r>
              <w:rPr>
                <w:rFonts w:ascii="Calibri" w:hAnsi="Calibri"/>
                <w:color w:val="000000"/>
                <w:lang w:eastAsia="en-GB"/>
              </w:rPr>
              <w:t>98</w:t>
            </w:r>
          </w:p>
        </w:tc>
        <w:tc>
          <w:tcPr>
            <w:tcW w:w="1276" w:type="dxa"/>
            <w:shd w:val="clear" w:color="auto" w:fill="CCC0D9" w:themeFill="accent4" w:themeFillTint="66"/>
            <w:noWrap/>
            <w:vAlign w:val="center"/>
            <w:hideMark/>
          </w:tcPr>
          <w:p w14:paraId="45C4D7F4" w14:textId="4E15CC7B" w:rsidR="00707761" w:rsidRPr="00050606" w:rsidRDefault="004B0E90" w:rsidP="00ED6507">
            <w:pPr>
              <w:jc w:val="right"/>
              <w:rPr>
                <w:rFonts w:ascii="Calibri" w:hAnsi="Calibri"/>
                <w:color w:val="000000"/>
                <w:lang w:eastAsia="en-GB"/>
              </w:rPr>
            </w:pPr>
            <w:r>
              <w:rPr>
                <w:rFonts w:ascii="Calibri" w:hAnsi="Calibri"/>
                <w:color w:val="000000"/>
                <w:lang w:eastAsia="en-GB"/>
              </w:rPr>
              <w:t>118</w:t>
            </w:r>
            <w:r w:rsidR="00707761" w:rsidRPr="00050606">
              <w:rPr>
                <w:rFonts w:ascii="Calibri" w:hAnsi="Calibri"/>
                <w:color w:val="000000"/>
                <w:lang w:eastAsia="en-GB"/>
              </w:rPr>
              <w:t> </w:t>
            </w:r>
          </w:p>
        </w:tc>
        <w:tc>
          <w:tcPr>
            <w:tcW w:w="1134" w:type="dxa"/>
            <w:shd w:val="clear" w:color="000000" w:fill="E4DFEC"/>
            <w:noWrap/>
            <w:vAlign w:val="center"/>
          </w:tcPr>
          <w:p w14:paraId="2B9D91B2" w14:textId="077D8370" w:rsidR="00707761" w:rsidRPr="00050606" w:rsidRDefault="00FB3992" w:rsidP="006D622C">
            <w:pPr>
              <w:jc w:val="right"/>
              <w:rPr>
                <w:rFonts w:ascii="Calibri" w:hAnsi="Calibri"/>
                <w:color w:val="000000"/>
                <w:lang w:eastAsia="en-GB"/>
              </w:rPr>
            </w:pPr>
            <w:r>
              <w:rPr>
                <w:rFonts w:ascii="Calibri" w:hAnsi="Calibri"/>
                <w:color w:val="000000"/>
                <w:lang w:eastAsia="en-GB"/>
              </w:rPr>
              <w:t>60</w:t>
            </w:r>
          </w:p>
        </w:tc>
        <w:tc>
          <w:tcPr>
            <w:tcW w:w="1134" w:type="dxa"/>
            <w:shd w:val="clear" w:color="000000" w:fill="E4DFEC"/>
            <w:noWrap/>
            <w:vAlign w:val="center"/>
          </w:tcPr>
          <w:p w14:paraId="56EB1C46" w14:textId="1EE11382" w:rsidR="00707761" w:rsidRPr="00050606" w:rsidRDefault="00FB3992" w:rsidP="006D622C">
            <w:pPr>
              <w:jc w:val="right"/>
              <w:rPr>
                <w:rFonts w:ascii="Calibri" w:hAnsi="Calibri"/>
                <w:color w:val="000000"/>
                <w:lang w:eastAsia="en-GB"/>
              </w:rPr>
            </w:pPr>
            <w:r>
              <w:rPr>
                <w:rFonts w:ascii="Calibri" w:hAnsi="Calibri"/>
                <w:color w:val="000000"/>
                <w:lang w:eastAsia="en-GB"/>
              </w:rPr>
              <w:t>68</w:t>
            </w:r>
          </w:p>
        </w:tc>
        <w:tc>
          <w:tcPr>
            <w:tcW w:w="1275" w:type="dxa"/>
            <w:shd w:val="clear" w:color="auto" w:fill="CCC0D9" w:themeFill="accent4" w:themeFillTint="66"/>
            <w:noWrap/>
            <w:vAlign w:val="center"/>
          </w:tcPr>
          <w:p w14:paraId="14A895A1" w14:textId="08131BBE" w:rsidR="00707761" w:rsidRPr="00050606" w:rsidRDefault="00FB3992" w:rsidP="00ED6507">
            <w:pPr>
              <w:jc w:val="right"/>
              <w:rPr>
                <w:rFonts w:ascii="Calibri" w:hAnsi="Calibri"/>
                <w:color w:val="000000"/>
                <w:lang w:eastAsia="en-GB"/>
              </w:rPr>
            </w:pPr>
            <w:r>
              <w:rPr>
                <w:rFonts w:ascii="Calibri" w:hAnsi="Calibri"/>
                <w:color w:val="000000"/>
                <w:lang w:eastAsia="en-GB"/>
              </w:rPr>
              <w:t>110</w:t>
            </w:r>
          </w:p>
        </w:tc>
      </w:tr>
      <w:tr w:rsidR="00707761" w:rsidRPr="00050606" w14:paraId="1277CFA5" w14:textId="77777777" w:rsidTr="0029188A">
        <w:trPr>
          <w:trHeight w:val="473"/>
        </w:trPr>
        <w:tc>
          <w:tcPr>
            <w:tcW w:w="2000" w:type="dxa"/>
            <w:shd w:val="clear" w:color="000000" w:fill="E4DFEC"/>
            <w:vAlign w:val="center"/>
            <w:hideMark/>
          </w:tcPr>
          <w:p w14:paraId="49EBE643"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Business Rates Retention</w:t>
            </w:r>
          </w:p>
        </w:tc>
        <w:tc>
          <w:tcPr>
            <w:tcW w:w="1134" w:type="dxa"/>
            <w:shd w:val="clear" w:color="auto" w:fill="CCC0D9" w:themeFill="accent4" w:themeFillTint="66"/>
            <w:noWrap/>
            <w:vAlign w:val="center"/>
            <w:hideMark/>
          </w:tcPr>
          <w:p w14:paraId="79ED759F" w14:textId="6745CEBA" w:rsidR="00707761" w:rsidRPr="00050606" w:rsidRDefault="000E61C4" w:rsidP="00630B56">
            <w:pPr>
              <w:jc w:val="right"/>
              <w:rPr>
                <w:rFonts w:ascii="Calibri" w:hAnsi="Calibri"/>
                <w:color w:val="000000"/>
                <w:lang w:eastAsia="en-GB"/>
              </w:rPr>
            </w:pPr>
            <w:r>
              <w:rPr>
                <w:rFonts w:ascii="Calibri" w:hAnsi="Calibri"/>
                <w:color w:val="000000"/>
                <w:lang w:eastAsia="en-GB"/>
              </w:rPr>
              <w:t>3,133</w:t>
            </w:r>
          </w:p>
        </w:tc>
        <w:tc>
          <w:tcPr>
            <w:tcW w:w="1134" w:type="dxa"/>
            <w:shd w:val="clear" w:color="000000" w:fill="E4DFEC"/>
            <w:noWrap/>
            <w:vAlign w:val="center"/>
            <w:hideMark/>
          </w:tcPr>
          <w:p w14:paraId="25C65A70" w14:textId="7067C709" w:rsidR="00707761" w:rsidRPr="00050606" w:rsidRDefault="000E61C4" w:rsidP="007C7A6A">
            <w:pPr>
              <w:jc w:val="right"/>
              <w:rPr>
                <w:rFonts w:ascii="Calibri" w:hAnsi="Calibri"/>
                <w:color w:val="000000"/>
                <w:lang w:eastAsia="en-GB"/>
              </w:rPr>
            </w:pPr>
            <w:r>
              <w:rPr>
                <w:rFonts w:ascii="Calibri" w:hAnsi="Calibri"/>
                <w:color w:val="000000"/>
                <w:lang w:eastAsia="en-GB"/>
              </w:rPr>
              <w:t>0</w:t>
            </w:r>
            <w:r w:rsidR="00707761" w:rsidRPr="00050606">
              <w:rPr>
                <w:rFonts w:ascii="Calibri" w:hAnsi="Calibri"/>
                <w:color w:val="000000"/>
                <w:lang w:eastAsia="en-GB"/>
              </w:rPr>
              <w:t> </w:t>
            </w:r>
          </w:p>
        </w:tc>
        <w:tc>
          <w:tcPr>
            <w:tcW w:w="1134" w:type="dxa"/>
            <w:shd w:val="clear" w:color="000000" w:fill="E4DFEC"/>
            <w:noWrap/>
            <w:vAlign w:val="center"/>
            <w:hideMark/>
          </w:tcPr>
          <w:p w14:paraId="45882FF6" w14:textId="653AD75E" w:rsidR="00707761" w:rsidRPr="00050606" w:rsidRDefault="000E61C4" w:rsidP="000B2F60">
            <w:pPr>
              <w:jc w:val="right"/>
              <w:rPr>
                <w:rFonts w:ascii="Calibri" w:hAnsi="Calibri"/>
                <w:color w:val="000000"/>
                <w:lang w:eastAsia="en-GB"/>
              </w:rPr>
            </w:pPr>
            <w:r>
              <w:rPr>
                <w:rFonts w:ascii="Calibri" w:hAnsi="Calibri"/>
                <w:color w:val="000000"/>
                <w:lang w:eastAsia="en-GB"/>
              </w:rPr>
              <w:t>1,975</w:t>
            </w:r>
          </w:p>
        </w:tc>
        <w:tc>
          <w:tcPr>
            <w:tcW w:w="1276" w:type="dxa"/>
            <w:shd w:val="clear" w:color="auto" w:fill="CCC0D9" w:themeFill="accent4" w:themeFillTint="66"/>
            <w:noWrap/>
            <w:vAlign w:val="center"/>
            <w:hideMark/>
          </w:tcPr>
          <w:p w14:paraId="14A4CFD4" w14:textId="2FE40FEE" w:rsidR="00707761" w:rsidRPr="00050606" w:rsidRDefault="004B0E90" w:rsidP="00ED6507">
            <w:pPr>
              <w:jc w:val="right"/>
              <w:rPr>
                <w:rFonts w:ascii="Calibri" w:hAnsi="Calibri"/>
                <w:color w:val="000000"/>
                <w:lang w:eastAsia="en-GB"/>
              </w:rPr>
            </w:pPr>
            <w:r>
              <w:rPr>
                <w:rFonts w:ascii="Calibri" w:hAnsi="Calibri"/>
                <w:color w:val="000000"/>
                <w:lang w:eastAsia="en-GB"/>
              </w:rPr>
              <w:t>1,158</w:t>
            </w:r>
            <w:r w:rsidR="00707761" w:rsidRPr="00050606">
              <w:rPr>
                <w:rFonts w:ascii="Calibri" w:hAnsi="Calibri"/>
                <w:color w:val="000000"/>
                <w:lang w:eastAsia="en-GB"/>
              </w:rPr>
              <w:t> </w:t>
            </w:r>
          </w:p>
        </w:tc>
        <w:tc>
          <w:tcPr>
            <w:tcW w:w="1134" w:type="dxa"/>
            <w:shd w:val="clear" w:color="000000" w:fill="E4DFEC"/>
            <w:noWrap/>
            <w:vAlign w:val="center"/>
          </w:tcPr>
          <w:p w14:paraId="11C5BB3B" w14:textId="2850C1FE" w:rsidR="00707761" w:rsidRPr="00050606" w:rsidRDefault="00FB3992" w:rsidP="006D622C">
            <w:pPr>
              <w:jc w:val="right"/>
              <w:rPr>
                <w:rFonts w:ascii="Calibri" w:hAnsi="Calibri"/>
                <w:color w:val="000000"/>
                <w:lang w:eastAsia="en-GB"/>
              </w:rPr>
            </w:pPr>
            <w:r>
              <w:rPr>
                <w:rFonts w:ascii="Calibri" w:hAnsi="Calibri"/>
                <w:color w:val="000000"/>
                <w:lang w:eastAsia="en-GB"/>
              </w:rPr>
              <w:t>481</w:t>
            </w:r>
          </w:p>
        </w:tc>
        <w:tc>
          <w:tcPr>
            <w:tcW w:w="1134" w:type="dxa"/>
            <w:shd w:val="clear" w:color="000000" w:fill="E4DFEC"/>
            <w:noWrap/>
            <w:vAlign w:val="center"/>
          </w:tcPr>
          <w:p w14:paraId="69AC7749" w14:textId="3D2F0251" w:rsidR="00707761" w:rsidRPr="00050606" w:rsidRDefault="00FB3992" w:rsidP="00ED6507">
            <w:pPr>
              <w:jc w:val="right"/>
              <w:rPr>
                <w:rFonts w:ascii="Calibri" w:hAnsi="Calibri"/>
                <w:color w:val="000000"/>
                <w:lang w:eastAsia="en-GB"/>
              </w:rPr>
            </w:pPr>
            <w:r>
              <w:rPr>
                <w:rFonts w:ascii="Calibri" w:hAnsi="Calibri"/>
                <w:color w:val="000000"/>
                <w:lang w:eastAsia="en-GB"/>
              </w:rPr>
              <w:t>0</w:t>
            </w:r>
          </w:p>
        </w:tc>
        <w:tc>
          <w:tcPr>
            <w:tcW w:w="1275" w:type="dxa"/>
            <w:shd w:val="clear" w:color="auto" w:fill="CCC0D9" w:themeFill="accent4" w:themeFillTint="66"/>
            <w:noWrap/>
            <w:vAlign w:val="center"/>
          </w:tcPr>
          <w:p w14:paraId="186915D8" w14:textId="24441CD8" w:rsidR="00707761" w:rsidRPr="00050606" w:rsidRDefault="00FB3992" w:rsidP="003A2E38">
            <w:pPr>
              <w:jc w:val="right"/>
              <w:rPr>
                <w:rFonts w:ascii="Calibri" w:hAnsi="Calibri"/>
                <w:color w:val="000000"/>
                <w:lang w:eastAsia="en-GB"/>
              </w:rPr>
            </w:pPr>
            <w:r>
              <w:rPr>
                <w:rFonts w:ascii="Calibri" w:hAnsi="Calibri"/>
                <w:color w:val="000000"/>
                <w:lang w:eastAsia="en-GB"/>
              </w:rPr>
              <w:t>1,639</w:t>
            </w:r>
          </w:p>
        </w:tc>
      </w:tr>
      <w:tr w:rsidR="00707761" w:rsidRPr="00050606" w14:paraId="01946934" w14:textId="77777777" w:rsidTr="0029188A">
        <w:trPr>
          <w:trHeight w:val="369"/>
        </w:trPr>
        <w:tc>
          <w:tcPr>
            <w:tcW w:w="2000" w:type="dxa"/>
            <w:shd w:val="clear" w:color="000000" w:fill="E4DFEC"/>
            <w:vAlign w:val="center"/>
            <w:hideMark/>
          </w:tcPr>
          <w:p w14:paraId="1965AE0F" w14:textId="10625056" w:rsidR="00707761" w:rsidRPr="00050606" w:rsidRDefault="00C333A7" w:rsidP="00ED6507">
            <w:pPr>
              <w:rPr>
                <w:rFonts w:ascii="Calibri" w:hAnsi="Calibri"/>
                <w:color w:val="000000"/>
                <w:lang w:eastAsia="en-GB"/>
              </w:rPr>
            </w:pPr>
            <w:r>
              <w:rPr>
                <w:rFonts w:ascii="Calibri" w:hAnsi="Calibri"/>
                <w:color w:val="000000"/>
                <w:lang w:eastAsia="en-GB"/>
              </w:rPr>
              <w:t>Property Fund Reserve</w:t>
            </w:r>
          </w:p>
        </w:tc>
        <w:tc>
          <w:tcPr>
            <w:tcW w:w="1134" w:type="dxa"/>
            <w:shd w:val="clear" w:color="auto" w:fill="CCC0D9" w:themeFill="accent4" w:themeFillTint="66"/>
            <w:noWrap/>
            <w:vAlign w:val="center"/>
            <w:hideMark/>
          </w:tcPr>
          <w:p w14:paraId="6CD32301" w14:textId="7C1898EC" w:rsidR="00707761" w:rsidRPr="00050606" w:rsidRDefault="000E61C4" w:rsidP="00ED6507">
            <w:pPr>
              <w:jc w:val="right"/>
              <w:rPr>
                <w:rFonts w:ascii="Calibri" w:hAnsi="Calibri"/>
                <w:color w:val="000000"/>
                <w:lang w:eastAsia="en-GB"/>
              </w:rPr>
            </w:pPr>
            <w:r>
              <w:rPr>
                <w:rFonts w:ascii="Calibri" w:hAnsi="Calibri"/>
                <w:color w:val="000000"/>
                <w:lang w:eastAsia="en-GB"/>
              </w:rPr>
              <w:t>6</w:t>
            </w:r>
            <w:r w:rsidR="000B2F60">
              <w:rPr>
                <w:rFonts w:ascii="Calibri" w:hAnsi="Calibri"/>
                <w:color w:val="000000"/>
                <w:lang w:eastAsia="en-GB"/>
              </w:rPr>
              <w:t>0</w:t>
            </w:r>
            <w:r w:rsidR="00707761" w:rsidRPr="00050606">
              <w:rPr>
                <w:rFonts w:ascii="Calibri" w:hAnsi="Calibri"/>
                <w:color w:val="000000"/>
                <w:lang w:eastAsia="en-GB"/>
              </w:rPr>
              <w:t> </w:t>
            </w:r>
          </w:p>
        </w:tc>
        <w:tc>
          <w:tcPr>
            <w:tcW w:w="1134" w:type="dxa"/>
            <w:shd w:val="clear" w:color="000000" w:fill="E4DFEC"/>
            <w:noWrap/>
            <w:vAlign w:val="center"/>
            <w:hideMark/>
          </w:tcPr>
          <w:p w14:paraId="7AF2C7FC" w14:textId="4A49E8EA" w:rsidR="00707761" w:rsidRPr="00050606" w:rsidRDefault="000E61C4" w:rsidP="00ED6507">
            <w:pPr>
              <w:jc w:val="right"/>
              <w:rPr>
                <w:rFonts w:ascii="Calibri" w:hAnsi="Calibri"/>
                <w:color w:val="000000"/>
                <w:lang w:eastAsia="en-GB"/>
              </w:rPr>
            </w:pPr>
            <w:r>
              <w:rPr>
                <w:rFonts w:ascii="Calibri" w:hAnsi="Calibri"/>
                <w:color w:val="000000"/>
                <w:lang w:eastAsia="en-GB"/>
              </w:rPr>
              <w:t>30</w:t>
            </w:r>
            <w:r w:rsidR="00707761" w:rsidRPr="00050606">
              <w:rPr>
                <w:rFonts w:ascii="Calibri" w:hAnsi="Calibri"/>
                <w:color w:val="000000"/>
                <w:lang w:eastAsia="en-GB"/>
              </w:rPr>
              <w:t> </w:t>
            </w:r>
          </w:p>
        </w:tc>
        <w:tc>
          <w:tcPr>
            <w:tcW w:w="1134" w:type="dxa"/>
            <w:shd w:val="clear" w:color="000000" w:fill="E4DFEC"/>
            <w:noWrap/>
            <w:vAlign w:val="center"/>
            <w:hideMark/>
          </w:tcPr>
          <w:p w14:paraId="4EEEFAAB" w14:textId="77777777" w:rsidR="00707761" w:rsidRPr="00050606" w:rsidRDefault="000B2F60" w:rsidP="000B2F60">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hideMark/>
          </w:tcPr>
          <w:p w14:paraId="41135028" w14:textId="67CCD530" w:rsidR="00707761" w:rsidRPr="00050606" w:rsidRDefault="004B0E90" w:rsidP="00ED6507">
            <w:pPr>
              <w:jc w:val="right"/>
              <w:rPr>
                <w:rFonts w:ascii="Calibri" w:hAnsi="Calibri"/>
                <w:color w:val="000000"/>
                <w:lang w:eastAsia="en-GB"/>
              </w:rPr>
            </w:pPr>
            <w:r>
              <w:rPr>
                <w:rFonts w:ascii="Calibri" w:hAnsi="Calibri"/>
                <w:color w:val="000000"/>
                <w:lang w:eastAsia="en-GB"/>
              </w:rPr>
              <w:t>90</w:t>
            </w:r>
            <w:r w:rsidR="00707761" w:rsidRPr="00050606">
              <w:rPr>
                <w:rFonts w:ascii="Calibri" w:hAnsi="Calibri"/>
                <w:color w:val="000000"/>
                <w:lang w:eastAsia="en-GB"/>
              </w:rPr>
              <w:t> </w:t>
            </w:r>
          </w:p>
        </w:tc>
        <w:tc>
          <w:tcPr>
            <w:tcW w:w="1134" w:type="dxa"/>
            <w:shd w:val="clear" w:color="000000" w:fill="E4DFEC"/>
            <w:noWrap/>
            <w:vAlign w:val="center"/>
          </w:tcPr>
          <w:p w14:paraId="1CF6E6CD" w14:textId="64EFB825" w:rsidR="00707761" w:rsidRPr="00050606" w:rsidRDefault="00FB3992" w:rsidP="00ED6507">
            <w:pPr>
              <w:jc w:val="right"/>
              <w:rPr>
                <w:rFonts w:ascii="Calibri" w:hAnsi="Calibri"/>
                <w:color w:val="000000"/>
                <w:lang w:eastAsia="en-GB"/>
              </w:rPr>
            </w:pPr>
            <w:r>
              <w:rPr>
                <w:rFonts w:ascii="Calibri" w:hAnsi="Calibri"/>
                <w:color w:val="000000"/>
                <w:lang w:eastAsia="en-GB"/>
              </w:rPr>
              <w:t>30</w:t>
            </w:r>
          </w:p>
        </w:tc>
        <w:tc>
          <w:tcPr>
            <w:tcW w:w="1134" w:type="dxa"/>
            <w:shd w:val="clear" w:color="000000" w:fill="E4DFEC"/>
            <w:noWrap/>
            <w:vAlign w:val="center"/>
          </w:tcPr>
          <w:p w14:paraId="4700F8E6" w14:textId="5B7855DB" w:rsidR="00707761" w:rsidRPr="00050606" w:rsidRDefault="00FB3992" w:rsidP="00ED6507">
            <w:pPr>
              <w:jc w:val="right"/>
              <w:rPr>
                <w:rFonts w:ascii="Calibri" w:hAnsi="Calibri"/>
                <w:color w:val="000000"/>
                <w:lang w:eastAsia="en-GB"/>
              </w:rPr>
            </w:pPr>
            <w:r>
              <w:rPr>
                <w:rFonts w:ascii="Calibri" w:hAnsi="Calibri"/>
                <w:color w:val="000000"/>
                <w:lang w:eastAsia="en-GB"/>
              </w:rPr>
              <w:t>0</w:t>
            </w:r>
          </w:p>
        </w:tc>
        <w:tc>
          <w:tcPr>
            <w:tcW w:w="1275" w:type="dxa"/>
            <w:shd w:val="clear" w:color="auto" w:fill="CCC0D9" w:themeFill="accent4" w:themeFillTint="66"/>
            <w:noWrap/>
            <w:vAlign w:val="center"/>
          </w:tcPr>
          <w:p w14:paraId="0B5972C3" w14:textId="2B857084" w:rsidR="00707761" w:rsidRPr="00050606" w:rsidRDefault="00FB3992" w:rsidP="003A2E38">
            <w:pPr>
              <w:jc w:val="right"/>
              <w:rPr>
                <w:rFonts w:ascii="Calibri" w:hAnsi="Calibri"/>
                <w:color w:val="000000"/>
                <w:lang w:eastAsia="en-GB"/>
              </w:rPr>
            </w:pPr>
            <w:r>
              <w:rPr>
                <w:rFonts w:ascii="Calibri" w:hAnsi="Calibri"/>
                <w:color w:val="000000"/>
                <w:lang w:eastAsia="en-GB"/>
              </w:rPr>
              <w:t>120</w:t>
            </w:r>
          </w:p>
        </w:tc>
      </w:tr>
      <w:tr w:rsidR="00707761" w:rsidRPr="00050606" w14:paraId="5DCBB1A9" w14:textId="77777777" w:rsidTr="003738A6">
        <w:trPr>
          <w:trHeight w:val="761"/>
        </w:trPr>
        <w:tc>
          <w:tcPr>
            <w:tcW w:w="2000" w:type="dxa"/>
            <w:shd w:val="clear" w:color="000000" w:fill="E4DFEC"/>
            <w:vAlign w:val="center"/>
            <w:hideMark/>
          </w:tcPr>
          <w:p w14:paraId="35949282" w14:textId="42F7A175" w:rsidR="00707761" w:rsidRPr="00050606" w:rsidRDefault="00C333A7" w:rsidP="00ED6507">
            <w:pPr>
              <w:rPr>
                <w:rFonts w:ascii="Calibri" w:hAnsi="Calibri"/>
                <w:color w:val="000000"/>
                <w:lang w:eastAsia="en-GB"/>
              </w:rPr>
            </w:pPr>
            <w:r>
              <w:rPr>
                <w:rFonts w:ascii="Calibri" w:hAnsi="Calibri"/>
                <w:color w:val="000000"/>
                <w:lang w:eastAsia="en-GB"/>
              </w:rPr>
              <w:t>Council Tax Compensation Reserve</w:t>
            </w:r>
          </w:p>
        </w:tc>
        <w:tc>
          <w:tcPr>
            <w:tcW w:w="1134" w:type="dxa"/>
            <w:shd w:val="clear" w:color="auto" w:fill="CCC0D9" w:themeFill="accent4" w:themeFillTint="66"/>
            <w:noWrap/>
            <w:vAlign w:val="center"/>
            <w:hideMark/>
          </w:tcPr>
          <w:p w14:paraId="1FC55BEC" w14:textId="351BBA46" w:rsidR="00707761" w:rsidRPr="00050606" w:rsidRDefault="000E61C4" w:rsidP="00ED6507">
            <w:pPr>
              <w:jc w:val="right"/>
              <w:rPr>
                <w:rFonts w:ascii="Calibri" w:hAnsi="Calibri"/>
                <w:color w:val="000000"/>
                <w:lang w:eastAsia="en-GB"/>
              </w:rPr>
            </w:pPr>
            <w:r>
              <w:rPr>
                <w:rFonts w:ascii="Calibri" w:hAnsi="Calibri"/>
                <w:color w:val="000000"/>
                <w:lang w:eastAsia="en-GB"/>
              </w:rPr>
              <w:t>35</w:t>
            </w:r>
            <w:r w:rsidR="00707761" w:rsidRPr="00050606">
              <w:rPr>
                <w:rFonts w:ascii="Calibri" w:hAnsi="Calibri"/>
                <w:color w:val="000000"/>
                <w:lang w:eastAsia="en-GB"/>
              </w:rPr>
              <w:t> </w:t>
            </w:r>
          </w:p>
        </w:tc>
        <w:tc>
          <w:tcPr>
            <w:tcW w:w="1134" w:type="dxa"/>
            <w:shd w:val="clear" w:color="000000" w:fill="E4DFEC"/>
            <w:noWrap/>
            <w:vAlign w:val="center"/>
            <w:hideMark/>
          </w:tcPr>
          <w:p w14:paraId="716431BE" w14:textId="417F0EE3" w:rsidR="00707761" w:rsidRPr="00050606" w:rsidRDefault="000E61C4" w:rsidP="00ED6507">
            <w:pPr>
              <w:jc w:val="right"/>
              <w:rPr>
                <w:rFonts w:ascii="Calibri" w:hAnsi="Calibri"/>
                <w:color w:val="000000"/>
                <w:lang w:eastAsia="en-GB"/>
              </w:rPr>
            </w:pPr>
            <w:r>
              <w:rPr>
                <w:rFonts w:ascii="Calibri" w:hAnsi="Calibri"/>
                <w:color w:val="000000"/>
                <w:lang w:eastAsia="en-GB"/>
              </w:rPr>
              <w:t>1</w:t>
            </w:r>
            <w:r w:rsidR="00707761" w:rsidRPr="00050606">
              <w:rPr>
                <w:rFonts w:ascii="Calibri" w:hAnsi="Calibri"/>
                <w:color w:val="000000"/>
                <w:lang w:eastAsia="en-GB"/>
              </w:rPr>
              <w:t> </w:t>
            </w:r>
          </w:p>
        </w:tc>
        <w:tc>
          <w:tcPr>
            <w:tcW w:w="1134" w:type="dxa"/>
            <w:shd w:val="clear" w:color="000000" w:fill="E4DFEC"/>
            <w:noWrap/>
            <w:vAlign w:val="center"/>
            <w:hideMark/>
          </w:tcPr>
          <w:p w14:paraId="2BD52B07" w14:textId="53CA0252" w:rsidR="00707761" w:rsidRPr="00050606" w:rsidRDefault="000E61C4" w:rsidP="00ED6507">
            <w:pPr>
              <w:jc w:val="right"/>
              <w:rPr>
                <w:rFonts w:ascii="Calibri" w:hAnsi="Calibri"/>
                <w:color w:val="000000"/>
                <w:lang w:eastAsia="en-GB"/>
              </w:rPr>
            </w:pPr>
            <w:r>
              <w:rPr>
                <w:rFonts w:ascii="Calibri" w:hAnsi="Calibri"/>
                <w:color w:val="000000"/>
                <w:lang w:eastAsia="en-GB"/>
              </w:rPr>
              <w:t>12</w:t>
            </w:r>
          </w:p>
        </w:tc>
        <w:tc>
          <w:tcPr>
            <w:tcW w:w="1276" w:type="dxa"/>
            <w:shd w:val="clear" w:color="auto" w:fill="CCC0D9" w:themeFill="accent4" w:themeFillTint="66"/>
            <w:noWrap/>
            <w:vAlign w:val="center"/>
            <w:hideMark/>
          </w:tcPr>
          <w:p w14:paraId="2BE07FB0" w14:textId="091F511A" w:rsidR="00707761" w:rsidRPr="00050606" w:rsidRDefault="004B0E90" w:rsidP="00ED6507">
            <w:pPr>
              <w:jc w:val="right"/>
              <w:rPr>
                <w:rFonts w:ascii="Calibri" w:hAnsi="Calibri"/>
                <w:color w:val="000000"/>
                <w:lang w:eastAsia="en-GB"/>
              </w:rPr>
            </w:pPr>
            <w:r>
              <w:rPr>
                <w:rFonts w:ascii="Calibri" w:hAnsi="Calibri"/>
                <w:color w:val="000000"/>
                <w:lang w:eastAsia="en-GB"/>
              </w:rPr>
              <w:t>24</w:t>
            </w:r>
            <w:r w:rsidR="00707761" w:rsidRPr="00050606">
              <w:rPr>
                <w:rFonts w:ascii="Calibri" w:hAnsi="Calibri"/>
                <w:color w:val="000000"/>
                <w:lang w:eastAsia="en-GB"/>
              </w:rPr>
              <w:t> </w:t>
            </w:r>
          </w:p>
        </w:tc>
        <w:tc>
          <w:tcPr>
            <w:tcW w:w="1134" w:type="dxa"/>
            <w:shd w:val="clear" w:color="000000" w:fill="E4DFEC"/>
            <w:noWrap/>
            <w:vAlign w:val="center"/>
          </w:tcPr>
          <w:p w14:paraId="5E8F5C1A" w14:textId="393A3F83" w:rsidR="00707761" w:rsidRPr="00050606" w:rsidRDefault="00FB3992" w:rsidP="00ED6507">
            <w:pPr>
              <w:jc w:val="right"/>
              <w:rPr>
                <w:rFonts w:ascii="Calibri" w:hAnsi="Calibri"/>
                <w:color w:val="000000"/>
                <w:lang w:eastAsia="en-GB"/>
              </w:rPr>
            </w:pPr>
            <w:r>
              <w:rPr>
                <w:rFonts w:ascii="Calibri" w:hAnsi="Calibri"/>
                <w:color w:val="000000"/>
                <w:lang w:eastAsia="en-GB"/>
              </w:rPr>
              <w:t>0</w:t>
            </w:r>
          </w:p>
        </w:tc>
        <w:tc>
          <w:tcPr>
            <w:tcW w:w="1134" w:type="dxa"/>
            <w:shd w:val="clear" w:color="000000" w:fill="E4DFEC"/>
            <w:noWrap/>
            <w:vAlign w:val="center"/>
          </w:tcPr>
          <w:p w14:paraId="3CCD3121" w14:textId="3559B6F1" w:rsidR="00707761" w:rsidRPr="00050606" w:rsidRDefault="00FB3992" w:rsidP="00ED6507">
            <w:pPr>
              <w:jc w:val="right"/>
              <w:rPr>
                <w:rFonts w:ascii="Calibri" w:hAnsi="Calibri"/>
                <w:color w:val="000000"/>
                <w:lang w:eastAsia="en-GB"/>
              </w:rPr>
            </w:pPr>
            <w:r>
              <w:rPr>
                <w:rFonts w:ascii="Calibri" w:hAnsi="Calibri"/>
                <w:color w:val="000000"/>
                <w:lang w:eastAsia="en-GB"/>
              </w:rPr>
              <w:t>12</w:t>
            </w:r>
          </w:p>
        </w:tc>
        <w:tc>
          <w:tcPr>
            <w:tcW w:w="1275" w:type="dxa"/>
            <w:shd w:val="clear" w:color="auto" w:fill="CCC0D9" w:themeFill="accent4" w:themeFillTint="66"/>
            <w:noWrap/>
            <w:vAlign w:val="center"/>
          </w:tcPr>
          <w:p w14:paraId="26E2971B" w14:textId="256C7C65" w:rsidR="00707761" w:rsidRPr="00050606" w:rsidRDefault="00FB3992" w:rsidP="00ED6507">
            <w:pPr>
              <w:jc w:val="right"/>
              <w:rPr>
                <w:rFonts w:ascii="Calibri" w:hAnsi="Calibri"/>
                <w:color w:val="000000"/>
                <w:lang w:eastAsia="en-GB"/>
              </w:rPr>
            </w:pPr>
            <w:r>
              <w:rPr>
                <w:rFonts w:ascii="Calibri" w:hAnsi="Calibri"/>
                <w:color w:val="000000"/>
                <w:lang w:eastAsia="en-GB"/>
              </w:rPr>
              <w:t>12</w:t>
            </w:r>
          </w:p>
        </w:tc>
      </w:tr>
      <w:tr w:rsidR="00707761" w:rsidRPr="00050606" w14:paraId="3180D70E" w14:textId="77777777" w:rsidTr="0029188A">
        <w:trPr>
          <w:trHeight w:val="427"/>
        </w:trPr>
        <w:tc>
          <w:tcPr>
            <w:tcW w:w="2000" w:type="dxa"/>
            <w:shd w:val="clear" w:color="000000" w:fill="E4DFEC"/>
            <w:vAlign w:val="center"/>
            <w:hideMark/>
          </w:tcPr>
          <w:p w14:paraId="6A6B8BD7"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Waterfield Leisure Centre</w:t>
            </w:r>
          </w:p>
        </w:tc>
        <w:tc>
          <w:tcPr>
            <w:tcW w:w="1134" w:type="dxa"/>
            <w:shd w:val="clear" w:color="auto" w:fill="CCC0D9" w:themeFill="accent4" w:themeFillTint="66"/>
            <w:noWrap/>
            <w:vAlign w:val="center"/>
            <w:hideMark/>
          </w:tcPr>
          <w:p w14:paraId="3AE0A314" w14:textId="4B792952" w:rsidR="00707761" w:rsidRPr="00050606" w:rsidRDefault="000E61C4" w:rsidP="000B2F60">
            <w:pPr>
              <w:jc w:val="right"/>
              <w:rPr>
                <w:rFonts w:ascii="Calibri" w:hAnsi="Calibri"/>
                <w:color w:val="000000"/>
                <w:lang w:eastAsia="en-GB"/>
              </w:rPr>
            </w:pPr>
            <w:r>
              <w:rPr>
                <w:rFonts w:ascii="Calibri" w:hAnsi="Calibri"/>
                <w:color w:val="000000"/>
                <w:lang w:eastAsia="en-GB"/>
              </w:rPr>
              <w:t>420</w:t>
            </w:r>
            <w:r w:rsidR="00707761" w:rsidRPr="00050606">
              <w:rPr>
                <w:rFonts w:ascii="Calibri" w:hAnsi="Calibri"/>
                <w:color w:val="000000"/>
                <w:lang w:eastAsia="en-GB"/>
              </w:rPr>
              <w:t> </w:t>
            </w:r>
          </w:p>
        </w:tc>
        <w:tc>
          <w:tcPr>
            <w:tcW w:w="1134" w:type="dxa"/>
            <w:shd w:val="clear" w:color="000000" w:fill="E4DFEC"/>
            <w:noWrap/>
            <w:vAlign w:val="center"/>
            <w:hideMark/>
          </w:tcPr>
          <w:p w14:paraId="56DD064A" w14:textId="11EEEF78" w:rsidR="00707761" w:rsidRPr="00050606" w:rsidRDefault="000E61C4" w:rsidP="00ED6507">
            <w:pPr>
              <w:jc w:val="right"/>
              <w:rPr>
                <w:rFonts w:ascii="Calibri" w:hAnsi="Calibri"/>
                <w:color w:val="000000"/>
                <w:lang w:eastAsia="en-GB"/>
              </w:rPr>
            </w:pPr>
            <w:r>
              <w:rPr>
                <w:rFonts w:ascii="Calibri" w:hAnsi="Calibri"/>
                <w:color w:val="000000"/>
                <w:lang w:eastAsia="en-GB"/>
              </w:rPr>
              <w:t>40</w:t>
            </w:r>
            <w:r w:rsidR="00707761" w:rsidRPr="00050606">
              <w:rPr>
                <w:rFonts w:ascii="Calibri" w:hAnsi="Calibri"/>
                <w:color w:val="000000"/>
                <w:lang w:eastAsia="en-GB"/>
              </w:rPr>
              <w:t> </w:t>
            </w:r>
          </w:p>
        </w:tc>
        <w:tc>
          <w:tcPr>
            <w:tcW w:w="1134" w:type="dxa"/>
            <w:shd w:val="clear" w:color="000000" w:fill="E4DFEC"/>
            <w:noWrap/>
            <w:vAlign w:val="center"/>
            <w:hideMark/>
          </w:tcPr>
          <w:p w14:paraId="78471E6B" w14:textId="288AAA82" w:rsidR="00707761" w:rsidRPr="00050606" w:rsidRDefault="000E61C4" w:rsidP="000B2F60">
            <w:pPr>
              <w:jc w:val="right"/>
              <w:rPr>
                <w:rFonts w:ascii="Calibri" w:hAnsi="Calibri"/>
                <w:color w:val="000000"/>
                <w:lang w:eastAsia="en-GB"/>
              </w:rPr>
            </w:pPr>
            <w:r>
              <w:rPr>
                <w:rFonts w:ascii="Calibri" w:hAnsi="Calibri"/>
                <w:color w:val="000000"/>
                <w:lang w:eastAsia="en-GB"/>
              </w:rPr>
              <w:t>274</w:t>
            </w:r>
          </w:p>
        </w:tc>
        <w:tc>
          <w:tcPr>
            <w:tcW w:w="1276" w:type="dxa"/>
            <w:shd w:val="clear" w:color="auto" w:fill="CCC0D9" w:themeFill="accent4" w:themeFillTint="66"/>
            <w:noWrap/>
            <w:vAlign w:val="center"/>
            <w:hideMark/>
          </w:tcPr>
          <w:p w14:paraId="5B66F165" w14:textId="7CDE7A93" w:rsidR="00707761" w:rsidRPr="00050606" w:rsidRDefault="004B0E90" w:rsidP="000B2F60">
            <w:pPr>
              <w:jc w:val="right"/>
              <w:rPr>
                <w:rFonts w:ascii="Calibri" w:hAnsi="Calibri"/>
                <w:color w:val="000000"/>
                <w:lang w:eastAsia="en-GB"/>
              </w:rPr>
            </w:pPr>
            <w:r>
              <w:rPr>
                <w:rFonts w:ascii="Calibri" w:hAnsi="Calibri"/>
                <w:color w:val="000000"/>
                <w:lang w:eastAsia="en-GB"/>
              </w:rPr>
              <w:t>186</w:t>
            </w:r>
            <w:r w:rsidR="00707761" w:rsidRPr="00050606">
              <w:rPr>
                <w:rFonts w:ascii="Calibri" w:hAnsi="Calibri"/>
                <w:color w:val="000000"/>
                <w:lang w:eastAsia="en-GB"/>
              </w:rPr>
              <w:t> </w:t>
            </w:r>
          </w:p>
        </w:tc>
        <w:tc>
          <w:tcPr>
            <w:tcW w:w="1134" w:type="dxa"/>
            <w:shd w:val="clear" w:color="000000" w:fill="E4DFEC"/>
            <w:noWrap/>
            <w:vAlign w:val="center"/>
          </w:tcPr>
          <w:p w14:paraId="174799B8" w14:textId="17A9CF63" w:rsidR="00707761" w:rsidRPr="00050606" w:rsidRDefault="00FB3992" w:rsidP="006D622C">
            <w:pPr>
              <w:jc w:val="right"/>
              <w:rPr>
                <w:rFonts w:ascii="Calibri" w:hAnsi="Calibri"/>
                <w:color w:val="000000"/>
                <w:lang w:eastAsia="en-GB"/>
              </w:rPr>
            </w:pPr>
            <w:r>
              <w:rPr>
                <w:rFonts w:ascii="Calibri" w:hAnsi="Calibri"/>
                <w:color w:val="000000"/>
                <w:lang w:eastAsia="en-GB"/>
              </w:rPr>
              <w:t>57</w:t>
            </w:r>
          </w:p>
        </w:tc>
        <w:tc>
          <w:tcPr>
            <w:tcW w:w="1134" w:type="dxa"/>
            <w:shd w:val="clear" w:color="000000" w:fill="E4DFEC"/>
            <w:noWrap/>
            <w:vAlign w:val="center"/>
          </w:tcPr>
          <w:p w14:paraId="30E0DC25" w14:textId="6CC3766B" w:rsidR="00707761" w:rsidRPr="00050606" w:rsidRDefault="00FB3992" w:rsidP="00ED6507">
            <w:pPr>
              <w:jc w:val="right"/>
              <w:rPr>
                <w:rFonts w:ascii="Calibri" w:hAnsi="Calibri"/>
                <w:color w:val="000000"/>
                <w:lang w:eastAsia="en-GB"/>
              </w:rPr>
            </w:pPr>
            <w:r>
              <w:rPr>
                <w:rFonts w:ascii="Calibri" w:hAnsi="Calibri"/>
                <w:color w:val="000000"/>
                <w:lang w:eastAsia="en-GB"/>
              </w:rPr>
              <w:t>20</w:t>
            </w:r>
          </w:p>
        </w:tc>
        <w:tc>
          <w:tcPr>
            <w:tcW w:w="1275" w:type="dxa"/>
            <w:shd w:val="clear" w:color="auto" w:fill="CCC0D9" w:themeFill="accent4" w:themeFillTint="66"/>
            <w:noWrap/>
            <w:vAlign w:val="center"/>
          </w:tcPr>
          <w:p w14:paraId="3D6A490A" w14:textId="31DB4505" w:rsidR="00707761" w:rsidRPr="00050606" w:rsidRDefault="00FB3992" w:rsidP="00ED6507">
            <w:pPr>
              <w:jc w:val="right"/>
              <w:rPr>
                <w:rFonts w:ascii="Calibri" w:hAnsi="Calibri"/>
                <w:color w:val="000000"/>
                <w:lang w:eastAsia="en-GB"/>
              </w:rPr>
            </w:pPr>
            <w:r>
              <w:rPr>
                <w:rFonts w:ascii="Calibri" w:hAnsi="Calibri"/>
                <w:color w:val="000000"/>
                <w:lang w:eastAsia="en-GB"/>
              </w:rPr>
              <w:t>223</w:t>
            </w:r>
          </w:p>
        </w:tc>
      </w:tr>
      <w:tr w:rsidR="00B55581" w:rsidRPr="00050606" w14:paraId="5B15BAB1" w14:textId="77777777" w:rsidTr="0029188A">
        <w:trPr>
          <w:trHeight w:val="505"/>
        </w:trPr>
        <w:tc>
          <w:tcPr>
            <w:tcW w:w="2000" w:type="dxa"/>
            <w:shd w:val="clear" w:color="000000" w:fill="E4DFEC"/>
            <w:vAlign w:val="center"/>
          </w:tcPr>
          <w:p w14:paraId="36C7066F" w14:textId="77777777" w:rsidR="00B55581" w:rsidRDefault="00B55581" w:rsidP="00ED6507">
            <w:pPr>
              <w:rPr>
                <w:rFonts w:ascii="Calibri" w:hAnsi="Calibri"/>
                <w:color w:val="000000"/>
                <w:lang w:eastAsia="en-GB"/>
              </w:rPr>
            </w:pPr>
            <w:proofErr w:type="spellStart"/>
            <w:r>
              <w:rPr>
                <w:rFonts w:ascii="Calibri" w:hAnsi="Calibri"/>
                <w:color w:val="000000"/>
                <w:lang w:eastAsia="en-GB"/>
              </w:rPr>
              <w:t>Welland</w:t>
            </w:r>
            <w:proofErr w:type="spellEnd"/>
            <w:r>
              <w:rPr>
                <w:rFonts w:ascii="Calibri" w:hAnsi="Calibri"/>
                <w:color w:val="000000"/>
                <w:lang w:eastAsia="en-GB"/>
              </w:rPr>
              <w:t xml:space="preserve"> Procurement</w:t>
            </w:r>
          </w:p>
        </w:tc>
        <w:tc>
          <w:tcPr>
            <w:tcW w:w="1134" w:type="dxa"/>
            <w:shd w:val="clear" w:color="auto" w:fill="CCC0D9" w:themeFill="accent4" w:themeFillTint="66"/>
            <w:noWrap/>
            <w:vAlign w:val="center"/>
          </w:tcPr>
          <w:p w14:paraId="0C4E9BB5" w14:textId="7BD32F2A" w:rsidR="00B55581" w:rsidRDefault="000B2F60" w:rsidP="00ED6507">
            <w:pPr>
              <w:jc w:val="right"/>
              <w:rPr>
                <w:rFonts w:ascii="Calibri" w:hAnsi="Calibri"/>
                <w:color w:val="000000"/>
                <w:lang w:eastAsia="en-GB"/>
              </w:rPr>
            </w:pPr>
            <w:r>
              <w:rPr>
                <w:rFonts w:ascii="Calibri" w:hAnsi="Calibri"/>
                <w:color w:val="000000"/>
                <w:lang w:eastAsia="en-GB"/>
              </w:rPr>
              <w:t>4</w:t>
            </w:r>
            <w:r w:rsidR="000E61C4">
              <w:rPr>
                <w:rFonts w:ascii="Calibri" w:hAnsi="Calibri"/>
                <w:color w:val="000000"/>
                <w:lang w:eastAsia="en-GB"/>
              </w:rPr>
              <w:t>8</w:t>
            </w:r>
          </w:p>
        </w:tc>
        <w:tc>
          <w:tcPr>
            <w:tcW w:w="1134" w:type="dxa"/>
            <w:shd w:val="clear" w:color="000000" w:fill="E4DFEC"/>
            <w:noWrap/>
            <w:vAlign w:val="center"/>
          </w:tcPr>
          <w:p w14:paraId="3EB817E4" w14:textId="53D5AA39" w:rsidR="00B55581" w:rsidRDefault="000E61C4" w:rsidP="00ED6507">
            <w:pPr>
              <w:jc w:val="right"/>
              <w:rPr>
                <w:rFonts w:ascii="Calibri" w:hAnsi="Calibri"/>
                <w:color w:val="000000"/>
                <w:lang w:eastAsia="en-GB"/>
              </w:rPr>
            </w:pPr>
            <w:r>
              <w:rPr>
                <w:rFonts w:ascii="Calibri" w:hAnsi="Calibri"/>
                <w:color w:val="000000"/>
                <w:lang w:eastAsia="en-GB"/>
              </w:rPr>
              <w:t>38</w:t>
            </w:r>
          </w:p>
        </w:tc>
        <w:tc>
          <w:tcPr>
            <w:tcW w:w="1134" w:type="dxa"/>
            <w:shd w:val="clear" w:color="000000" w:fill="E4DFEC"/>
            <w:noWrap/>
            <w:vAlign w:val="center"/>
          </w:tcPr>
          <w:p w14:paraId="377954F4" w14:textId="77777777" w:rsidR="00B55581" w:rsidRDefault="00B55581" w:rsidP="00ED6507">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tcPr>
          <w:p w14:paraId="44BCE749" w14:textId="7908026E" w:rsidR="00B55581" w:rsidRDefault="004B0E90" w:rsidP="00ED6507">
            <w:pPr>
              <w:jc w:val="right"/>
              <w:rPr>
                <w:rFonts w:ascii="Calibri" w:hAnsi="Calibri"/>
                <w:color w:val="000000"/>
                <w:lang w:eastAsia="en-GB"/>
              </w:rPr>
            </w:pPr>
            <w:r>
              <w:rPr>
                <w:rFonts w:ascii="Calibri" w:hAnsi="Calibri"/>
                <w:color w:val="000000"/>
                <w:lang w:eastAsia="en-GB"/>
              </w:rPr>
              <w:t>86</w:t>
            </w:r>
          </w:p>
        </w:tc>
        <w:tc>
          <w:tcPr>
            <w:tcW w:w="1134" w:type="dxa"/>
            <w:shd w:val="clear" w:color="000000" w:fill="E4DFEC"/>
            <w:noWrap/>
            <w:vAlign w:val="center"/>
          </w:tcPr>
          <w:p w14:paraId="1E01C2C6" w14:textId="7437AB1A" w:rsidR="00B55581" w:rsidRPr="00050606" w:rsidRDefault="00FB3992" w:rsidP="00ED6507">
            <w:pPr>
              <w:jc w:val="right"/>
              <w:rPr>
                <w:rFonts w:ascii="Calibri" w:hAnsi="Calibri"/>
                <w:color w:val="000000"/>
                <w:lang w:eastAsia="en-GB"/>
              </w:rPr>
            </w:pPr>
            <w:r>
              <w:rPr>
                <w:rFonts w:ascii="Calibri" w:hAnsi="Calibri"/>
                <w:color w:val="000000"/>
                <w:lang w:eastAsia="en-GB"/>
              </w:rPr>
              <w:t>18</w:t>
            </w:r>
          </w:p>
        </w:tc>
        <w:tc>
          <w:tcPr>
            <w:tcW w:w="1134" w:type="dxa"/>
            <w:shd w:val="clear" w:color="000000" w:fill="E4DFEC"/>
            <w:noWrap/>
            <w:vAlign w:val="center"/>
          </w:tcPr>
          <w:p w14:paraId="4499E4F2" w14:textId="5F74CF0C" w:rsidR="00B55581" w:rsidRDefault="00FB3992" w:rsidP="00ED6507">
            <w:pPr>
              <w:jc w:val="right"/>
              <w:rPr>
                <w:rFonts w:ascii="Calibri" w:hAnsi="Calibri"/>
                <w:color w:val="000000"/>
                <w:lang w:eastAsia="en-GB"/>
              </w:rPr>
            </w:pPr>
            <w:r>
              <w:rPr>
                <w:rFonts w:ascii="Calibri" w:hAnsi="Calibri"/>
                <w:color w:val="000000"/>
                <w:lang w:eastAsia="en-GB"/>
              </w:rPr>
              <w:t>83</w:t>
            </w:r>
          </w:p>
        </w:tc>
        <w:tc>
          <w:tcPr>
            <w:tcW w:w="1275" w:type="dxa"/>
            <w:shd w:val="clear" w:color="auto" w:fill="CCC0D9" w:themeFill="accent4" w:themeFillTint="66"/>
            <w:noWrap/>
            <w:vAlign w:val="center"/>
          </w:tcPr>
          <w:p w14:paraId="5EF0E889" w14:textId="40F838A2" w:rsidR="00B55581" w:rsidRDefault="00FB3992" w:rsidP="00ED6507">
            <w:pPr>
              <w:jc w:val="right"/>
              <w:rPr>
                <w:rFonts w:ascii="Calibri" w:hAnsi="Calibri"/>
                <w:color w:val="000000"/>
                <w:lang w:eastAsia="en-GB"/>
              </w:rPr>
            </w:pPr>
            <w:r>
              <w:rPr>
                <w:rFonts w:ascii="Calibri" w:hAnsi="Calibri"/>
                <w:color w:val="000000"/>
                <w:lang w:eastAsia="en-GB"/>
              </w:rPr>
              <w:t>21</w:t>
            </w:r>
          </w:p>
        </w:tc>
      </w:tr>
      <w:tr w:rsidR="00B55581" w:rsidRPr="00050606" w14:paraId="29F1A266" w14:textId="77777777" w:rsidTr="0029188A">
        <w:trPr>
          <w:trHeight w:val="431"/>
        </w:trPr>
        <w:tc>
          <w:tcPr>
            <w:tcW w:w="2000" w:type="dxa"/>
            <w:shd w:val="clear" w:color="000000" w:fill="E4DFEC"/>
            <w:vAlign w:val="center"/>
          </w:tcPr>
          <w:p w14:paraId="6BA7F9DB" w14:textId="77777777" w:rsidR="00B55581" w:rsidRDefault="00B55581" w:rsidP="00ED6507">
            <w:pPr>
              <w:rPr>
                <w:rFonts w:ascii="Calibri" w:hAnsi="Calibri"/>
                <w:color w:val="000000"/>
                <w:lang w:eastAsia="en-GB"/>
              </w:rPr>
            </w:pPr>
            <w:r>
              <w:rPr>
                <w:rFonts w:ascii="Calibri" w:hAnsi="Calibri"/>
                <w:color w:val="000000"/>
                <w:lang w:eastAsia="en-GB"/>
              </w:rPr>
              <w:t>Melton Leisure Vision</w:t>
            </w:r>
          </w:p>
        </w:tc>
        <w:tc>
          <w:tcPr>
            <w:tcW w:w="1134" w:type="dxa"/>
            <w:shd w:val="clear" w:color="auto" w:fill="CCC0D9" w:themeFill="accent4" w:themeFillTint="66"/>
            <w:noWrap/>
            <w:vAlign w:val="center"/>
          </w:tcPr>
          <w:p w14:paraId="2629336E" w14:textId="560DAB4C" w:rsidR="00B55581" w:rsidRDefault="000E61C4" w:rsidP="00ED6507">
            <w:pPr>
              <w:jc w:val="right"/>
              <w:rPr>
                <w:rFonts w:ascii="Calibri" w:hAnsi="Calibri"/>
                <w:color w:val="000000"/>
                <w:lang w:eastAsia="en-GB"/>
              </w:rPr>
            </w:pPr>
            <w:r>
              <w:rPr>
                <w:rFonts w:ascii="Calibri" w:hAnsi="Calibri"/>
                <w:color w:val="000000"/>
                <w:lang w:eastAsia="en-GB"/>
              </w:rPr>
              <w:t>50</w:t>
            </w:r>
          </w:p>
        </w:tc>
        <w:tc>
          <w:tcPr>
            <w:tcW w:w="1134" w:type="dxa"/>
            <w:shd w:val="clear" w:color="000000" w:fill="E4DFEC"/>
            <w:noWrap/>
            <w:vAlign w:val="center"/>
          </w:tcPr>
          <w:p w14:paraId="15A6D9F5" w14:textId="056BD1D0" w:rsidR="00B55581" w:rsidRDefault="000E61C4" w:rsidP="00ED6507">
            <w:pPr>
              <w:jc w:val="right"/>
              <w:rPr>
                <w:rFonts w:ascii="Calibri" w:hAnsi="Calibri"/>
                <w:color w:val="000000"/>
                <w:lang w:eastAsia="en-GB"/>
              </w:rPr>
            </w:pPr>
            <w:r>
              <w:rPr>
                <w:rFonts w:ascii="Calibri" w:hAnsi="Calibri"/>
                <w:color w:val="000000"/>
                <w:lang w:eastAsia="en-GB"/>
              </w:rPr>
              <w:t>16</w:t>
            </w:r>
          </w:p>
        </w:tc>
        <w:tc>
          <w:tcPr>
            <w:tcW w:w="1134" w:type="dxa"/>
            <w:shd w:val="clear" w:color="000000" w:fill="E4DFEC"/>
            <w:noWrap/>
            <w:vAlign w:val="center"/>
          </w:tcPr>
          <w:p w14:paraId="3D043B0F" w14:textId="4A83533B" w:rsidR="00B55581" w:rsidRDefault="000E61C4" w:rsidP="00ED6507">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tcPr>
          <w:p w14:paraId="665A8AFC" w14:textId="47457D8E" w:rsidR="00B55581" w:rsidRDefault="004B0E90" w:rsidP="00ED6507">
            <w:pPr>
              <w:jc w:val="right"/>
              <w:rPr>
                <w:rFonts w:ascii="Calibri" w:hAnsi="Calibri"/>
                <w:color w:val="000000"/>
                <w:lang w:eastAsia="en-GB"/>
              </w:rPr>
            </w:pPr>
            <w:r>
              <w:rPr>
                <w:rFonts w:ascii="Calibri" w:hAnsi="Calibri"/>
                <w:color w:val="000000"/>
                <w:lang w:eastAsia="en-GB"/>
              </w:rPr>
              <w:t>66</w:t>
            </w:r>
          </w:p>
        </w:tc>
        <w:tc>
          <w:tcPr>
            <w:tcW w:w="1134" w:type="dxa"/>
            <w:shd w:val="clear" w:color="000000" w:fill="E4DFEC"/>
            <w:noWrap/>
            <w:vAlign w:val="center"/>
          </w:tcPr>
          <w:p w14:paraId="3A92CBE6" w14:textId="068BD0E2" w:rsidR="00B55581" w:rsidRPr="00050606" w:rsidRDefault="00FB3992" w:rsidP="00ED6507">
            <w:pPr>
              <w:jc w:val="right"/>
              <w:rPr>
                <w:rFonts w:ascii="Calibri" w:hAnsi="Calibri"/>
                <w:color w:val="000000"/>
                <w:lang w:eastAsia="en-GB"/>
              </w:rPr>
            </w:pPr>
            <w:r>
              <w:rPr>
                <w:rFonts w:ascii="Calibri" w:hAnsi="Calibri"/>
                <w:color w:val="000000"/>
                <w:lang w:eastAsia="en-GB"/>
              </w:rPr>
              <w:t>21</w:t>
            </w:r>
          </w:p>
        </w:tc>
        <w:tc>
          <w:tcPr>
            <w:tcW w:w="1134" w:type="dxa"/>
            <w:shd w:val="clear" w:color="000000" w:fill="E4DFEC"/>
            <w:noWrap/>
            <w:vAlign w:val="center"/>
          </w:tcPr>
          <w:p w14:paraId="2CA5150A" w14:textId="3CD9179D" w:rsidR="00B55581" w:rsidRDefault="00FB3992" w:rsidP="00ED6507">
            <w:pPr>
              <w:jc w:val="right"/>
              <w:rPr>
                <w:rFonts w:ascii="Calibri" w:hAnsi="Calibri"/>
                <w:color w:val="000000"/>
                <w:lang w:eastAsia="en-GB"/>
              </w:rPr>
            </w:pPr>
            <w:r>
              <w:rPr>
                <w:rFonts w:ascii="Calibri" w:hAnsi="Calibri"/>
                <w:color w:val="000000"/>
                <w:lang w:eastAsia="en-GB"/>
              </w:rPr>
              <w:t>1</w:t>
            </w:r>
          </w:p>
        </w:tc>
        <w:tc>
          <w:tcPr>
            <w:tcW w:w="1275" w:type="dxa"/>
            <w:shd w:val="clear" w:color="auto" w:fill="CCC0D9" w:themeFill="accent4" w:themeFillTint="66"/>
            <w:noWrap/>
            <w:vAlign w:val="center"/>
          </w:tcPr>
          <w:p w14:paraId="5424FC58" w14:textId="10F12A9F" w:rsidR="00B55581" w:rsidRDefault="00FB3992" w:rsidP="00ED6507">
            <w:pPr>
              <w:jc w:val="right"/>
              <w:rPr>
                <w:rFonts w:ascii="Calibri" w:hAnsi="Calibri"/>
                <w:color w:val="000000"/>
                <w:lang w:eastAsia="en-GB"/>
              </w:rPr>
            </w:pPr>
            <w:r>
              <w:rPr>
                <w:rFonts w:ascii="Calibri" w:hAnsi="Calibri"/>
                <w:color w:val="000000"/>
                <w:lang w:eastAsia="en-GB"/>
              </w:rPr>
              <w:t>86</w:t>
            </w:r>
          </w:p>
        </w:tc>
      </w:tr>
      <w:tr w:rsidR="00B55581" w:rsidRPr="00050606" w14:paraId="6C91FCC5" w14:textId="77777777" w:rsidTr="003738A6">
        <w:trPr>
          <w:trHeight w:val="560"/>
        </w:trPr>
        <w:tc>
          <w:tcPr>
            <w:tcW w:w="2000" w:type="dxa"/>
            <w:shd w:val="clear" w:color="000000" w:fill="E4DFEC"/>
            <w:vAlign w:val="center"/>
          </w:tcPr>
          <w:p w14:paraId="13C1A653" w14:textId="17B38DF9" w:rsidR="00B55581" w:rsidRDefault="00E95D19" w:rsidP="00ED6507">
            <w:pPr>
              <w:rPr>
                <w:rFonts w:ascii="Calibri" w:hAnsi="Calibri"/>
                <w:color w:val="000000"/>
                <w:lang w:eastAsia="en-GB"/>
              </w:rPr>
            </w:pPr>
            <w:r>
              <w:rPr>
                <w:rFonts w:ascii="Calibri" w:hAnsi="Calibri"/>
                <w:color w:val="000000"/>
                <w:lang w:eastAsia="en-GB"/>
              </w:rPr>
              <w:t>Cattle Market Sinking Fund</w:t>
            </w:r>
          </w:p>
        </w:tc>
        <w:tc>
          <w:tcPr>
            <w:tcW w:w="1134" w:type="dxa"/>
            <w:shd w:val="clear" w:color="auto" w:fill="CCC0D9" w:themeFill="accent4" w:themeFillTint="66"/>
            <w:noWrap/>
            <w:vAlign w:val="center"/>
          </w:tcPr>
          <w:p w14:paraId="07167E25" w14:textId="06293150" w:rsidR="00B55581" w:rsidRDefault="00F138C2" w:rsidP="00ED6507">
            <w:pPr>
              <w:jc w:val="right"/>
              <w:rPr>
                <w:rFonts w:ascii="Calibri" w:hAnsi="Calibri"/>
                <w:color w:val="000000"/>
                <w:lang w:eastAsia="en-GB"/>
              </w:rPr>
            </w:pPr>
            <w:r>
              <w:rPr>
                <w:rFonts w:ascii="Calibri" w:hAnsi="Calibri"/>
                <w:color w:val="000000"/>
                <w:lang w:eastAsia="en-GB"/>
              </w:rPr>
              <w:t>19</w:t>
            </w:r>
          </w:p>
        </w:tc>
        <w:tc>
          <w:tcPr>
            <w:tcW w:w="1134" w:type="dxa"/>
            <w:shd w:val="clear" w:color="000000" w:fill="E4DFEC"/>
            <w:noWrap/>
            <w:vAlign w:val="center"/>
          </w:tcPr>
          <w:p w14:paraId="04F20991" w14:textId="3785C35A" w:rsidR="00B55581" w:rsidRDefault="00F138C2" w:rsidP="00ED6507">
            <w:pPr>
              <w:jc w:val="right"/>
              <w:rPr>
                <w:rFonts w:ascii="Calibri" w:hAnsi="Calibri"/>
                <w:color w:val="000000"/>
                <w:lang w:eastAsia="en-GB"/>
              </w:rPr>
            </w:pPr>
            <w:r>
              <w:rPr>
                <w:rFonts w:ascii="Calibri" w:hAnsi="Calibri"/>
                <w:color w:val="000000"/>
                <w:lang w:eastAsia="en-GB"/>
              </w:rPr>
              <w:t>5</w:t>
            </w:r>
          </w:p>
        </w:tc>
        <w:tc>
          <w:tcPr>
            <w:tcW w:w="1134" w:type="dxa"/>
            <w:shd w:val="clear" w:color="000000" w:fill="E4DFEC"/>
            <w:noWrap/>
            <w:vAlign w:val="center"/>
          </w:tcPr>
          <w:p w14:paraId="5465B506" w14:textId="2B9F5B4E" w:rsidR="00B55581" w:rsidRDefault="000E61C4" w:rsidP="00ED6507">
            <w:pPr>
              <w:jc w:val="right"/>
              <w:rPr>
                <w:rFonts w:ascii="Calibri" w:hAnsi="Calibri"/>
                <w:color w:val="000000"/>
                <w:lang w:eastAsia="en-GB"/>
              </w:rPr>
            </w:pPr>
            <w:r>
              <w:rPr>
                <w:rFonts w:ascii="Calibri" w:hAnsi="Calibri"/>
                <w:color w:val="000000"/>
                <w:lang w:eastAsia="en-GB"/>
              </w:rPr>
              <w:t>0</w:t>
            </w:r>
          </w:p>
        </w:tc>
        <w:tc>
          <w:tcPr>
            <w:tcW w:w="1276" w:type="dxa"/>
            <w:shd w:val="clear" w:color="auto" w:fill="CCC0D9" w:themeFill="accent4" w:themeFillTint="66"/>
            <w:noWrap/>
            <w:vAlign w:val="center"/>
          </w:tcPr>
          <w:p w14:paraId="5CDE8D9B" w14:textId="5C3BB49E" w:rsidR="00B55581" w:rsidRDefault="00E95D19" w:rsidP="00ED6507">
            <w:pPr>
              <w:jc w:val="right"/>
              <w:rPr>
                <w:rFonts w:ascii="Calibri" w:hAnsi="Calibri"/>
                <w:color w:val="000000"/>
                <w:lang w:eastAsia="en-GB"/>
              </w:rPr>
            </w:pPr>
            <w:r>
              <w:rPr>
                <w:rFonts w:ascii="Calibri" w:hAnsi="Calibri"/>
                <w:color w:val="000000"/>
                <w:lang w:eastAsia="en-GB"/>
              </w:rPr>
              <w:t>24</w:t>
            </w:r>
          </w:p>
        </w:tc>
        <w:tc>
          <w:tcPr>
            <w:tcW w:w="1134" w:type="dxa"/>
            <w:shd w:val="clear" w:color="000000" w:fill="E4DFEC"/>
            <w:noWrap/>
            <w:vAlign w:val="center"/>
          </w:tcPr>
          <w:p w14:paraId="60EB58C3" w14:textId="2E4E96AC" w:rsidR="00B55581" w:rsidRPr="00050606" w:rsidRDefault="00E95D19" w:rsidP="00ED6507">
            <w:pPr>
              <w:jc w:val="right"/>
              <w:rPr>
                <w:rFonts w:ascii="Calibri" w:hAnsi="Calibri"/>
                <w:color w:val="000000"/>
                <w:lang w:eastAsia="en-GB"/>
              </w:rPr>
            </w:pPr>
            <w:r>
              <w:rPr>
                <w:rFonts w:ascii="Calibri" w:hAnsi="Calibri"/>
                <w:color w:val="000000"/>
                <w:lang w:eastAsia="en-GB"/>
              </w:rPr>
              <w:t>5</w:t>
            </w:r>
          </w:p>
        </w:tc>
        <w:tc>
          <w:tcPr>
            <w:tcW w:w="1134" w:type="dxa"/>
            <w:shd w:val="clear" w:color="000000" w:fill="E4DFEC"/>
            <w:noWrap/>
            <w:vAlign w:val="center"/>
          </w:tcPr>
          <w:p w14:paraId="3FB9086E" w14:textId="17F714F6" w:rsidR="00B55581" w:rsidRDefault="00E95D19" w:rsidP="00ED6507">
            <w:pPr>
              <w:jc w:val="right"/>
              <w:rPr>
                <w:rFonts w:ascii="Calibri" w:hAnsi="Calibri"/>
                <w:color w:val="000000"/>
                <w:lang w:eastAsia="en-GB"/>
              </w:rPr>
            </w:pPr>
            <w:r>
              <w:rPr>
                <w:rFonts w:ascii="Calibri" w:hAnsi="Calibri"/>
                <w:color w:val="000000"/>
                <w:lang w:eastAsia="en-GB"/>
              </w:rPr>
              <w:t>3</w:t>
            </w:r>
          </w:p>
        </w:tc>
        <w:tc>
          <w:tcPr>
            <w:tcW w:w="1275" w:type="dxa"/>
            <w:shd w:val="clear" w:color="auto" w:fill="CCC0D9" w:themeFill="accent4" w:themeFillTint="66"/>
            <w:noWrap/>
            <w:vAlign w:val="center"/>
          </w:tcPr>
          <w:p w14:paraId="38854AC3" w14:textId="00832ADD" w:rsidR="00B55581" w:rsidRDefault="00E95D19" w:rsidP="00ED6507">
            <w:pPr>
              <w:jc w:val="right"/>
              <w:rPr>
                <w:rFonts w:ascii="Calibri" w:hAnsi="Calibri"/>
                <w:color w:val="000000"/>
                <w:lang w:eastAsia="en-GB"/>
              </w:rPr>
            </w:pPr>
            <w:r>
              <w:rPr>
                <w:rFonts w:ascii="Calibri" w:hAnsi="Calibri"/>
                <w:color w:val="000000"/>
                <w:lang w:eastAsia="en-GB"/>
              </w:rPr>
              <w:t>26</w:t>
            </w:r>
          </w:p>
        </w:tc>
      </w:tr>
      <w:tr w:rsidR="00192E69" w:rsidRPr="00050606" w14:paraId="2475BCCD" w14:textId="77777777" w:rsidTr="003738A6">
        <w:trPr>
          <w:trHeight w:val="560"/>
        </w:trPr>
        <w:tc>
          <w:tcPr>
            <w:tcW w:w="2000" w:type="dxa"/>
            <w:shd w:val="clear" w:color="000000" w:fill="E4DFEC"/>
            <w:vAlign w:val="center"/>
          </w:tcPr>
          <w:p w14:paraId="53752876" w14:textId="77777777" w:rsidR="00192E69" w:rsidRPr="00050606" w:rsidRDefault="003B5366" w:rsidP="00ED6507">
            <w:pPr>
              <w:rPr>
                <w:rFonts w:ascii="Calibri" w:hAnsi="Calibri"/>
                <w:color w:val="000000"/>
                <w:lang w:eastAsia="en-GB"/>
              </w:rPr>
            </w:pPr>
            <w:r>
              <w:rPr>
                <w:rFonts w:ascii="Calibri" w:hAnsi="Calibri"/>
                <w:color w:val="000000"/>
                <w:lang w:eastAsia="en-GB"/>
              </w:rPr>
              <w:t>Other Small General Fund Balances</w:t>
            </w:r>
          </w:p>
        </w:tc>
        <w:tc>
          <w:tcPr>
            <w:tcW w:w="1134" w:type="dxa"/>
            <w:shd w:val="clear" w:color="auto" w:fill="CCC0D9" w:themeFill="accent4" w:themeFillTint="66"/>
            <w:noWrap/>
            <w:vAlign w:val="center"/>
          </w:tcPr>
          <w:p w14:paraId="509E21B7" w14:textId="4B049590" w:rsidR="00192E69" w:rsidRDefault="00F138C2" w:rsidP="00ED6507">
            <w:pPr>
              <w:jc w:val="right"/>
              <w:rPr>
                <w:rFonts w:ascii="Calibri" w:hAnsi="Calibri"/>
                <w:color w:val="000000"/>
                <w:lang w:eastAsia="en-GB"/>
              </w:rPr>
            </w:pPr>
            <w:r>
              <w:rPr>
                <w:rFonts w:ascii="Calibri" w:hAnsi="Calibri"/>
                <w:color w:val="000000"/>
                <w:lang w:eastAsia="en-GB"/>
              </w:rPr>
              <w:t>61</w:t>
            </w:r>
          </w:p>
        </w:tc>
        <w:tc>
          <w:tcPr>
            <w:tcW w:w="1134" w:type="dxa"/>
            <w:shd w:val="clear" w:color="000000" w:fill="E4DFEC"/>
            <w:noWrap/>
            <w:vAlign w:val="center"/>
          </w:tcPr>
          <w:p w14:paraId="5D804411" w14:textId="301D6F7D" w:rsidR="00192E69" w:rsidRDefault="00F138C2" w:rsidP="00ED6507">
            <w:pPr>
              <w:jc w:val="right"/>
              <w:rPr>
                <w:rFonts w:ascii="Calibri" w:hAnsi="Calibri"/>
                <w:color w:val="000000"/>
                <w:lang w:eastAsia="en-GB"/>
              </w:rPr>
            </w:pPr>
            <w:r>
              <w:rPr>
                <w:rFonts w:ascii="Calibri" w:hAnsi="Calibri"/>
                <w:color w:val="000000"/>
                <w:lang w:eastAsia="en-GB"/>
              </w:rPr>
              <w:t>9</w:t>
            </w:r>
          </w:p>
        </w:tc>
        <w:tc>
          <w:tcPr>
            <w:tcW w:w="1134" w:type="dxa"/>
            <w:shd w:val="clear" w:color="000000" w:fill="E4DFEC"/>
            <w:noWrap/>
            <w:vAlign w:val="center"/>
          </w:tcPr>
          <w:p w14:paraId="1CC0312C" w14:textId="70374EE6" w:rsidR="00192E69" w:rsidRDefault="000E61C4" w:rsidP="00ED6507">
            <w:pPr>
              <w:jc w:val="right"/>
              <w:rPr>
                <w:rFonts w:ascii="Calibri" w:hAnsi="Calibri"/>
                <w:color w:val="000000"/>
                <w:lang w:eastAsia="en-GB"/>
              </w:rPr>
            </w:pPr>
            <w:r>
              <w:rPr>
                <w:rFonts w:ascii="Calibri" w:hAnsi="Calibri"/>
                <w:color w:val="000000"/>
                <w:lang w:eastAsia="en-GB"/>
              </w:rPr>
              <w:t>35</w:t>
            </w:r>
          </w:p>
        </w:tc>
        <w:tc>
          <w:tcPr>
            <w:tcW w:w="1276" w:type="dxa"/>
            <w:shd w:val="clear" w:color="auto" w:fill="CCC0D9" w:themeFill="accent4" w:themeFillTint="66"/>
            <w:noWrap/>
            <w:vAlign w:val="center"/>
          </w:tcPr>
          <w:p w14:paraId="142B152B" w14:textId="018389EA" w:rsidR="00192E69" w:rsidRDefault="00E95D19" w:rsidP="00ED6507">
            <w:pPr>
              <w:jc w:val="right"/>
              <w:rPr>
                <w:rFonts w:ascii="Calibri" w:hAnsi="Calibri"/>
                <w:color w:val="000000"/>
                <w:lang w:eastAsia="en-GB"/>
              </w:rPr>
            </w:pPr>
            <w:r>
              <w:rPr>
                <w:rFonts w:ascii="Calibri" w:hAnsi="Calibri"/>
                <w:color w:val="000000"/>
                <w:lang w:eastAsia="en-GB"/>
              </w:rPr>
              <w:t>35</w:t>
            </w:r>
          </w:p>
        </w:tc>
        <w:tc>
          <w:tcPr>
            <w:tcW w:w="1134" w:type="dxa"/>
            <w:shd w:val="clear" w:color="000000" w:fill="E4DFEC"/>
            <w:noWrap/>
            <w:vAlign w:val="center"/>
          </w:tcPr>
          <w:p w14:paraId="53D7BE3A" w14:textId="1D813906" w:rsidR="00192E69" w:rsidRPr="00050606" w:rsidRDefault="00F138C2">
            <w:pPr>
              <w:jc w:val="right"/>
              <w:rPr>
                <w:rFonts w:ascii="Calibri" w:hAnsi="Calibri"/>
                <w:color w:val="000000"/>
                <w:lang w:eastAsia="en-GB"/>
              </w:rPr>
            </w:pPr>
            <w:r>
              <w:rPr>
                <w:rFonts w:ascii="Calibri" w:hAnsi="Calibri"/>
                <w:color w:val="000000"/>
                <w:lang w:eastAsia="en-GB"/>
              </w:rPr>
              <w:t>1</w:t>
            </w:r>
            <w:r w:rsidR="00114CF8">
              <w:rPr>
                <w:rFonts w:ascii="Calibri" w:hAnsi="Calibri"/>
                <w:color w:val="000000"/>
                <w:lang w:eastAsia="en-GB"/>
              </w:rPr>
              <w:t>31</w:t>
            </w:r>
          </w:p>
        </w:tc>
        <w:tc>
          <w:tcPr>
            <w:tcW w:w="1134" w:type="dxa"/>
            <w:shd w:val="clear" w:color="000000" w:fill="E4DFEC"/>
            <w:noWrap/>
            <w:vAlign w:val="center"/>
          </w:tcPr>
          <w:p w14:paraId="16A9AC56" w14:textId="6A95C6C8" w:rsidR="00192E69" w:rsidRDefault="00F138C2" w:rsidP="00ED6507">
            <w:pPr>
              <w:jc w:val="right"/>
              <w:rPr>
                <w:rFonts w:ascii="Calibri" w:hAnsi="Calibri"/>
                <w:color w:val="000000"/>
                <w:lang w:eastAsia="en-GB"/>
              </w:rPr>
            </w:pPr>
            <w:r>
              <w:rPr>
                <w:rFonts w:ascii="Calibri" w:hAnsi="Calibri"/>
                <w:color w:val="000000"/>
                <w:lang w:eastAsia="en-GB"/>
              </w:rPr>
              <w:t>94</w:t>
            </w:r>
          </w:p>
        </w:tc>
        <w:tc>
          <w:tcPr>
            <w:tcW w:w="1275" w:type="dxa"/>
            <w:shd w:val="clear" w:color="auto" w:fill="CCC0D9" w:themeFill="accent4" w:themeFillTint="66"/>
            <w:noWrap/>
            <w:vAlign w:val="center"/>
          </w:tcPr>
          <w:p w14:paraId="06451CFD" w14:textId="051EECC6" w:rsidR="00192E69" w:rsidRDefault="00114CF8">
            <w:pPr>
              <w:jc w:val="right"/>
              <w:rPr>
                <w:rFonts w:ascii="Calibri" w:hAnsi="Calibri"/>
                <w:color w:val="000000"/>
                <w:lang w:eastAsia="en-GB"/>
              </w:rPr>
            </w:pPr>
            <w:r>
              <w:rPr>
                <w:rFonts w:ascii="Calibri" w:hAnsi="Calibri"/>
                <w:color w:val="000000"/>
                <w:lang w:eastAsia="en-GB"/>
              </w:rPr>
              <w:t>72</w:t>
            </w:r>
          </w:p>
        </w:tc>
      </w:tr>
      <w:tr w:rsidR="00707761" w:rsidRPr="00050606" w14:paraId="1F774239" w14:textId="77777777" w:rsidTr="003738A6">
        <w:trPr>
          <w:trHeight w:val="518"/>
        </w:trPr>
        <w:tc>
          <w:tcPr>
            <w:tcW w:w="2000" w:type="dxa"/>
            <w:shd w:val="clear" w:color="000000" w:fill="CCC0DA"/>
            <w:vAlign w:val="center"/>
            <w:hideMark/>
          </w:tcPr>
          <w:p w14:paraId="53D8C25D" w14:textId="77777777" w:rsidR="00707761" w:rsidRPr="00050606" w:rsidRDefault="00707761" w:rsidP="00ED6507">
            <w:pPr>
              <w:rPr>
                <w:rFonts w:ascii="Calibri" w:hAnsi="Calibri"/>
                <w:b/>
                <w:bCs/>
                <w:color w:val="000000"/>
                <w:lang w:eastAsia="en-GB"/>
              </w:rPr>
            </w:pPr>
            <w:r w:rsidRPr="00050606">
              <w:rPr>
                <w:rFonts w:ascii="Calibri" w:hAnsi="Calibri"/>
                <w:b/>
                <w:bCs/>
                <w:color w:val="000000"/>
                <w:lang w:eastAsia="en-GB"/>
              </w:rPr>
              <w:t xml:space="preserve">Total </w:t>
            </w:r>
            <w:r w:rsidR="009D0F99">
              <w:rPr>
                <w:rFonts w:ascii="Calibri" w:hAnsi="Calibri"/>
                <w:b/>
                <w:bCs/>
                <w:color w:val="000000"/>
                <w:lang w:eastAsia="en-GB"/>
              </w:rPr>
              <w:t xml:space="preserve">General </w:t>
            </w:r>
            <w:r w:rsidRPr="00050606">
              <w:rPr>
                <w:rFonts w:ascii="Calibri" w:hAnsi="Calibri"/>
                <w:b/>
                <w:bCs/>
                <w:color w:val="000000"/>
                <w:lang w:eastAsia="en-GB"/>
              </w:rPr>
              <w:t>Fund Balances</w:t>
            </w:r>
          </w:p>
        </w:tc>
        <w:tc>
          <w:tcPr>
            <w:tcW w:w="1134" w:type="dxa"/>
            <w:shd w:val="clear" w:color="000000" w:fill="CCC0DA"/>
            <w:noWrap/>
            <w:vAlign w:val="center"/>
            <w:hideMark/>
          </w:tcPr>
          <w:p w14:paraId="3DA544F9" w14:textId="3DFE45E2" w:rsidR="00707761" w:rsidRPr="00050606" w:rsidRDefault="004B0E90" w:rsidP="000B2F60">
            <w:pPr>
              <w:jc w:val="right"/>
              <w:rPr>
                <w:rFonts w:ascii="Calibri" w:hAnsi="Calibri"/>
                <w:b/>
                <w:bCs/>
                <w:color w:val="000000"/>
                <w:lang w:eastAsia="en-GB"/>
              </w:rPr>
            </w:pPr>
            <w:r>
              <w:rPr>
                <w:rFonts w:ascii="Calibri" w:hAnsi="Calibri"/>
                <w:b/>
                <w:bCs/>
                <w:color w:val="000000"/>
                <w:lang w:eastAsia="en-GB"/>
              </w:rPr>
              <w:t>5,414</w:t>
            </w:r>
          </w:p>
        </w:tc>
        <w:tc>
          <w:tcPr>
            <w:tcW w:w="1134" w:type="dxa"/>
            <w:shd w:val="clear" w:color="000000" w:fill="CCC0DA"/>
            <w:noWrap/>
            <w:vAlign w:val="center"/>
            <w:hideMark/>
          </w:tcPr>
          <w:p w14:paraId="0853E079" w14:textId="1E85444F" w:rsidR="00707761" w:rsidRPr="00050606" w:rsidRDefault="004B0E90" w:rsidP="00ED6507">
            <w:pPr>
              <w:jc w:val="right"/>
              <w:rPr>
                <w:rFonts w:ascii="Calibri" w:hAnsi="Calibri"/>
                <w:b/>
                <w:bCs/>
                <w:color w:val="000000"/>
                <w:lang w:eastAsia="en-GB"/>
              </w:rPr>
            </w:pPr>
            <w:r>
              <w:rPr>
                <w:rFonts w:ascii="Calibri" w:hAnsi="Calibri"/>
                <w:b/>
                <w:bCs/>
                <w:color w:val="000000"/>
                <w:lang w:eastAsia="en-GB"/>
              </w:rPr>
              <w:t>724</w:t>
            </w:r>
          </w:p>
        </w:tc>
        <w:tc>
          <w:tcPr>
            <w:tcW w:w="1134" w:type="dxa"/>
            <w:shd w:val="clear" w:color="000000" w:fill="CCC0DA"/>
            <w:noWrap/>
            <w:vAlign w:val="center"/>
            <w:hideMark/>
          </w:tcPr>
          <w:p w14:paraId="14D73789" w14:textId="0D95A3F3" w:rsidR="00707761" w:rsidRPr="00050606" w:rsidRDefault="004B0E90" w:rsidP="00ED6507">
            <w:pPr>
              <w:jc w:val="right"/>
              <w:rPr>
                <w:rFonts w:ascii="Calibri" w:hAnsi="Calibri"/>
                <w:b/>
                <w:bCs/>
                <w:color w:val="000000"/>
                <w:lang w:eastAsia="en-GB"/>
              </w:rPr>
            </w:pPr>
            <w:r>
              <w:rPr>
                <w:rFonts w:ascii="Calibri" w:hAnsi="Calibri"/>
                <w:b/>
                <w:bCs/>
                <w:color w:val="000000"/>
                <w:lang w:eastAsia="en-GB"/>
              </w:rPr>
              <w:t>2,560</w:t>
            </w:r>
          </w:p>
        </w:tc>
        <w:tc>
          <w:tcPr>
            <w:tcW w:w="1276" w:type="dxa"/>
            <w:shd w:val="clear" w:color="000000" w:fill="CCC0DA"/>
            <w:noWrap/>
            <w:vAlign w:val="center"/>
            <w:hideMark/>
          </w:tcPr>
          <w:p w14:paraId="1F7A3161" w14:textId="1CF5477E"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3,578</w:t>
            </w:r>
          </w:p>
        </w:tc>
        <w:tc>
          <w:tcPr>
            <w:tcW w:w="1134" w:type="dxa"/>
            <w:shd w:val="clear" w:color="000000" w:fill="CCC0DA"/>
            <w:noWrap/>
            <w:vAlign w:val="center"/>
          </w:tcPr>
          <w:p w14:paraId="2DC508F7" w14:textId="2C330576" w:rsidR="00707761" w:rsidRPr="00050606" w:rsidRDefault="00F138C2">
            <w:pPr>
              <w:jc w:val="right"/>
              <w:rPr>
                <w:rFonts w:ascii="Calibri" w:hAnsi="Calibri"/>
                <w:b/>
                <w:bCs/>
                <w:color w:val="000000"/>
                <w:lang w:eastAsia="en-GB"/>
              </w:rPr>
            </w:pPr>
            <w:r>
              <w:rPr>
                <w:rFonts w:ascii="Calibri" w:hAnsi="Calibri"/>
                <w:b/>
                <w:bCs/>
                <w:color w:val="000000"/>
                <w:lang w:eastAsia="en-GB"/>
              </w:rPr>
              <w:t>1,1</w:t>
            </w:r>
            <w:r w:rsidR="00114CF8">
              <w:rPr>
                <w:rFonts w:ascii="Calibri" w:hAnsi="Calibri"/>
                <w:b/>
                <w:bCs/>
                <w:color w:val="000000"/>
                <w:lang w:eastAsia="en-GB"/>
              </w:rPr>
              <w:t>81</w:t>
            </w:r>
          </w:p>
        </w:tc>
        <w:tc>
          <w:tcPr>
            <w:tcW w:w="1134" w:type="dxa"/>
            <w:shd w:val="clear" w:color="000000" w:fill="CCC0DA"/>
            <w:noWrap/>
            <w:vAlign w:val="center"/>
          </w:tcPr>
          <w:p w14:paraId="7AF5C471" w14:textId="53FF1E85" w:rsidR="00707761" w:rsidRPr="00050606" w:rsidRDefault="009A29D4">
            <w:pPr>
              <w:jc w:val="right"/>
              <w:rPr>
                <w:rFonts w:ascii="Calibri" w:hAnsi="Calibri"/>
                <w:b/>
                <w:bCs/>
                <w:color w:val="000000"/>
                <w:lang w:eastAsia="en-GB"/>
              </w:rPr>
            </w:pPr>
            <w:r>
              <w:rPr>
                <w:rFonts w:ascii="Calibri" w:hAnsi="Calibri"/>
                <w:b/>
                <w:bCs/>
                <w:color w:val="000000"/>
                <w:lang w:eastAsia="en-GB"/>
              </w:rPr>
              <w:t>5</w:t>
            </w:r>
            <w:r w:rsidR="00F138C2">
              <w:rPr>
                <w:rFonts w:ascii="Calibri" w:hAnsi="Calibri"/>
                <w:b/>
                <w:bCs/>
                <w:color w:val="000000"/>
                <w:lang w:eastAsia="en-GB"/>
              </w:rPr>
              <w:t>47</w:t>
            </w:r>
          </w:p>
        </w:tc>
        <w:tc>
          <w:tcPr>
            <w:tcW w:w="1275" w:type="dxa"/>
            <w:shd w:val="clear" w:color="000000" w:fill="CCC0DA"/>
            <w:noWrap/>
            <w:vAlign w:val="center"/>
          </w:tcPr>
          <w:p w14:paraId="417E25A7" w14:textId="3582958E" w:rsidR="00707761" w:rsidRPr="00050606" w:rsidRDefault="00F138C2" w:rsidP="00F13466">
            <w:pPr>
              <w:jc w:val="right"/>
              <w:rPr>
                <w:rFonts w:ascii="Calibri" w:hAnsi="Calibri"/>
                <w:b/>
                <w:bCs/>
                <w:color w:val="000000"/>
                <w:lang w:eastAsia="en-GB"/>
              </w:rPr>
            </w:pPr>
            <w:r>
              <w:rPr>
                <w:rFonts w:ascii="Calibri" w:hAnsi="Calibri"/>
                <w:b/>
                <w:bCs/>
                <w:color w:val="000000"/>
                <w:lang w:eastAsia="en-GB"/>
              </w:rPr>
              <w:t>4,2</w:t>
            </w:r>
            <w:r w:rsidR="00114CF8">
              <w:rPr>
                <w:rFonts w:ascii="Calibri" w:hAnsi="Calibri"/>
                <w:b/>
                <w:bCs/>
                <w:color w:val="000000"/>
                <w:lang w:eastAsia="en-GB"/>
              </w:rPr>
              <w:t>12</w:t>
            </w:r>
          </w:p>
        </w:tc>
      </w:tr>
      <w:tr w:rsidR="006541DC" w:rsidRPr="00050606" w14:paraId="61385E4F" w14:textId="77777777" w:rsidTr="00917D68">
        <w:trPr>
          <w:trHeight w:val="420"/>
        </w:trPr>
        <w:tc>
          <w:tcPr>
            <w:tcW w:w="2000" w:type="dxa"/>
            <w:shd w:val="clear" w:color="auto" w:fill="auto"/>
            <w:vAlign w:val="center"/>
          </w:tcPr>
          <w:p w14:paraId="6E147F6E" w14:textId="77777777" w:rsidR="006541DC" w:rsidRDefault="006541DC" w:rsidP="00ED6507">
            <w:pPr>
              <w:rPr>
                <w:rFonts w:ascii="Calibri" w:hAnsi="Calibri"/>
                <w:b/>
                <w:bCs/>
                <w:color w:val="000000"/>
                <w:lang w:eastAsia="en-GB"/>
              </w:rPr>
            </w:pPr>
          </w:p>
          <w:p w14:paraId="2203EE5C" w14:textId="77777777" w:rsidR="00602A4B" w:rsidRDefault="00602A4B" w:rsidP="00ED6507">
            <w:pPr>
              <w:rPr>
                <w:rFonts w:ascii="Calibri" w:hAnsi="Calibri"/>
                <w:b/>
                <w:bCs/>
                <w:color w:val="000000"/>
                <w:lang w:eastAsia="en-GB"/>
              </w:rPr>
            </w:pPr>
          </w:p>
          <w:p w14:paraId="132FAEA1" w14:textId="77777777" w:rsidR="00602A4B" w:rsidRDefault="00602A4B" w:rsidP="00ED6507">
            <w:pPr>
              <w:rPr>
                <w:rFonts w:ascii="Calibri" w:hAnsi="Calibri"/>
                <w:b/>
                <w:bCs/>
                <w:color w:val="000000"/>
                <w:lang w:eastAsia="en-GB"/>
              </w:rPr>
            </w:pPr>
          </w:p>
          <w:p w14:paraId="01670704" w14:textId="0BDC081B" w:rsidR="00602A4B" w:rsidRDefault="00602A4B" w:rsidP="00ED6507">
            <w:pPr>
              <w:rPr>
                <w:rFonts w:ascii="Calibri" w:hAnsi="Calibri"/>
                <w:b/>
                <w:bCs/>
                <w:color w:val="000000"/>
                <w:lang w:eastAsia="en-GB"/>
              </w:rPr>
            </w:pPr>
          </w:p>
        </w:tc>
        <w:tc>
          <w:tcPr>
            <w:tcW w:w="1134" w:type="dxa"/>
            <w:shd w:val="clear" w:color="auto" w:fill="auto"/>
            <w:noWrap/>
            <w:vAlign w:val="center"/>
          </w:tcPr>
          <w:p w14:paraId="6884DB26"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4BD83193"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3FF2A181" w14:textId="77777777" w:rsidR="006541DC" w:rsidRPr="00050606" w:rsidRDefault="006541DC" w:rsidP="00ED6507">
            <w:pPr>
              <w:jc w:val="right"/>
              <w:rPr>
                <w:rFonts w:ascii="Calibri" w:hAnsi="Calibri"/>
                <w:b/>
                <w:bCs/>
                <w:color w:val="000000"/>
                <w:lang w:eastAsia="en-GB"/>
              </w:rPr>
            </w:pPr>
          </w:p>
        </w:tc>
        <w:tc>
          <w:tcPr>
            <w:tcW w:w="1276" w:type="dxa"/>
            <w:shd w:val="clear" w:color="auto" w:fill="auto"/>
            <w:noWrap/>
            <w:vAlign w:val="center"/>
          </w:tcPr>
          <w:p w14:paraId="5A2AA82E"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3182D024"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0277D058" w14:textId="77777777" w:rsidR="006541DC" w:rsidRPr="00050606" w:rsidRDefault="006541DC" w:rsidP="00ED6507">
            <w:pPr>
              <w:jc w:val="right"/>
              <w:rPr>
                <w:rFonts w:ascii="Calibri" w:hAnsi="Calibri"/>
                <w:b/>
                <w:bCs/>
                <w:color w:val="000000"/>
                <w:lang w:eastAsia="en-GB"/>
              </w:rPr>
            </w:pPr>
          </w:p>
        </w:tc>
        <w:tc>
          <w:tcPr>
            <w:tcW w:w="1275" w:type="dxa"/>
            <w:shd w:val="clear" w:color="auto" w:fill="auto"/>
            <w:noWrap/>
            <w:vAlign w:val="center"/>
          </w:tcPr>
          <w:p w14:paraId="49807C96" w14:textId="77777777" w:rsidR="006541DC" w:rsidRPr="00050606" w:rsidRDefault="006541DC" w:rsidP="00ED6507">
            <w:pPr>
              <w:jc w:val="right"/>
              <w:rPr>
                <w:rFonts w:ascii="Calibri" w:hAnsi="Calibri"/>
                <w:b/>
                <w:bCs/>
                <w:color w:val="000000"/>
                <w:lang w:eastAsia="en-GB"/>
              </w:rPr>
            </w:pPr>
          </w:p>
        </w:tc>
      </w:tr>
      <w:tr w:rsidR="006541DC" w:rsidRPr="00050606" w14:paraId="6C60931E" w14:textId="77777777" w:rsidTr="00917D68">
        <w:trPr>
          <w:trHeight w:val="420"/>
        </w:trPr>
        <w:tc>
          <w:tcPr>
            <w:tcW w:w="2000" w:type="dxa"/>
            <w:shd w:val="clear" w:color="auto" w:fill="auto"/>
            <w:vAlign w:val="center"/>
          </w:tcPr>
          <w:p w14:paraId="18AC1BB3" w14:textId="77777777" w:rsidR="006541DC" w:rsidRDefault="006541DC" w:rsidP="00ED6507">
            <w:pPr>
              <w:rPr>
                <w:rFonts w:ascii="Calibri" w:hAnsi="Calibri"/>
                <w:b/>
                <w:bCs/>
                <w:color w:val="000000"/>
                <w:lang w:eastAsia="en-GB"/>
              </w:rPr>
            </w:pPr>
          </w:p>
          <w:p w14:paraId="69A3F0B7" w14:textId="77777777" w:rsidR="006541DC" w:rsidRDefault="006541DC" w:rsidP="00ED6507">
            <w:pPr>
              <w:rPr>
                <w:rFonts w:ascii="Calibri" w:hAnsi="Calibri"/>
                <w:b/>
                <w:bCs/>
                <w:color w:val="000000"/>
                <w:lang w:eastAsia="en-GB"/>
              </w:rPr>
            </w:pPr>
          </w:p>
          <w:p w14:paraId="008F70BA" w14:textId="77777777" w:rsidR="006541DC" w:rsidRDefault="006541DC" w:rsidP="00ED6507">
            <w:pPr>
              <w:rPr>
                <w:rFonts w:ascii="Calibri" w:hAnsi="Calibri"/>
                <w:b/>
                <w:bCs/>
                <w:color w:val="000000"/>
                <w:lang w:eastAsia="en-GB"/>
              </w:rPr>
            </w:pPr>
          </w:p>
          <w:p w14:paraId="65CA4B13" w14:textId="77777777" w:rsidR="006541DC" w:rsidRDefault="006541DC" w:rsidP="00ED6507">
            <w:pPr>
              <w:rPr>
                <w:rFonts w:ascii="Calibri" w:hAnsi="Calibri"/>
                <w:b/>
                <w:bCs/>
                <w:color w:val="000000"/>
                <w:lang w:eastAsia="en-GB"/>
              </w:rPr>
            </w:pPr>
          </w:p>
          <w:p w14:paraId="6F97DA5C" w14:textId="19E448D1" w:rsidR="006541DC" w:rsidRDefault="006541DC" w:rsidP="00ED6507">
            <w:pPr>
              <w:rPr>
                <w:rFonts w:ascii="Calibri" w:hAnsi="Calibri"/>
                <w:b/>
                <w:bCs/>
                <w:color w:val="000000"/>
                <w:lang w:eastAsia="en-GB"/>
              </w:rPr>
            </w:pPr>
          </w:p>
        </w:tc>
        <w:tc>
          <w:tcPr>
            <w:tcW w:w="1134" w:type="dxa"/>
            <w:shd w:val="clear" w:color="auto" w:fill="auto"/>
            <w:noWrap/>
            <w:vAlign w:val="center"/>
          </w:tcPr>
          <w:p w14:paraId="2FA0FE53"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4E497637"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7349016E" w14:textId="77777777" w:rsidR="006541DC" w:rsidRPr="00050606" w:rsidRDefault="006541DC" w:rsidP="00ED6507">
            <w:pPr>
              <w:jc w:val="right"/>
              <w:rPr>
                <w:rFonts w:ascii="Calibri" w:hAnsi="Calibri"/>
                <w:b/>
                <w:bCs/>
                <w:color w:val="000000"/>
                <w:lang w:eastAsia="en-GB"/>
              </w:rPr>
            </w:pPr>
          </w:p>
        </w:tc>
        <w:tc>
          <w:tcPr>
            <w:tcW w:w="1276" w:type="dxa"/>
            <w:shd w:val="clear" w:color="auto" w:fill="auto"/>
            <w:noWrap/>
            <w:vAlign w:val="center"/>
          </w:tcPr>
          <w:p w14:paraId="52C8D6EA"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7DE9B5E2" w14:textId="77777777" w:rsidR="006541DC" w:rsidRPr="00050606" w:rsidRDefault="006541DC" w:rsidP="00ED6507">
            <w:pPr>
              <w:jc w:val="right"/>
              <w:rPr>
                <w:rFonts w:ascii="Calibri" w:hAnsi="Calibri"/>
                <w:b/>
                <w:bCs/>
                <w:color w:val="000000"/>
                <w:lang w:eastAsia="en-GB"/>
              </w:rPr>
            </w:pPr>
          </w:p>
        </w:tc>
        <w:tc>
          <w:tcPr>
            <w:tcW w:w="1134" w:type="dxa"/>
            <w:shd w:val="clear" w:color="auto" w:fill="auto"/>
            <w:noWrap/>
            <w:vAlign w:val="center"/>
          </w:tcPr>
          <w:p w14:paraId="09F38801" w14:textId="77777777" w:rsidR="006541DC" w:rsidRPr="00050606" w:rsidRDefault="006541DC" w:rsidP="00ED6507">
            <w:pPr>
              <w:jc w:val="right"/>
              <w:rPr>
                <w:rFonts w:ascii="Calibri" w:hAnsi="Calibri"/>
                <w:b/>
                <w:bCs/>
                <w:color w:val="000000"/>
                <w:lang w:eastAsia="en-GB"/>
              </w:rPr>
            </w:pPr>
          </w:p>
        </w:tc>
        <w:tc>
          <w:tcPr>
            <w:tcW w:w="1275" w:type="dxa"/>
            <w:shd w:val="clear" w:color="auto" w:fill="auto"/>
            <w:noWrap/>
            <w:vAlign w:val="center"/>
          </w:tcPr>
          <w:p w14:paraId="5EB54D3A" w14:textId="77777777" w:rsidR="006541DC" w:rsidRPr="00050606" w:rsidRDefault="006541DC" w:rsidP="00ED6507">
            <w:pPr>
              <w:jc w:val="right"/>
              <w:rPr>
                <w:rFonts w:ascii="Calibri" w:hAnsi="Calibri"/>
                <w:b/>
                <w:bCs/>
                <w:color w:val="000000"/>
                <w:lang w:eastAsia="en-GB"/>
              </w:rPr>
            </w:pPr>
          </w:p>
        </w:tc>
      </w:tr>
      <w:tr w:rsidR="006541DC" w:rsidRPr="00050606" w14:paraId="21EEBFEA" w14:textId="77777777" w:rsidTr="006541DC">
        <w:trPr>
          <w:trHeight w:val="321"/>
        </w:trPr>
        <w:tc>
          <w:tcPr>
            <w:tcW w:w="2000" w:type="dxa"/>
            <w:shd w:val="clear" w:color="auto" w:fill="B2A1C7" w:themeFill="accent4" w:themeFillTint="99"/>
            <w:vAlign w:val="center"/>
          </w:tcPr>
          <w:p w14:paraId="168B7432" w14:textId="77777777" w:rsidR="006541DC" w:rsidRDefault="006541DC" w:rsidP="00ED6507">
            <w:pPr>
              <w:rPr>
                <w:rFonts w:ascii="Calibri" w:hAnsi="Calibri"/>
                <w:b/>
                <w:bCs/>
                <w:color w:val="000000"/>
                <w:lang w:eastAsia="en-GB"/>
              </w:rPr>
            </w:pPr>
          </w:p>
        </w:tc>
        <w:tc>
          <w:tcPr>
            <w:tcW w:w="1134" w:type="dxa"/>
            <w:shd w:val="clear" w:color="auto" w:fill="B2A1C7" w:themeFill="accent4" w:themeFillTint="99"/>
            <w:noWrap/>
            <w:vAlign w:val="center"/>
          </w:tcPr>
          <w:p w14:paraId="7EF570C3" w14:textId="487A1D47"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134" w:type="dxa"/>
            <w:shd w:val="clear" w:color="auto" w:fill="B2A1C7" w:themeFill="accent4" w:themeFillTint="99"/>
            <w:noWrap/>
            <w:vAlign w:val="center"/>
          </w:tcPr>
          <w:p w14:paraId="28F3D770" w14:textId="6EA039D3"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134" w:type="dxa"/>
            <w:shd w:val="clear" w:color="auto" w:fill="B2A1C7" w:themeFill="accent4" w:themeFillTint="99"/>
            <w:noWrap/>
            <w:vAlign w:val="center"/>
          </w:tcPr>
          <w:p w14:paraId="2D9C9B10" w14:textId="00FC293A"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276" w:type="dxa"/>
            <w:shd w:val="clear" w:color="auto" w:fill="B2A1C7" w:themeFill="accent4" w:themeFillTint="99"/>
            <w:noWrap/>
            <w:vAlign w:val="center"/>
          </w:tcPr>
          <w:p w14:paraId="6BF57134" w14:textId="16B1CCA6"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134" w:type="dxa"/>
            <w:shd w:val="clear" w:color="auto" w:fill="B2A1C7" w:themeFill="accent4" w:themeFillTint="99"/>
            <w:noWrap/>
            <w:vAlign w:val="center"/>
          </w:tcPr>
          <w:p w14:paraId="4204C12A" w14:textId="7C8D3FB4"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134" w:type="dxa"/>
            <w:shd w:val="clear" w:color="auto" w:fill="B2A1C7" w:themeFill="accent4" w:themeFillTint="99"/>
            <w:noWrap/>
            <w:vAlign w:val="center"/>
          </w:tcPr>
          <w:p w14:paraId="4B734A0A" w14:textId="5F7777F9"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c>
          <w:tcPr>
            <w:tcW w:w="1275" w:type="dxa"/>
            <w:shd w:val="clear" w:color="auto" w:fill="B2A1C7" w:themeFill="accent4" w:themeFillTint="99"/>
            <w:noWrap/>
            <w:vAlign w:val="center"/>
          </w:tcPr>
          <w:p w14:paraId="20EC3D0C" w14:textId="3555C9DB" w:rsidR="006541DC" w:rsidRPr="00050606" w:rsidRDefault="006541DC" w:rsidP="00ED6507">
            <w:pPr>
              <w:jc w:val="right"/>
              <w:rPr>
                <w:rFonts w:ascii="Calibri" w:hAnsi="Calibri"/>
                <w:b/>
                <w:bCs/>
                <w:color w:val="000000"/>
                <w:lang w:eastAsia="en-GB"/>
              </w:rPr>
            </w:pPr>
            <w:r>
              <w:rPr>
                <w:rFonts w:ascii="Calibri" w:hAnsi="Calibri"/>
                <w:b/>
                <w:bCs/>
                <w:color w:val="000000"/>
                <w:lang w:eastAsia="en-GB"/>
              </w:rPr>
              <w:t>£’000</w:t>
            </w:r>
          </w:p>
        </w:tc>
      </w:tr>
      <w:tr w:rsidR="00707761" w:rsidRPr="00050606" w14:paraId="1801A546" w14:textId="77777777" w:rsidTr="006541DC">
        <w:trPr>
          <w:trHeight w:val="420"/>
        </w:trPr>
        <w:tc>
          <w:tcPr>
            <w:tcW w:w="2000" w:type="dxa"/>
            <w:shd w:val="clear" w:color="000000" w:fill="E4DFEC"/>
            <w:vAlign w:val="center"/>
            <w:hideMark/>
          </w:tcPr>
          <w:p w14:paraId="4ECF93EC" w14:textId="06FC68CA" w:rsidR="00707761" w:rsidRPr="00050606" w:rsidRDefault="006541DC" w:rsidP="00ED6507">
            <w:pPr>
              <w:rPr>
                <w:rFonts w:ascii="Calibri" w:hAnsi="Calibri"/>
                <w:b/>
                <w:bCs/>
                <w:color w:val="000000"/>
                <w:lang w:eastAsia="en-GB"/>
              </w:rPr>
            </w:pPr>
            <w:r>
              <w:rPr>
                <w:rFonts w:ascii="Calibri" w:hAnsi="Calibri"/>
                <w:b/>
                <w:bCs/>
                <w:color w:val="000000"/>
                <w:lang w:eastAsia="en-GB"/>
              </w:rPr>
              <w:t>G</w:t>
            </w:r>
            <w:r w:rsidR="00707761" w:rsidRPr="00050606">
              <w:rPr>
                <w:rFonts w:ascii="Calibri" w:hAnsi="Calibri"/>
                <w:b/>
                <w:bCs/>
                <w:color w:val="000000"/>
                <w:lang w:eastAsia="en-GB"/>
              </w:rPr>
              <w:t xml:space="preserve">eneral </w:t>
            </w:r>
            <w:r w:rsidR="009D0F99">
              <w:rPr>
                <w:rFonts w:ascii="Calibri" w:hAnsi="Calibri"/>
                <w:b/>
                <w:bCs/>
                <w:color w:val="000000"/>
                <w:lang w:eastAsia="en-GB"/>
              </w:rPr>
              <w:t xml:space="preserve">Fund </w:t>
            </w:r>
            <w:r w:rsidR="00707761" w:rsidRPr="00050606">
              <w:rPr>
                <w:rFonts w:ascii="Calibri" w:hAnsi="Calibri"/>
                <w:b/>
                <w:bCs/>
                <w:color w:val="000000"/>
                <w:lang w:eastAsia="en-GB"/>
              </w:rPr>
              <w:t>Reserves</w:t>
            </w:r>
          </w:p>
        </w:tc>
        <w:tc>
          <w:tcPr>
            <w:tcW w:w="1134" w:type="dxa"/>
            <w:shd w:val="clear" w:color="auto" w:fill="E5DFEC" w:themeFill="accent4" w:themeFillTint="33"/>
            <w:noWrap/>
            <w:vAlign w:val="center"/>
            <w:hideMark/>
          </w:tcPr>
          <w:p w14:paraId="0C6AA95E"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72F02C73"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hideMark/>
          </w:tcPr>
          <w:p w14:paraId="02E6258D"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276" w:type="dxa"/>
            <w:shd w:val="clear" w:color="auto" w:fill="E5DFEC" w:themeFill="accent4" w:themeFillTint="33"/>
            <w:noWrap/>
            <w:vAlign w:val="center"/>
            <w:hideMark/>
          </w:tcPr>
          <w:p w14:paraId="523B49BE" w14:textId="77777777" w:rsidR="00707761" w:rsidRPr="00050606" w:rsidRDefault="00707761" w:rsidP="00ED6507">
            <w:pPr>
              <w:jc w:val="right"/>
              <w:rPr>
                <w:rFonts w:ascii="Calibri" w:hAnsi="Calibri"/>
                <w:b/>
                <w:bCs/>
                <w:color w:val="000000"/>
                <w:lang w:eastAsia="en-GB"/>
              </w:rPr>
            </w:pPr>
            <w:r w:rsidRPr="00050606">
              <w:rPr>
                <w:rFonts w:ascii="Calibri" w:hAnsi="Calibri"/>
                <w:b/>
                <w:bCs/>
                <w:color w:val="000000"/>
                <w:lang w:eastAsia="en-GB"/>
              </w:rPr>
              <w:t> </w:t>
            </w:r>
          </w:p>
        </w:tc>
        <w:tc>
          <w:tcPr>
            <w:tcW w:w="1134" w:type="dxa"/>
            <w:shd w:val="clear" w:color="auto" w:fill="E5DFEC" w:themeFill="accent4" w:themeFillTint="33"/>
            <w:noWrap/>
            <w:vAlign w:val="center"/>
          </w:tcPr>
          <w:p w14:paraId="4788EEB8" w14:textId="77777777" w:rsidR="00707761" w:rsidRPr="00050606" w:rsidRDefault="00707761" w:rsidP="00ED6507">
            <w:pPr>
              <w:jc w:val="right"/>
              <w:rPr>
                <w:rFonts w:ascii="Calibri" w:hAnsi="Calibri"/>
                <w:b/>
                <w:bCs/>
                <w:color w:val="000000"/>
                <w:lang w:eastAsia="en-GB"/>
              </w:rPr>
            </w:pPr>
          </w:p>
        </w:tc>
        <w:tc>
          <w:tcPr>
            <w:tcW w:w="1134" w:type="dxa"/>
            <w:shd w:val="clear" w:color="auto" w:fill="E5DFEC" w:themeFill="accent4" w:themeFillTint="33"/>
            <w:noWrap/>
            <w:vAlign w:val="center"/>
          </w:tcPr>
          <w:p w14:paraId="6B3ADA83" w14:textId="77777777" w:rsidR="00707761" w:rsidRPr="00050606" w:rsidRDefault="00707761" w:rsidP="00ED6507">
            <w:pPr>
              <w:jc w:val="right"/>
              <w:rPr>
                <w:rFonts w:ascii="Calibri" w:hAnsi="Calibri"/>
                <w:b/>
                <w:bCs/>
                <w:color w:val="000000"/>
                <w:lang w:eastAsia="en-GB"/>
              </w:rPr>
            </w:pPr>
          </w:p>
        </w:tc>
        <w:tc>
          <w:tcPr>
            <w:tcW w:w="1275" w:type="dxa"/>
            <w:shd w:val="clear" w:color="auto" w:fill="E5DFEC" w:themeFill="accent4" w:themeFillTint="33"/>
            <w:noWrap/>
            <w:vAlign w:val="center"/>
          </w:tcPr>
          <w:p w14:paraId="4BDDD358" w14:textId="77777777" w:rsidR="00707761" w:rsidRPr="00050606" w:rsidRDefault="00707761" w:rsidP="00ED6507">
            <w:pPr>
              <w:jc w:val="right"/>
              <w:rPr>
                <w:rFonts w:ascii="Calibri" w:hAnsi="Calibri"/>
                <w:b/>
                <w:bCs/>
                <w:color w:val="000000"/>
                <w:lang w:eastAsia="en-GB"/>
              </w:rPr>
            </w:pPr>
          </w:p>
        </w:tc>
      </w:tr>
      <w:tr w:rsidR="00707761" w:rsidRPr="00050606" w14:paraId="244B08D6" w14:textId="77777777" w:rsidTr="003738A6">
        <w:trPr>
          <w:trHeight w:val="570"/>
        </w:trPr>
        <w:tc>
          <w:tcPr>
            <w:tcW w:w="2000" w:type="dxa"/>
            <w:shd w:val="clear" w:color="000000" w:fill="E4DFEC"/>
            <w:vAlign w:val="center"/>
            <w:hideMark/>
          </w:tcPr>
          <w:p w14:paraId="122E1ACA"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Corporate Priorities Reserve</w:t>
            </w:r>
          </w:p>
        </w:tc>
        <w:tc>
          <w:tcPr>
            <w:tcW w:w="1134" w:type="dxa"/>
            <w:shd w:val="clear" w:color="auto" w:fill="CCC0D9" w:themeFill="accent4" w:themeFillTint="66"/>
            <w:noWrap/>
            <w:vAlign w:val="center"/>
            <w:hideMark/>
          </w:tcPr>
          <w:p w14:paraId="0DC67F3E" w14:textId="356308FE" w:rsidR="00707761" w:rsidRPr="00050606" w:rsidRDefault="007C7A6A" w:rsidP="004E329B">
            <w:pPr>
              <w:jc w:val="right"/>
              <w:rPr>
                <w:rFonts w:ascii="Calibri" w:hAnsi="Calibri"/>
                <w:color w:val="000000"/>
                <w:lang w:eastAsia="en-GB"/>
              </w:rPr>
            </w:pPr>
            <w:r>
              <w:rPr>
                <w:rFonts w:ascii="Calibri" w:hAnsi="Calibri"/>
                <w:color w:val="000000"/>
                <w:lang w:eastAsia="en-GB"/>
              </w:rPr>
              <w:t>1</w:t>
            </w:r>
            <w:r w:rsidR="004B0E90">
              <w:rPr>
                <w:rFonts w:ascii="Calibri" w:hAnsi="Calibri"/>
                <w:color w:val="000000"/>
                <w:lang w:eastAsia="en-GB"/>
              </w:rPr>
              <w:t>,181</w:t>
            </w:r>
            <w:r w:rsidR="00707761" w:rsidRPr="00050606">
              <w:rPr>
                <w:rFonts w:ascii="Calibri" w:hAnsi="Calibri"/>
                <w:color w:val="000000"/>
                <w:lang w:eastAsia="en-GB"/>
              </w:rPr>
              <w:t> </w:t>
            </w:r>
          </w:p>
        </w:tc>
        <w:tc>
          <w:tcPr>
            <w:tcW w:w="1134" w:type="dxa"/>
            <w:shd w:val="clear" w:color="000000" w:fill="E4DFEC"/>
            <w:noWrap/>
            <w:vAlign w:val="center"/>
            <w:hideMark/>
          </w:tcPr>
          <w:p w14:paraId="130C286C" w14:textId="332F9CAB" w:rsidR="00707761" w:rsidRPr="00050606" w:rsidRDefault="004B0E90" w:rsidP="004E329B">
            <w:pPr>
              <w:jc w:val="right"/>
              <w:rPr>
                <w:rFonts w:ascii="Calibri" w:hAnsi="Calibri"/>
                <w:color w:val="000000"/>
                <w:lang w:eastAsia="en-GB"/>
              </w:rPr>
            </w:pPr>
            <w:r>
              <w:rPr>
                <w:rFonts w:ascii="Calibri" w:hAnsi="Calibri"/>
                <w:color w:val="000000"/>
                <w:lang w:eastAsia="en-GB"/>
              </w:rPr>
              <w:t>229</w:t>
            </w:r>
          </w:p>
        </w:tc>
        <w:tc>
          <w:tcPr>
            <w:tcW w:w="1134" w:type="dxa"/>
            <w:shd w:val="clear" w:color="000000" w:fill="E4DFEC"/>
            <w:noWrap/>
            <w:vAlign w:val="center"/>
            <w:hideMark/>
          </w:tcPr>
          <w:p w14:paraId="547761DE" w14:textId="539DDE50" w:rsidR="00707761" w:rsidRPr="00050606" w:rsidRDefault="004B0E90" w:rsidP="00ED6507">
            <w:pPr>
              <w:jc w:val="right"/>
              <w:rPr>
                <w:rFonts w:ascii="Calibri" w:hAnsi="Calibri"/>
                <w:color w:val="000000"/>
                <w:lang w:eastAsia="en-GB"/>
              </w:rPr>
            </w:pPr>
            <w:r>
              <w:rPr>
                <w:rFonts w:ascii="Calibri" w:hAnsi="Calibri"/>
                <w:color w:val="000000"/>
                <w:lang w:eastAsia="en-GB"/>
              </w:rPr>
              <w:t>229</w:t>
            </w:r>
            <w:r w:rsidR="00707761" w:rsidRPr="00050606">
              <w:rPr>
                <w:rFonts w:ascii="Calibri" w:hAnsi="Calibri"/>
                <w:color w:val="000000"/>
                <w:lang w:eastAsia="en-GB"/>
              </w:rPr>
              <w:t> </w:t>
            </w:r>
          </w:p>
        </w:tc>
        <w:tc>
          <w:tcPr>
            <w:tcW w:w="1276" w:type="dxa"/>
            <w:shd w:val="clear" w:color="auto" w:fill="CCC0D9" w:themeFill="accent4" w:themeFillTint="66"/>
            <w:noWrap/>
            <w:vAlign w:val="center"/>
            <w:hideMark/>
          </w:tcPr>
          <w:p w14:paraId="02F2690E" w14:textId="33A14074" w:rsidR="00707761" w:rsidRPr="00050606" w:rsidRDefault="00630B56" w:rsidP="004E329B">
            <w:pPr>
              <w:jc w:val="right"/>
              <w:rPr>
                <w:rFonts w:ascii="Calibri" w:hAnsi="Calibri"/>
                <w:color w:val="000000"/>
                <w:lang w:eastAsia="en-GB"/>
              </w:rPr>
            </w:pPr>
            <w:r>
              <w:rPr>
                <w:rFonts w:ascii="Calibri" w:hAnsi="Calibri"/>
                <w:color w:val="000000"/>
                <w:lang w:eastAsia="en-GB"/>
              </w:rPr>
              <w:t>1</w:t>
            </w:r>
            <w:r w:rsidR="00707761">
              <w:rPr>
                <w:rFonts w:ascii="Calibri" w:hAnsi="Calibri"/>
                <w:color w:val="000000"/>
                <w:lang w:eastAsia="en-GB"/>
              </w:rPr>
              <w:t>,</w:t>
            </w:r>
            <w:r w:rsidR="00F8235E">
              <w:rPr>
                <w:rFonts w:ascii="Calibri" w:hAnsi="Calibri"/>
                <w:color w:val="000000"/>
                <w:lang w:eastAsia="en-GB"/>
              </w:rPr>
              <w:t>181</w:t>
            </w:r>
          </w:p>
        </w:tc>
        <w:tc>
          <w:tcPr>
            <w:tcW w:w="1134" w:type="dxa"/>
            <w:shd w:val="clear" w:color="000000" w:fill="E4DFEC"/>
            <w:noWrap/>
            <w:vAlign w:val="center"/>
          </w:tcPr>
          <w:p w14:paraId="28B4E4AD" w14:textId="3ED185C8" w:rsidR="00707761" w:rsidRPr="00050606" w:rsidRDefault="0047204F" w:rsidP="00ED6507">
            <w:pPr>
              <w:jc w:val="right"/>
              <w:rPr>
                <w:rFonts w:ascii="Calibri" w:hAnsi="Calibri"/>
                <w:color w:val="000000"/>
                <w:lang w:eastAsia="en-GB"/>
              </w:rPr>
            </w:pPr>
            <w:r>
              <w:rPr>
                <w:rFonts w:ascii="Calibri" w:hAnsi="Calibri"/>
                <w:color w:val="000000"/>
                <w:lang w:eastAsia="en-GB"/>
              </w:rPr>
              <w:t>69</w:t>
            </w:r>
          </w:p>
        </w:tc>
        <w:tc>
          <w:tcPr>
            <w:tcW w:w="1134" w:type="dxa"/>
            <w:shd w:val="clear" w:color="000000" w:fill="E4DFEC"/>
            <w:noWrap/>
            <w:vAlign w:val="center"/>
          </w:tcPr>
          <w:p w14:paraId="3EB5893B" w14:textId="114D53A8" w:rsidR="00707761" w:rsidRPr="00050606" w:rsidRDefault="0047204F" w:rsidP="00ED6507">
            <w:pPr>
              <w:jc w:val="right"/>
              <w:rPr>
                <w:rFonts w:ascii="Calibri" w:hAnsi="Calibri"/>
                <w:color w:val="000000"/>
                <w:lang w:eastAsia="en-GB"/>
              </w:rPr>
            </w:pPr>
            <w:r>
              <w:rPr>
                <w:rFonts w:ascii="Calibri" w:hAnsi="Calibri"/>
                <w:color w:val="000000"/>
                <w:lang w:eastAsia="en-GB"/>
              </w:rPr>
              <w:t>11</w:t>
            </w:r>
          </w:p>
        </w:tc>
        <w:tc>
          <w:tcPr>
            <w:tcW w:w="1275" w:type="dxa"/>
            <w:shd w:val="clear" w:color="auto" w:fill="CCC0D9" w:themeFill="accent4" w:themeFillTint="66"/>
            <w:noWrap/>
            <w:vAlign w:val="center"/>
          </w:tcPr>
          <w:p w14:paraId="555E78BF" w14:textId="69762C3F" w:rsidR="00707761" w:rsidRPr="00050606" w:rsidRDefault="0047204F" w:rsidP="00CC48C0">
            <w:pPr>
              <w:jc w:val="right"/>
              <w:rPr>
                <w:rFonts w:ascii="Calibri" w:hAnsi="Calibri"/>
                <w:color w:val="000000"/>
                <w:lang w:eastAsia="en-GB"/>
              </w:rPr>
            </w:pPr>
            <w:r>
              <w:rPr>
                <w:rFonts w:ascii="Calibri" w:hAnsi="Calibri"/>
                <w:color w:val="000000"/>
                <w:lang w:eastAsia="en-GB"/>
              </w:rPr>
              <w:t>1,239</w:t>
            </w:r>
          </w:p>
        </w:tc>
      </w:tr>
      <w:tr w:rsidR="00707761" w:rsidRPr="00050606" w14:paraId="1F557B8E" w14:textId="77777777" w:rsidTr="0029188A">
        <w:trPr>
          <w:trHeight w:val="347"/>
        </w:trPr>
        <w:tc>
          <w:tcPr>
            <w:tcW w:w="2000" w:type="dxa"/>
            <w:shd w:val="clear" w:color="000000" w:fill="E4DFEC"/>
            <w:vAlign w:val="center"/>
            <w:hideMark/>
          </w:tcPr>
          <w:p w14:paraId="6D9EBE39" w14:textId="77777777" w:rsidR="00707761" w:rsidRPr="00050606" w:rsidRDefault="00707761" w:rsidP="00ED6507">
            <w:pPr>
              <w:rPr>
                <w:rFonts w:ascii="Calibri" w:hAnsi="Calibri"/>
                <w:color w:val="000000"/>
                <w:lang w:eastAsia="en-GB"/>
              </w:rPr>
            </w:pPr>
            <w:r w:rsidRPr="00050606">
              <w:rPr>
                <w:rFonts w:ascii="Calibri" w:hAnsi="Calibri"/>
                <w:color w:val="000000"/>
                <w:lang w:eastAsia="en-GB"/>
              </w:rPr>
              <w:t>Special Expenses</w:t>
            </w:r>
          </w:p>
        </w:tc>
        <w:tc>
          <w:tcPr>
            <w:tcW w:w="1134" w:type="dxa"/>
            <w:shd w:val="clear" w:color="auto" w:fill="CCC0D9" w:themeFill="accent4" w:themeFillTint="66"/>
            <w:noWrap/>
            <w:vAlign w:val="center"/>
            <w:hideMark/>
          </w:tcPr>
          <w:p w14:paraId="7DF491A8" w14:textId="1181F1F3" w:rsidR="00707761" w:rsidRPr="00050606" w:rsidRDefault="00F8235E" w:rsidP="007C7A6A">
            <w:pPr>
              <w:jc w:val="right"/>
              <w:rPr>
                <w:rFonts w:ascii="Calibri" w:hAnsi="Calibri"/>
                <w:color w:val="000000"/>
                <w:lang w:eastAsia="en-GB"/>
              </w:rPr>
            </w:pPr>
            <w:r>
              <w:rPr>
                <w:rFonts w:ascii="Calibri" w:hAnsi="Calibri"/>
                <w:color w:val="000000"/>
                <w:lang w:eastAsia="en-GB"/>
              </w:rPr>
              <w:t>3</w:t>
            </w:r>
            <w:r w:rsidR="004B0E90">
              <w:rPr>
                <w:rFonts w:ascii="Calibri" w:hAnsi="Calibri"/>
                <w:color w:val="000000"/>
                <w:lang w:eastAsia="en-GB"/>
              </w:rPr>
              <w:t>80</w:t>
            </w:r>
            <w:r w:rsidR="00707761" w:rsidRPr="00050606">
              <w:rPr>
                <w:rFonts w:ascii="Calibri" w:hAnsi="Calibri"/>
                <w:color w:val="000000"/>
                <w:lang w:eastAsia="en-GB"/>
              </w:rPr>
              <w:t> </w:t>
            </w:r>
          </w:p>
        </w:tc>
        <w:tc>
          <w:tcPr>
            <w:tcW w:w="1134" w:type="dxa"/>
            <w:shd w:val="clear" w:color="000000" w:fill="E4DFEC"/>
            <w:noWrap/>
            <w:vAlign w:val="center"/>
            <w:hideMark/>
          </w:tcPr>
          <w:p w14:paraId="2A84CB1A" w14:textId="19D168C5" w:rsidR="00707761" w:rsidRPr="00050606" w:rsidRDefault="004B0E90" w:rsidP="00ED6507">
            <w:pPr>
              <w:jc w:val="right"/>
              <w:rPr>
                <w:rFonts w:ascii="Calibri" w:hAnsi="Calibri"/>
                <w:color w:val="000000"/>
                <w:lang w:eastAsia="en-GB"/>
              </w:rPr>
            </w:pPr>
            <w:r>
              <w:rPr>
                <w:rFonts w:ascii="Calibri" w:hAnsi="Calibri"/>
                <w:color w:val="000000"/>
                <w:lang w:eastAsia="en-GB"/>
              </w:rPr>
              <w:t>0</w:t>
            </w:r>
          </w:p>
        </w:tc>
        <w:tc>
          <w:tcPr>
            <w:tcW w:w="1134" w:type="dxa"/>
            <w:shd w:val="clear" w:color="000000" w:fill="E4DFEC"/>
            <w:noWrap/>
            <w:vAlign w:val="center"/>
            <w:hideMark/>
          </w:tcPr>
          <w:p w14:paraId="43705BAB" w14:textId="5C4A2072" w:rsidR="00707761" w:rsidRPr="00050606" w:rsidRDefault="004B0E90" w:rsidP="00ED6507">
            <w:pPr>
              <w:jc w:val="right"/>
              <w:rPr>
                <w:rFonts w:ascii="Calibri" w:hAnsi="Calibri"/>
                <w:color w:val="000000"/>
                <w:lang w:eastAsia="en-GB"/>
              </w:rPr>
            </w:pPr>
            <w:r>
              <w:rPr>
                <w:rFonts w:ascii="Calibri" w:hAnsi="Calibri"/>
                <w:color w:val="000000"/>
                <w:lang w:eastAsia="en-GB"/>
              </w:rPr>
              <w:t>58</w:t>
            </w:r>
            <w:r w:rsidR="00707761" w:rsidRPr="00050606">
              <w:rPr>
                <w:rFonts w:ascii="Calibri" w:hAnsi="Calibri"/>
                <w:color w:val="000000"/>
                <w:lang w:eastAsia="en-GB"/>
              </w:rPr>
              <w:t> </w:t>
            </w:r>
          </w:p>
        </w:tc>
        <w:tc>
          <w:tcPr>
            <w:tcW w:w="1276" w:type="dxa"/>
            <w:shd w:val="clear" w:color="auto" w:fill="CCC0D9" w:themeFill="accent4" w:themeFillTint="66"/>
            <w:noWrap/>
            <w:vAlign w:val="center"/>
            <w:hideMark/>
          </w:tcPr>
          <w:p w14:paraId="487983F1" w14:textId="4E8CB838" w:rsidR="00707761" w:rsidRPr="00050606" w:rsidRDefault="004E329B" w:rsidP="007C7A6A">
            <w:pPr>
              <w:jc w:val="right"/>
              <w:rPr>
                <w:rFonts w:ascii="Calibri" w:hAnsi="Calibri"/>
                <w:color w:val="000000"/>
                <w:lang w:eastAsia="en-GB"/>
              </w:rPr>
            </w:pPr>
            <w:r>
              <w:rPr>
                <w:rFonts w:ascii="Calibri" w:hAnsi="Calibri"/>
                <w:color w:val="000000"/>
                <w:lang w:eastAsia="en-GB"/>
              </w:rPr>
              <w:t>3</w:t>
            </w:r>
            <w:r w:rsidR="004B0E90">
              <w:rPr>
                <w:rFonts w:ascii="Calibri" w:hAnsi="Calibri"/>
                <w:color w:val="000000"/>
                <w:lang w:eastAsia="en-GB"/>
              </w:rPr>
              <w:t>22</w:t>
            </w:r>
          </w:p>
        </w:tc>
        <w:tc>
          <w:tcPr>
            <w:tcW w:w="1134" w:type="dxa"/>
            <w:shd w:val="clear" w:color="000000" w:fill="E4DFEC"/>
            <w:noWrap/>
            <w:vAlign w:val="center"/>
          </w:tcPr>
          <w:p w14:paraId="78C77FB3" w14:textId="758C6B83" w:rsidR="00707761" w:rsidRPr="00050606" w:rsidRDefault="0047204F" w:rsidP="00ED6507">
            <w:pPr>
              <w:jc w:val="right"/>
              <w:rPr>
                <w:rFonts w:ascii="Calibri" w:hAnsi="Calibri"/>
                <w:color w:val="000000"/>
                <w:lang w:eastAsia="en-GB"/>
              </w:rPr>
            </w:pPr>
            <w:r>
              <w:rPr>
                <w:rFonts w:ascii="Calibri" w:hAnsi="Calibri"/>
                <w:color w:val="000000"/>
                <w:lang w:eastAsia="en-GB"/>
              </w:rPr>
              <w:t>0</w:t>
            </w:r>
          </w:p>
        </w:tc>
        <w:tc>
          <w:tcPr>
            <w:tcW w:w="1134" w:type="dxa"/>
            <w:shd w:val="clear" w:color="000000" w:fill="E4DFEC"/>
            <w:noWrap/>
            <w:vAlign w:val="center"/>
          </w:tcPr>
          <w:p w14:paraId="187AFD5A" w14:textId="0FDAA0AA" w:rsidR="00707761" w:rsidRPr="00050606" w:rsidRDefault="0047204F" w:rsidP="00ED6507">
            <w:pPr>
              <w:jc w:val="right"/>
              <w:rPr>
                <w:rFonts w:ascii="Calibri" w:hAnsi="Calibri"/>
                <w:color w:val="000000"/>
                <w:lang w:eastAsia="en-GB"/>
              </w:rPr>
            </w:pPr>
            <w:r>
              <w:rPr>
                <w:rFonts w:ascii="Calibri" w:hAnsi="Calibri"/>
                <w:color w:val="000000"/>
                <w:lang w:eastAsia="en-GB"/>
              </w:rPr>
              <w:t>108</w:t>
            </w:r>
          </w:p>
        </w:tc>
        <w:tc>
          <w:tcPr>
            <w:tcW w:w="1275" w:type="dxa"/>
            <w:shd w:val="clear" w:color="auto" w:fill="CCC0D9" w:themeFill="accent4" w:themeFillTint="66"/>
            <w:noWrap/>
            <w:vAlign w:val="center"/>
          </w:tcPr>
          <w:p w14:paraId="41561AF8" w14:textId="2E0C739E" w:rsidR="00707761" w:rsidRPr="00050606" w:rsidRDefault="0047204F" w:rsidP="006D622C">
            <w:pPr>
              <w:jc w:val="right"/>
              <w:rPr>
                <w:rFonts w:ascii="Calibri" w:hAnsi="Calibri"/>
                <w:color w:val="000000"/>
                <w:lang w:eastAsia="en-GB"/>
              </w:rPr>
            </w:pPr>
            <w:r>
              <w:rPr>
                <w:rFonts w:ascii="Calibri" w:hAnsi="Calibri"/>
                <w:color w:val="000000"/>
                <w:lang w:eastAsia="en-GB"/>
              </w:rPr>
              <w:t>214</w:t>
            </w:r>
          </w:p>
        </w:tc>
      </w:tr>
      <w:tr w:rsidR="000B1693" w:rsidRPr="00050606" w14:paraId="16C5A8DA" w14:textId="77777777" w:rsidTr="0029188A">
        <w:trPr>
          <w:trHeight w:val="498"/>
        </w:trPr>
        <w:tc>
          <w:tcPr>
            <w:tcW w:w="2000" w:type="dxa"/>
            <w:shd w:val="clear" w:color="auto" w:fill="E5DFEC" w:themeFill="accent4" w:themeFillTint="33"/>
            <w:vAlign w:val="center"/>
          </w:tcPr>
          <w:p w14:paraId="2BAA5A7B" w14:textId="47EA7CAC" w:rsidR="000B1693" w:rsidRPr="000B1693" w:rsidRDefault="003B5366" w:rsidP="00ED6507">
            <w:pPr>
              <w:rPr>
                <w:rFonts w:ascii="Calibri" w:hAnsi="Calibri"/>
                <w:bCs/>
                <w:color w:val="000000"/>
                <w:lang w:eastAsia="en-GB"/>
              </w:rPr>
            </w:pPr>
            <w:r>
              <w:rPr>
                <w:rFonts w:ascii="Calibri" w:hAnsi="Calibri"/>
                <w:bCs/>
                <w:color w:val="000000"/>
                <w:lang w:eastAsia="en-GB"/>
              </w:rPr>
              <w:t xml:space="preserve">Regeneration </w:t>
            </w:r>
            <w:r w:rsidR="00704A70">
              <w:rPr>
                <w:rFonts w:ascii="Calibri" w:hAnsi="Calibri"/>
                <w:bCs/>
                <w:color w:val="000000"/>
                <w:lang w:eastAsia="en-GB"/>
              </w:rPr>
              <w:t>and</w:t>
            </w:r>
            <w:r>
              <w:rPr>
                <w:rFonts w:ascii="Calibri" w:hAnsi="Calibri"/>
                <w:bCs/>
                <w:color w:val="000000"/>
                <w:lang w:eastAsia="en-GB"/>
              </w:rPr>
              <w:t xml:space="preserve"> Innovation Reserve</w:t>
            </w:r>
          </w:p>
        </w:tc>
        <w:tc>
          <w:tcPr>
            <w:tcW w:w="1134" w:type="dxa"/>
            <w:shd w:val="clear" w:color="000000" w:fill="CCC0DA"/>
            <w:noWrap/>
            <w:vAlign w:val="center"/>
          </w:tcPr>
          <w:p w14:paraId="415DEB9D" w14:textId="6B77F150" w:rsidR="000B1693" w:rsidRPr="000B1693" w:rsidRDefault="004B0E90" w:rsidP="00ED6507">
            <w:pPr>
              <w:jc w:val="right"/>
              <w:rPr>
                <w:rFonts w:ascii="Calibri" w:hAnsi="Calibri"/>
                <w:bCs/>
                <w:color w:val="000000"/>
                <w:lang w:eastAsia="en-GB"/>
              </w:rPr>
            </w:pPr>
            <w:r>
              <w:rPr>
                <w:rFonts w:ascii="Calibri" w:hAnsi="Calibri"/>
                <w:bCs/>
                <w:color w:val="000000"/>
                <w:lang w:eastAsia="en-GB"/>
              </w:rPr>
              <w:t>282</w:t>
            </w:r>
          </w:p>
        </w:tc>
        <w:tc>
          <w:tcPr>
            <w:tcW w:w="1134" w:type="dxa"/>
            <w:shd w:val="clear" w:color="auto" w:fill="E5DFEC" w:themeFill="accent4" w:themeFillTint="33"/>
            <w:noWrap/>
            <w:vAlign w:val="center"/>
          </w:tcPr>
          <w:p w14:paraId="4B24B216" w14:textId="22DA8707" w:rsidR="000B1693" w:rsidRPr="000B1693" w:rsidRDefault="004B0E90">
            <w:pPr>
              <w:jc w:val="right"/>
              <w:rPr>
                <w:rFonts w:ascii="Calibri" w:hAnsi="Calibri"/>
                <w:bCs/>
                <w:color w:val="000000"/>
                <w:lang w:eastAsia="en-GB"/>
              </w:rPr>
            </w:pPr>
            <w:r>
              <w:rPr>
                <w:rFonts w:ascii="Calibri" w:hAnsi="Calibri"/>
                <w:bCs/>
                <w:color w:val="000000"/>
                <w:lang w:eastAsia="en-GB"/>
              </w:rPr>
              <w:t>24</w:t>
            </w:r>
          </w:p>
        </w:tc>
        <w:tc>
          <w:tcPr>
            <w:tcW w:w="1134" w:type="dxa"/>
            <w:shd w:val="clear" w:color="auto" w:fill="E5DFEC" w:themeFill="accent4" w:themeFillTint="33"/>
            <w:noWrap/>
            <w:vAlign w:val="center"/>
          </w:tcPr>
          <w:p w14:paraId="59D0DDD7" w14:textId="5F7B36F4" w:rsidR="000B1693" w:rsidRPr="000B1693" w:rsidRDefault="004B0E90" w:rsidP="00ED6507">
            <w:pPr>
              <w:jc w:val="right"/>
              <w:rPr>
                <w:rFonts w:ascii="Calibri" w:hAnsi="Calibri"/>
                <w:bCs/>
                <w:color w:val="000000"/>
                <w:lang w:eastAsia="en-GB"/>
              </w:rPr>
            </w:pPr>
            <w:r>
              <w:rPr>
                <w:rFonts w:ascii="Calibri" w:hAnsi="Calibri"/>
                <w:bCs/>
                <w:color w:val="000000"/>
                <w:lang w:eastAsia="en-GB"/>
              </w:rPr>
              <w:t>130</w:t>
            </w:r>
          </w:p>
        </w:tc>
        <w:tc>
          <w:tcPr>
            <w:tcW w:w="1276" w:type="dxa"/>
            <w:shd w:val="clear" w:color="000000" w:fill="CCC0DA"/>
            <w:noWrap/>
            <w:vAlign w:val="center"/>
          </w:tcPr>
          <w:p w14:paraId="3CDB77DE" w14:textId="500788E3" w:rsidR="000B1693" w:rsidRPr="000B1693" w:rsidRDefault="004B0E90">
            <w:pPr>
              <w:jc w:val="right"/>
              <w:rPr>
                <w:rFonts w:ascii="Calibri" w:hAnsi="Calibri"/>
                <w:bCs/>
                <w:color w:val="000000"/>
                <w:lang w:eastAsia="en-GB"/>
              </w:rPr>
            </w:pPr>
            <w:r>
              <w:rPr>
                <w:rFonts w:ascii="Calibri" w:hAnsi="Calibri"/>
                <w:bCs/>
                <w:color w:val="000000"/>
                <w:lang w:eastAsia="en-GB"/>
              </w:rPr>
              <w:t>176</w:t>
            </w:r>
          </w:p>
        </w:tc>
        <w:tc>
          <w:tcPr>
            <w:tcW w:w="1134" w:type="dxa"/>
            <w:shd w:val="clear" w:color="auto" w:fill="E5DFEC" w:themeFill="accent4" w:themeFillTint="33"/>
            <w:noWrap/>
            <w:vAlign w:val="center"/>
          </w:tcPr>
          <w:p w14:paraId="4A9255AA" w14:textId="6EBA27D8" w:rsidR="000B1693" w:rsidRPr="000B1693" w:rsidRDefault="0047204F" w:rsidP="00ED6507">
            <w:pPr>
              <w:jc w:val="right"/>
              <w:rPr>
                <w:rFonts w:ascii="Calibri" w:hAnsi="Calibri"/>
                <w:bCs/>
                <w:color w:val="000000"/>
                <w:lang w:eastAsia="en-GB"/>
              </w:rPr>
            </w:pPr>
            <w:r>
              <w:rPr>
                <w:rFonts w:ascii="Calibri" w:hAnsi="Calibri"/>
                <w:bCs/>
                <w:color w:val="000000"/>
                <w:lang w:eastAsia="en-GB"/>
              </w:rPr>
              <w:t>444</w:t>
            </w:r>
          </w:p>
        </w:tc>
        <w:tc>
          <w:tcPr>
            <w:tcW w:w="1134" w:type="dxa"/>
            <w:shd w:val="clear" w:color="auto" w:fill="E5DFEC" w:themeFill="accent4" w:themeFillTint="33"/>
            <w:noWrap/>
            <w:vAlign w:val="center"/>
          </w:tcPr>
          <w:p w14:paraId="6AED48AD" w14:textId="36071834" w:rsidR="000B1693" w:rsidRPr="000B1693" w:rsidRDefault="0047204F" w:rsidP="00ED6507">
            <w:pPr>
              <w:jc w:val="right"/>
              <w:rPr>
                <w:rFonts w:ascii="Calibri" w:hAnsi="Calibri"/>
                <w:bCs/>
                <w:color w:val="000000"/>
                <w:lang w:eastAsia="en-GB"/>
              </w:rPr>
            </w:pPr>
            <w:r>
              <w:rPr>
                <w:rFonts w:ascii="Calibri" w:hAnsi="Calibri"/>
                <w:bCs/>
                <w:color w:val="000000"/>
                <w:lang w:eastAsia="en-GB"/>
              </w:rPr>
              <w:t>116</w:t>
            </w:r>
          </w:p>
        </w:tc>
        <w:tc>
          <w:tcPr>
            <w:tcW w:w="1275" w:type="dxa"/>
            <w:shd w:val="clear" w:color="000000" w:fill="CCC0DA"/>
            <w:noWrap/>
            <w:vAlign w:val="center"/>
          </w:tcPr>
          <w:p w14:paraId="2C0A0099" w14:textId="05B88A34" w:rsidR="000B1693" w:rsidRPr="000B1693" w:rsidRDefault="0047204F" w:rsidP="00ED6507">
            <w:pPr>
              <w:jc w:val="right"/>
              <w:rPr>
                <w:rFonts w:ascii="Calibri" w:hAnsi="Calibri"/>
                <w:bCs/>
                <w:color w:val="000000"/>
                <w:lang w:eastAsia="en-GB"/>
              </w:rPr>
            </w:pPr>
            <w:r>
              <w:rPr>
                <w:rFonts w:ascii="Calibri" w:hAnsi="Calibri"/>
                <w:bCs/>
                <w:color w:val="000000"/>
                <w:lang w:eastAsia="en-GB"/>
              </w:rPr>
              <w:t>504</w:t>
            </w:r>
          </w:p>
        </w:tc>
      </w:tr>
      <w:tr w:rsidR="000B1693" w:rsidRPr="00050606" w14:paraId="4D5C1A04" w14:textId="77777777" w:rsidTr="0029188A">
        <w:trPr>
          <w:trHeight w:val="464"/>
        </w:trPr>
        <w:tc>
          <w:tcPr>
            <w:tcW w:w="2000" w:type="dxa"/>
            <w:shd w:val="clear" w:color="auto" w:fill="E5DFEC" w:themeFill="accent4" w:themeFillTint="33"/>
            <w:vAlign w:val="center"/>
          </w:tcPr>
          <w:p w14:paraId="37EB80AC" w14:textId="77777777" w:rsidR="000B1693" w:rsidRPr="000B1693" w:rsidRDefault="000B1693">
            <w:pPr>
              <w:rPr>
                <w:rFonts w:ascii="Calibri" w:hAnsi="Calibri"/>
                <w:bCs/>
                <w:color w:val="000000"/>
                <w:lang w:eastAsia="en-GB"/>
              </w:rPr>
            </w:pPr>
            <w:r>
              <w:rPr>
                <w:rFonts w:ascii="Calibri" w:hAnsi="Calibri"/>
                <w:bCs/>
                <w:color w:val="000000"/>
                <w:lang w:eastAsia="en-GB"/>
              </w:rPr>
              <w:t>Carry Forward R</w:t>
            </w:r>
            <w:r w:rsidRPr="000B1693">
              <w:rPr>
                <w:rFonts w:ascii="Calibri" w:hAnsi="Calibri"/>
                <w:bCs/>
                <w:color w:val="000000"/>
                <w:lang w:eastAsia="en-GB"/>
              </w:rPr>
              <w:t>eserve</w:t>
            </w:r>
            <w:r w:rsidR="003B5366">
              <w:rPr>
                <w:rFonts w:ascii="Calibri" w:hAnsi="Calibri"/>
                <w:bCs/>
                <w:color w:val="000000"/>
                <w:lang w:eastAsia="en-GB"/>
              </w:rPr>
              <w:t>s</w:t>
            </w:r>
          </w:p>
        </w:tc>
        <w:tc>
          <w:tcPr>
            <w:tcW w:w="1134" w:type="dxa"/>
            <w:shd w:val="clear" w:color="000000" w:fill="CCC0DA"/>
            <w:noWrap/>
            <w:vAlign w:val="center"/>
          </w:tcPr>
          <w:p w14:paraId="60B41947" w14:textId="2733230B" w:rsidR="000B1693" w:rsidRPr="000B1693" w:rsidRDefault="004B0E90" w:rsidP="00ED6507">
            <w:pPr>
              <w:jc w:val="right"/>
              <w:rPr>
                <w:rFonts w:ascii="Calibri" w:hAnsi="Calibri"/>
                <w:bCs/>
                <w:color w:val="000000"/>
                <w:lang w:eastAsia="en-GB"/>
              </w:rPr>
            </w:pPr>
            <w:r>
              <w:rPr>
                <w:rFonts w:ascii="Calibri" w:hAnsi="Calibri"/>
                <w:bCs/>
                <w:color w:val="000000"/>
                <w:lang w:eastAsia="en-GB"/>
              </w:rPr>
              <w:t>569</w:t>
            </w:r>
          </w:p>
        </w:tc>
        <w:tc>
          <w:tcPr>
            <w:tcW w:w="1134" w:type="dxa"/>
            <w:shd w:val="clear" w:color="auto" w:fill="E5DFEC" w:themeFill="accent4" w:themeFillTint="33"/>
            <w:noWrap/>
            <w:vAlign w:val="center"/>
          </w:tcPr>
          <w:p w14:paraId="783AADFA" w14:textId="0A6A35AB" w:rsidR="000B1693" w:rsidRPr="000B1693" w:rsidRDefault="004B0E90" w:rsidP="00ED6507">
            <w:pPr>
              <w:jc w:val="right"/>
              <w:rPr>
                <w:rFonts w:ascii="Calibri" w:hAnsi="Calibri"/>
                <w:bCs/>
                <w:color w:val="000000"/>
                <w:lang w:eastAsia="en-GB"/>
              </w:rPr>
            </w:pPr>
            <w:r>
              <w:rPr>
                <w:rFonts w:ascii="Calibri" w:hAnsi="Calibri"/>
                <w:bCs/>
                <w:color w:val="000000"/>
                <w:lang w:eastAsia="en-GB"/>
              </w:rPr>
              <w:t>263</w:t>
            </w:r>
          </w:p>
        </w:tc>
        <w:tc>
          <w:tcPr>
            <w:tcW w:w="1134" w:type="dxa"/>
            <w:shd w:val="clear" w:color="auto" w:fill="E5DFEC" w:themeFill="accent4" w:themeFillTint="33"/>
            <w:noWrap/>
            <w:vAlign w:val="center"/>
          </w:tcPr>
          <w:p w14:paraId="7E315351" w14:textId="1E35B451" w:rsidR="000B1693" w:rsidRPr="000B1693" w:rsidRDefault="004B0E90" w:rsidP="00ED6507">
            <w:pPr>
              <w:jc w:val="right"/>
              <w:rPr>
                <w:rFonts w:ascii="Calibri" w:hAnsi="Calibri"/>
                <w:bCs/>
                <w:color w:val="000000"/>
                <w:lang w:eastAsia="en-GB"/>
              </w:rPr>
            </w:pPr>
            <w:r>
              <w:rPr>
                <w:rFonts w:ascii="Calibri" w:hAnsi="Calibri"/>
                <w:bCs/>
                <w:color w:val="000000"/>
                <w:lang w:eastAsia="en-GB"/>
              </w:rPr>
              <w:t>552</w:t>
            </w:r>
          </w:p>
        </w:tc>
        <w:tc>
          <w:tcPr>
            <w:tcW w:w="1276" w:type="dxa"/>
            <w:shd w:val="clear" w:color="000000" w:fill="CCC0DA"/>
            <w:noWrap/>
            <w:vAlign w:val="center"/>
          </w:tcPr>
          <w:p w14:paraId="4556423C" w14:textId="4FF009EA" w:rsidR="000B1693" w:rsidRPr="000B1693" w:rsidRDefault="004B0E90" w:rsidP="00ED6507">
            <w:pPr>
              <w:jc w:val="right"/>
              <w:rPr>
                <w:rFonts w:ascii="Calibri" w:hAnsi="Calibri"/>
                <w:bCs/>
                <w:color w:val="000000"/>
                <w:lang w:eastAsia="en-GB"/>
              </w:rPr>
            </w:pPr>
            <w:r>
              <w:rPr>
                <w:rFonts w:ascii="Calibri" w:hAnsi="Calibri"/>
                <w:bCs/>
                <w:color w:val="000000"/>
                <w:lang w:eastAsia="en-GB"/>
              </w:rPr>
              <w:t>280</w:t>
            </w:r>
          </w:p>
        </w:tc>
        <w:tc>
          <w:tcPr>
            <w:tcW w:w="1134" w:type="dxa"/>
            <w:shd w:val="clear" w:color="auto" w:fill="E5DFEC" w:themeFill="accent4" w:themeFillTint="33"/>
            <w:noWrap/>
            <w:vAlign w:val="center"/>
          </w:tcPr>
          <w:p w14:paraId="1937E2B9" w14:textId="0BB97D38" w:rsidR="000B1693" w:rsidRPr="000B1693" w:rsidRDefault="0047204F" w:rsidP="00ED6507">
            <w:pPr>
              <w:jc w:val="right"/>
              <w:rPr>
                <w:rFonts w:ascii="Calibri" w:hAnsi="Calibri"/>
                <w:bCs/>
                <w:color w:val="000000"/>
                <w:lang w:eastAsia="en-GB"/>
              </w:rPr>
            </w:pPr>
            <w:r>
              <w:rPr>
                <w:rFonts w:ascii="Calibri" w:hAnsi="Calibri"/>
                <w:bCs/>
                <w:color w:val="000000"/>
                <w:lang w:eastAsia="en-GB"/>
              </w:rPr>
              <w:t>272</w:t>
            </w:r>
          </w:p>
        </w:tc>
        <w:tc>
          <w:tcPr>
            <w:tcW w:w="1134" w:type="dxa"/>
            <w:shd w:val="clear" w:color="auto" w:fill="E5DFEC" w:themeFill="accent4" w:themeFillTint="33"/>
            <w:noWrap/>
            <w:vAlign w:val="center"/>
          </w:tcPr>
          <w:p w14:paraId="10018E67" w14:textId="4645F960" w:rsidR="000B1693" w:rsidRPr="000B1693" w:rsidRDefault="0047204F" w:rsidP="00ED6507">
            <w:pPr>
              <w:jc w:val="right"/>
              <w:rPr>
                <w:rFonts w:ascii="Calibri" w:hAnsi="Calibri"/>
                <w:bCs/>
                <w:color w:val="000000"/>
                <w:lang w:eastAsia="en-GB"/>
              </w:rPr>
            </w:pPr>
            <w:r>
              <w:rPr>
                <w:rFonts w:ascii="Calibri" w:hAnsi="Calibri"/>
                <w:bCs/>
                <w:color w:val="000000"/>
                <w:lang w:eastAsia="en-GB"/>
              </w:rPr>
              <w:t>280</w:t>
            </w:r>
          </w:p>
        </w:tc>
        <w:tc>
          <w:tcPr>
            <w:tcW w:w="1275" w:type="dxa"/>
            <w:shd w:val="clear" w:color="000000" w:fill="CCC0DA"/>
            <w:noWrap/>
            <w:vAlign w:val="center"/>
          </w:tcPr>
          <w:p w14:paraId="26C0CBED" w14:textId="4CDEB78E" w:rsidR="000B1693" w:rsidRPr="000B1693" w:rsidRDefault="0047204F" w:rsidP="00ED6507">
            <w:pPr>
              <w:jc w:val="right"/>
              <w:rPr>
                <w:rFonts w:ascii="Calibri" w:hAnsi="Calibri"/>
                <w:bCs/>
                <w:color w:val="000000"/>
                <w:lang w:eastAsia="en-GB"/>
              </w:rPr>
            </w:pPr>
            <w:r>
              <w:rPr>
                <w:rFonts w:ascii="Calibri" w:hAnsi="Calibri"/>
                <w:bCs/>
                <w:color w:val="000000"/>
                <w:lang w:eastAsia="en-GB"/>
              </w:rPr>
              <w:t>272</w:t>
            </w:r>
          </w:p>
        </w:tc>
      </w:tr>
      <w:tr w:rsidR="00707761" w:rsidRPr="00050606" w14:paraId="14671F87" w14:textId="77777777" w:rsidTr="003738A6">
        <w:trPr>
          <w:trHeight w:val="585"/>
        </w:trPr>
        <w:tc>
          <w:tcPr>
            <w:tcW w:w="2000" w:type="dxa"/>
            <w:shd w:val="clear" w:color="000000" w:fill="CCC0DA"/>
            <w:vAlign w:val="center"/>
            <w:hideMark/>
          </w:tcPr>
          <w:p w14:paraId="615ED9E7" w14:textId="77777777" w:rsidR="00707761" w:rsidRPr="00050606" w:rsidRDefault="00707761" w:rsidP="00ED6507">
            <w:pPr>
              <w:rPr>
                <w:rFonts w:ascii="Calibri" w:hAnsi="Calibri"/>
                <w:b/>
                <w:bCs/>
                <w:color w:val="000000"/>
                <w:lang w:eastAsia="en-GB"/>
              </w:rPr>
            </w:pPr>
            <w:r w:rsidRPr="00050606">
              <w:rPr>
                <w:rFonts w:ascii="Calibri" w:hAnsi="Calibri"/>
                <w:b/>
                <w:bCs/>
                <w:color w:val="000000"/>
                <w:lang w:eastAsia="en-GB"/>
              </w:rPr>
              <w:t xml:space="preserve">Total General </w:t>
            </w:r>
            <w:r w:rsidR="009D0F99">
              <w:rPr>
                <w:rFonts w:ascii="Calibri" w:hAnsi="Calibri"/>
                <w:b/>
                <w:bCs/>
                <w:color w:val="000000"/>
                <w:lang w:eastAsia="en-GB"/>
              </w:rPr>
              <w:t xml:space="preserve">Fund </w:t>
            </w:r>
            <w:r w:rsidRPr="00050606">
              <w:rPr>
                <w:rFonts w:ascii="Calibri" w:hAnsi="Calibri"/>
                <w:b/>
                <w:bCs/>
                <w:color w:val="000000"/>
                <w:lang w:eastAsia="en-GB"/>
              </w:rPr>
              <w:t>Reserves</w:t>
            </w:r>
          </w:p>
        </w:tc>
        <w:tc>
          <w:tcPr>
            <w:tcW w:w="1134" w:type="dxa"/>
            <w:shd w:val="clear" w:color="000000" w:fill="CCC0DA"/>
            <w:noWrap/>
            <w:vAlign w:val="center"/>
            <w:hideMark/>
          </w:tcPr>
          <w:p w14:paraId="0EDA5394" w14:textId="3C7FE173"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2,412</w:t>
            </w:r>
          </w:p>
        </w:tc>
        <w:tc>
          <w:tcPr>
            <w:tcW w:w="1134" w:type="dxa"/>
            <w:shd w:val="clear" w:color="000000" w:fill="CCC0DA"/>
            <w:noWrap/>
            <w:vAlign w:val="center"/>
            <w:hideMark/>
          </w:tcPr>
          <w:p w14:paraId="68C51461" w14:textId="516746CE" w:rsidR="00707761" w:rsidRPr="00050606" w:rsidRDefault="004B0E90" w:rsidP="00ED6507">
            <w:pPr>
              <w:jc w:val="right"/>
              <w:rPr>
                <w:rFonts w:ascii="Calibri" w:hAnsi="Calibri"/>
                <w:b/>
                <w:bCs/>
                <w:color w:val="000000"/>
                <w:lang w:eastAsia="en-GB"/>
              </w:rPr>
            </w:pPr>
            <w:r>
              <w:rPr>
                <w:rFonts w:ascii="Calibri" w:hAnsi="Calibri"/>
                <w:b/>
                <w:bCs/>
                <w:color w:val="000000"/>
                <w:lang w:eastAsia="en-GB"/>
              </w:rPr>
              <w:t>516</w:t>
            </w:r>
          </w:p>
        </w:tc>
        <w:tc>
          <w:tcPr>
            <w:tcW w:w="1134" w:type="dxa"/>
            <w:shd w:val="clear" w:color="000000" w:fill="CCC0DA"/>
            <w:noWrap/>
            <w:vAlign w:val="center"/>
            <w:hideMark/>
          </w:tcPr>
          <w:p w14:paraId="6BABAF3E" w14:textId="0424E609"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969</w:t>
            </w:r>
          </w:p>
        </w:tc>
        <w:tc>
          <w:tcPr>
            <w:tcW w:w="1276" w:type="dxa"/>
            <w:shd w:val="clear" w:color="000000" w:fill="CCC0DA"/>
            <w:noWrap/>
            <w:vAlign w:val="center"/>
            <w:hideMark/>
          </w:tcPr>
          <w:p w14:paraId="346ECDD8" w14:textId="190427C9"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1,959</w:t>
            </w:r>
          </w:p>
        </w:tc>
        <w:tc>
          <w:tcPr>
            <w:tcW w:w="1134" w:type="dxa"/>
            <w:shd w:val="clear" w:color="000000" w:fill="CCC0DA"/>
            <w:noWrap/>
            <w:vAlign w:val="center"/>
          </w:tcPr>
          <w:p w14:paraId="19DB95BD" w14:textId="2C202569" w:rsidR="00707761" w:rsidRPr="00050606" w:rsidRDefault="0047204F" w:rsidP="006D622C">
            <w:pPr>
              <w:jc w:val="right"/>
              <w:rPr>
                <w:rFonts w:ascii="Calibri" w:hAnsi="Calibri"/>
                <w:b/>
                <w:bCs/>
                <w:color w:val="000000"/>
                <w:lang w:eastAsia="en-GB"/>
              </w:rPr>
            </w:pPr>
            <w:r>
              <w:rPr>
                <w:rFonts w:ascii="Calibri" w:hAnsi="Calibri"/>
                <w:b/>
                <w:bCs/>
                <w:color w:val="000000"/>
                <w:lang w:eastAsia="en-GB"/>
              </w:rPr>
              <w:t>785</w:t>
            </w:r>
          </w:p>
        </w:tc>
        <w:tc>
          <w:tcPr>
            <w:tcW w:w="1134" w:type="dxa"/>
            <w:shd w:val="clear" w:color="000000" w:fill="CCC0DA"/>
            <w:noWrap/>
            <w:vAlign w:val="center"/>
          </w:tcPr>
          <w:p w14:paraId="180C24F7" w14:textId="33DF8E75" w:rsidR="00707761" w:rsidRPr="00050606" w:rsidRDefault="0047204F" w:rsidP="004300FF">
            <w:pPr>
              <w:jc w:val="right"/>
              <w:rPr>
                <w:rFonts w:ascii="Calibri" w:hAnsi="Calibri"/>
                <w:b/>
                <w:bCs/>
                <w:color w:val="000000"/>
                <w:lang w:eastAsia="en-GB"/>
              </w:rPr>
            </w:pPr>
            <w:r>
              <w:rPr>
                <w:rFonts w:ascii="Calibri" w:hAnsi="Calibri"/>
                <w:b/>
                <w:bCs/>
                <w:color w:val="000000"/>
                <w:lang w:eastAsia="en-GB"/>
              </w:rPr>
              <w:t>515</w:t>
            </w:r>
          </w:p>
        </w:tc>
        <w:tc>
          <w:tcPr>
            <w:tcW w:w="1275" w:type="dxa"/>
            <w:shd w:val="clear" w:color="000000" w:fill="CCC0DA"/>
            <w:noWrap/>
            <w:vAlign w:val="center"/>
          </w:tcPr>
          <w:p w14:paraId="24F2DF24" w14:textId="403A08E4" w:rsidR="00707761" w:rsidRPr="00050606" w:rsidRDefault="0047204F" w:rsidP="00CC48C0">
            <w:pPr>
              <w:jc w:val="right"/>
              <w:rPr>
                <w:rFonts w:ascii="Calibri" w:hAnsi="Calibri"/>
                <w:b/>
                <w:bCs/>
                <w:color w:val="000000"/>
                <w:lang w:eastAsia="en-GB"/>
              </w:rPr>
            </w:pPr>
            <w:r>
              <w:rPr>
                <w:rFonts w:ascii="Calibri" w:hAnsi="Calibri"/>
                <w:b/>
                <w:bCs/>
                <w:color w:val="000000"/>
                <w:lang w:eastAsia="en-GB"/>
              </w:rPr>
              <w:t>2,229</w:t>
            </w:r>
          </w:p>
        </w:tc>
      </w:tr>
      <w:tr w:rsidR="00707761" w:rsidRPr="00050606" w14:paraId="40EE6E35" w14:textId="77777777" w:rsidTr="003738A6">
        <w:trPr>
          <w:trHeight w:val="710"/>
        </w:trPr>
        <w:tc>
          <w:tcPr>
            <w:tcW w:w="2000" w:type="dxa"/>
            <w:shd w:val="clear" w:color="000000" w:fill="CCC0DA"/>
            <w:vAlign w:val="center"/>
            <w:hideMark/>
          </w:tcPr>
          <w:p w14:paraId="53314167" w14:textId="4CF0392B" w:rsidR="00707761" w:rsidRPr="00050606" w:rsidRDefault="00707761" w:rsidP="00ED6507">
            <w:pPr>
              <w:rPr>
                <w:rFonts w:ascii="Calibri" w:hAnsi="Calibri"/>
                <w:b/>
                <w:bCs/>
                <w:color w:val="000000"/>
                <w:lang w:eastAsia="en-GB"/>
              </w:rPr>
            </w:pPr>
            <w:r w:rsidRPr="00050606">
              <w:rPr>
                <w:rFonts w:ascii="Calibri" w:hAnsi="Calibri"/>
                <w:b/>
                <w:bCs/>
                <w:color w:val="000000"/>
                <w:lang w:eastAsia="en-GB"/>
              </w:rPr>
              <w:t xml:space="preserve">Total </w:t>
            </w:r>
            <w:r w:rsidR="009D0F99">
              <w:rPr>
                <w:rFonts w:ascii="Calibri" w:hAnsi="Calibri"/>
                <w:b/>
                <w:bCs/>
                <w:color w:val="000000"/>
                <w:lang w:eastAsia="en-GB"/>
              </w:rPr>
              <w:t xml:space="preserve">General </w:t>
            </w:r>
            <w:r w:rsidRPr="00050606">
              <w:rPr>
                <w:rFonts w:ascii="Calibri" w:hAnsi="Calibri"/>
                <w:b/>
                <w:bCs/>
                <w:color w:val="000000"/>
                <w:lang w:eastAsia="en-GB"/>
              </w:rPr>
              <w:t xml:space="preserve">Fund Balances </w:t>
            </w:r>
            <w:r w:rsidR="00704A70">
              <w:rPr>
                <w:rFonts w:ascii="Calibri" w:hAnsi="Calibri"/>
                <w:b/>
                <w:bCs/>
                <w:color w:val="000000"/>
                <w:lang w:eastAsia="en-GB"/>
              </w:rPr>
              <w:t>and</w:t>
            </w:r>
            <w:r w:rsidRPr="00050606">
              <w:rPr>
                <w:rFonts w:ascii="Calibri" w:hAnsi="Calibri"/>
                <w:b/>
                <w:bCs/>
                <w:color w:val="000000"/>
                <w:lang w:eastAsia="en-GB"/>
              </w:rPr>
              <w:t xml:space="preserve"> Reserves</w:t>
            </w:r>
          </w:p>
        </w:tc>
        <w:tc>
          <w:tcPr>
            <w:tcW w:w="1134" w:type="dxa"/>
            <w:shd w:val="clear" w:color="000000" w:fill="CCC0DA"/>
            <w:noWrap/>
            <w:vAlign w:val="center"/>
            <w:hideMark/>
          </w:tcPr>
          <w:p w14:paraId="23A6F193" w14:textId="013ADE9E"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7,826</w:t>
            </w:r>
          </w:p>
        </w:tc>
        <w:tc>
          <w:tcPr>
            <w:tcW w:w="1134" w:type="dxa"/>
            <w:shd w:val="clear" w:color="000000" w:fill="CCC0DA"/>
            <w:noWrap/>
            <w:vAlign w:val="center"/>
            <w:hideMark/>
          </w:tcPr>
          <w:p w14:paraId="568E501F" w14:textId="6D485633"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1,240</w:t>
            </w:r>
          </w:p>
        </w:tc>
        <w:tc>
          <w:tcPr>
            <w:tcW w:w="1134" w:type="dxa"/>
            <w:shd w:val="clear" w:color="000000" w:fill="CCC0DA"/>
            <w:noWrap/>
            <w:vAlign w:val="center"/>
            <w:hideMark/>
          </w:tcPr>
          <w:p w14:paraId="2CA48630" w14:textId="67FF8D39"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3,529</w:t>
            </w:r>
          </w:p>
        </w:tc>
        <w:tc>
          <w:tcPr>
            <w:tcW w:w="1276" w:type="dxa"/>
            <w:shd w:val="clear" w:color="000000" w:fill="CCC0DA"/>
            <w:noWrap/>
            <w:vAlign w:val="center"/>
            <w:hideMark/>
          </w:tcPr>
          <w:p w14:paraId="3EBC9982" w14:textId="645191E2" w:rsidR="00707761" w:rsidRPr="00050606" w:rsidRDefault="004B0E90" w:rsidP="007C7A6A">
            <w:pPr>
              <w:jc w:val="right"/>
              <w:rPr>
                <w:rFonts w:ascii="Calibri" w:hAnsi="Calibri"/>
                <w:b/>
                <w:bCs/>
                <w:color w:val="000000"/>
                <w:lang w:eastAsia="en-GB"/>
              </w:rPr>
            </w:pPr>
            <w:r>
              <w:rPr>
                <w:rFonts w:ascii="Calibri" w:hAnsi="Calibri"/>
                <w:b/>
                <w:bCs/>
                <w:color w:val="000000"/>
                <w:lang w:eastAsia="en-GB"/>
              </w:rPr>
              <w:t>5,537</w:t>
            </w:r>
          </w:p>
        </w:tc>
        <w:tc>
          <w:tcPr>
            <w:tcW w:w="1134" w:type="dxa"/>
            <w:shd w:val="clear" w:color="000000" w:fill="CCC0DA"/>
            <w:noWrap/>
            <w:vAlign w:val="center"/>
          </w:tcPr>
          <w:p w14:paraId="6459E14C" w14:textId="79DFFE95" w:rsidR="00707761" w:rsidRPr="00050606" w:rsidRDefault="0047204F" w:rsidP="006D622C">
            <w:pPr>
              <w:jc w:val="right"/>
              <w:rPr>
                <w:rFonts w:ascii="Calibri" w:hAnsi="Calibri"/>
                <w:b/>
                <w:bCs/>
                <w:color w:val="000000"/>
                <w:lang w:eastAsia="en-GB"/>
              </w:rPr>
            </w:pPr>
            <w:r>
              <w:rPr>
                <w:rFonts w:ascii="Calibri" w:hAnsi="Calibri"/>
                <w:b/>
                <w:bCs/>
                <w:color w:val="000000"/>
                <w:lang w:eastAsia="en-GB"/>
              </w:rPr>
              <w:t>1,9</w:t>
            </w:r>
            <w:r w:rsidR="00114CF8">
              <w:rPr>
                <w:rFonts w:ascii="Calibri" w:hAnsi="Calibri"/>
                <w:b/>
                <w:bCs/>
                <w:color w:val="000000"/>
                <w:lang w:eastAsia="en-GB"/>
              </w:rPr>
              <w:t>66</w:t>
            </w:r>
          </w:p>
        </w:tc>
        <w:tc>
          <w:tcPr>
            <w:tcW w:w="1134" w:type="dxa"/>
            <w:shd w:val="clear" w:color="000000" w:fill="CCC0DA"/>
            <w:noWrap/>
            <w:vAlign w:val="center"/>
          </w:tcPr>
          <w:p w14:paraId="67250EFA" w14:textId="03FA50DE" w:rsidR="00707761" w:rsidRPr="00050606" w:rsidRDefault="0047204F" w:rsidP="00B01816">
            <w:pPr>
              <w:jc w:val="right"/>
              <w:rPr>
                <w:rFonts w:ascii="Calibri" w:hAnsi="Calibri"/>
                <w:b/>
                <w:bCs/>
                <w:color w:val="000000"/>
                <w:lang w:eastAsia="en-GB"/>
              </w:rPr>
            </w:pPr>
            <w:r>
              <w:rPr>
                <w:rFonts w:ascii="Calibri" w:hAnsi="Calibri"/>
                <w:b/>
                <w:bCs/>
                <w:color w:val="000000"/>
                <w:lang w:eastAsia="en-GB"/>
              </w:rPr>
              <w:t>1,</w:t>
            </w:r>
            <w:r w:rsidR="009A29D4">
              <w:rPr>
                <w:rFonts w:ascii="Calibri" w:hAnsi="Calibri"/>
                <w:b/>
                <w:bCs/>
                <w:color w:val="000000"/>
                <w:lang w:eastAsia="en-GB"/>
              </w:rPr>
              <w:t>0</w:t>
            </w:r>
            <w:r>
              <w:rPr>
                <w:rFonts w:ascii="Calibri" w:hAnsi="Calibri"/>
                <w:b/>
                <w:bCs/>
                <w:color w:val="000000"/>
                <w:lang w:eastAsia="en-GB"/>
              </w:rPr>
              <w:t>62</w:t>
            </w:r>
          </w:p>
        </w:tc>
        <w:tc>
          <w:tcPr>
            <w:tcW w:w="1275" w:type="dxa"/>
            <w:shd w:val="clear" w:color="000000" w:fill="CCC0DA"/>
            <w:noWrap/>
            <w:vAlign w:val="center"/>
          </w:tcPr>
          <w:p w14:paraId="13BC7C04" w14:textId="28C38F88" w:rsidR="00707761" w:rsidRPr="00050606" w:rsidRDefault="0047204F" w:rsidP="00B01816">
            <w:pPr>
              <w:jc w:val="right"/>
              <w:rPr>
                <w:rFonts w:ascii="Calibri" w:hAnsi="Calibri"/>
                <w:b/>
                <w:bCs/>
                <w:color w:val="000000"/>
                <w:lang w:eastAsia="en-GB"/>
              </w:rPr>
            </w:pPr>
            <w:r>
              <w:rPr>
                <w:rFonts w:ascii="Calibri" w:hAnsi="Calibri"/>
                <w:b/>
                <w:bCs/>
                <w:color w:val="000000"/>
                <w:lang w:eastAsia="en-GB"/>
              </w:rPr>
              <w:t>6,</w:t>
            </w:r>
            <w:r w:rsidR="009A29D4">
              <w:rPr>
                <w:rFonts w:ascii="Calibri" w:hAnsi="Calibri"/>
                <w:b/>
                <w:bCs/>
                <w:color w:val="000000"/>
                <w:lang w:eastAsia="en-GB"/>
              </w:rPr>
              <w:t>4</w:t>
            </w:r>
            <w:r w:rsidR="00114CF8">
              <w:rPr>
                <w:rFonts w:ascii="Calibri" w:hAnsi="Calibri"/>
                <w:b/>
                <w:bCs/>
                <w:color w:val="000000"/>
                <w:lang w:eastAsia="en-GB"/>
              </w:rPr>
              <w:t>41</w:t>
            </w:r>
          </w:p>
        </w:tc>
      </w:tr>
      <w:tr w:rsidR="009D0F99" w:rsidRPr="00050606" w14:paraId="5132F5E1" w14:textId="77777777" w:rsidTr="00903C27">
        <w:trPr>
          <w:trHeight w:val="541"/>
        </w:trPr>
        <w:tc>
          <w:tcPr>
            <w:tcW w:w="2000" w:type="dxa"/>
            <w:shd w:val="clear" w:color="auto" w:fill="E5DFEC" w:themeFill="accent4" w:themeFillTint="33"/>
            <w:vAlign w:val="center"/>
          </w:tcPr>
          <w:p w14:paraId="717CAF1A" w14:textId="77777777" w:rsidR="009D0F99" w:rsidRPr="009D0F99" w:rsidRDefault="009D0F99" w:rsidP="00ED6507">
            <w:pPr>
              <w:rPr>
                <w:rFonts w:ascii="Calibri" w:hAnsi="Calibri"/>
                <w:b/>
                <w:bCs/>
                <w:color w:val="000000"/>
                <w:lang w:eastAsia="en-GB"/>
              </w:rPr>
            </w:pPr>
            <w:r w:rsidRPr="009D0F99">
              <w:rPr>
                <w:rFonts w:ascii="Calibri" w:hAnsi="Calibri"/>
                <w:b/>
                <w:bCs/>
                <w:color w:val="000000"/>
                <w:lang w:eastAsia="en-GB"/>
              </w:rPr>
              <w:t>Housing Revenue Account Balances</w:t>
            </w:r>
          </w:p>
        </w:tc>
        <w:tc>
          <w:tcPr>
            <w:tcW w:w="1134" w:type="dxa"/>
            <w:shd w:val="clear" w:color="auto" w:fill="E5DFEC" w:themeFill="accent4" w:themeFillTint="33"/>
            <w:noWrap/>
            <w:vAlign w:val="center"/>
          </w:tcPr>
          <w:p w14:paraId="57566E02" w14:textId="77777777" w:rsidR="009D0F99" w:rsidRDefault="009D0F99" w:rsidP="00ED6507">
            <w:pPr>
              <w:jc w:val="right"/>
              <w:rPr>
                <w:rFonts w:ascii="Calibri" w:hAnsi="Calibri"/>
                <w:b/>
                <w:bCs/>
                <w:color w:val="000000"/>
                <w:lang w:eastAsia="en-GB"/>
              </w:rPr>
            </w:pPr>
          </w:p>
        </w:tc>
        <w:tc>
          <w:tcPr>
            <w:tcW w:w="1134" w:type="dxa"/>
            <w:shd w:val="clear" w:color="auto" w:fill="E5DFEC" w:themeFill="accent4" w:themeFillTint="33"/>
            <w:noWrap/>
            <w:vAlign w:val="center"/>
          </w:tcPr>
          <w:p w14:paraId="29C71C6B" w14:textId="77777777" w:rsidR="009D0F99" w:rsidRDefault="009D0F99" w:rsidP="00ED6507">
            <w:pPr>
              <w:jc w:val="right"/>
              <w:rPr>
                <w:rFonts w:ascii="Calibri" w:hAnsi="Calibri"/>
                <w:b/>
                <w:bCs/>
                <w:color w:val="000000"/>
                <w:lang w:eastAsia="en-GB"/>
              </w:rPr>
            </w:pPr>
          </w:p>
        </w:tc>
        <w:tc>
          <w:tcPr>
            <w:tcW w:w="1134" w:type="dxa"/>
            <w:shd w:val="clear" w:color="auto" w:fill="E5DFEC" w:themeFill="accent4" w:themeFillTint="33"/>
            <w:noWrap/>
            <w:vAlign w:val="center"/>
          </w:tcPr>
          <w:p w14:paraId="5699F89B" w14:textId="77777777" w:rsidR="009D0F99" w:rsidRDefault="009D0F99" w:rsidP="00ED6507">
            <w:pPr>
              <w:jc w:val="right"/>
              <w:rPr>
                <w:rFonts w:ascii="Calibri" w:hAnsi="Calibri"/>
                <w:b/>
                <w:bCs/>
                <w:color w:val="000000"/>
                <w:lang w:eastAsia="en-GB"/>
              </w:rPr>
            </w:pPr>
          </w:p>
        </w:tc>
        <w:tc>
          <w:tcPr>
            <w:tcW w:w="1276" w:type="dxa"/>
            <w:shd w:val="clear" w:color="auto" w:fill="E5DFEC" w:themeFill="accent4" w:themeFillTint="33"/>
            <w:noWrap/>
            <w:vAlign w:val="center"/>
          </w:tcPr>
          <w:p w14:paraId="6BE333F0" w14:textId="77777777" w:rsidR="009D0F99" w:rsidRDefault="009D0F99" w:rsidP="00ED6507">
            <w:pPr>
              <w:jc w:val="right"/>
              <w:rPr>
                <w:rFonts w:ascii="Calibri" w:hAnsi="Calibri"/>
                <w:b/>
                <w:bCs/>
                <w:color w:val="000000"/>
                <w:lang w:eastAsia="en-GB"/>
              </w:rPr>
            </w:pPr>
          </w:p>
        </w:tc>
        <w:tc>
          <w:tcPr>
            <w:tcW w:w="1134" w:type="dxa"/>
            <w:shd w:val="clear" w:color="auto" w:fill="E5DFEC" w:themeFill="accent4" w:themeFillTint="33"/>
            <w:noWrap/>
            <w:vAlign w:val="center"/>
          </w:tcPr>
          <w:p w14:paraId="064C7208" w14:textId="77777777" w:rsidR="009D0F99" w:rsidRPr="00050606" w:rsidRDefault="009D0F99" w:rsidP="00ED6507">
            <w:pPr>
              <w:jc w:val="right"/>
              <w:rPr>
                <w:rFonts w:ascii="Calibri" w:hAnsi="Calibri"/>
                <w:b/>
                <w:bCs/>
                <w:color w:val="000000"/>
                <w:lang w:eastAsia="en-GB"/>
              </w:rPr>
            </w:pPr>
          </w:p>
        </w:tc>
        <w:tc>
          <w:tcPr>
            <w:tcW w:w="1134" w:type="dxa"/>
            <w:shd w:val="clear" w:color="auto" w:fill="E5DFEC" w:themeFill="accent4" w:themeFillTint="33"/>
            <w:noWrap/>
            <w:vAlign w:val="center"/>
          </w:tcPr>
          <w:p w14:paraId="3DBF497D" w14:textId="77777777" w:rsidR="009D0F99" w:rsidRPr="00050606" w:rsidRDefault="009D0F99" w:rsidP="00ED6507">
            <w:pPr>
              <w:jc w:val="right"/>
              <w:rPr>
                <w:rFonts w:ascii="Calibri" w:hAnsi="Calibri"/>
                <w:b/>
                <w:bCs/>
                <w:color w:val="000000"/>
                <w:lang w:eastAsia="en-GB"/>
              </w:rPr>
            </w:pPr>
          </w:p>
        </w:tc>
        <w:tc>
          <w:tcPr>
            <w:tcW w:w="1275" w:type="dxa"/>
            <w:shd w:val="clear" w:color="auto" w:fill="E5DFEC" w:themeFill="accent4" w:themeFillTint="33"/>
            <w:noWrap/>
            <w:vAlign w:val="center"/>
          </w:tcPr>
          <w:p w14:paraId="6E731D2B" w14:textId="77777777" w:rsidR="009D0F99" w:rsidRPr="00050606" w:rsidRDefault="009D0F99" w:rsidP="00ED6507">
            <w:pPr>
              <w:jc w:val="right"/>
              <w:rPr>
                <w:rFonts w:ascii="Calibri" w:hAnsi="Calibri"/>
                <w:b/>
                <w:bCs/>
                <w:color w:val="000000"/>
                <w:lang w:eastAsia="en-GB"/>
              </w:rPr>
            </w:pPr>
          </w:p>
        </w:tc>
      </w:tr>
      <w:tr w:rsidR="009D0F99" w:rsidRPr="00050606" w14:paraId="6034F2DC" w14:textId="77777777" w:rsidTr="0029188A">
        <w:trPr>
          <w:trHeight w:val="537"/>
        </w:trPr>
        <w:tc>
          <w:tcPr>
            <w:tcW w:w="2000" w:type="dxa"/>
            <w:shd w:val="clear" w:color="auto" w:fill="CCC0D9" w:themeFill="accent4" w:themeFillTint="66"/>
            <w:vAlign w:val="center"/>
          </w:tcPr>
          <w:p w14:paraId="2B0F8AF0" w14:textId="18A6B886" w:rsidR="009D0F99" w:rsidRPr="009D0F99" w:rsidRDefault="009D0F99" w:rsidP="00ED6507">
            <w:pPr>
              <w:rPr>
                <w:rFonts w:ascii="Calibri" w:hAnsi="Calibri"/>
                <w:bCs/>
                <w:color w:val="000000"/>
                <w:lang w:eastAsia="en-GB"/>
              </w:rPr>
            </w:pPr>
            <w:r w:rsidRPr="009D0F99">
              <w:rPr>
                <w:rFonts w:ascii="Calibri" w:hAnsi="Calibri"/>
                <w:bCs/>
                <w:color w:val="000000"/>
                <w:lang w:eastAsia="en-GB"/>
              </w:rPr>
              <w:t xml:space="preserve">HRA Development </w:t>
            </w:r>
            <w:r w:rsidR="00704A70">
              <w:rPr>
                <w:rFonts w:ascii="Calibri" w:hAnsi="Calibri"/>
                <w:bCs/>
                <w:color w:val="000000"/>
                <w:lang w:eastAsia="en-GB"/>
              </w:rPr>
              <w:t>and</w:t>
            </w:r>
            <w:r w:rsidRPr="009D0F99">
              <w:rPr>
                <w:rFonts w:ascii="Calibri" w:hAnsi="Calibri"/>
                <w:bCs/>
                <w:color w:val="000000"/>
                <w:lang w:eastAsia="en-GB"/>
              </w:rPr>
              <w:t xml:space="preserve"> Regeneration</w:t>
            </w:r>
          </w:p>
        </w:tc>
        <w:tc>
          <w:tcPr>
            <w:tcW w:w="1134" w:type="dxa"/>
            <w:shd w:val="clear" w:color="auto" w:fill="CCC0D9" w:themeFill="accent4" w:themeFillTint="66"/>
            <w:noWrap/>
            <w:vAlign w:val="center"/>
          </w:tcPr>
          <w:p w14:paraId="0E51D6A2" w14:textId="2297E647" w:rsidR="009D0F99" w:rsidRPr="009D0F99" w:rsidRDefault="004B0E90" w:rsidP="004E329B">
            <w:pPr>
              <w:jc w:val="right"/>
              <w:rPr>
                <w:rFonts w:ascii="Calibri" w:hAnsi="Calibri"/>
                <w:bCs/>
                <w:color w:val="000000"/>
                <w:lang w:eastAsia="en-GB"/>
              </w:rPr>
            </w:pPr>
            <w:r>
              <w:rPr>
                <w:rFonts w:ascii="Calibri" w:hAnsi="Calibri"/>
                <w:bCs/>
                <w:color w:val="000000"/>
                <w:lang w:eastAsia="en-GB"/>
              </w:rPr>
              <w:t>5,605</w:t>
            </w:r>
          </w:p>
        </w:tc>
        <w:tc>
          <w:tcPr>
            <w:tcW w:w="1134" w:type="dxa"/>
            <w:shd w:val="clear" w:color="auto" w:fill="E5DFEC" w:themeFill="accent4" w:themeFillTint="33"/>
            <w:noWrap/>
            <w:vAlign w:val="center"/>
          </w:tcPr>
          <w:p w14:paraId="74A3B63A" w14:textId="20AA8827" w:rsidR="009D0F99" w:rsidRPr="009D0F99" w:rsidRDefault="00F8235E" w:rsidP="007C7A6A">
            <w:pPr>
              <w:jc w:val="right"/>
              <w:rPr>
                <w:rFonts w:ascii="Calibri" w:hAnsi="Calibri"/>
                <w:bCs/>
                <w:color w:val="000000"/>
                <w:lang w:eastAsia="en-GB"/>
              </w:rPr>
            </w:pPr>
            <w:r>
              <w:rPr>
                <w:rFonts w:ascii="Calibri" w:hAnsi="Calibri"/>
                <w:bCs/>
                <w:color w:val="000000"/>
                <w:lang w:eastAsia="en-GB"/>
              </w:rPr>
              <w:t>1</w:t>
            </w:r>
            <w:r w:rsidR="004B0E90">
              <w:rPr>
                <w:rFonts w:ascii="Calibri" w:hAnsi="Calibri"/>
                <w:bCs/>
                <w:color w:val="000000"/>
                <w:lang w:eastAsia="en-GB"/>
              </w:rPr>
              <w:t>3</w:t>
            </w:r>
          </w:p>
        </w:tc>
        <w:tc>
          <w:tcPr>
            <w:tcW w:w="1134" w:type="dxa"/>
            <w:shd w:val="clear" w:color="auto" w:fill="E5DFEC" w:themeFill="accent4" w:themeFillTint="33"/>
            <w:noWrap/>
            <w:vAlign w:val="center"/>
          </w:tcPr>
          <w:p w14:paraId="4792C3CF" w14:textId="61AA6FD8" w:rsidR="009D0F99" w:rsidRPr="009D0F99" w:rsidRDefault="004B0E90" w:rsidP="007C7A6A">
            <w:pPr>
              <w:jc w:val="right"/>
              <w:rPr>
                <w:rFonts w:ascii="Calibri" w:hAnsi="Calibri"/>
                <w:bCs/>
                <w:color w:val="000000"/>
                <w:lang w:eastAsia="en-GB"/>
              </w:rPr>
            </w:pPr>
            <w:r>
              <w:rPr>
                <w:rFonts w:ascii="Calibri" w:hAnsi="Calibri"/>
                <w:bCs/>
                <w:color w:val="000000"/>
                <w:lang w:eastAsia="en-GB"/>
              </w:rPr>
              <w:t>505</w:t>
            </w:r>
          </w:p>
        </w:tc>
        <w:tc>
          <w:tcPr>
            <w:tcW w:w="1276" w:type="dxa"/>
            <w:shd w:val="clear" w:color="auto" w:fill="CCC0D9" w:themeFill="accent4" w:themeFillTint="66"/>
            <w:noWrap/>
            <w:vAlign w:val="center"/>
          </w:tcPr>
          <w:p w14:paraId="646EB609" w14:textId="62919DC7" w:rsidR="009D0F99" w:rsidRPr="009D0F99" w:rsidRDefault="00F8235E" w:rsidP="004E329B">
            <w:pPr>
              <w:jc w:val="right"/>
              <w:rPr>
                <w:rFonts w:ascii="Calibri" w:hAnsi="Calibri"/>
                <w:bCs/>
                <w:color w:val="000000"/>
                <w:lang w:eastAsia="en-GB"/>
              </w:rPr>
            </w:pPr>
            <w:r>
              <w:rPr>
                <w:rFonts w:ascii="Calibri" w:hAnsi="Calibri"/>
                <w:bCs/>
                <w:color w:val="000000"/>
                <w:lang w:eastAsia="en-GB"/>
              </w:rPr>
              <w:t>5,</w:t>
            </w:r>
            <w:r w:rsidR="004B0E90">
              <w:rPr>
                <w:rFonts w:ascii="Calibri" w:hAnsi="Calibri"/>
                <w:bCs/>
                <w:color w:val="000000"/>
                <w:lang w:eastAsia="en-GB"/>
              </w:rPr>
              <w:t>113</w:t>
            </w:r>
          </w:p>
        </w:tc>
        <w:tc>
          <w:tcPr>
            <w:tcW w:w="1134" w:type="dxa"/>
            <w:shd w:val="clear" w:color="auto" w:fill="E5DFEC" w:themeFill="accent4" w:themeFillTint="33"/>
            <w:noWrap/>
            <w:vAlign w:val="center"/>
          </w:tcPr>
          <w:p w14:paraId="064A6F4F" w14:textId="5CF3D40A" w:rsidR="009D0F99" w:rsidRPr="009D0F99" w:rsidRDefault="0015614F" w:rsidP="00ED6507">
            <w:pPr>
              <w:jc w:val="right"/>
              <w:rPr>
                <w:rFonts w:ascii="Calibri" w:hAnsi="Calibri"/>
                <w:bCs/>
                <w:color w:val="000000"/>
                <w:lang w:eastAsia="en-GB"/>
              </w:rPr>
            </w:pPr>
            <w:r>
              <w:rPr>
                <w:rFonts w:ascii="Calibri" w:hAnsi="Calibri"/>
                <w:bCs/>
                <w:color w:val="000000"/>
                <w:lang w:eastAsia="en-GB"/>
              </w:rPr>
              <w:t>21</w:t>
            </w:r>
          </w:p>
        </w:tc>
        <w:tc>
          <w:tcPr>
            <w:tcW w:w="1134" w:type="dxa"/>
            <w:shd w:val="clear" w:color="auto" w:fill="E5DFEC" w:themeFill="accent4" w:themeFillTint="33"/>
            <w:noWrap/>
            <w:vAlign w:val="center"/>
          </w:tcPr>
          <w:p w14:paraId="709CDCB9" w14:textId="18F6EE81" w:rsidR="009D0F99" w:rsidRPr="009D0F99" w:rsidRDefault="0015614F" w:rsidP="00ED6507">
            <w:pPr>
              <w:jc w:val="right"/>
              <w:rPr>
                <w:rFonts w:ascii="Calibri" w:hAnsi="Calibri"/>
                <w:bCs/>
                <w:color w:val="000000"/>
                <w:lang w:eastAsia="en-GB"/>
              </w:rPr>
            </w:pPr>
            <w:r>
              <w:rPr>
                <w:rFonts w:ascii="Calibri" w:hAnsi="Calibri"/>
                <w:bCs/>
                <w:color w:val="000000"/>
                <w:lang w:eastAsia="en-GB"/>
              </w:rPr>
              <w:t>978</w:t>
            </w:r>
          </w:p>
        </w:tc>
        <w:tc>
          <w:tcPr>
            <w:tcW w:w="1275" w:type="dxa"/>
            <w:shd w:val="clear" w:color="auto" w:fill="CCC0D9" w:themeFill="accent4" w:themeFillTint="66"/>
            <w:noWrap/>
            <w:vAlign w:val="center"/>
          </w:tcPr>
          <w:p w14:paraId="4CCC99CC" w14:textId="2FDB826C" w:rsidR="009D0F99" w:rsidRPr="009D0F99" w:rsidRDefault="0015614F" w:rsidP="000A44AE">
            <w:pPr>
              <w:jc w:val="right"/>
              <w:rPr>
                <w:rFonts w:ascii="Calibri" w:hAnsi="Calibri"/>
                <w:bCs/>
                <w:color w:val="000000"/>
                <w:lang w:eastAsia="en-GB"/>
              </w:rPr>
            </w:pPr>
            <w:r>
              <w:rPr>
                <w:rFonts w:ascii="Calibri" w:hAnsi="Calibri"/>
                <w:bCs/>
                <w:color w:val="000000"/>
                <w:lang w:eastAsia="en-GB"/>
              </w:rPr>
              <w:t>4,156</w:t>
            </w:r>
          </w:p>
        </w:tc>
      </w:tr>
      <w:tr w:rsidR="00962549" w:rsidRPr="00050606" w14:paraId="460DF83B" w14:textId="77777777" w:rsidTr="0029188A">
        <w:trPr>
          <w:trHeight w:val="547"/>
        </w:trPr>
        <w:tc>
          <w:tcPr>
            <w:tcW w:w="2000" w:type="dxa"/>
            <w:shd w:val="clear" w:color="auto" w:fill="CCC0D9" w:themeFill="accent4" w:themeFillTint="66"/>
            <w:vAlign w:val="center"/>
          </w:tcPr>
          <w:p w14:paraId="6A55D443" w14:textId="77777777" w:rsidR="00962549" w:rsidRPr="0072286D" w:rsidRDefault="00962549" w:rsidP="00ED6507">
            <w:pPr>
              <w:rPr>
                <w:rFonts w:ascii="Calibri" w:hAnsi="Calibri"/>
                <w:bCs/>
                <w:color w:val="000000"/>
                <w:lang w:eastAsia="en-GB"/>
              </w:rPr>
            </w:pPr>
            <w:r w:rsidRPr="0072286D">
              <w:rPr>
                <w:rFonts w:ascii="Calibri" w:hAnsi="Calibri"/>
                <w:bCs/>
                <w:color w:val="000000"/>
                <w:lang w:eastAsia="en-GB"/>
              </w:rPr>
              <w:t>Water Arrears Reserve</w:t>
            </w:r>
          </w:p>
        </w:tc>
        <w:tc>
          <w:tcPr>
            <w:tcW w:w="1134" w:type="dxa"/>
            <w:shd w:val="clear" w:color="auto" w:fill="CCC0D9" w:themeFill="accent4" w:themeFillTint="66"/>
            <w:noWrap/>
            <w:vAlign w:val="center"/>
          </w:tcPr>
          <w:p w14:paraId="79BCEF38" w14:textId="53FA3DCE" w:rsidR="00962549" w:rsidRPr="0072286D" w:rsidRDefault="00F8235E" w:rsidP="00ED6507">
            <w:pPr>
              <w:jc w:val="right"/>
              <w:rPr>
                <w:rFonts w:ascii="Calibri" w:hAnsi="Calibri"/>
                <w:bCs/>
                <w:color w:val="000000"/>
                <w:lang w:eastAsia="en-GB"/>
              </w:rPr>
            </w:pPr>
            <w:r>
              <w:rPr>
                <w:rFonts w:ascii="Calibri" w:hAnsi="Calibri"/>
                <w:bCs/>
                <w:color w:val="000000"/>
                <w:lang w:eastAsia="en-GB"/>
              </w:rPr>
              <w:t>1</w:t>
            </w:r>
            <w:r w:rsidR="004B0E90">
              <w:rPr>
                <w:rFonts w:ascii="Calibri" w:hAnsi="Calibri"/>
                <w:bCs/>
                <w:color w:val="000000"/>
                <w:lang w:eastAsia="en-GB"/>
              </w:rPr>
              <w:t>7</w:t>
            </w:r>
          </w:p>
        </w:tc>
        <w:tc>
          <w:tcPr>
            <w:tcW w:w="1134" w:type="dxa"/>
            <w:shd w:val="clear" w:color="auto" w:fill="E5DFEC" w:themeFill="accent4" w:themeFillTint="33"/>
            <w:noWrap/>
            <w:vAlign w:val="center"/>
          </w:tcPr>
          <w:p w14:paraId="60323239" w14:textId="77777777" w:rsidR="00962549" w:rsidRPr="0072286D" w:rsidRDefault="007C7A6A" w:rsidP="007C7A6A">
            <w:pPr>
              <w:jc w:val="right"/>
              <w:rPr>
                <w:rFonts w:ascii="Calibri" w:hAnsi="Calibri"/>
                <w:bCs/>
                <w:color w:val="000000"/>
                <w:lang w:eastAsia="en-GB"/>
              </w:rPr>
            </w:pPr>
            <w:r>
              <w:rPr>
                <w:rFonts w:ascii="Calibri" w:hAnsi="Calibri"/>
                <w:bCs/>
                <w:color w:val="000000"/>
                <w:lang w:eastAsia="en-GB"/>
              </w:rPr>
              <w:t>0</w:t>
            </w:r>
          </w:p>
        </w:tc>
        <w:tc>
          <w:tcPr>
            <w:tcW w:w="1134" w:type="dxa"/>
            <w:shd w:val="clear" w:color="auto" w:fill="E5DFEC" w:themeFill="accent4" w:themeFillTint="33"/>
            <w:noWrap/>
            <w:vAlign w:val="center"/>
          </w:tcPr>
          <w:p w14:paraId="00BDB0B8" w14:textId="05FE9757" w:rsidR="00962549" w:rsidRPr="0072286D" w:rsidRDefault="004B0E90" w:rsidP="00ED6507">
            <w:pPr>
              <w:jc w:val="right"/>
              <w:rPr>
                <w:rFonts w:ascii="Calibri" w:hAnsi="Calibri"/>
                <w:bCs/>
                <w:color w:val="000000"/>
                <w:lang w:eastAsia="en-GB"/>
              </w:rPr>
            </w:pPr>
            <w:r>
              <w:rPr>
                <w:rFonts w:ascii="Calibri" w:hAnsi="Calibri"/>
                <w:bCs/>
                <w:color w:val="000000"/>
                <w:lang w:eastAsia="en-GB"/>
              </w:rPr>
              <w:t>2</w:t>
            </w:r>
          </w:p>
        </w:tc>
        <w:tc>
          <w:tcPr>
            <w:tcW w:w="1276" w:type="dxa"/>
            <w:shd w:val="clear" w:color="auto" w:fill="CCC0D9" w:themeFill="accent4" w:themeFillTint="66"/>
            <w:noWrap/>
            <w:vAlign w:val="center"/>
          </w:tcPr>
          <w:p w14:paraId="08312790" w14:textId="5BAD391A" w:rsidR="00962549" w:rsidRPr="0072286D" w:rsidRDefault="004E329B" w:rsidP="00ED6507">
            <w:pPr>
              <w:jc w:val="right"/>
              <w:rPr>
                <w:rFonts w:ascii="Calibri" w:hAnsi="Calibri"/>
                <w:bCs/>
                <w:color w:val="000000"/>
                <w:lang w:eastAsia="en-GB"/>
              </w:rPr>
            </w:pPr>
            <w:r>
              <w:rPr>
                <w:rFonts w:ascii="Calibri" w:hAnsi="Calibri"/>
                <w:bCs/>
                <w:color w:val="000000"/>
                <w:lang w:eastAsia="en-GB"/>
              </w:rPr>
              <w:t>1</w:t>
            </w:r>
            <w:r w:rsidR="004B0E90">
              <w:rPr>
                <w:rFonts w:ascii="Calibri" w:hAnsi="Calibri"/>
                <w:bCs/>
                <w:color w:val="000000"/>
                <w:lang w:eastAsia="en-GB"/>
              </w:rPr>
              <w:t>5</w:t>
            </w:r>
          </w:p>
        </w:tc>
        <w:tc>
          <w:tcPr>
            <w:tcW w:w="1134" w:type="dxa"/>
            <w:shd w:val="clear" w:color="auto" w:fill="E5DFEC" w:themeFill="accent4" w:themeFillTint="33"/>
            <w:noWrap/>
            <w:vAlign w:val="center"/>
          </w:tcPr>
          <w:p w14:paraId="60C772F0" w14:textId="13272BA0" w:rsidR="00962549" w:rsidRPr="0072286D" w:rsidRDefault="0015614F" w:rsidP="00ED6507">
            <w:pPr>
              <w:jc w:val="right"/>
              <w:rPr>
                <w:rFonts w:ascii="Calibri" w:hAnsi="Calibri"/>
                <w:bCs/>
                <w:color w:val="000000"/>
                <w:lang w:eastAsia="en-GB"/>
              </w:rPr>
            </w:pPr>
            <w:r>
              <w:rPr>
                <w:rFonts w:ascii="Calibri" w:hAnsi="Calibri"/>
                <w:bCs/>
                <w:color w:val="000000"/>
                <w:lang w:eastAsia="en-GB"/>
              </w:rPr>
              <w:t>0</w:t>
            </w:r>
          </w:p>
        </w:tc>
        <w:tc>
          <w:tcPr>
            <w:tcW w:w="1134" w:type="dxa"/>
            <w:shd w:val="clear" w:color="auto" w:fill="E5DFEC" w:themeFill="accent4" w:themeFillTint="33"/>
            <w:noWrap/>
            <w:vAlign w:val="center"/>
          </w:tcPr>
          <w:p w14:paraId="5E914C4C" w14:textId="60C14A0D" w:rsidR="00962549" w:rsidRPr="0072286D" w:rsidRDefault="0015614F" w:rsidP="00ED6507">
            <w:pPr>
              <w:jc w:val="right"/>
              <w:rPr>
                <w:rFonts w:ascii="Calibri" w:hAnsi="Calibri"/>
                <w:bCs/>
                <w:color w:val="000000"/>
                <w:lang w:eastAsia="en-GB"/>
              </w:rPr>
            </w:pPr>
            <w:r>
              <w:rPr>
                <w:rFonts w:ascii="Calibri" w:hAnsi="Calibri"/>
                <w:bCs/>
                <w:color w:val="000000"/>
                <w:lang w:eastAsia="en-GB"/>
              </w:rPr>
              <w:t>4</w:t>
            </w:r>
          </w:p>
        </w:tc>
        <w:tc>
          <w:tcPr>
            <w:tcW w:w="1275" w:type="dxa"/>
            <w:shd w:val="clear" w:color="auto" w:fill="CCC0D9" w:themeFill="accent4" w:themeFillTint="66"/>
            <w:noWrap/>
            <w:vAlign w:val="center"/>
          </w:tcPr>
          <w:p w14:paraId="0728DF5F" w14:textId="06B35382" w:rsidR="00962549" w:rsidRPr="0072286D" w:rsidRDefault="0015614F" w:rsidP="00ED6507">
            <w:pPr>
              <w:jc w:val="right"/>
              <w:rPr>
                <w:rFonts w:ascii="Calibri" w:hAnsi="Calibri"/>
                <w:bCs/>
                <w:color w:val="000000"/>
                <w:lang w:eastAsia="en-GB"/>
              </w:rPr>
            </w:pPr>
            <w:r>
              <w:rPr>
                <w:rFonts w:ascii="Calibri" w:hAnsi="Calibri"/>
                <w:bCs/>
                <w:color w:val="000000"/>
                <w:lang w:eastAsia="en-GB"/>
              </w:rPr>
              <w:t>11</w:t>
            </w:r>
          </w:p>
        </w:tc>
      </w:tr>
      <w:tr w:rsidR="009D0F99" w:rsidRPr="00050606" w14:paraId="7CED1B90" w14:textId="77777777" w:rsidTr="003738A6">
        <w:trPr>
          <w:trHeight w:val="710"/>
        </w:trPr>
        <w:tc>
          <w:tcPr>
            <w:tcW w:w="2000" w:type="dxa"/>
            <w:shd w:val="clear" w:color="auto" w:fill="CCC0D9" w:themeFill="accent4" w:themeFillTint="66"/>
            <w:vAlign w:val="center"/>
          </w:tcPr>
          <w:p w14:paraId="20F8DC88" w14:textId="77777777" w:rsidR="009D0F99" w:rsidRPr="009D0F99" w:rsidRDefault="009D0F99" w:rsidP="00ED6507">
            <w:pPr>
              <w:rPr>
                <w:rFonts w:ascii="Calibri" w:hAnsi="Calibri"/>
                <w:b/>
                <w:bCs/>
                <w:color w:val="000000"/>
                <w:lang w:eastAsia="en-GB"/>
              </w:rPr>
            </w:pPr>
            <w:r w:rsidRPr="009D0F99">
              <w:rPr>
                <w:rFonts w:ascii="Calibri" w:hAnsi="Calibri"/>
                <w:b/>
                <w:bCs/>
                <w:color w:val="000000"/>
                <w:lang w:eastAsia="en-GB"/>
              </w:rPr>
              <w:t>Total Housing Revenue Account Balances</w:t>
            </w:r>
          </w:p>
        </w:tc>
        <w:tc>
          <w:tcPr>
            <w:tcW w:w="1134" w:type="dxa"/>
            <w:shd w:val="clear" w:color="auto" w:fill="CCC0D9" w:themeFill="accent4" w:themeFillTint="66"/>
            <w:noWrap/>
            <w:vAlign w:val="center"/>
          </w:tcPr>
          <w:p w14:paraId="063112DE" w14:textId="276561DB" w:rsidR="009D0F99" w:rsidRDefault="004B0E90" w:rsidP="007C7A6A">
            <w:pPr>
              <w:jc w:val="right"/>
              <w:rPr>
                <w:rFonts w:ascii="Calibri" w:hAnsi="Calibri"/>
                <w:b/>
                <w:bCs/>
                <w:color w:val="000000"/>
                <w:lang w:eastAsia="en-GB"/>
              </w:rPr>
            </w:pPr>
            <w:r>
              <w:rPr>
                <w:rFonts w:ascii="Calibri" w:hAnsi="Calibri"/>
                <w:b/>
                <w:bCs/>
                <w:color w:val="000000"/>
                <w:lang w:eastAsia="en-GB"/>
              </w:rPr>
              <w:t>5,622</w:t>
            </w:r>
          </w:p>
        </w:tc>
        <w:tc>
          <w:tcPr>
            <w:tcW w:w="1134" w:type="dxa"/>
            <w:shd w:val="clear" w:color="auto" w:fill="CCC0D9" w:themeFill="accent4" w:themeFillTint="66"/>
            <w:noWrap/>
            <w:vAlign w:val="center"/>
          </w:tcPr>
          <w:p w14:paraId="23AD90BD" w14:textId="7E30D525" w:rsidR="009D0F99" w:rsidRDefault="004B0E90" w:rsidP="007C7A6A">
            <w:pPr>
              <w:jc w:val="right"/>
              <w:rPr>
                <w:rFonts w:ascii="Calibri" w:hAnsi="Calibri"/>
                <w:b/>
                <w:bCs/>
                <w:color w:val="000000"/>
                <w:lang w:eastAsia="en-GB"/>
              </w:rPr>
            </w:pPr>
            <w:r>
              <w:rPr>
                <w:rFonts w:ascii="Calibri" w:hAnsi="Calibri"/>
                <w:b/>
                <w:bCs/>
                <w:color w:val="000000"/>
                <w:lang w:eastAsia="en-GB"/>
              </w:rPr>
              <w:t>13</w:t>
            </w:r>
          </w:p>
        </w:tc>
        <w:tc>
          <w:tcPr>
            <w:tcW w:w="1134" w:type="dxa"/>
            <w:shd w:val="clear" w:color="auto" w:fill="CCC0D9" w:themeFill="accent4" w:themeFillTint="66"/>
            <w:noWrap/>
            <w:vAlign w:val="center"/>
          </w:tcPr>
          <w:p w14:paraId="54965E14" w14:textId="03F5BE5B" w:rsidR="009D0F99" w:rsidRDefault="004B0E90" w:rsidP="004E329B">
            <w:pPr>
              <w:jc w:val="right"/>
              <w:rPr>
                <w:rFonts w:ascii="Calibri" w:hAnsi="Calibri"/>
                <w:b/>
                <w:bCs/>
                <w:color w:val="000000"/>
                <w:lang w:eastAsia="en-GB"/>
              </w:rPr>
            </w:pPr>
            <w:r>
              <w:rPr>
                <w:rFonts w:ascii="Calibri" w:hAnsi="Calibri"/>
                <w:b/>
                <w:bCs/>
                <w:color w:val="000000"/>
                <w:lang w:eastAsia="en-GB"/>
              </w:rPr>
              <w:t>507</w:t>
            </w:r>
          </w:p>
        </w:tc>
        <w:tc>
          <w:tcPr>
            <w:tcW w:w="1276" w:type="dxa"/>
            <w:shd w:val="clear" w:color="auto" w:fill="CCC0D9" w:themeFill="accent4" w:themeFillTint="66"/>
            <w:noWrap/>
            <w:vAlign w:val="center"/>
          </w:tcPr>
          <w:p w14:paraId="27A400AE" w14:textId="484945C9" w:rsidR="009D0F99" w:rsidRDefault="00F8235E" w:rsidP="00430B85">
            <w:pPr>
              <w:jc w:val="right"/>
              <w:rPr>
                <w:rFonts w:ascii="Calibri" w:hAnsi="Calibri"/>
                <w:b/>
                <w:bCs/>
                <w:color w:val="000000"/>
                <w:lang w:eastAsia="en-GB"/>
              </w:rPr>
            </w:pPr>
            <w:r>
              <w:rPr>
                <w:rFonts w:ascii="Calibri" w:hAnsi="Calibri"/>
                <w:b/>
                <w:bCs/>
                <w:color w:val="000000"/>
                <w:lang w:eastAsia="en-GB"/>
              </w:rPr>
              <w:t>5</w:t>
            </w:r>
            <w:r w:rsidR="004B0E90">
              <w:rPr>
                <w:rFonts w:ascii="Calibri" w:hAnsi="Calibri"/>
                <w:b/>
                <w:bCs/>
                <w:color w:val="000000"/>
                <w:lang w:eastAsia="en-GB"/>
              </w:rPr>
              <w:t>,128</w:t>
            </w:r>
          </w:p>
        </w:tc>
        <w:tc>
          <w:tcPr>
            <w:tcW w:w="1134" w:type="dxa"/>
            <w:shd w:val="clear" w:color="auto" w:fill="CCC0D9" w:themeFill="accent4" w:themeFillTint="66"/>
            <w:noWrap/>
            <w:vAlign w:val="center"/>
          </w:tcPr>
          <w:p w14:paraId="59BADDC3" w14:textId="52DC13C0" w:rsidR="009D0F99" w:rsidRPr="00050606" w:rsidRDefault="0015614F" w:rsidP="006D622C">
            <w:pPr>
              <w:jc w:val="right"/>
              <w:rPr>
                <w:rFonts w:ascii="Calibri" w:hAnsi="Calibri"/>
                <w:b/>
                <w:bCs/>
                <w:color w:val="000000"/>
                <w:lang w:eastAsia="en-GB"/>
              </w:rPr>
            </w:pPr>
            <w:r>
              <w:rPr>
                <w:rFonts w:ascii="Calibri" w:hAnsi="Calibri"/>
                <w:b/>
                <w:bCs/>
                <w:color w:val="000000"/>
                <w:lang w:eastAsia="en-GB"/>
              </w:rPr>
              <w:t>21</w:t>
            </w:r>
          </w:p>
        </w:tc>
        <w:tc>
          <w:tcPr>
            <w:tcW w:w="1134" w:type="dxa"/>
            <w:shd w:val="clear" w:color="auto" w:fill="CCC0D9" w:themeFill="accent4" w:themeFillTint="66"/>
            <w:noWrap/>
            <w:vAlign w:val="center"/>
          </w:tcPr>
          <w:p w14:paraId="70DA77C6" w14:textId="75FADC05" w:rsidR="009D0F99" w:rsidRPr="00050606" w:rsidRDefault="0015614F" w:rsidP="002C3AC6">
            <w:pPr>
              <w:jc w:val="right"/>
              <w:rPr>
                <w:rFonts w:ascii="Calibri" w:hAnsi="Calibri"/>
                <w:b/>
                <w:bCs/>
                <w:color w:val="000000"/>
                <w:lang w:eastAsia="en-GB"/>
              </w:rPr>
            </w:pPr>
            <w:r>
              <w:rPr>
                <w:rFonts w:ascii="Calibri" w:hAnsi="Calibri"/>
                <w:b/>
                <w:bCs/>
                <w:color w:val="000000"/>
                <w:lang w:eastAsia="en-GB"/>
              </w:rPr>
              <w:t>982</w:t>
            </w:r>
          </w:p>
        </w:tc>
        <w:tc>
          <w:tcPr>
            <w:tcW w:w="1275" w:type="dxa"/>
            <w:shd w:val="clear" w:color="auto" w:fill="CCC0D9" w:themeFill="accent4" w:themeFillTint="66"/>
            <w:noWrap/>
            <w:vAlign w:val="center"/>
          </w:tcPr>
          <w:p w14:paraId="0831E364" w14:textId="40AA9717" w:rsidR="009D0F99" w:rsidRPr="00050606" w:rsidRDefault="0015614F" w:rsidP="002C3AC6">
            <w:pPr>
              <w:jc w:val="right"/>
              <w:rPr>
                <w:rFonts w:ascii="Calibri" w:hAnsi="Calibri"/>
                <w:b/>
                <w:bCs/>
                <w:color w:val="000000"/>
                <w:lang w:eastAsia="en-GB"/>
              </w:rPr>
            </w:pPr>
            <w:r>
              <w:rPr>
                <w:rFonts w:ascii="Calibri" w:hAnsi="Calibri"/>
                <w:b/>
                <w:bCs/>
                <w:color w:val="000000"/>
                <w:lang w:eastAsia="en-GB"/>
              </w:rPr>
              <w:t>4,167</w:t>
            </w:r>
          </w:p>
        </w:tc>
      </w:tr>
      <w:tr w:rsidR="009D0F99" w:rsidRPr="00050606" w14:paraId="0BCB31D8" w14:textId="77777777" w:rsidTr="003738A6">
        <w:trPr>
          <w:trHeight w:val="710"/>
        </w:trPr>
        <w:tc>
          <w:tcPr>
            <w:tcW w:w="2000" w:type="dxa"/>
            <w:shd w:val="clear" w:color="auto" w:fill="CCC0D9" w:themeFill="accent4" w:themeFillTint="66"/>
            <w:vAlign w:val="center"/>
          </w:tcPr>
          <w:p w14:paraId="2F4751E8" w14:textId="0E4CDA7B" w:rsidR="009D0F99" w:rsidRPr="009D0F99" w:rsidRDefault="009D0F99" w:rsidP="00ED6507">
            <w:pPr>
              <w:rPr>
                <w:rFonts w:ascii="Calibri" w:hAnsi="Calibri"/>
                <w:b/>
                <w:bCs/>
                <w:color w:val="000000"/>
                <w:lang w:eastAsia="en-GB"/>
              </w:rPr>
            </w:pPr>
            <w:r>
              <w:rPr>
                <w:rFonts w:ascii="Calibri" w:hAnsi="Calibri"/>
                <w:b/>
                <w:bCs/>
                <w:color w:val="000000"/>
                <w:lang w:eastAsia="en-GB"/>
              </w:rPr>
              <w:t xml:space="preserve">Total Fund Balances </w:t>
            </w:r>
            <w:r w:rsidR="00704A70">
              <w:rPr>
                <w:rFonts w:ascii="Calibri" w:hAnsi="Calibri"/>
                <w:b/>
                <w:bCs/>
                <w:color w:val="000000"/>
                <w:lang w:eastAsia="en-GB"/>
              </w:rPr>
              <w:t>and</w:t>
            </w:r>
            <w:r>
              <w:rPr>
                <w:rFonts w:ascii="Calibri" w:hAnsi="Calibri"/>
                <w:b/>
                <w:bCs/>
                <w:color w:val="000000"/>
                <w:lang w:eastAsia="en-GB"/>
              </w:rPr>
              <w:t xml:space="preserve"> Reserves</w:t>
            </w:r>
          </w:p>
        </w:tc>
        <w:tc>
          <w:tcPr>
            <w:tcW w:w="1134" w:type="dxa"/>
            <w:shd w:val="clear" w:color="auto" w:fill="CCC0D9" w:themeFill="accent4" w:themeFillTint="66"/>
            <w:noWrap/>
            <w:vAlign w:val="center"/>
          </w:tcPr>
          <w:p w14:paraId="5E1E0F04" w14:textId="122D7C87" w:rsidR="009D0F99" w:rsidRDefault="004B0E90" w:rsidP="004E329B">
            <w:pPr>
              <w:jc w:val="right"/>
              <w:rPr>
                <w:rFonts w:ascii="Calibri" w:hAnsi="Calibri"/>
                <w:b/>
                <w:bCs/>
                <w:color w:val="000000"/>
                <w:lang w:eastAsia="en-GB"/>
              </w:rPr>
            </w:pPr>
            <w:r>
              <w:rPr>
                <w:rFonts w:ascii="Calibri" w:hAnsi="Calibri"/>
                <w:b/>
                <w:bCs/>
                <w:color w:val="000000"/>
                <w:lang w:eastAsia="en-GB"/>
              </w:rPr>
              <w:t>13,448</w:t>
            </w:r>
          </w:p>
        </w:tc>
        <w:tc>
          <w:tcPr>
            <w:tcW w:w="1134" w:type="dxa"/>
            <w:shd w:val="clear" w:color="auto" w:fill="CCC0D9" w:themeFill="accent4" w:themeFillTint="66"/>
            <w:noWrap/>
            <w:vAlign w:val="center"/>
          </w:tcPr>
          <w:p w14:paraId="4232EF35" w14:textId="74E540B0" w:rsidR="009D0F99" w:rsidRDefault="004B0E90" w:rsidP="004E329B">
            <w:pPr>
              <w:jc w:val="right"/>
              <w:rPr>
                <w:rFonts w:ascii="Calibri" w:hAnsi="Calibri"/>
                <w:b/>
                <w:bCs/>
                <w:color w:val="000000"/>
                <w:lang w:eastAsia="en-GB"/>
              </w:rPr>
            </w:pPr>
            <w:r>
              <w:rPr>
                <w:rFonts w:ascii="Calibri" w:hAnsi="Calibri"/>
                <w:b/>
                <w:bCs/>
                <w:color w:val="000000"/>
                <w:lang w:eastAsia="en-GB"/>
              </w:rPr>
              <w:t>1,253</w:t>
            </w:r>
          </w:p>
        </w:tc>
        <w:tc>
          <w:tcPr>
            <w:tcW w:w="1134" w:type="dxa"/>
            <w:shd w:val="clear" w:color="auto" w:fill="CCC0D9" w:themeFill="accent4" w:themeFillTint="66"/>
            <w:noWrap/>
            <w:vAlign w:val="center"/>
          </w:tcPr>
          <w:p w14:paraId="370FAD87" w14:textId="6B8FF61B" w:rsidR="009D0F99" w:rsidRDefault="004B0E90" w:rsidP="004E329B">
            <w:pPr>
              <w:jc w:val="right"/>
              <w:rPr>
                <w:rFonts w:ascii="Calibri" w:hAnsi="Calibri"/>
                <w:b/>
                <w:bCs/>
                <w:color w:val="000000"/>
                <w:lang w:eastAsia="en-GB"/>
              </w:rPr>
            </w:pPr>
            <w:r>
              <w:rPr>
                <w:rFonts w:ascii="Calibri" w:hAnsi="Calibri"/>
                <w:b/>
                <w:bCs/>
                <w:color w:val="000000"/>
                <w:lang w:eastAsia="en-GB"/>
              </w:rPr>
              <w:t>4,036</w:t>
            </w:r>
          </w:p>
        </w:tc>
        <w:tc>
          <w:tcPr>
            <w:tcW w:w="1276" w:type="dxa"/>
            <w:shd w:val="clear" w:color="auto" w:fill="CCC0D9" w:themeFill="accent4" w:themeFillTint="66"/>
            <w:noWrap/>
            <w:vAlign w:val="center"/>
          </w:tcPr>
          <w:p w14:paraId="6F80F5BF" w14:textId="36FBDD08" w:rsidR="009D0F99" w:rsidRDefault="00F8235E" w:rsidP="004E329B">
            <w:pPr>
              <w:jc w:val="right"/>
              <w:rPr>
                <w:rFonts w:ascii="Calibri" w:hAnsi="Calibri"/>
                <w:b/>
                <w:bCs/>
                <w:color w:val="000000"/>
                <w:lang w:eastAsia="en-GB"/>
              </w:rPr>
            </w:pPr>
            <w:r>
              <w:rPr>
                <w:rFonts w:ascii="Calibri" w:hAnsi="Calibri"/>
                <w:b/>
                <w:bCs/>
                <w:color w:val="000000"/>
                <w:lang w:eastAsia="en-GB"/>
              </w:rPr>
              <w:t>1</w:t>
            </w:r>
            <w:r w:rsidR="004B0E90">
              <w:rPr>
                <w:rFonts w:ascii="Calibri" w:hAnsi="Calibri"/>
                <w:b/>
                <w:bCs/>
                <w:color w:val="000000"/>
                <w:lang w:eastAsia="en-GB"/>
              </w:rPr>
              <w:t>0,665</w:t>
            </w:r>
          </w:p>
        </w:tc>
        <w:tc>
          <w:tcPr>
            <w:tcW w:w="1134" w:type="dxa"/>
            <w:shd w:val="clear" w:color="auto" w:fill="CCC0D9" w:themeFill="accent4" w:themeFillTint="66"/>
            <w:noWrap/>
            <w:vAlign w:val="center"/>
          </w:tcPr>
          <w:p w14:paraId="41609B32" w14:textId="02ADF2DD" w:rsidR="009D0F99" w:rsidRPr="00050606" w:rsidRDefault="00114CF8" w:rsidP="00CD4250">
            <w:pPr>
              <w:jc w:val="right"/>
              <w:rPr>
                <w:rFonts w:ascii="Calibri" w:hAnsi="Calibri"/>
                <w:b/>
                <w:bCs/>
                <w:color w:val="000000"/>
                <w:lang w:eastAsia="en-GB"/>
              </w:rPr>
            </w:pPr>
            <w:r>
              <w:rPr>
                <w:rFonts w:ascii="Calibri" w:hAnsi="Calibri"/>
                <w:b/>
                <w:bCs/>
                <w:color w:val="000000"/>
                <w:lang w:eastAsia="en-GB"/>
              </w:rPr>
              <w:t>1,987</w:t>
            </w:r>
          </w:p>
        </w:tc>
        <w:tc>
          <w:tcPr>
            <w:tcW w:w="1134" w:type="dxa"/>
            <w:shd w:val="clear" w:color="auto" w:fill="CCC0D9" w:themeFill="accent4" w:themeFillTint="66"/>
            <w:noWrap/>
            <w:vAlign w:val="center"/>
          </w:tcPr>
          <w:p w14:paraId="322E9BEA" w14:textId="4E55DFEB" w:rsidR="009D0F99" w:rsidRPr="00050606" w:rsidRDefault="0015614F" w:rsidP="00210AA2">
            <w:pPr>
              <w:jc w:val="right"/>
              <w:rPr>
                <w:rFonts w:ascii="Calibri" w:hAnsi="Calibri"/>
                <w:b/>
                <w:bCs/>
                <w:color w:val="000000"/>
                <w:lang w:eastAsia="en-GB"/>
              </w:rPr>
            </w:pPr>
            <w:r>
              <w:rPr>
                <w:rFonts w:ascii="Calibri" w:hAnsi="Calibri"/>
                <w:b/>
                <w:bCs/>
                <w:color w:val="000000"/>
                <w:lang w:eastAsia="en-GB"/>
              </w:rPr>
              <w:t>2,044</w:t>
            </w:r>
          </w:p>
        </w:tc>
        <w:tc>
          <w:tcPr>
            <w:tcW w:w="1275" w:type="dxa"/>
            <w:shd w:val="clear" w:color="auto" w:fill="CCC0D9" w:themeFill="accent4" w:themeFillTint="66"/>
            <w:noWrap/>
            <w:vAlign w:val="center"/>
          </w:tcPr>
          <w:p w14:paraId="4120362D" w14:textId="3B41006C" w:rsidR="009D0F99" w:rsidRPr="00050606" w:rsidRDefault="0015614F" w:rsidP="00B01816">
            <w:pPr>
              <w:jc w:val="right"/>
              <w:rPr>
                <w:rFonts w:ascii="Calibri" w:hAnsi="Calibri"/>
                <w:b/>
                <w:bCs/>
                <w:color w:val="000000"/>
                <w:lang w:eastAsia="en-GB"/>
              </w:rPr>
            </w:pPr>
            <w:r>
              <w:rPr>
                <w:rFonts w:ascii="Calibri" w:hAnsi="Calibri"/>
                <w:b/>
                <w:bCs/>
                <w:color w:val="000000"/>
                <w:lang w:eastAsia="en-GB"/>
              </w:rPr>
              <w:t>10,6</w:t>
            </w:r>
            <w:r w:rsidR="00114CF8">
              <w:rPr>
                <w:rFonts w:ascii="Calibri" w:hAnsi="Calibri"/>
                <w:b/>
                <w:bCs/>
                <w:color w:val="000000"/>
                <w:lang w:eastAsia="en-GB"/>
              </w:rPr>
              <w:t>08</w:t>
            </w:r>
          </w:p>
        </w:tc>
      </w:tr>
    </w:tbl>
    <w:p w14:paraId="0D43E89D" w14:textId="77777777" w:rsidR="009D0F99" w:rsidRDefault="009D0F99" w:rsidP="000B5459">
      <w:pPr>
        <w:widowControl w:val="0"/>
        <w:tabs>
          <w:tab w:val="left" w:pos="567"/>
        </w:tabs>
        <w:jc w:val="both"/>
        <w:rPr>
          <w:rFonts w:asciiTheme="minorHAnsi" w:hAnsiTheme="minorHAnsi" w:cs="Arial"/>
          <w:b/>
          <w:sz w:val="24"/>
          <w:szCs w:val="24"/>
        </w:rPr>
      </w:pPr>
    </w:p>
    <w:p w14:paraId="013F8AE8" w14:textId="31613E73" w:rsidR="000B5459" w:rsidRPr="00210AA2" w:rsidRDefault="000B5459" w:rsidP="000B5459">
      <w:pPr>
        <w:widowControl w:val="0"/>
        <w:tabs>
          <w:tab w:val="left" w:pos="567"/>
        </w:tabs>
        <w:jc w:val="both"/>
        <w:rPr>
          <w:rFonts w:asciiTheme="minorHAnsi" w:hAnsiTheme="minorHAnsi" w:cs="Arial"/>
          <w:sz w:val="22"/>
          <w:szCs w:val="22"/>
        </w:rPr>
      </w:pPr>
      <w:r w:rsidRPr="00210AA2">
        <w:rPr>
          <w:rFonts w:asciiTheme="minorHAnsi" w:hAnsiTheme="minorHAnsi" w:cs="Arial"/>
          <w:b/>
          <w:sz w:val="24"/>
          <w:szCs w:val="24"/>
        </w:rPr>
        <w:t>Council Offices</w:t>
      </w:r>
      <w:r w:rsidRPr="00210AA2">
        <w:rPr>
          <w:rFonts w:asciiTheme="minorHAnsi" w:hAnsiTheme="minorHAnsi" w:cs="Arial"/>
          <w:sz w:val="22"/>
          <w:szCs w:val="22"/>
        </w:rPr>
        <w:t xml:space="preserve"> </w:t>
      </w:r>
      <w:r w:rsidRPr="00210AA2">
        <w:rPr>
          <w:rFonts w:asciiTheme="minorHAnsi" w:hAnsiTheme="minorHAnsi" w:cs="Arial"/>
          <w:b/>
          <w:sz w:val="24"/>
          <w:szCs w:val="24"/>
        </w:rPr>
        <w:t xml:space="preserve">Repairs </w:t>
      </w:r>
      <w:r w:rsidR="00704A70">
        <w:rPr>
          <w:rFonts w:asciiTheme="minorHAnsi" w:hAnsiTheme="minorHAnsi" w:cs="Arial"/>
          <w:b/>
          <w:sz w:val="24"/>
          <w:szCs w:val="24"/>
        </w:rPr>
        <w:t>and</w:t>
      </w:r>
      <w:r w:rsidRPr="00210AA2">
        <w:rPr>
          <w:rFonts w:asciiTheme="minorHAnsi" w:hAnsiTheme="minorHAnsi" w:cs="Arial"/>
          <w:b/>
          <w:sz w:val="24"/>
          <w:szCs w:val="24"/>
        </w:rPr>
        <w:t xml:space="preserve"> Renewals</w:t>
      </w:r>
      <w:r w:rsidRPr="00210AA2">
        <w:rPr>
          <w:rFonts w:asciiTheme="minorHAnsi" w:hAnsiTheme="minorHAnsi" w:cs="Arial"/>
          <w:sz w:val="22"/>
          <w:szCs w:val="22"/>
        </w:rPr>
        <w:t xml:space="preserve"> </w:t>
      </w:r>
    </w:p>
    <w:p w14:paraId="7DC09EC6" w14:textId="77777777" w:rsidR="000B5459" w:rsidRPr="00210AA2" w:rsidRDefault="000B5459" w:rsidP="000B5459">
      <w:pPr>
        <w:widowControl w:val="0"/>
        <w:tabs>
          <w:tab w:val="left" w:pos="567"/>
        </w:tabs>
        <w:jc w:val="both"/>
        <w:rPr>
          <w:rFonts w:asciiTheme="minorHAnsi" w:hAnsiTheme="minorHAnsi" w:cs="Arial"/>
          <w:sz w:val="22"/>
          <w:szCs w:val="22"/>
        </w:rPr>
      </w:pPr>
      <w:r w:rsidRPr="00210AA2">
        <w:rPr>
          <w:rFonts w:asciiTheme="minorHAnsi" w:hAnsiTheme="minorHAnsi" w:cs="Arial"/>
          <w:sz w:val="22"/>
          <w:szCs w:val="22"/>
        </w:rPr>
        <w:t>Amounts are set aside from revenue to meet repairs and maintenance expenditure on the Council Offices.</w:t>
      </w:r>
    </w:p>
    <w:p w14:paraId="6198107C" w14:textId="77777777" w:rsidR="000B5459" w:rsidRPr="00210AA2" w:rsidRDefault="000B5459" w:rsidP="000B5459">
      <w:pPr>
        <w:widowControl w:val="0"/>
        <w:tabs>
          <w:tab w:val="left" w:pos="567"/>
        </w:tabs>
        <w:jc w:val="both"/>
        <w:rPr>
          <w:rFonts w:asciiTheme="minorHAnsi" w:hAnsiTheme="minorHAnsi" w:cs="Arial"/>
          <w:sz w:val="22"/>
          <w:szCs w:val="22"/>
        </w:rPr>
      </w:pPr>
    </w:p>
    <w:p w14:paraId="21BD427C" w14:textId="39C68252" w:rsidR="000B5459" w:rsidRPr="00210AA2" w:rsidRDefault="000B5459" w:rsidP="000B5459">
      <w:pPr>
        <w:widowControl w:val="0"/>
        <w:tabs>
          <w:tab w:val="left" w:pos="567"/>
          <w:tab w:val="left" w:pos="4410"/>
        </w:tabs>
        <w:jc w:val="both"/>
        <w:rPr>
          <w:rFonts w:asciiTheme="minorHAnsi" w:hAnsiTheme="minorHAnsi" w:cs="Arial"/>
          <w:sz w:val="22"/>
          <w:szCs w:val="22"/>
        </w:rPr>
      </w:pPr>
      <w:r w:rsidRPr="00210AA2">
        <w:rPr>
          <w:rFonts w:asciiTheme="minorHAnsi" w:hAnsiTheme="minorHAnsi" w:cs="Arial"/>
          <w:b/>
          <w:sz w:val="24"/>
          <w:szCs w:val="24"/>
        </w:rPr>
        <w:t xml:space="preserve">Vehicles and Equipment </w:t>
      </w:r>
      <w:r w:rsidR="003D43A4" w:rsidRPr="00210AA2">
        <w:rPr>
          <w:rFonts w:asciiTheme="minorHAnsi" w:hAnsiTheme="minorHAnsi" w:cs="Arial"/>
          <w:b/>
          <w:sz w:val="24"/>
          <w:szCs w:val="24"/>
        </w:rPr>
        <w:t xml:space="preserve">Repairs </w:t>
      </w:r>
      <w:r w:rsidR="00704A70">
        <w:rPr>
          <w:rFonts w:asciiTheme="minorHAnsi" w:hAnsiTheme="minorHAnsi" w:cs="Arial"/>
          <w:b/>
          <w:sz w:val="24"/>
          <w:szCs w:val="24"/>
        </w:rPr>
        <w:t>and</w:t>
      </w:r>
      <w:r w:rsidR="003D43A4" w:rsidRPr="00210AA2">
        <w:rPr>
          <w:rFonts w:asciiTheme="minorHAnsi" w:hAnsiTheme="minorHAnsi" w:cs="Arial"/>
          <w:b/>
          <w:sz w:val="24"/>
          <w:szCs w:val="24"/>
        </w:rPr>
        <w:t xml:space="preserve"> Renewals</w:t>
      </w:r>
    </w:p>
    <w:p w14:paraId="74AC55ED" w14:textId="2A7A7067" w:rsidR="000B5459" w:rsidRPr="00210AA2" w:rsidRDefault="000B5459" w:rsidP="000B5459">
      <w:pPr>
        <w:widowControl w:val="0"/>
        <w:tabs>
          <w:tab w:val="left" w:pos="567"/>
          <w:tab w:val="left" w:pos="4410"/>
        </w:tabs>
        <w:jc w:val="both"/>
        <w:rPr>
          <w:rFonts w:asciiTheme="minorHAnsi" w:hAnsiTheme="minorHAnsi" w:cs="Arial"/>
          <w:sz w:val="22"/>
          <w:szCs w:val="22"/>
        </w:rPr>
      </w:pPr>
      <w:r w:rsidRPr="00210AA2">
        <w:rPr>
          <w:rFonts w:asciiTheme="minorHAnsi" w:hAnsiTheme="minorHAnsi" w:cs="Arial"/>
          <w:sz w:val="22"/>
          <w:szCs w:val="22"/>
        </w:rPr>
        <w:t>Amounts are set aside from revenue to meet major repairs or replacement</w:t>
      </w:r>
      <w:r w:rsidR="000A74BA">
        <w:rPr>
          <w:rFonts w:asciiTheme="minorHAnsi" w:hAnsiTheme="minorHAnsi" w:cs="Arial"/>
          <w:sz w:val="22"/>
          <w:szCs w:val="22"/>
        </w:rPr>
        <w:t>s</w:t>
      </w:r>
      <w:r w:rsidR="003D43A4" w:rsidRPr="00210AA2">
        <w:rPr>
          <w:rFonts w:asciiTheme="minorHAnsi" w:hAnsiTheme="minorHAnsi" w:cs="Arial"/>
          <w:sz w:val="22"/>
          <w:szCs w:val="22"/>
        </w:rPr>
        <w:t xml:space="preserve"> for our vehicles and equipme</w:t>
      </w:r>
      <w:r w:rsidR="004E105D">
        <w:rPr>
          <w:rFonts w:asciiTheme="minorHAnsi" w:hAnsiTheme="minorHAnsi" w:cs="Arial"/>
          <w:sz w:val="22"/>
          <w:szCs w:val="22"/>
        </w:rPr>
        <w:t>nt</w:t>
      </w:r>
      <w:r w:rsidR="007E0E92">
        <w:rPr>
          <w:rFonts w:asciiTheme="minorHAnsi" w:hAnsiTheme="minorHAnsi" w:cs="Arial"/>
          <w:sz w:val="22"/>
          <w:szCs w:val="22"/>
        </w:rPr>
        <w:t xml:space="preserve"> (including our IT equipment)</w:t>
      </w:r>
      <w:r w:rsidR="003D43A4" w:rsidRPr="00210AA2">
        <w:rPr>
          <w:rFonts w:asciiTheme="minorHAnsi" w:hAnsiTheme="minorHAnsi" w:cs="Arial"/>
          <w:sz w:val="22"/>
          <w:szCs w:val="22"/>
        </w:rPr>
        <w:t xml:space="preserve">.  Also includes amounts set aside from the General Fund for the replacement </w:t>
      </w:r>
      <w:r w:rsidR="00A67DCB" w:rsidRPr="00210AA2">
        <w:rPr>
          <w:rFonts w:asciiTheme="minorHAnsi" w:hAnsiTheme="minorHAnsi" w:cs="Arial"/>
          <w:sz w:val="22"/>
          <w:szCs w:val="22"/>
        </w:rPr>
        <w:t>of the car park machines</w:t>
      </w:r>
      <w:r w:rsidR="003D43A4" w:rsidRPr="00210AA2">
        <w:rPr>
          <w:rFonts w:asciiTheme="minorHAnsi" w:hAnsiTheme="minorHAnsi" w:cs="Arial"/>
          <w:sz w:val="22"/>
          <w:szCs w:val="22"/>
        </w:rPr>
        <w:t>.</w:t>
      </w:r>
    </w:p>
    <w:p w14:paraId="12695EDC" w14:textId="401262C8" w:rsidR="000B5459" w:rsidRPr="00F22C45" w:rsidRDefault="000B5459" w:rsidP="000B5459">
      <w:pPr>
        <w:widowControl w:val="0"/>
        <w:tabs>
          <w:tab w:val="left" w:pos="567"/>
          <w:tab w:val="left" w:pos="4410"/>
        </w:tabs>
        <w:jc w:val="both"/>
        <w:rPr>
          <w:rFonts w:asciiTheme="minorHAnsi" w:hAnsiTheme="minorHAnsi" w:cs="Arial"/>
          <w:sz w:val="22"/>
          <w:szCs w:val="22"/>
        </w:rPr>
      </w:pPr>
    </w:p>
    <w:p w14:paraId="1C6459C4" w14:textId="1DC840F3" w:rsidR="00F22C45" w:rsidRPr="00F22C45" w:rsidRDefault="00F22C45" w:rsidP="000B5459">
      <w:pPr>
        <w:widowControl w:val="0"/>
        <w:tabs>
          <w:tab w:val="left" w:pos="567"/>
          <w:tab w:val="left" w:pos="4410"/>
        </w:tabs>
        <w:jc w:val="both"/>
        <w:rPr>
          <w:rFonts w:asciiTheme="minorHAnsi" w:hAnsiTheme="minorHAnsi" w:cs="Arial"/>
          <w:b/>
          <w:bCs/>
          <w:sz w:val="24"/>
          <w:szCs w:val="24"/>
        </w:rPr>
      </w:pPr>
      <w:r w:rsidRPr="00F22C45">
        <w:rPr>
          <w:rFonts w:asciiTheme="minorHAnsi" w:hAnsiTheme="minorHAnsi" w:cs="Arial"/>
          <w:b/>
          <w:bCs/>
          <w:sz w:val="24"/>
          <w:szCs w:val="24"/>
        </w:rPr>
        <w:t>General Property Repair Fund</w:t>
      </w:r>
    </w:p>
    <w:p w14:paraId="2670683F" w14:textId="3B917472" w:rsidR="00F22C45" w:rsidRPr="00F22C45" w:rsidRDefault="00F22C45" w:rsidP="000B5459">
      <w:pPr>
        <w:widowControl w:val="0"/>
        <w:tabs>
          <w:tab w:val="left" w:pos="567"/>
          <w:tab w:val="left" w:pos="4410"/>
        </w:tabs>
        <w:jc w:val="both"/>
        <w:rPr>
          <w:rFonts w:asciiTheme="minorHAnsi" w:hAnsiTheme="minorHAnsi" w:cs="Arial"/>
          <w:sz w:val="22"/>
          <w:szCs w:val="22"/>
        </w:rPr>
      </w:pPr>
      <w:r w:rsidRPr="00F22C45">
        <w:rPr>
          <w:rFonts w:asciiTheme="minorHAnsi" w:hAnsiTheme="minorHAnsi" w:cs="Arial"/>
          <w:sz w:val="22"/>
          <w:szCs w:val="22"/>
        </w:rPr>
        <w:t>A reserve to meet unexpected repairs and maintenance needs that arise during the year which cannot be met from existing revenue budgets</w:t>
      </w:r>
      <w:r>
        <w:rPr>
          <w:rFonts w:asciiTheme="minorHAnsi" w:hAnsiTheme="minorHAnsi" w:cs="Arial"/>
          <w:sz w:val="22"/>
          <w:szCs w:val="22"/>
        </w:rPr>
        <w:t>.</w:t>
      </w:r>
    </w:p>
    <w:p w14:paraId="7FBCCDC8" w14:textId="77777777" w:rsidR="00F22C45" w:rsidRPr="00F22C45" w:rsidRDefault="00F22C45" w:rsidP="000B5459">
      <w:pPr>
        <w:widowControl w:val="0"/>
        <w:tabs>
          <w:tab w:val="left" w:pos="567"/>
          <w:tab w:val="left" w:pos="4410"/>
        </w:tabs>
        <w:jc w:val="both"/>
        <w:rPr>
          <w:rFonts w:asciiTheme="minorHAnsi" w:hAnsiTheme="minorHAnsi" w:cs="Arial"/>
          <w:sz w:val="22"/>
          <w:szCs w:val="22"/>
          <w:highlight w:val="yellow"/>
        </w:rPr>
      </w:pPr>
    </w:p>
    <w:p w14:paraId="6F68D7D7" w14:textId="77777777" w:rsidR="00E64FBD" w:rsidRPr="00210AA2" w:rsidRDefault="00E64FBD" w:rsidP="00E64FBD">
      <w:pPr>
        <w:widowControl w:val="0"/>
        <w:tabs>
          <w:tab w:val="left" w:pos="567"/>
        </w:tabs>
        <w:jc w:val="both"/>
        <w:rPr>
          <w:rFonts w:asciiTheme="minorHAnsi" w:hAnsiTheme="minorHAnsi" w:cs="Arial"/>
          <w:sz w:val="22"/>
          <w:szCs w:val="22"/>
        </w:rPr>
      </w:pPr>
      <w:r w:rsidRPr="00210AA2">
        <w:rPr>
          <w:rFonts w:asciiTheme="minorHAnsi" w:hAnsiTheme="minorHAnsi" w:cs="Arial"/>
          <w:b/>
          <w:sz w:val="24"/>
          <w:szCs w:val="24"/>
        </w:rPr>
        <w:t>Melton Local Development Framework</w:t>
      </w:r>
      <w:r w:rsidRPr="00210AA2">
        <w:rPr>
          <w:rFonts w:asciiTheme="minorHAnsi" w:hAnsiTheme="minorHAnsi" w:cs="Arial"/>
          <w:sz w:val="22"/>
          <w:szCs w:val="22"/>
        </w:rPr>
        <w:t xml:space="preserve"> </w:t>
      </w:r>
    </w:p>
    <w:p w14:paraId="242D3C9B" w14:textId="77777777" w:rsidR="00E64FBD" w:rsidRPr="00210AA2" w:rsidRDefault="00E64FBD" w:rsidP="00E64FBD">
      <w:pPr>
        <w:widowControl w:val="0"/>
        <w:tabs>
          <w:tab w:val="left" w:pos="567"/>
        </w:tabs>
        <w:jc w:val="both"/>
        <w:rPr>
          <w:rFonts w:asciiTheme="minorHAnsi" w:hAnsiTheme="minorHAnsi" w:cs="Arial"/>
          <w:sz w:val="22"/>
          <w:szCs w:val="22"/>
        </w:rPr>
      </w:pPr>
      <w:r w:rsidRPr="00210AA2">
        <w:rPr>
          <w:rFonts w:asciiTheme="minorHAnsi" w:hAnsiTheme="minorHAnsi" w:cs="Arial"/>
          <w:sz w:val="22"/>
          <w:szCs w:val="22"/>
        </w:rPr>
        <w:t>Amounts are set aside from the Local Plans Revenue Budget to fund uneven patterns of spending on the Melton Local Plan.</w:t>
      </w:r>
    </w:p>
    <w:p w14:paraId="767AD68E" w14:textId="77777777" w:rsidR="00E64FBD" w:rsidRPr="00B606E0" w:rsidRDefault="00E64FBD" w:rsidP="000B5459">
      <w:pPr>
        <w:widowControl w:val="0"/>
        <w:tabs>
          <w:tab w:val="left" w:pos="567"/>
          <w:tab w:val="left" w:pos="4410"/>
        </w:tabs>
        <w:jc w:val="both"/>
        <w:rPr>
          <w:rFonts w:asciiTheme="minorHAnsi" w:hAnsiTheme="minorHAnsi" w:cs="Arial"/>
          <w:sz w:val="22"/>
          <w:szCs w:val="22"/>
          <w:highlight w:val="yellow"/>
        </w:rPr>
      </w:pPr>
    </w:p>
    <w:p w14:paraId="6185F407" w14:textId="13CDE383" w:rsidR="00E64FBD" w:rsidRPr="00210AA2"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sidRPr="00210AA2">
        <w:rPr>
          <w:rFonts w:asciiTheme="minorHAnsi" w:hAnsiTheme="minorHAnsi" w:cs="Arial"/>
          <w:b/>
          <w:sz w:val="24"/>
          <w:szCs w:val="24"/>
        </w:rPr>
        <w:t>Open Spaces</w:t>
      </w:r>
      <w:r w:rsidR="003D43A4" w:rsidRPr="00210AA2">
        <w:rPr>
          <w:rFonts w:asciiTheme="minorHAnsi" w:hAnsiTheme="minorHAnsi" w:cs="Arial"/>
          <w:b/>
          <w:sz w:val="24"/>
          <w:szCs w:val="24"/>
        </w:rPr>
        <w:t xml:space="preserve"> -</w:t>
      </w:r>
      <w:r w:rsidRPr="00210AA2">
        <w:rPr>
          <w:rFonts w:asciiTheme="minorHAnsi" w:hAnsiTheme="minorHAnsi" w:cs="Arial"/>
          <w:b/>
          <w:sz w:val="24"/>
          <w:szCs w:val="24"/>
        </w:rPr>
        <w:t xml:space="preserve"> Special Expenses</w:t>
      </w:r>
      <w:r w:rsidRPr="00210AA2">
        <w:rPr>
          <w:rFonts w:asciiTheme="minorHAnsi" w:hAnsiTheme="minorHAnsi" w:cs="Arial"/>
          <w:b/>
          <w:sz w:val="22"/>
          <w:szCs w:val="22"/>
        </w:rPr>
        <w:t xml:space="preserve"> </w:t>
      </w:r>
      <w:r w:rsidRPr="00210AA2">
        <w:rPr>
          <w:rFonts w:asciiTheme="minorHAnsi" w:hAnsiTheme="minorHAnsi" w:cs="Arial"/>
          <w:b/>
          <w:sz w:val="24"/>
          <w:szCs w:val="24"/>
        </w:rPr>
        <w:t xml:space="preserve">– Repairs </w:t>
      </w:r>
      <w:r w:rsidR="00704A70">
        <w:rPr>
          <w:rFonts w:asciiTheme="minorHAnsi" w:hAnsiTheme="minorHAnsi" w:cs="Arial"/>
          <w:b/>
          <w:sz w:val="24"/>
          <w:szCs w:val="24"/>
        </w:rPr>
        <w:t>and</w:t>
      </w:r>
      <w:r w:rsidRPr="00210AA2">
        <w:rPr>
          <w:rFonts w:asciiTheme="minorHAnsi" w:hAnsiTheme="minorHAnsi" w:cs="Arial"/>
          <w:b/>
          <w:sz w:val="24"/>
          <w:szCs w:val="24"/>
        </w:rPr>
        <w:t xml:space="preserve"> Renewals</w:t>
      </w:r>
      <w:r w:rsidRPr="00210AA2">
        <w:rPr>
          <w:rFonts w:asciiTheme="minorHAnsi" w:hAnsiTheme="minorHAnsi" w:cs="Arial"/>
          <w:sz w:val="22"/>
          <w:szCs w:val="22"/>
        </w:rPr>
        <w:t xml:space="preserve"> </w:t>
      </w:r>
    </w:p>
    <w:p w14:paraId="6AEFA6DA" w14:textId="77777777" w:rsidR="00E64FBD"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sidRPr="00210AA2">
        <w:rPr>
          <w:rFonts w:asciiTheme="minorHAnsi" w:hAnsiTheme="minorHAnsi" w:cs="Arial"/>
          <w:sz w:val="22"/>
          <w:szCs w:val="22"/>
        </w:rPr>
        <w:t>Amounts are set aside from revenue to meet repairs or replacement of the play equipment within the Special Expense area of Melton Mowbray.</w:t>
      </w:r>
    </w:p>
    <w:p w14:paraId="5B6BDFAF" w14:textId="77777777" w:rsidR="00D875DC" w:rsidRDefault="00D875DC"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p>
    <w:p w14:paraId="10EBB864" w14:textId="77777777" w:rsidR="00D875DC" w:rsidRPr="00210AA2" w:rsidRDefault="00D875DC"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p>
    <w:p w14:paraId="06E0F222" w14:textId="77777777" w:rsidR="000B5459" w:rsidRPr="00B606E0" w:rsidRDefault="000B5459" w:rsidP="000B5459">
      <w:pPr>
        <w:widowControl w:val="0"/>
        <w:tabs>
          <w:tab w:val="left" w:pos="567"/>
          <w:tab w:val="left" w:pos="4410"/>
        </w:tabs>
        <w:jc w:val="both"/>
        <w:rPr>
          <w:rFonts w:asciiTheme="minorHAnsi" w:hAnsiTheme="minorHAnsi" w:cs="Arial"/>
          <w:sz w:val="22"/>
          <w:szCs w:val="22"/>
          <w:highlight w:val="yellow"/>
        </w:rPr>
      </w:pPr>
    </w:p>
    <w:p w14:paraId="7EB5BC6B" w14:textId="77444F95" w:rsidR="00E64FBD" w:rsidRDefault="00B96D48" w:rsidP="00E64FBD">
      <w:pPr>
        <w:pStyle w:val="BodyTextIndent"/>
        <w:tabs>
          <w:tab w:val="clear" w:pos="2160"/>
          <w:tab w:val="clear" w:pos="7200"/>
          <w:tab w:val="clear" w:pos="7920"/>
          <w:tab w:val="left" w:pos="567"/>
        </w:tabs>
        <w:spacing w:line="216" w:lineRule="auto"/>
        <w:ind w:left="0" w:firstLine="0"/>
        <w:rPr>
          <w:rFonts w:asciiTheme="minorHAnsi" w:hAnsiTheme="minorHAnsi" w:cs="Arial"/>
          <w:b/>
          <w:sz w:val="24"/>
          <w:szCs w:val="24"/>
        </w:rPr>
      </w:pPr>
      <w:bookmarkStart w:id="5" w:name="_Hlk136324127"/>
      <w:r>
        <w:rPr>
          <w:rFonts w:asciiTheme="minorHAnsi" w:hAnsiTheme="minorHAnsi" w:cs="Arial"/>
          <w:b/>
          <w:sz w:val="24"/>
          <w:szCs w:val="24"/>
        </w:rPr>
        <w:lastRenderedPageBreak/>
        <w:t>COVID Funding Reserve</w:t>
      </w:r>
    </w:p>
    <w:p w14:paraId="35C4BA54" w14:textId="4344B530" w:rsidR="003A7348" w:rsidRPr="00B96D48" w:rsidRDefault="0006401C" w:rsidP="00B96D48">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highlight w:val="yellow"/>
        </w:rPr>
      </w:pPr>
      <w:r w:rsidRPr="0006401C">
        <w:rPr>
          <w:rFonts w:asciiTheme="minorHAnsi" w:hAnsiTheme="minorHAnsi" w:cs="Arial"/>
          <w:sz w:val="22"/>
          <w:szCs w:val="22"/>
        </w:rPr>
        <w:t>Throughout the Covid pandemic the government have provided new burdens funding in recognition for the additional work Councils</w:t>
      </w:r>
      <w:r>
        <w:rPr>
          <w:rFonts w:asciiTheme="minorHAnsi" w:hAnsiTheme="minorHAnsi" w:cs="Arial"/>
          <w:sz w:val="22"/>
          <w:szCs w:val="22"/>
        </w:rPr>
        <w:t xml:space="preserve"> have had to undertake.</w:t>
      </w:r>
      <w:r w:rsidR="000609CF">
        <w:rPr>
          <w:rFonts w:asciiTheme="minorHAnsi" w:hAnsiTheme="minorHAnsi" w:cs="Arial"/>
          <w:sz w:val="22"/>
          <w:szCs w:val="22"/>
        </w:rPr>
        <w:t xml:space="preserve">  Further </w:t>
      </w:r>
      <w:r w:rsidR="000609CF" w:rsidRPr="000609CF">
        <w:rPr>
          <w:rFonts w:asciiTheme="minorHAnsi" w:hAnsiTheme="minorHAnsi" w:cs="Arial"/>
          <w:sz w:val="22"/>
          <w:szCs w:val="22"/>
        </w:rPr>
        <w:t>f</w:t>
      </w:r>
      <w:r w:rsidRPr="000609CF">
        <w:rPr>
          <w:rFonts w:asciiTheme="minorHAnsi" w:hAnsiTheme="minorHAnsi" w:cs="Arial"/>
          <w:sz w:val="22"/>
          <w:szCs w:val="22"/>
        </w:rPr>
        <w:t xml:space="preserve">unding was received to cover the additional costs resulting from the delivery of various Local business Support Grant schemes. Existing resources were used to deliver these schemes which created a backlog of work in other areas that </w:t>
      </w:r>
      <w:r w:rsidR="000609CF" w:rsidRPr="000609CF">
        <w:rPr>
          <w:rFonts w:asciiTheme="minorHAnsi" w:hAnsiTheme="minorHAnsi" w:cs="Arial"/>
          <w:sz w:val="22"/>
          <w:szCs w:val="22"/>
        </w:rPr>
        <w:t>continued to</w:t>
      </w:r>
      <w:r w:rsidRPr="000609CF">
        <w:rPr>
          <w:rFonts w:asciiTheme="minorHAnsi" w:hAnsiTheme="minorHAnsi" w:cs="Arial"/>
          <w:sz w:val="22"/>
          <w:szCs w:val="22"/>
        </w:rPr>
        <w:t xml:space="preserve"> be addressed</w:t>
      </w:r>
      <w:r w:rsidR="00B96D48" w:rsidRPr="000609CF">
        <w:rPr>
          <w:rFonts w:asciiTheme="minorHAnsi" w:hAnsiTheme="minorHAnsi" w:cs="Arial"/>
          <w:sz w:val="22"/>
          <w:szCs w:val="22"/>
        </w:rPr>
        <w:t xml:space="preserve"> </w:t>
      </w:r>
      <w:r w:rsidRPr="000609CF">
        <w:rPr>
          <w:rFonts w:asciiTheme="minorHAnsi" w:hAnsiTheme="minorHAnsi" w:cs="Arial"/>
          <w:sz w:val="22"/>
          <w:szCs w:val="22"/>
        </w:rPr>
        <w:t>i</w:t>
      </w:r>
      <w:r w:rsidR="00B96D48" w:rsidRPr="000609CF">
        <w:rPr>
          <w:rFonts w:asciiTheme="minorHAnsi" w:hAnsiTheme="minorHAnsi" w:cs="Arial"/>
          <w:sz w:val="22"/>
          <w:szCs w:val="22"/>
        </w:rPr>
        <w:t>n 202</w:t>
      </w:r>
      <w:r w:rsidR="000609CF" w:rsidRPr="000609CF">
        <w:rPr>
          <w:rFonts w:asciiTheme="minorHAnsi" w:hAnsiTheme="minorHAnsi" w:cs="Arial"/>
          <w:sz w:val="22"/>
          <w:szCs w:val="22"/>
        </w:rPr>
        <w:t>2</w:t>
      </w:r>
      <w:r w:rsidR="00B96D48" w:rsidRPr="000609CF">
        <w:rPr>
          <w:rFonts w:asciiTheme="minorHAnsi" w:hAnsiTheme="minorHAnsi" w:cs="Arial"/>
          <w:sz w:val="22"/>
          <w:szCs w:val="22"/>
        </w:rPr>
        <w:t>-2</w:t>
      </w:r>
      <w:r w:rsidR="000609CF" w:rsidRPr="000609CF">
        <w:rPr>
          <w:rFonts w:asciiTheme="minorHAnsi" w:hAnsiTheme="minorHAnsi" w:cs="Arial"/>
          <w:sz w:val="22"/>
          <w:szCs w:val="22"/>
        </w:rPr>
        <w:t>3</w:t>
      </w:r>
      <w:r w:rsidR="00C12DF8" w:rsidRPr="000609CF">
        <w:rPr>
          <w:rFonts w:asciiTheme="minorHAnsi" w:hAnsiTheme="minorHAnsi" w:cs="Arial"/>
          <w:sz w:val="22"/>
          <w:szCs w:val="22"/>
        </w:rPr>
        <w:t>.</w:t>
      </w:r>
    </w:p>
    <w:bookmarkEnd w:id="5"/>
    <w:p w14:paraId="572CE907" w14:textId="2A802A2A" w:rsidR="003A7348" w:rsidRDefault="003A7348" w:rsidP="000B5459">
      <w:pPr>
        <w:widowControl w:val="0"/>
        <w:tabs>
          <w:tab w:val="left" w:pos="567"/>
        </w:tabs>
        <w:jc w:val="both"/>
        <w:rPr>
          <w:rFonts w:asciiTheme="minorHAnsi" w:hAnsiTheme="minorHAnsi" w:cs="Arial"/>
          <w:sz w:val="22"/>
          <w:szCs w:val="22"/>
          <w:highlight w:val="yellow"/>
        </w:rPr>
      </w:pPr>
    </w:p>
    <w:p w14:paraId="70F49A71" w14:textId="77777777" w:rsidR="00E64FBD" w:rsidRPr="00A36463"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b/>
          <w:sz w:val="22"/>
          <w:szCs w:val="22"/>
        </w:rPr>
      </w:pPr>
      <w:bookmarkStart w:id="6" w:name="_Hlk135055356"/>
      <w:r w:rsidRPr="00A36463">
        <w:rPr>
          <w:rFonts w:asciiTheme="minorHAnsi" w:hAnsiTheme="minorHAnsi" w:cs="Arial"/>
          <w:b/>
          <w:sz w:val="24"/>
          <w:szCs w:val="24"/>
        </w:rPr>
        <w:t>Surplus/Deficit on Business Rate Retention (BRR) Scheme Reserve</w:t>
      </w:r>
      <w:r w:rsidRPr="00A36463">
        <w:rPr>
          <w:rFonts w:asciiTheme="minorHAnsi" w:hAnsiTheme="minorHAnsi" w:cs="Arial"/>
          <w:b/>
          <w:sz w:val="22"/>
          <w:szCs w:val="22"/>
        </w:rPr>
        <w:t xml:space="preserve"> </w:t>
      </w:r>
    </w:p>
    <w:p w14:paraId="72D5C647" w14:textId="2A0CBCBD" w:rsidR="00E64FBD" w:rsidRPr="00A36463"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sidRPr="00BE7A48">
        <w:rPr>
          <w:rFonts w:asciiTheme="minorHAnsi" w:hAnsiTheme="minorHAnsi" w:cs="Arial"/>
          <w:sz w:val="22"/>
          <w:szCs w:val="22"/>
        </w:rPr>
        <w:t xml:space="preserve">This will be </w:t>
      </w:r>
      <w:r w:rsidR="00C12DF8" w:rsidRPr="00BE7A48">
        <w:rPr>
          <w:rFonts w:asciiTheme="minorHAnsi" w:hAnsiTheme="minorHAnsi" w:cs="Arial"/>
          <w:sz w:val="22"/>
          <w:szCs w:val="22"/>
        </w:rPr>
        <w:t>utilised to even out surpluses/</w:t>
      </w:r>
      <w:r w:rsidRPr="00BE7A48">
        <w:rPr>
          <w:rFonts w:asciiTheme="minorHAnsi" w:hAnsiTheme="minorHAnsi" w:cs="Arial"/>
          <w:sz w:val="22"/>
          <w:szCs w:val="22"/>
        </w:rPr>
        <w:t>deficits created on the revenue account as a result of changes in the levy payments and to mitigate fluctuations created by the surplus/deficit on the collection fund.</w:t>
      </w:r>
      <w:r w:rsidR="0027612D" w:rsidRPr="00BE7A48">
        <w:rPr>
          <w:rFonts w:asciiTheme="minorHAnsi" w:hAnsiTheme="minorHAnsi" w:cs="Arial"/>
          <w:sz w:val="22"/>
          <w:szCs w:val="22"/>
        </w:rPr>
        <w:t xml:space="preserve">  In </w:t>
      </w:r>
      <w:proofErr w:type="gramStart"/>
      <w:r w:rsidR="0027612D" w:rsidRPr="00BE7A48">
        <w:rPr>
          <w:rFonts w:asciiTheme="minorHAnsi" w:hAnsiTheme="minorHAnsi" w:cs="Arial"/>
          <w:sz w:val="22"/>
          <w:szCs w:val="22"/>
        </w:rPr>
        <w:t>addition</w:t>
      </w:r>
      <w:proofErr w:type="gramEnd"/>
      <w:r w:rsidR="0027612D" w:rsidRPr="00BE7A48">
        <w:rPr>
          <w:rFonts w:asciiTheme="minorHAnsi" w:hAnsiTheme="minorHAnsi" w:cs="Arial"/>
          <w:sz w:val="22"/>
          <w:szCs w:val="22"/>
        </w:rPr>
        <w:t xml:space="preserve"> in </w:t>
      </w:r>
      <w:r w:rsidR="00BE7A48" w:rsidRPr="00BE7A48">
        <w:rPr>
          <w:rFonts w:asciiTheme="minorHAnsi" w:hAnsiTheme="minorHAnsi" w:cs="Arial"/>
          <w:sz w:val="22"/>
          <w:szCs w:val="22"/>
        </w:rPr>
        <w:t xml:space="preserve">2022-23 </w:t>
      </w:r>
      <w:r w:rsidR="0027612D" w:rsidRPr="00BE7A48">
        <w:rPr>
          <w:rFonts w:asciiTheme="minorHAnsi" w:hAnsiTheme="minorHAnsi" w:cs="Arial"/>
          <w:sz w:val="22"/>
          <w:szCs w:val="22"/>
        </w:rPr>
        <w:t xml:space="preserve">the government granted business rates relief to retail, hospitality and leisure services and compensated Councils for these reliefs with a Section 31 Grant. </w:t>
      </w:r>
      <w:r w:rsidR="0027612D" w:rsidRPr="00114CF8">
        <w:rPr>
          <w:rFonts w:asciiTheme="minorHAnsi" w:hAnsiTheme="minorHAnsi" w:cs="Arial"/>
          <w:sz w:val="22"/>
          <w:szCs w:val="22"/>
        </w:rPr>
        <w:t xml:space="preserve">These reliefs </w:t>
      </w:r>
      <w:r w:rsidR="009416AA" w:rsidRPr="00114CF8">
        <w:rPr>
          <w:rFonts w:asciiTheme="minorHAnsi" w:hAnsiTheme="minorHAnsi" w:cs="Arial"/>
          <w:sz w:val="22"/>
          <w:szCs w:val="22"/>
        </w:rPr>
        <w:t>were</w:t>
      </w:r>
      <w:r w:rsidR="0027612D" w:rsidRPr="00114CF8">
        <w:rPr>
          <w:rFonts w:asciiTheme="minorHAnsi" w:hAnsiTheme="minorHAnsi" w:cs="Arial"/>
          <w:sz w:val="22"/>
          <w:szCs w:val="22"/>
        </w:rPr>
        <w:t xml:space="preserve"> shown as a deficit on the Council’s share of income within the Collection Fund Adjustment Account (see note 1</w:t>
      </w:r>
      <w:r w:rsidR="00C12DF8" w:rsidRPr="00114CF8">
        <w:rPr>
          <w:rFonts w:asciiTheme="minorHAnsi" w:hAnsiTheme="minorHAnsi" w:cs="Arial"/>
          <w:sz w:val="22"/>
          <w:szCs w:val="22"/>
        </w:rPr>
        <w:t>7</w:t>
      </w:r>
      <w:r w:rsidR="0027612D" w:rsidRPr="00114CF8">
        <w:rPr>
          <w:rFonts w:asciiTheme="minorHAnsi" w:hAnsiTheme="minorHAnsi" w:cs="Arial"/>
          <w:sz w:val="22"/>
          <w:szCs w:val="22"/>
        </w:rPr>
        <w:t xml:space="preserve">), while the grant income </w:t>
      </w:r>
      <w:r w:rsidR="009416AA" w:rsidRPr="00114CF8">
        <w:rPr>
          <w:rFonts w:asciiTheme="minorHAnsi" w:hAnsiTheme="minorHAnsi" w:cs="Arial"/>
          <w:sz w:val="22"/>
          <w:szCs w:val="22"/>
        </w:rPr>
        <w:t>was</w:t>
      </w:r>
      <w:r w:rsidR="0027612D" w:rsidRPr="00114CF8">
        <w:rPr>
          <w:rFonts w:asciiTheme="minorHAnsi" w:hAnsiTheme="minorHAnsi" w:cs="Arial"/>
          <w:sz w:val="22"/>
          <w:szCs w:val="22"/>
        </w:rPr>
        <w:t xml:space="preserve"> shown within the Council’s General Fund.  In 20</w:t>
      </w:r>
      <w:r w:rsidR="000609CF" w:rsidRPr="00114CF8">
        <w:rPr>
          <w:rFonts w:asciiTheme="minorHAnsi" w:hAnsiTheme="minorHAnsi" w:cs="Arial"/>
          <w:sz w:val="22"/>
          <w:szCs w:val="22"/>
        </w:rPr>
        <w:t>22</w:t>
      </w:r>
      <w:r w:rsidR="0027612D" w:rsidRPr="00114CF8">
        <w:rPr>
          <w:rFonts w:asciiTheme="minorHAnsi" w:hAnsiTheme="minorHAnsi" w:cs="Arial"/>
          <w:sz w:val="22"/>
          <w:szCs w:val="22"/>
        </w:rPr>
        <w:t>-2</w:t>
      </w:r>
      <w:r w:rsidR="000609CF" w:rsidRPr="00114CF8">
        <w:rPr>
          <w:rFonts w:asciiTheme="minorHAnsi" w:hAnsiTheme="minorHAnsi" w:cs="Arial"/>
          <w:sz w:val="22"/>
          <w:szCs w:val="22"/>
        </w:rPr>
        <w:t>3</w:t>
      </w:r>
      <w:r w:rsidR="0027612D" w:rsidRPr="00114CF8">
        <w:rPr>
          <w:rFonts w:asciiTheme="minorHAnsi" w:hAnsiTheme="minorHAnsi" w:cs="Arial"/>
          <w:sz w:val="22"/>
          <w:szCs w:val="22"/>
        </w:rPr>
        <w:t xml:space="preserve"> £</w:t>
      </w:r>
      <w:r w:rsidR="00114CF8" w:rsidRPr="00114CF8">
        <w:rPr>
          <w:rFonts w:asciiTheme="minorHAnsi" w:hAnsiTheme="minorHAnsi" w:cs="Arial"/>
          <w:sz w:val="22"/>
          <w:szCs w:val="22"/>
        </w:rPr>
        <w:t>703k</w:t>
      </w:r>
      <w:r w:rsidR="0027612D" w:rsidRPr="00114CF8">
        <w:rPr>
          <w:rFonts w:asciiTheme="minorHAnsi" w:hAnsiTheme="minorHAnsi" w:cs="Arial"/>
          <w:sz w:val="22"/>
          <w:szCs w:val="22"/>
        </w:rPr>
        <w:t xml:space="preserve"> </w:t>
      </w:r>
      <w:r w:rsidR="00411B52" w:rsidRPr="00114CF8">
        <w:rPr>
          <w:rFonts w:asciiTheme="minorHAnsi" w:hAnsiTheme="minorHAnsi" w:cs="Arial"/>
          <w:sz w:val="22"/>
          <w:szCs w:val="22"/>
        </w:rPr>
        <w:t>was</w:t>
      </w:r>
      <w:r w:rsidR="0027612D" w:rsidRPr="00114CF8">
        <w:rPr>
          <w:rFonts w:asciiTheme="minorHAnsi" w:hAnsiTheme="minorHAnsi" w:cs="Arial"/>
          <w:sz w:val="22"/>
          <w:szCs w:val="22"/>
        </w:rPr>
        <w:t xml:space="preserve"> transferred from the Collection Fund Adjustment Account to the General Fund funded from the S31 grant in this reserve</w:t>
      </w:r>
      <w:r w:rsidR="009416AA" w:rsidRPr="00114CF8">
        <w:rPr>
          <w:rFonts w:asciiTheme="minorHAnsi" w:hAnsiTheme="minorHAnsi" w:cs="Arial"/>
          <w:sz w:val="22"/>
          <w:szCs w:val="22"/>
        </w:rPr>
        <w:t xml:space="preserve"> as required</w:t>
      </w:r>
      <w:r w:rsidR="0027612D" w:rsidRPr="00114CF8">
        <w:rPr>
          <w:rFonts w:asciiTheme="minorHAnsi" w:hAnsiTheme="minorHAnsi" w:cs="Arial"/>
          <w:sz w:val="22"/>
          <w:szCs w:val="22"/>
        </w:rPr>
        <w:t>.</w:t>
      </w:r>
    </w:p>
    <w:bookmarkEnd w:id="6"/>
    <w:p w14:paraId="0E247AEC" w14:textId="77777777" w:rsidR="00E64FBD" w:rsidRPr="00B606E0" w:rsidRDefault="00E64FBD" w:rsidP="000B5459">
      <w:pPr>
        <w:widowControl w:val="0"/>
        <w:tabs>
          <w:tab w:val="left" w:pos="567"/>
        </w:tabs>
        <w:jc w:val="both"/>
        <w:rPr>
          <w:rFonts w:asciiTheme="minorHAnsi" w:hAnsiTheme="minorHAnsi" w:cs="Arial"/>
          <w:sz w:val="22"/>
          <w:szCs w:val="22"/>
          <w:highlight w:val="yellow"/>
        </w:rPr>
      </w:pPr>
    </w:p>
    <w:p w14:paraId="288C5D38" w14:textId="4F60B91F" w:rsidR="00E64FBD" w:rsidRDefault="00B96D48" w:rsidP="00E64FBD">
      <w:pPr>
        <w:pStyle w:val="BodyTextIndent"/>
        <w:tabs>
          <w:tab w:val="clear" w:pos="2160"/>
          <w:tab w:val="clear" w:pos="7200"/>
          <w:tab w:val="clear" w:pos="7920"/>
          <w:tab w:val="left" w:pos="567"/>
        </w:tabs>
        <w:spacing w:line="216" w:lineRule="auto"/>
        <w:ind w:left="0" w:firstLine="0"/>
        <w:rPr>
          <w:rFonts w:asciiTheme="minorHAnsi" w:hAnsiTheme="minorHAnsi" w:cs="Arial"/>
          <w:b/>
          <w:sz w:val="24"/>
          <w:szCs w:val="24"/>
        </w:rPr>
      </w:pPr>
      <w:r>
        <w:rPr>
          <w:rFonts w:asciiTheme="minorHAnsi" w:hAnsiTheme="minorHAnsi" w:cs="Arial"/>
          <w:b/>
          <w:sz w:val="24"/>
          <w:szCs w:val="24"/>
        </w:rPr>
        <w:t>Property Fund Reserve</w:t>
      </w:r>
    </w:p>
    <w:p w14:paraId="4CAAB466" w14:textId="3B93BDAE" w:rsidR="00B96D48" w:rsidRPr="00B96D48" w:rsidRDefault="00B96D48"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Pr>
          <w:rFonts w:asciiTheme="minorHAnsi" w:hAnsiTheme="minorHAnsi" w:cs="Arial"/>
          <w:sz w:val="22"/>
          <w:szCs w:val="22"/>
        </w:rPr>
        <w:t>The implementation of IFRS9 has resulted in a change in the treatment of the Council’s £2m investment in the CCLA property fund, such that fluctuations in the value of the fund will impact on Surplus/Deficit on the provision of Services.  Following consultation MHCLG have introduced a statutory over-ride to mitigate any effect on the General Fund, however</w:t>
      </w:r>
      <w:r w:rsidR="00F776DE">
        <w:rPr>
          <w:rFonts w:asciiTheme="minorHAnsi" w:hAnsiTheme="minorHAnsi" w:cs="Arial"/>
          <w:sz w:val="22"/>
          <w:szCs w:val="22"/>
        </w:rPr>
        <w:t>. This over-ride was initially limited to five years, due to end 31 March 2023</w:t>
      </w:r>
      <w:r w:rsidR="0074681C">
        <w:rPr>
          <w:rFonts w:asciiTheme="minorHAnsi" w:hAnsiTheme="minorHAnsi" w:cs="Arial"/>
          <w:sz w:val="22"/>
          <w:szCs w:val="22"/>
        </w:rPr>
        <w:t>,</w:t>
      </w:r>
      <w:r w:rsidR="00F776DE">
        <w:rPr>
          <w:rFonts w:asciiTheme="minorHAnsi" w:hAnsiTheme="minorHAnsi" w:cs="Arial"/>
          <w:sz w:val="22"/>
          <w:szCs w:val="22"/>
        </w:rPr>
        <w:t xml:space="preserve"> however a further extension of two years has been given until 31 March 2025</w:t>
      </w:r>
      <w:r>
        <w:rPr>
          <w:rFonts w:asciiTheme="minorHAnsi" w:hAnsiTheme="minorHAnsi" w:cs="Arial"/>
          <w:sz w:val="22"/>
          <w:szCs w:val="22"/>
        </w:rPr>
        <w:t>.  This reserve has been set up to help mitigate any impact on the General Fund once the over-ride expires.</w:t>
      </w:r>
    </w:p>
    <w:p w14:paraId="6E963904" w14:textId="77777777" w:rsidR="00E64FBD" w:rsidRPr="00A36463"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p>
    <w:p w14:paraId="3658BA44" w14:textId="41E57F97" w:rsidR="00E64FBD" w:rsidRDefault="00B96D48" w:rsidP="00E64FBD">
      <w:pPr>
        <w:pStyle w:val="BodyTextIndent"/>
        <w:tabs>
          <w:tab w:val="clear" w:pos="2160"/>
          <w:tab w:val="clear" w:pos="7200"/>
          <w:tab w:val="clear" w:pos="7920"/>
          <w:tab w:val="left" w:pos="567"/>
        </w:tabs>
        <w:spacing w:line="216" w:lineRule="auto"/>
        <w:ind w:left="0" w:firstLine="0"/>
        <w:rPr>
          <w:rFonts w:asciiTheme="minorHAnsi" w:hAnsiTheme="minorHAnsi" w:cs="Arial"/>
          <w:b/>
          <w:sz w:val="24"/>
          <w:szCs w:val="24"/>
        </w:rPr>
      </w:pPr>
      <w:r>
        <w:rPr>
          <w:rFonts w:asciiTheme="minorHAnsi" w:hAnsiTheme="minorHAnsi" w:cs="Arial"/>
          <w:b/>
          <w:sz w:val="24"/>
          <w:szCs w:val="24"/>
        </w:rPr>
        <w:t>Council Tax Compensation Reserve</w:t>
      </w:r>
    </w:p>
    <w:p w14:paraId="1C5C8A4A" w14:textId="5FB6892D" w:rsidR="00B96D48" w:rsidRPr="00B96D48" w:rsidRDefault="00B96D48" w:rsidP="00E64FBD">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Pr>
          <w:rFonts w:asciiTheme="minorHAnsi" w:hAnsiTheme="minorHAnsi" w:cs="Arial"/>
          <w:sz w:val="22"/>
          <w:szCs w:val="22"/>
        </w:rPr>
        <w:t>This reserve has been set up</w:t>
      </w:r>
      <w:r w:rsidR="00183F60">
        <w:rPr>
          <w:rFonts w:asciiTheme="minorHAnsi" w:hAnsiTheme="minorHAnsi" w:cs="Arial"/>
          <w:sz w:val="22"/>
          <w:szCs w:val="22"/>
        </w:rPr>
        <w:t xml:space="preserve"> following the government’s announcement to compensate</w:t>
      </w:r>
      <w:r>
        <w:rPr>
          <w:rFonts w:asciiTheme="minorHAnsi" w:hAnsiTheme="minorHAnsi" w:cs="Arial"/>
          <w:sz w:val="22"/>
          <w:szCs w:val="22"/>
        </w:rPr>
        <w:t xml:space="preserve"> Councils</w:t>
      </w:r>
      <w:r w:rsidR="00183F60">
        <w:rPr>
          <w:rFonts w:asciiTheme="minorHAnsi" w:hAnsiTheme="minorHAnsi" w:cs="Arial"/>
          <w:sz w:val="22"/>
          <w:szCs w:val="22"/>
        </w:rPr>
        <w:t xml:space="preserve"> for lost income on their Council Tax due to the COVID out-</w:t>
      </w:r>
      <w:proofErr w:type="gramStart"/>
      <w:r w:rsidR="00183F60">
        <w:rPr>
          <w:rFonts w:asciiTheme="minorHAnsi" w:hAnsiTheme="minorHAnsi" w:cs="Arial"/>
          <w:sz w:val="22"/>
          <w:szCs w:val="22"/>
        </w:rPr>
        <w:t>break, and</w:t>
      </w:r>
      <w:proofErr w:type="gramEnd"/>
      <w:r w:rsidR="00183F60">
        <w:rPr>
          <w:rFonts w:asciiTheme="minorHAnsi" w:hAnsiTheme="minorHAnsi" w:cs="Arial"/>
          <w:sz w:val="22"/>
          <w:szCs w:val="22"/>
        </w:rPr>
        <w:t xml:space="preserve"> will be used as the losses make their way through the Council’s collection fund and ultimately into the CIES.</w:t>
      </w:r>
      <w:r w:rsidR="00AE44F7">
        <w:rPr>
          <w:rFonts w:asciiTheme="minorHAnsi" w:hAnsiTheme="minorHAnsi" w:cs="Arial"/>
          <w:sz w:val="22"/>
          <w:szCs w:val="22"/>
        </w:rPr>
        <w:t xml:space="preserve">  The final year through into the CIES will be 2023-24.</w:t>
      </w:r>
    </w:p>
    <w:p w14:paraId="04EE8D7C" w14:textId="77777777" w:rsidR="00E64FBD" w:rsidRPr="00B606E0" w:rsidRDefault="00E64FBD" w:rsidP="000B5459">
      <w:pPr>
        <w:widowControl w:val="0"/>
        <w:tabs>
          <w:tab w:val="left" w:pos="567"/>
        </w:tabs>
        <w:jc w:val="both"/>
        <w:rPr>
          <w:rFonts w:asciiTheme="minorHAnsi" w:hAnsiTheme="minorHAnsi" w:cs="Arial"/>
          <w:sz w:val="22"/>
          <w:szCs w:val="22"/>
          <w:highlight w:val="yellow"/>
        </w:rPr>
      </w:pPr>
    </w:p>
    <w:p w14:paraId="4EB68C29" w14:textId="74D8F137" w:rsidR="00E64FBD" w:rsidRPr="00A36463" w:rsidRDefault="00E64FBD" w:rsidP="00E64FBD">
      <w:pPr>
        <w:pStyle w:val="BodyTextIndent"/>
        <w:tabs>
          <w:tab w:val="clear" w:pos="2160"/>
          <w:tab w:val="clear" w:pos="7200"/>
          <w:tab w:val="clear" w:pos="7920"/>
          <w:tab w:val="left" w:pos="567"/>
        </w:tabs>
        <w:spacing w:line="216" w:lineRule="auto"/>
        <w:ind w:left="0" w:firstLine="0"/>
        <w:rPr>
          <w:rFonts w:asciiTheme="minorHAnsi" w:hAnsiTheme="minorHAnsi" w:cs="Arial"/>
          <w:b/>
          <w:sz w:val="24"/>
          <w:szCs w:val="24"/>
        </w:rPr>
      </w:pPr>
      <w:r w:rsidRPr="00A36463">
        <w:rPr>
          <w:rFonts w:asciiTheme="minorHAnsi" w:hAnsiTheme="minorHAnsi" w:cs="Arial"/>
          <w:b/>
          <w:sz w:val="24"/>
          <w:szCs w:val="24"/>
        </w:rPr>
        <w:t>Waterfield Leisure Centre Reserves</w:t>
      </w:r>
    </w:p>
    <w:p w14:paraId="4C2BF0FD" w14:textId="564D0F97" w:rsidR="00E64FBD" w:rsidRPr="00A36463" w:rsidRDefault="00E64FBD" w:rsidP="00E64FBD">
      <w:pPr>
        <w:widowControl w:val="0"/>
        <w:tabs>
          <w:tab w:val="left" w:pos="567"/>
        </w:tabs>
        <w:jc w:val="both"/>
        <w:rPr>
          <w:rFonts w:asciiTheme="minorHAnsi" w:hAnsiTheme="minorHAnsi" w:cs="Arial"/>
          <w:sz w:val="22"/>
          <w:szCs w:val="22"/>
        </w:rPr>
      </w:pPr>
      <w:r w:rsidRPr="00A36463">
        <w:rPr>
          <w:rFonts w:asciiTheme="minorHAnsi" w:hAnsiTheme="minorHAnsi" w:cs="Arial"/>
          <w:sz w:val="24"/>
          <w:szCs w:val="24"/>
        </w:rPr>
        <w:t>A</w:t>
      </w:r>
      <w:r w:rsidRPr="00A36463">
        <w:rPr>
          <w:rFonts w:asciiTheme="minorHAnsi" w:hAnsiTheme="minorHAnsi" w:cs="Arial"/>
          <w:sz w:val="22"/>
          <w:szCs w:val="22"/>
        </w:rPr>
        <w:t xml:space="preserve">mounts are set aside from revenue to meet repairs </w:t>
      </w:r>
      <w:r w:rsidR="00704A70">
        <w:rPr>
          <w:rFonts w:asciiTheme="minorHAnsi" w:hAnsiTheme="minorHAnsi" w:cs="Arial"/>
          <w:sz w:val="22"/>
          <w:szCs w:val="22"/>
        </w:rPr>
        <w:t>and</w:t>
      </w:r>
      <w:r w:rsidRPr="00A36463">
        <w:rPr>
          <w:rFonts w:asciiTheme="minorHAnsi" w:hAnsiTheme="minorHAnsi" w:cs="Arial"/>
          <w:sz w:val="22"/>
          <w:szCs w:val="22"/>
        </w:rPr>
        <w:t xml:space="preserve"> maintenance </w:t>
      </w:r>
      <w:r w:rsidR="003D43A4" w:rsidRPr="00A36463">
        <w:rPr>
          <w:rFonts w:asciiTheme="minorHAnsi" w:hAnsiTheme="minorHAnsi" w:cs="Arial"/>
          <w:sz w:val="22"/>
          <w:szCs w:val="22"/>
        </w:rPr>
        <w:t>spend</w:t>
      </w:r>
      <w:r w:rsidRPr="00A36463">
        <w:rPr>
          <w:rFonts w:asciiTheme="minorHAnsi" w:hAnsiTheme="minorHAnsi" w:cs="Arial"/>
          <w:sz w:val="22"/>
          <w:szCs w:val="22"/>
        </w:rPr>
        <w:t xml:space="preserve"> at Waterfield Leisure Centre.  </w:t>
      </w:r>
      <w:r w:rsidR="003D43A4" w:rsidRPr="00A36463">
        <w:rPr>
          <w:rFonts w:asciiTheme="minorHAnsi" w:hAnsiTheme="minorHAnsi" w:cs="Arial"/>
          <w:sz w:val="22"/>
          <w:szCs w:val="22"/>
        </w:rPr>
        <w:t>A</w:t>
      </w:r>
      <w:r w:rsidRPr="00A36463">
        <w:rPr>
          <w:rFonts w:asciiTheme="minorHAnsi" w:hAnsiTheme="minorHAnsi" w:cs="Arial"/>
          <w:sz w:val="22"/>
          <w:szCs w:val="22"/>
        </w:rPr>
        <w:t>n income smoothing reserve protect</w:t>
      </w:r>
      <w:r w:rsidR="0099542F">
        <w:rPr>
          <w:rFonts w:asciiTheme="minorHAnsi" w:hAnsiTheme="minorHAnsi" w:cs="Arial"/>
          <w:sz w:val="22"/>
          <w:szCs w:val="22"/>
        </w:rPr>
        <w:t>ed</w:t>
      </w:r>
      <w:r w:rsidRPr="00A36463">
        <w:rPr>
          <w:rFonts w:asciiTheme="minorHAnsi" w:hAnsiTheme="minorHAnsi" w:cs="Arial"/>
          <w:sz w:val="22"/>
          <w:szCs w:val="22"/>
        </w:rPr>
        <w:t xml:space="preserve"> the council against </w:t>
      </w:r>
      <w:proofErr w:type="gramStart"/>
      <w:r w:rsidRPr="00A36463">
        <w:rPr>
          <w:rFonts w:asciiTheme="minorHAnsi" w:hAnsiTheme="minorHAnsi" w:cs="Arial"/>
          <w:sz w:val="22"/>
          <w:szCs w:val="22"/>
        </w:rPr>
        <w:t>large expected</w:t>
      </w:r>
      <w:proofErr w:type="gramEnd"/>
      <w:r w:rsidRPr="00A36463">
        <w:rPr>
          <w:rFonts w:asciiTheme="minorHAnsi" w:hAnsiTheme="minorHAnsi" w:cs="Arial"/>
          <w:sz w:val="22"/>
          <w:szCs w:val="22"/>
        </w:rPr>
        <w:t xml:space="preserve"> changes to the contract income</w:t>
      </w:r>
      <w:r w:rsidR="0099542F">
        <w:rPr>
          <w:rFonts w:asciiTheme="minorHAnsi" w:hAnsiTheme="minorHAnsi" w:cs="Arial"/>
          <w:sz w:val="22"/>
          <w:szCs w:val="22"/>
        </w:rPr>
        <w:t>, this ended in 2021-22</w:t>
      </w:r>
      <w:r w:rsidR="007E0E92">
        <w:rPr>
          <w:rFonts w:asciiTheme="minorHAnsi" w:hAnsiTheme="minorHAnsi" w:cs="Arial"/>
          <w:sz w:val="22"/>
          <w:szCs w:val="22"/>
        </w:rPr>
        <w:t xml:space="preserve"> and the balance moved to the General Property </w:t>
      </w:r>
      <w:r w:rsidR="00D66155">
        <w:rPr>
          <w:rFonts w:asciiTheme="minorHAnsi" w:hAnsiTheme="minorHAnsi" w:cs="Arial"/>
          <w:sz w:val="22"/>
          <w:szCs w:val="22"/>
        </w:rPr>
        <w:t>R</w:t>
      </w:r>
      <w:r w:rsidR="007E0E92">
        <w:rPr>
          <w:rFonts w:asciiTheme="minorHAnsi" w:hAnsiTheme="minorHAnsi" w:cs="Arial"/>
          <w:sz w:val="22"/>
          <w:szCs w:val="22"/>
        </w:rPr>
        <w:t>epair Fund above</w:t>
      </w:r>
      <w:r w:rsidR="003D43A4" w:rsidRPr="00A36463">
        <w:rPr>
          <w:rFonts w:asciiTheme="minorHAnsi" w:hAnsiTheme="minorHAnsi" w:cs="Arial"/>
          <w:sz w:val="22"/>
          <w:szCs w:val="22"/>
        </w:rPr>
        <w:t>.</w:t>
      </w:r>
    </w:p>
    <w:p w14:paraId="4CC8E98F" w14:textId="77777777" w:rsidR="006D7373" w:rsidRPr="00B606E0" w:rsidRDefault="006D7373" w:rsidP="00E64FBD">
      <w:pPr>
        <w:widowControl w:val="0"/>
        <w:tabs>
          <w:tab w:val="left" w:pos="567"/>
        </w:tabs>
        <w:jc w:val="both"/>
        <w:rPr>
          <w:rFonts w:asciiTheme="minorHAnsi" w:hAnsiTheme="minorHAnsi" w:cs="Arial"/>
          <w:sz w:val="22"/>
          <w:szCs w:val="22"/>
          <w:highlight w:val="yellow"/>
        </w:rPr>
      </w:pPr>
    </w:p>
    <w:p w14:paraId="52B4F002" w14:textId="77777777" w:rsidR="00623A8C" w:rsidRPr="00A36463" w:rsidRDefault="00623A8C" w:rsidP="00E64FBD">
      <w:pPr>
        <w:widowControl w:val="0"/>
        <w:tabs>
          <w:tab w:val="left" w:pos="567"/>
        </w:tabs>
        <w:jc w:val="both"/>
        <w:rPr>
          <w:rFonts w:asciiTheme="minorHAnsi" w:hAnsiTheme="minorHAnsi" w:cs="Arial"/>
          <w:b/>
          <w:sz w:val="24"/>
          <w:szCs w:val="24"/>
        </w:rPr>
      </w:pPr>
      <w:proofErr w:type="spellStart"/>
      <w:r w:rsidRPr="00A36463">
        <w:rPr>
          <w:rFonts w:asciiTheme="minorHAnsi" w:hAnsiTheme="minorHAnsi" w:cs="Arial"/>
          <w:b/>
          <w:sz w:val="24"/>
          <w:szCs w:val="24"/>
        </w:rPr>
        <w:t>Welland</w:t>
      </w:r>
      <w:proofErr w:type="spellEnd"/>
      <w:r w:rsidRPr="00A36463">
        <w:rPr>
          <w:rFonts w:asciiTheme="minorHAnsi" w:hAnsiTheme="minorHAnsi" w:cs="Arial"/>
          <w:b/>
          <w:sz w:val="24"/>
          <w:szCs w:val="24"/>
        </w:rPr>
        <w:t xml:space="preserve"> Procurement</w:t>
      </w:r>
    </w:p>
    <w:p w14:paraId="02686D7F" w14:textId="77777777" w:rsidR="00623A8C" w:rsidRPr="00A36463" w:rsidRDefault="00623A8C" w:rsidP="00623A8C">
      <w:pPr>
        <w:jc w:val="both"/>
        <w:rPr>
          <w:rFonts w:asciiTheme="minorHAnsi" w:hAnsiTheme="minorHAnsi" w:cs="Arial"/>
          <w:sz w:val="22"/>
          <w:szCs w:val="22"/>
          <w:lang w:eastAsia="en-GB"/>
        </w:rPr>
      </w:pPr>
      <w:r w:rsidRPr="00A36463">
        <w:rPr>
          <w:rFonts w:asciiTheme="minorHAnsi" w:hAnsiTheme="minorHAnsi" w:cs="Arial"/>
          <w:sz w:val="22"/>
          <w:szCs w:val="22"/>
          <w:lang w:eastAsia="en-GB"/>
        </w:rPr>
        <w:t xml:space="preserve">Amounts are set aside when there are underspends on the Procurement Unit budget to help manage an orderly reduction in costs in the event that clients do not renew their contracts with the Unit. </w:t>
      </w:r>
    </w:p>
    <w:p w14:paraId="7B3D62C5" w14:textId="77777777" w:rsidR="00623A8C" w:rsidRPr="00B606E0" w:rsidRDefault="00623A8C" w:rsidP="00E64FBD">
      <w:pPr>
        <w:widowControl w:val="0"/>
        <w:tabs>
          <w:tab w:val="left" w:pos="567"/>
        </w:tabs>
        <w:jc w:val="both"/>
        <w:rPr>
          <w:rFonts w:asciiTheme="minorHAnsi" w:hAnsiTheme="minorHAnsi" w:cs="Arial"/>
          <w:sz w:val="24"/>
          <w:szCs w:val="24"/>
          <w:highlight w:val="yellow"/>
        </w:rPr>
      </w:pPr>
    </w:p>
    <w:p w14:paraId="7D032443" w14:textId="77777777" w:rsidR="00623A8C" w:rsidRPr="00A36463" w:rsidRDefault="00623A8C" w:rsidP="00E64FBD">
      <w:pPr>
        <w:widowControl w:val="0"/>
        <w:tabs>
          <w:tab w:val="left" w:pos="567"/>
        </w:tabs>
        <w:jc w:val="both"/>
        <w:rPr>
          <w:rFonts w:asciiTheme="minorHAnsi" w:hAnsiTheme="minorHAnsi" w:cs="Arial"/>
          <w:b/>
          <w:sz w:val="24"/>
          <w:szCs w:val="24"/>
        </w:rPr>
      </w:pPr>
      <w:r w:rsidRPr="00A36463">
        <w:rPr>
          <w:rFonts w:asciiTheme="minorHAnsi" w:hAnsiTheme="minorHAnsi" w:cs="Arial"/>
          <w:b/>
          <w:sz w:val="24"/>
          <w:szCs w:val="24"/>
        </w:rPr>
        <w:t>Melton Leisure Vision</w:t>
      </w:r>
    </w:p>
    <w:p w14:paraId="7C93297A" w14:textId="77777777" w:rsidR="00623A8C" w:rsidRPr="00A36463" w:rsidRDefault="0029188A" w:rsidP="00E64FBD">
      <w:pPr>
        <w:widowControl w:val="0"/>
        <w:tabs>
          <w:tab w:val="left" w:pos="567"/>
        </w:tabs>
        <w:jc w:val="both"/>
        <w:rPr>
          <w:rFonts w:asciiTheme="minorHAnsi" w:hAnsiTheme="minorHAnsi" w:cs="Arial"/>
          <w:sz w:val="22"/>
          <w:szCs w:val="22"/>
        </w:rPr>
      </w:pPr>
      <w:r w:rsidRPr="00A36463">
        <w:rPr>
          <w:rFonts w:asciiTheme="minorHAnsi" w:hAnsiTheme="minorHAnsi" w:cs="Arial"/>
          <w:sz w:val="22"/>
          <w:szCs w:val="22"/>
        </w:rPr>
        <w:t>Amounts set aside for the maintenance of the site.</w:t>
      </w:r>
    </w:p>
    <w:p w14:paraId="2FD913D3" w14:textId="77777777" w:rsidR="00114CF8" w:rsidRDefault="00623A8C" w:rsidP="00623A8C">
      <w:pPr>
        <w:jc w:val="both"/>
        <w:rPr>
          <w:rFonts w:asciiTheme="minorHAnsi" w:hAnsiTheme="minorHAnsi" w:cs="Arial"/>
          <w:sz w:val="22"/>
          <w:szCs w:val="22"/>
          <w:lang w:eastAsia="en-GB"/>
        </w:rPr>
      </w:pPr>
      <w:r w:rsidRPr="00A36463">
        <w:rPr>
          <w:rFonts w:asciiTheme="minorHAnsi" w:hAnsiTheme="minorHAnsi" w:cs="Arial"/>
          <w:sz w:val="22"/>
          <w:szCs w:val="22"/>
          <w:lang w:eastAsia="en-GB"/>
        </w:rPr>
        <w:t xml:space="preserve">A separate reserve </w:t>
      </w:r>
      <w:r w:rsidR="003F2AC5" w:rsidRPr="00A36463">
        <w:rPr>
          <w:rFonts w:asciiTheme="minorHAnsi" w:hAnsiTheme="minorHAnsi" w:cs="Arial"/>
          <w:sz w:val="22"/>
          <w:szCs w:val="22"/>
          <w:lang w:eastAsia="en-GB"/>
        </w:rPr>
        <w:t>is also set aside</w:t>
      </w:r>
      <w:r w:rsidRPr="00A36463">
        <w:rPr>
          <w:rFonts w:asciiTheme="minorHAnsi" w:hAnsiTheme="minorHAnsi" w:cs="Arial"/>
          <w:sz w:val="22"/>
          <w:szCs w:val="22"/>
          <w:lang w:eastAsia="en-GB"/>
        </w:rPr>
        <w:t xml:space="preserve"> to develop the leisure facilities within Melton.</w:t>
      </w:r>
    </w:p>
    <w:p w14:paraId="10CB6D48" w14:textId="77777777" w:rsidR="00114CF8" w:rsidRDefault="00114CF8" w:rsidP="00623A8C">
      <w:pPr>
        <w:jc w:val="both"/>
        <w:rPr>
          <w:rFonts w:asciiTheme="minorHAnsi" w:hAnsiTheme="minorHAnsi" w:cs="Arial"/>
          <w:sz w:val="22"/>
          <w:szCs w:val="22"/>
          <w:lang w:eastAsia="en-GB"/>
        </w:rPr>
      </w:pPr>
    </w:p>
    <w:p w14:paraId="34AB395D" w14:textId="4949ED44" w:rsidR="00623A8C" w:rsidRDefault="00114CF8" w:rsidP="00623A8C">
      <w:pPr>
        <w:jc w:val="both"/>
        <w:rPr>
          <w:rFonts w:asciiTheme="minorHAnsi" w:hAnsiTheme="minorHAnsi" w:cs="Arial"/>
          <w:b/>
          <w:bCs/>
          <w:sz w:val="24"/>
          <w:szCs w:val="24"/>
          <w:lang w:eastAsia="en-GB"/>
        </w:rPr>
      </w:pPr>
      <w:r w:rsidRPr="00114CF8">
        <w:rPr>
          <w:rFonts w:asciiTheme="minorHAnsi" w:hAnsiTheme="minorHAnsi" w:cs="Arial"/>
          <w:b/>
          <w:bCs/>
          <w:sz w:val="24"/>
          <w:szCs w:val="24"/>
          <w:lang w:eastAsia="en-GB"/>
        </w:rPr>
        <w:t>Cattle Market Sinking Fund</w:t>
      </w:r>
    </w:p>
    <w:p w14:paraId="342012D6" w14:textId="3B94851B" w:rsidR="00114CF8" w:rsidRPr="00114CF8" w:rsidRDefault="00114CF8" w:rsidP="00623A8C">
      <w:pPr>
        <w:jc w:val="both"/>
        <w:rPr>
          <w:rFonts w:asciiTheme="minorHAnsi" w:hAnsiTheme="minorHAnsi" w:cs="Arial"/>
          <w:sz w:val="22"/>
          <w:szCs w:val="22"/>
          <w:lang w:eastAsia="en-GB"/>
        </w:rPr>
      </w:pPr>
      <w:r>
        <w:rPr>
          <w:rFonts w:asciiTheme="minorHAnsi" w:hAnsiTheme="minorHAnsi" w:cs="Arial"/>
          <w:sz w:val="22"/>
          <w:szCs w:val="22"/>
          <w:lang w:eastAsia="en-GB"/>
        </w:rPr>
        <w:t xml:space="preserve">This sets aside funds </w:t>
      </w:r>
      <w:r w:rsidR="00427231">
        <w:rPr>
          <w:rFonts w:asciiTheme="minorHAnsi" w:hAnsiTheme="minorHAnsi" w:cs="Arial"/>
          <w:sz w:val="22"/>
          <w:szCs w:val="22"/>
          <w:lang w:eastAsia="en-GB"/>
        </w:rPr>
        <w:t xml:space="preserve">provided by the operator of the Cattle Market </w:t>
      </w:r>
      <w:r>
        <w:rPr>
          <w:rFonts w:asciiTheme="minorHAnsi" w:hAnsiTheme="minorHAnsi" w:cs="Arial"/>
          <w:sz w:val="22"/>
          <w:szCs w:val="22"/>
          <w:lang w:eastAsia="en-GB"/>
        </w:rPr>
        <w:t>to meet future</w:t>
      </w:r>
      <w:r w:rsidR="00427231">
        <w:rPr>
          <w:rFonts w:asciiTheme="minorHAnsi" w:hAnsiTheme="minorHAnsi" w:cs="Arial"/>
          <w:sz w:val="22"/>
          <w:szCs w:val="22"/>
          <w:lang w:eastAsia="en-GB"/>
        </w:rPr>
        <w:t xml:space="preserve"> repairs and</w:t>
      </w:r>
      <w:r>
        <w:rPr>
          <w:rFonts w:asciiTheme="minorHAnsi" w:hAnsiTheme="minorHAnsi" w:cs="Arial"/>
          <w:sz w:val="22"/>
          <w:szCs w:val="22"/>
          <w:lang w:eastAsia="en-GB"/>
        </w:rPr>
        <w:t xml:space="preserve"> maintenance costs</w:t>
      </w:r>
      <w:r w:rsidR="00427231">
        <w:rPr>
          <w:rFonts w:asciiTheme="minorHAnsi" w:hAnsiTheme="minorHAnsi" w:cs="Arial"/>
          <w:sz w:val="22"/>
          <w:szCs w:val="22"/>
          <w:lang w:eastAsia="en-GB"/>
        </w:rPr>
        <w:t xml:space="preserve"> as required by our agreement with them.</w:t>
      </w:r>
    </w:p>
    <w:p w14:paraId="3F925BDD" w14:textId="77777777" w:rsidR="00623A8C" w:rsidRPr="00B606E0" w:rsidRDefault="00623A8C" w:rsidP="00E64FBD">
      <w:pPr>
        <w:widowControl w:val="0"/>
        <w:tabs>
          <w:tab w:val="left" w:pos="567"/>
        </w:tabs>
        <w:jc w:val="both"/>
        <w:rPr>
          <w:rFonts w:asciiTheme="minorHAnsi" w:hAnsiTheme="minorHAnsi" w:cs="Arial"/>
          <w:sz w:val="24"/>
          <w:szCs w:val="24"/>
          <w:highlight w:val="yellow"/>
        </w:rPr>
      </w:pPr>
    </w:p>
    <w:p w14:paraId="6CDB0938" w14:textId="2712080D" w:rsidR="00623A8C" w:rsidRPr="00B606E0" w:rsidRDefault="00623A8C" w:rsidP="00E64FBD">
      <w:pPr>
        <w:widowControl w:val="0"/>
        <w:tabs>
          <w:tab w:val="left" w:pos="567"/>
        </w:tabs>
        <w:jc w:val="both"/>
        <w:rPr>
          <w:rFonts w:asciiTheme="minorHAnsi" w:hAnsiTheme="minorHAnsi" w:cs="Arial"/>
          <w:b/>
          <w:sz w:val="24"/>
          <w:szCs w:val="24"/>
          <w:highlight w:val="yellow"/>
        </w:rPr>
      </w:pPr>
      <w:r w:rsidRPr="00A36463">
        <w:rPr>
          <w:rFonts w:asciiTheme="minorHAnsi" w:hAnsiTheme="minorHAnsi" w:cs="Arial"/>
          <w:b/>
          <w:sz w:val="24"/>
          <w:szCs w:val="24"/>
        </w:rPr>
        <w:t xml:space="preserve">Other </w:t>
      </w:r>
      <w:r w:rsidR="00C12DF8">
        <w:rPr>
          <w:rFonts w:asciiTheme="minorHAnsi" w:hAnsiTheme="minorHAnsi" w:cs="Arial"/>
          <w:b/>
          <w:sz w:val="24"/>
          <w:szCs w:val="24"/>
        </w:rPr>
        <w:t xml:space="preserve">Small </w:t>
      </w:r>
      <w:r w:rsidRPr="00A36463">
        <w:rPr>
          <w:rFonts w:asciiTheme="minorHAnsi" w:hAnsiTheme="minorHAnsi" w:cs="Arial"/>
          <w:b/>
          <w:sz w:val="24"/>
          <w:szCs w:val="24"/>
        </w:rPr>
        <w:t>General Fund Balances</w:t>
      </w:r>
    </w:p>
    <w:p w14:paraId="29FDA4AD" w14:textId="0F56E514" w:rsidR="00A36463" w:rsidRDefault="00A36463" w:rsidP="00E64FBD">
      <w:pPr>
        <w:widowControl w:val="0"/>
        <w:tabs>
          <w:tab w:val="left" w:pos="567"/>
        </w:tabs>
        <w:jc w:val="both"/>
        <w:rPr>
          <w:rFonts w:asciiTheme="minorHAnsi" w:hAnsiTheme="minorHAnsi" w:cs="Arial"/>
          <w:sz w:val="22"/>
          <w:szCs w:val="22"/>
        </w:rPr>
      </w:pPr>
      <w:r w:rsidRPr="00A36463">
        <w:rPr>
          <w:rFonts w:asciiTheme="minorHAnsi" w:hAnsiTheme="minorHAnsi" w:cs="Arial"/>
          <w:sz w:val="22"/>
          <w:szCs w:val="22"/>
        </w:rPr>
        <w:t>The earmarked reserves which the Council holds and individually are less than £20k</w:t>
      </w:r>
      <w:r w:rsidRPr="00114CF8">
        <w:rPr>
          <w:rFonts w:asciiTheme="minorHAnsi" w:hAnsiTheme="minorHAnsi" w:cs="Arial"/>
          <w:sz w:val="22"/>
          <w:szCs w:val="22"/>
        </w:rPr>
        <w:t>.  These reserves include those for the Registrars furniture renewals, skate park repairs,</w:t>
      </w:r>
      <w:r w:rsidR="00114CF8" w:rsidRPr="00114CF8">
        <w:rPr>
          <w:rFonts w:asciiTheme="minorHAnsi" w:hAnsiTheme="minorHAnsi" w:cs="Arial"/>
          <w:sz w:val="22"/>
          <w:szCs w:val="22"/>
        </w:rPr>
        <w:t xml:space="preserve"> EU exit funding to help manage the impact of Brexit, </w:t>
      </w:r>
      <w:proofErr w:type="gramStart"/>
      <w:r w:rsidR="00114CF8" w:rsidRPr="00114CF8">
        <w:rPr>
          <w:rFonts w:asciiTheme="minorHAnsi" w:hAnsiTheme="minorHAnsi" w:cs="Arial"/>
          <w:sz w:val="22"/>
          <w:szCs w:val="22"/>
        </w:rPr>
        <w:t>Sinking</w:t>
      </w:r>
      <w:proofErr w:type="gramEnd"/>
      <w:r w:rsidR="00114CF8" w:rsidRPr="00114CF8">
        <w:rPr>
          <w:rFonts w:asciiTheme="minorHAnsi" w:hAnsiTheme="minorHAnsi" w:cs="Arial"/>
          <w:sz w:val="22"/>
          <w:szCs w:val="22"/>
        </w:rPr>
        <w:t xml:space="preserve"> fund for Melton Leisure Vision, New burdens funding for the Elections Act, Audit fees following the Redmond Review and funds towards a new S106 monitoring system</w:t>
      </w:r>
      <w:r w:rsidRPr="00114CF8">
        <w:rPr>
          <w:rFonts w:asciiTheme="minorHAnsi" w:hAnsiTheme="minorHAnsi" w:cs="Arial"/>
          <w:sz w:val="22"/>
          <w:szCs w:val="22"/>
        </w:rPr>
        <w:t>.</w:t>
      </w:r>
    </w:p>
    <w:p w14:paraId="02A35A17" w14:textId="77777777" w:rsidR="00623A8C" w:rsidRPr="00B606E0" w:rsidRDefault="00623A8C" w:rsidP="00E64FBD">
      <w:pPr>
        <w:widowControl w:val="0"/>
        <w:tabs>
          <w:tab w:val="left" w:pos="567"/>
        </w:tabs>
        <w:jc w:val="both"/>
        <w:rPr>
          <w:rFonts w:asciiTheme="minorHAnsi" w:hAnsiTheme="minorHAnsi" w:cs="Arial"/>
          <w:sz w:val="22"/>
          <w:szCs w:val="22"/>
          <w:highlight w:val="yellow"/>
        </w:rPr>
      </w:pPr>
      <w:r w:rsidRPr="00B606E0">
        <w:rPr>
          <w:rFonts w:asciiTheme="minorHAnsi" w:hAnsiTheme="minorHAnsi" w:cs="Arial"/>
          <w:sz w:val="22"/>
          <w:szCs w:val="22"/>
          <w:highlight w:val="yellow"/>
        </w:rPr>
        <w:t xml:space="preserve"> </w:t>
      </w:r>
    </w:p>
    <w:p w14:paraId="4FC3E4A5" w14:textId="77777777" w:rsidR="000B5459" w:rsidRPr="00A36463" w:rsidRDefault="000B5459" w:rsidP="000B5459">
      <w:pPr>
        <w:widowControl w:val="0"/>
        <w:tabs>
          <w:tab w:val="left" w:pos="567"/>
        </w:tabs>
        <w:jc w:val="both"/>
        <w:rPr>
          <w:rFonts w:asciiTheme="minorHAnsi" w:hAnsiTheme="minorHAnsi" w:cs="Arial"/>
          <w:sz w:val="22"/>
          <w:szCs w:val="22"/>
        </w:rPr>
      </w:pPr>
      <w:r w:rsidRPr="00A36463">
        <w:rPr>
          <w:rFonts w:asciiTheme="minorHAnsi" w:hAnsiTheme="minorHAnsi" w:cs="Arial"/>
          <w:b/>
          <w:sz w:val="24"/>
          <w:szCs w:val="24"/>
        </w:rPr>
        <w:t>Corporate Priorities Reserve</w:t>
      </w:r>
      <w:r w:rsidRPr="00A36463">
        <w:rPr>
          <w:rFonts w:asciiTheme="minorHAnsi" w:hAnsiTheme="minorHAnsi" w:cs="Arial"/>
          <w:sz w:val="22"/>
          <w:szCs w:val="22"/>
        </w:rPr>
        <w:t xml:space="preserve"> </w:t>
      </w:r>
    </w:p>
    <w:p w14:paraId="292761F1" w14:textId="3A1DD9B8" w:rsidR="000B5459" w:rsidRPr="00A36463" w:rsidRDefault="000B5459" w:rsidP="000B5459">
      <w:pPr>
        <w:widowControl w:val="0"/>
        <w:tabs>
          <w:tab w:val="left" w:pos="567"/>
        </w:tabs>
        <w:jc w:val="both"/>
        <w:rPr>
          <w:rFonts w:asciiTheme="minorHAnsi" w:hAnsiTheme="minorHAnsi" w:cs="Arial"/>
          <w:sz w:val="22"/>
          <w:szCs w:val="22"/>
        </w:rPr>
      </w:pPr>
      <w:r w:rsidRPr="00A36463">
        <w:rPr>
          <w:rFonts w:asciiTheme="minorHAnsi" w:hAnsiTheme="minorHAnsi" w:cs="Arial"/>
          <w:sz w:val="22"/>
          <w:szCs w:val="22"/>
        </w:rPr>
        <w:t xml:space="preserve">Amounts are set aside from the General Fund General Expenses Revenue Account to fund </w:t>
      </w:r>
      <w:r w:rsidR="007E0E92">
        <w:rPr>
          <w:rFonts w:asciiTheme="minorHAnsi" w:hAnsiTheme="minorHAnsi" w:cs="Arial"/>
          <w:sz w:val="22"/>
          <w:szCs w:val="22"/>
        </w:rPr>
        <w:t xml:space="preserve">non-recurring </w:t>
      </w:r>
      <w:r w:rsidRPr="00A36463">
        <w:rPr>
          <w:rFonts w:asciiTheme="minorHAnsi" w:hAnsiTheme="minorHAnsi" w:cs="Arial"/>
          <w:sz w:val="22"/>
          <w:szCs w:val="22"/>
        </w:rPr>
        <w:t>capital expenditure or new initiatives which meet the Councils priorities.</w:t>
      </w:r>
    </w:p>
    <w:p w14:paraId="3194ABB7" w14:textId="6E2E7412" w:rsidR="00F154EC" w:rsidRDefault="00F154EC" w:rsidP="000B5459">
      <w:pPr>
        <w:widowControl w:val="0"/>
        <w:tabs>
          <w:tab w:val="left" w:pos="567"/>
        </w:tabs>
        <w:jc w:val="both"/>
        <w:rPr>
          <w:rFonts w:asciiTheme="minorHAnsi" w:hAnsiTheme="minorHAnsi" w:cs="Arial"/>
          <w:b/>
          <w:sz w:val="24"/>
          <w:szCs w:val="24"/>
        </w:rPr>
      </w:pPr>
    </w:p>
    <w:p w14:paraId="0727BAA6" w14:textId="77777777" w:rsidR="005B22CB" w:rsidRDefault="005B22CB" w:rsidP="000B5459">
      <w:pPr>
        <w:widowControl w:val="0"/>
        <w:tabs>
          <w:tab w:val="left" w:pos="567"/>
        </w:tabs>
        <w:jc w:val="both"/>
        <w:rPr>
          <w:rFonts w:asciiTheme="minorHAnsi" w:hAnsiTheme="minorHAnsi" w:cs="Arial"/>
          <w:b/>
          <w:sz w:val="24"/>
          <w:szCs w:val="24"/>
        </w:rPr>
      </w:pPr>
    </w:p>
    <w:p w14:paraId="7D99E5BA" w14:textId="2B1A78AF" w:rsidR="000B5459" w:rsidRPr="00A36463" w:rsidRDefault="000B5459" w:rsidP="000B5459">
      <w:pPr>
        <w:widowControl w:val="0"/>
        <w:tabs>
          <w:tab w:val="left" w:pos="567"/>
        </w:tabs>
        <w:jc w:val="both"/>
        <w:rPr>
          <w:rFonts w:asciiTheme="minorHAnsi" w:hAnsiTheme="minorHAnsi" w:cs="Arial"/>
          <w:sz w:val="22"/>
          <w:szCs w:val="22"/>
        </w:rPr>
      </w:pPr>
      <w:r w:rsidRPr="00A36463">
        <w:rPr>
          <w:rFonts w:asciiTheme="minorHAnsi" w:hAnsiTheme="minorHAnsi" w:cs="Arial"/>
          <w:b/>
          <w:sz w:val="24"/>
          <w:szCs w:val="24"/>
        </w:rPr>
        <w:lastRenderedPageBreak/>
        <w:t>Special</w:t>
      </w:r>
      <w:r w:rsidRPr="00A36463">
        <w:rPr>
          <w:rFonts w:asciiTheme="minorHAnsi" w:hAnsiTheme="minorHAnsi" w:cs="Arial"/>
          <w:sz w:val="22"/>
          <w:szCs w:val="22"/>
        </w:rPr>
        <w:t xml:space="preserve"> </w:t>
      </w:r>
      <w:r w:rsidR="00C12DF8" w:rsidRPr="00C12DF8">
        <w:rPr>
          <w:rFonts w:asciiTheme="minorHAnsi" w:hAnsiTheme="minorHAnsi" w:cs="Arial"/>
          <w:b/>
          <w:sz w:val="24"/>
          <w:szCs w:val="24"/>
        </w:rPr>
        <w:t>Expenses Reserve</w:t>
      </w:r>
    </w:p>
    <w:p w14:paraId="140F0F21" w14:textId="77777777" w:rsidR="000B5459" w:rsidRPr="00A36463" w:rsidRDefault="000B5459" w:rsidP="000B5459">
      <w:pPr>
        <w:widowControl w:val="0"/>
        <w:tabs>
          <w:tab w:val="left" w:pos="567"/>
        </w:tabs>
        <w:jc w:val="both"/>
        <w:rPr>
          <w:rFonts w:asciiTheme="minorHAnsi" w:hAnsiTheme="minorHAnsi" w:cs="Arial"/>
          <w:sz w:val="22"/>
          <w:szCs w:val="22"/>
        </w:rPr>
      </w:pPr>
      <w:r w:rsidRPr="00A36463">
        <w:rPr>
          <w:rFonts w:asciiTheme="minorHAnsi" w:hAnsiTheme="minorHAnsi" w:cs="Arial"/>
          <w:sz w:val="22"/>
          <w:szCs w:val="22"/>
        </w:rPr>
        <w:t>Amounts are set aside from the General Fund Special Expenses Revenue Account to fund capital expenditure or new initiatives in the Special Expenses area of Melton Mowbray.</w:t>
      </w:r>
    </w:p>
    <w:p w14:paraId="12684B18" w14:textId="77777777" w:rsidR="003A7348" w:rsidRPr="00A36463" w:rsidRDefault="003A7348" w:rsidP="000B5459">
      <w:pPr>
        <w:widowControl w:val="0"/>
        <w:tabs>
          <w:tab w:val="left" w:pos="567"/>
        </w:tabs>
        <w:jc w:val="both"/>
        <w:rPr>
          <w:rFonts w:asciiTheme="minorHAnsi" w:hAnsiTheme="minorHAnsi" w:cs="Arial"/>
          <w:sz w:val="22"/>
          <w:szCs w:val="22"/>
        </w:rPr>
      </w:pPr>
    </w:p>
    <w:p w14:paraId="46158B7F" w14:textId="3D9B543F" w:rsidR="006D7373" w:rsidRPr="00A36463" w:rsidRDefault="006D7373" w:rsidP="000B5459">
      <w:pPr>
        <w:widowControl w:val="0"/>
        <w:tabs>
          <w:tab w:val="left" w:pos="567"/>
        </w:tabs>
        <w:jc w:val="both"/>
        <w:rPr>
          <w:rFonts w:asciiTheme="minorHAnsi" w:hAnsiTheme="minorHAnsi" w:cs="Arial"/>
          <w:b/>
          <w:sz w:val="24"/>
          <w:szCs w:val="24"/>
        </w:rPr>
      </w:pPr>
      <w:r w:rsidRPr="00A36463">
        <w:rPr>
          <w:rFonts w:asciiTheme="minorHAnsi" w:hAnsiTheme="minorHAnsi" w:cs="Arial"/>
          <w:b/>
          <w:sz w:val="24"/>
          <w:szCs w:val="24"/>
        </w:rPr>
        <w:t xml:space="preserve">Regeneration </w:t>
      </w:r>
      <w:r w:rsidR="00704A70">
        <w:rPr>
          <w:rFonts w:asciiTheme="minorHAnsi" w:hAnsiTheme="minorHAnsi" w:cs="Arial"/>
          <w:b/>
          <w:sz w:val="24"/>
          <w:szCs w:val="24"/>
        </w:rPr>
        <w:t>and</w:t>
      </w:r>
      <w:r w:rsidRPr="00A36463">
        <w:rPr>
          <w:rFonts w:asciiTheme="minorHAnsi" w:hAnsiTheme="minorHAnsi" w:cs="Arial"/>
          <w:b/>
          <w:sz w:val="24"/>
          <w:szCs w:val="24"/>
        </w:rPr>
        <w:t xml:space="preserve"> Innovation Reserve</w:t>
      </w:r>
    </w:p>
    <w:p w14:paraId="43954E52" w14:textId="77777777" w:rsidR="006D7373" w:rsidRPr="00A36463" w:rsidRDefault="006D7373" w:rsidP="006D7373">
      <w:pPr>
        <w:jc w:val="both"/>
        <w:rPr>
          <w:rFonts w:asciiTheme="minorHAnsi" w:hAnsiTheme="minorHAnsi" w:cs="Arial"/>
          <w:sz w:val="22"/>
          <w:szCs w:val="22"/>
          <w:lang w:eastAsia="en-GB"/>
        </w:rPr>
      </w:pPr>
      <w:r w:rsidRPr="00A36463">
        <w:rPr>
          <w:rFonts w:asciiTheme="minorHAnsi" w:hAnsiTheme="minorHAnsi" w:cs="Arial"/>
          <w:sz w:val="22"/>
          <w:szCs w:val="22"/>
          <w:lang w:eastAsia="en-GB"/>
        </w:rPr>
        <w:t>Amounts set aside to progress future developments and support economic growth, commercial returns and support investments.</w:t>
      </w:r>
    </w:p>
    <w:p w14:paraId="51EA68B2" w14:textId="77777777" w:rsidR="006D7373" w:rsidRPr="00A36463" w:rsidRDefault="006D7373" w:rsidP="000B5459">
      <w:pPr>
        <w:widowControl w:val="0"/>
        <w:tabs>
          <w:tab w:val="left" w:pos="567"/>
        </w:tabs>
        <w:jc w:val="both"/>
        <w:rPr>
          <w:rFonts w:asciiTheme="minorHAnsi" w:hAnsiTheme="minorHAnsi" w:cs="Arial"/>
          <w:b/>
          <w:sz w:val="24"/>
          <w:szCs w:val="24"/>
        </w:rPr>
      </w:pPr>
    </w:p>
    <w:p w14:paraId="28BF4464" w14:textId="78EBCA9A" w:rsidR="000B1693" w:rsidRPr="00A36463" w:rsidRDefault="000B1693" w:rsidP="000B5459">
      <w:pPr>
        <w:widowControl w:val="0"/>
        <w:tabs>
          <w:tab w:val="left" w:pos="567"/>
        </w:tabs>
        <w:jc w:val="both"/>
        <w:rPr>
          <w:rFonts w:asciiTheme="minorHAnsi" w:hAnsiTheme="minorHAnsi" w:cs="Arial"/>
          <w:b/>
          <w:sz w:val="24"/>
          <w:szCs w:val="24"/>
        </w:rPr>
      </w:pPr>
      <w:r w:rsidRPr="00A36463">
        <w:rPr>
          <w:rFonts w:asciiTheme="minorHAnsi" w:hAnsiTheme="minorHAnsi" w:cs="Arial"/>
          <w:b/>
          <w:sz w:val="24"/>
          <w:szCs w:val="24"/>
        </w:rPr>
        <w:t xml:space="preserve">General Fund </w:t>
      </w:r>
      <w:r w:rsidR="00704A70">
        <w:rPr>
          <w:rFonts w:asciiTheme="minorHAnsi" w:hAnsiTheme="minorHAnsi" w:cs="Arial"/>
          <w:b/>
          <w:sz w:val="24"/>
          <w:szCs w:val="24"/>
        </w:rPr>
        <w:t>and</w:t>
      </w:r>
      <w:r w:rsidRPr="00A36463">
        <w:rPr>
          <w:rFonts w:asciiTheme="minorHAnsi" w:hAnsiTheme="minorHAnsi" w:cs="Arial"/>
          <w:b/>
          <w:sz w:val="24"/>
          <w:szCs w:val="24"/>
        </w:rPr>
        <w:t xml:space="preserve"> Special Expenses Carry Forward Reserves</w:t>
      </w:r>
    </w:p>
    <w:p w14:paraId="4CAF6DFE" w14:textId="63DEC58E" w:rsidR="000B1693" w:rsidRPr="00A36463" w:rsidRDefault="000B1693" w:rsidP="000B5459">
      <w:pPr>
        <w:widowControl w:val="0"/>
        <w:tabs>
          <w:tab w:val="left" w:pos="567"/>
        </w:tabs>
        <w:jc w:val="both"/>
        <w:rPr>
          <w:rFonts w:asciiTheme="minorHAnsi" w:hAnsiTheme="minorHAnsi" w:cs="Arial"/>
          <w:sz w:val="22"/>
          <w:szCs w:val="22"/>
        </w:rPr>
      </w:pPr>
      <w:r w:rsidRPr="00A36463">
        <w:rPr>
          <w:rFonts w:asciiTheme="minorHAnsi" w:hAnsiTheme="minorHAnsi" w:cs="Arial"/>
          <w:sz w:val="22"/>
          <w:szCs w:val="22"/>
        </w:rPr>
        <w:t>Amounts are set aside from the General Fund and Special Expenses to fund the carry forward amounts – amounts not spent in year which will be needed for a specific purpose in the following year – as ap</w:t>
      </w:r>
      <w:r w:rsidR="00C12DF8">
        <w:rPr>
          <w:rFonts w:asciiTheme="minorHAnsi" w:hAnsiTheme="minorHAnsi" w:cs="Arial"/>
          <w:sz w:val="22"/>
          <w:szCs w:val="22"/>
        </w:rPr>
        <w:t>proved by the relevant portfolio holder</w:t>
      </w:r>
      <w:r w:rsidRPr="00A36463">
        <w:rPr>
          <w:rFonts w:asciiTheme="minorHAnsi" w:hAnsiTheme="minorHAnsi" w:cs="Arial"/>
          <w:sz w:val="22"/>
          <w:szCs w:val="22"/>
        </w:rPr>
        <w:t xml:space="preserve"> in</w:t>
      </w:r>
      <w:r w:rsidR="00C12DF8">
        <w:rPr>
          <w:rFonts w:asciiTheme="minorHAnsi" w:hAnsiTheme="minorHAnsi" w:cs="Arial"/>
          <w:sz w:val="22"/>
          <w:szCs w:val="22"/>
        </w:rPr>
        <w:t xml:space="preserve"> the</w:t>
      </w:r>
      <w:r w:rsidRPr="00A36463">
        <w:rPr>
          <w:rFonts w:asciiTheme="minorHAnsi" w:hAnsiTheme="minorHAnsi" w:cs="Arial"/>
          <w:sz w:val="22"/>
          <w:szCs w:val="22"/>
        </w:rPr>
        <w:t xml:space="preserve"> year.</w:t>
      </w:r>
    </w:p>
    <w:p w14:paraId="011B95EC" w14:textId="77777777" w:rsidR="00E64FBD" w:rsidRPr="00B606E0" w:rsidRDefault="00E64FBD" w:rsidP="000B5459">
      <w:pPr>
        <w:widowControl w:val="0"/>
        <w:tabs>
          <w:tab w:val="left" w:pos="567"/>
        </w:tabs>
        <w:jc w:val="both"/>
        <w:rPr>
          <w:rFonts w:asciiTheme="minorHAnsi" w:hAnsiTheme="minorHAnsi" w:cs="Arial"/>
          <w:sz w:val="22"/>
          <w:szCs w:val="22"/>
          <w:highlight w:val="yellow"/>
        </w:rPr>
      </w:pPr>
    </w:p>
    <w:p w14:paraId="1A5340C0" w14:textId="0C27700A" w:rsidR="00756D0B" w:rsidRPr="00A36463" w:rsidRDefault="00756D0B" w:rsidP="00756D0B">
      <w:pPr>
        <w:pStyle w:val="BodyTextIndent"/>
        <w:tabs>
          <w:tab w:val="clear" w:pos="2160"/>
          <w:tab w:val="clear" w:pos="7200"/>
          <w:tab w:val="clear" w:pos="7920"/>
          <w:tab w:val="left" w:pos="567"/>
        </w:tabs>
        <w:spacing w:line="216" w:lineRule="auto"/>
        <w:ind w:left="0" w:firstLine="0"/>
        <w:rPr>
          <w:rFonts w:asciiTheme="minorHAnsi" w:hAnsiTheme="minorHAnsi" w:cs="Arial"/>
          <w:b/>
          <w:sz w:val="22"/>
          <w:szCs w:val="22"/>
        </w:rPr>
      </w:pPr>
      <w:r w:rsidRPr="00A36463">
        <w:rPr>
          <w:rFonts w:asciiTheme="minorHAnsi" w:hAnsiTheme="minorHAnsi" w:cs="Arial"/>
          <w:b/>
          <w:sz w:val="24"/>
          <w:szCs w:val="24"/>
        </w:rPr>
        <w:t xml:space="preserve">HRA Development </w:t>
      </w:r>
      <w:r w:rsidR="00704A70">
        <w:rPr>
          <w:rFonts w:asciiTheme="minorHAnsi" w:hAnsiTheme="minorHAnsi" w:cs="Arial"/>
          <w:b/>
          <w:sz w:val="24"/>
          <w:szCs w:val="24"/>
        </w:rPr>
        <w:t>and</w:t>
      </w:r>
      <w:r w:rsidRPr="00A36463">
        <w:rPr>
          <w:rFonts w:asciiTheme="minorHAnsi" w:hAnsiTheme="minorHAnsi" w:cs="Arial"/>
          <w:b/>
          <w:sz w:val="24"/>
          <w:szCs w:val="24"/>
        </w:rPr>
        <w:t xml:space="preserve"> Regeneration Reserve</w:t>
      </w:r>
      <w:r w:rsidRPr="00A36463">
        <w:rPr>
          <w:rFonts w:asciiTheme="minorHAnsi" w:hAnsiTheme="minorHAnsi" w:cs="Arial"/>
          <w:b/>
          <w:sz w:val="22"/>
          <w:szCs w:val="22"/>
        </w:rPr>
        <w:t xml:space="preserve"> </w:t>
      </w:r>
    </w:p>
    <w:p w14:paraId="06E7BA34" w14:textId="77777777" w:rsidR="00756D0B" w:rsidRPr="00A36463" w:rsidRDefault="00756D0B" w:rsidP="00756D0B">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sidRPr="00A36463">
        <w:rPr>
          <w:rFonts w:asciiTheme="minorHAnsi" w:hAnsiTheme="minorHAnsi" w:cs="Arial"/>
          <w:sz w:val="22"/>
          <w:szCs w:val="22"/>
        </w:rPr>
        <w:t xml:space="preserve">Amounts are set aside from the HRA and can be used to fund development and regeneration expenditure on the Council’s housing stock. </w:t>
      </w:r>
      <w:r w:rsidRPr="00A36463">
        <w:rPr>
          <w:rFonts w:asciiTheme="minorHAnsi" w:hAnsiTheme="minorHAnsi" w:cs="Arial"/>
          <w:sz w:val="22"/>
          <w:szCs w:val="22"/>
        </w:rPr>
        <w:tab/>
      </w:r>
    </w:p>
    <w:p w14:paraId="02DF2191" w14:textId="77777777" w:rsidR="000B5459" w:rsidRPr="00A36463" w:rsidRDefault="000B5459" w:rsidP="000B5459">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p>
    <w:p w14:paraId="45176A24" w14:textId="77777777" w:rsidR="00962549" w:rsidRPr="00A36463" w:rsidRDefault="00962549" w:rsidP="000B5459">
      <w:pPr>
        <w:pStyle w:val="BodyTextIndent"/>
        <w:tabs>
          <w:tab w:val="clear" w:pos="2160"/>
          <w:tab w:val="clear" w:pos="7200"/>
          <w:tab w:val="clear" w:pos="7920"/>
          <w:tab w:val="left" w:pos="567"/>
        </w:tabs>
        <w:spacing w:line="216" w:lineRule="auto"/>
        <w:ind w:left="0" w:firstLine="0"/>
        <w:rPr>
          <w:rFonts w:asciiTheme="minorHAnsi" w:hAnsiTheme="minorHAnsi" w:cs="Arial"/>
          <w:b/>
          <w:sz w:val="24"/>
          <w:szCs w:val="24"/>
        </w:rPr>
      </w:pPr>
      <w:r w:rsidRPr="00A36463">
        <w:rPr>
          <w:rFonts w:asciiTheme="minorHAnsi" w:hAnsiTheme="minorHAnsi" w:cs="Arial"/>
          <w:b/>
          <w:sz w:val="24"/>
          <w:szCs w:val="24"/>
        </w:rPr>
        <w:t>Water Arrears Reserve</w:t>
      </w:r>
    </w:p>
    <w:p w14:paraId="2E4FBA97" w14:textId="2FA460BF" w:rsidR="00962549" w:rsidRDefault="00962549" w:rsidP="000B5459">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r w:rsidRPr="00A36463">
        <w:rPr>
          <w:rFonts w:asciiTheme="minorHAnsi" w:hAnsiTheme="minorHAnsi" w:cs="Arial"/>
          <w:sz w:val="22"/>
          <w:szCs w:val="22"/>
        </w:rPr>
        <w:t xml:space="preserve">On the cancellation of the Agency Agreement that the Council had with Severn Trent Water to collect water rates on their behalf, Severn Trent Water agreed to continue to fund future written off amounts of water arrears by a one-off payment.  </w:t>
      </w:r>
      <w:r w:rsidR="00BB38A2" w:rsidRPr="00A36463">
        <w:rPr>
          <w:rFonts w:asciiTheme="minorHAnsi" w:hAnsiTheme="minorHAnsi" w:cs="Arial"/>
          <w:sz w:val="22"/>
          <w:szCs w:val="22"/>
        </w:rPr>
        <w:t xml:space="preserve">This reserve is therefore to fund any </w:t>
      </w:r>
      <w:r w:rsidR="00170BF4" w:rsidRPr="00A36463">
        <w:rPr>
          <w:rFonts w:asciiTheme="minorHAnsi" w:hAnsiTheme="minorHAnsi" w:cs="Arial"/>
          <w:sz w:val="22"/>
          <w:szCs w:val="22"/>
        </w:rPr>
        <w:t xml:space="preserve">future </w:t>
      </w:r>
      <w:r w:rsidR="00BB38A2" w:rsidRPr="00A36463">
        <w:rPr>
          <w:rFonts w:asciiTheme="minorHAnsi" w:hAnsiTheme="minorHAnsi" w:cs="Arial"/>
          <w:sz w:val="22"/>
          <w:szCs w:val="22"/>
        </w:rPr>
        <w:t xml:space="preserve">water </w:t>
      </w:r>
      <w:r w:rsidR="00D66155">
        <w:rPr>
          <w:rFonts w:asciiTheme="minorHAnsi" w:hAnsiTheme="minorHAnsi" w:cs="Arial"/>
          <w:sz w:val="22"/>
          <w:szCs w:val="22"/>
        </w:rPr>
        <w:t xml:space="preserve">rates </w:t>
      </w:r>
      <w:r w:rsidR="00BB38A2" w:rsidRPr="00A36463">
        <w:rPr>
          <w:rFonts w:asciiTheme="minorHAnsi" w:hAnsiTheme="minorHAnsi" w:cs="Arial"/>
          <w:sz w:val="22"/>
          <w:szCs w:val="22"/>
        </w:rPr>
        <w:t>write offs from tenant a</w:t>
      </w:r>
      <w:r w:rsidR="00170BF4" w:rsidRPr="00A36463">
        <w:rPr>
          <w:rFonts w:asciiTheme="minorHAnsi" w:hAnsiTheme="minorHAnsi" w:cs="Arial"/>
          <w:sz w:val="22"/>
          <w:szCs w:val="22"/>
        </w:rPr>
        <w:t>rrears</w:t>
      </w:r>
      <w:r w:rsidR="00BB38A2" w:rsidRPr="00A36463">
        <w:rPr>
          <w:rFonts w:asciiTheme="minorHAnsi" w:hAnsiTheme="minorHAnsi" w:cs="Arial"/>
          <w:sz w:val="22"/>
          <w:szCs w:val="22"/>
        </w:rPr>
        <w:t>.</w:t>
      </w:r>
    </w:p>
    <w:p w14:paraId="43B5FAF0" w14:textId="77777777" w:rsidR="00962549" w:rsidRPr="00962549" w:rsidRDefault="00962549" w:rsidP="000B5459">
      <w:pPr>
        <w:pStyle w:val="BodyTextIndent"/>
        <w:tabs>
          <w:tab w:val="clear" w:pos="2160"/>
          <w:tab w:val="clear" w:pos="7200"/>
          <w:tab w:val="clear" w:pos="7920"/>
          <w:tab w:val="left" w:pos="567"/>
        </w:tabs>
        <w:spacing w:line="216" w:lineRule="auto"/>
        <w:ind w:left="0" w:firstLine="0"/>
        <w:rPr>
          <w:rFonts w:asciiTheme="minorHAnsi" w:hAnsiTheme="minorHAnsi" w:cs="Arial"/>
          <w:sz w:val="22"/>
          <w:szCs w:val="22"/>
        </w:rPr>
      </w:pPr>
    </w:p>
    <w:p w14:paraId="376898FD" w14:textId="7A919C1E" w:rsidR="00145528" w:rsidRPr="00A55585" w:rsidRDefault="00A55585" w:rsidP="00704A70">
      <w:pPr>
        <w:pStyle w:val="Heading2"/>
      </w:pPr>
      <w:r w:rsidRPr="00A55585">
        <w:t>1</w:t>
      </w:r>
      <w:r w:rsidR="00D3279C">
        <w:t>7</w:t>
      </w:r>
      <w:r w:rsidR="00145528" w:rsidRPr="00A55585">
        <w:tab/>
        <w:t>U</w:t>
      </w:r>
      <w:r w:rsidRPr="00A55585">
        <w:t>nusable Reserves</w:t>
      </w:r>
    </w:p>
    <w:p w14:paraId="42C1E68B" w14:textId="77777777" w:rsidR="00B55397" w:rsidRDefault="00B55397" w:rsidP="00D14540">
      <w:pPr>
        <w:widowControl w:val="0"/>
        <w:tabs>
          <w:tab w:val="left" w:pos="2520"/>
          <w:tab w:val="left" w:pos="7200"/>
          <w:tab w:val="left" w:pos="8460"/>
        </w:tabs>
        <w:rPr>
          <w:rFonts w:ascii="Arial" w:hAnsi="Arial" w:cs="Arial"/>
        </w:rPr>
      </w:pPr>
    </w:p>
    <w:tbl>
      <w:tblPr>
        <w:tblW w:w="9240" w:type="dxa"/>
        <w:tblInd w:w="93" w:type="dxa"/>
        <w:tblLook w:val="04A0" w:firstRow="1" w:lastRow="0" w:firstColumn="1" w:lastColumn="0" w:noHBand="0" w:noVBand="1"/>
        <w:tblCaption w:val="Unusable Reserves"/>
        <w:tblDescription w:val="Unusable Reserves Summary as at 31 March 2023 with 31 March 2022 comparables"/>
      </w:tblPr>
      <w:tblGrid>
        <w:gridCol w:w="1680"/>
        <w:gridCol w:w="5840"/>
        <w:gridCol w:w="1720"/>
      </w:tblGrid>
      <w:tr w:rsidR="0051151D" w:rsidRPr="0051151D" w14:paraId="312F0106"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23B64B06" w14:textId="70FACB51" w:rsidR="003E08B9" w:rsidRPr="0051151D" w:rsidRDefault="0051151D" w:rsidP="004E329B">
            <w:pPr>
              <w:jc w:val="right"/>
              <w:rPr>
                <w:rFonts w:ascii="Calibri" w:hAnsi="Calibri"/>
                <w:color w:val="000000"/>
                <w:lang w:eastAsia="en-GB"/>
              </w:rPr>
            </w:pPr>
            <w:r>
              <w:rPr>
                <w:rFonts w:ascii="Calibri" w:hAnsi="Calibri"/>
                <w:color w:val="000000"/>
                <w:lang w:eastAsia="en-GB"/>
              </w:rPr>
              <w:t>31 March 20</w:t>
            </w:r>
            <w:r w:rsidR="004E329B">
              <w:rPr>
                <w:rFonts w:ascii="Calibri" w:hAnsi="Calibri"/>
                <w:color w:val="000000"/>
                <w:lang w:eastAsia="en-GB"/>
              </w:rPr>
              <w:t>2</w:t>
            </w:r>
            <w:r w:rsidR="004B0E9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noWrap/>
            <w:vAlign w:val="center"/>
            <w:hideMark/>
          </w:tcPr>
          <w:p w14:paraId="2368E791"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noWrap/>
            <w:vAlign w:val="center"/>
            <w:hideMark/>
          </w:tcPr>
          <w:p w14:paraId="0A887CF9" w14:textId="0129E1B0" w:rsidR="0051151D" w:rsidRPr="0051151D" w:rsidRDefault="0051151D" w:rsidP="004E329B">
            <w:pPr>
              <w:jc w:val="right"/>
              <w:rPr>
                <w:rFonts w:ascii="Calibri" w:hAnsi="Calibri"/>
                <w:color w:val="000000"/>
                <w:lang w:eastAsia="en-GB"/>
              </w:rPr>
            </w:pPr>
            <w:r>
              <w:rPr>
                <w:rFonts w:ascii="Calibri" w:hAnsi="Calibri"/>
                <w:color w:val="000000"/>
                <w:lang w:eastAsia="en-GB"/>
              </w:rPr>
              <w:t>31 March 20</w:t>
            </w:r>
            <w:r w:rsidR="00430B85">
              <w:rPr>
                <w:rFonts w:ascii="Calibri" w:hAnsi="Calibri"/>
                <w:color w:val="000000"/>
                <w:lang w:eastAsia="en-GB"/>
              </w:rPr>
              <w:t>2</w:t>
            </w:r>
            <w:r w:rsidR="004B0E90">
              <w:rPr>
                <w:rFonts w:ascii="Calibri" w:hAnsi="Calibri"/>
                <w:color w:val="000000"/>
                <w:lang w:eastAsia="en-GB"/>
              </w:rPr>
              <w:t>3</w:t>
            </w:r>
          </w:p>
        </w:tc>
      </w:tr>
      <w:tr w:rsidR="0051151D" w:rsidRPr="0051151D" w14:paraId="6D87CF21" w14:textId="77777777" w:rsidTr="0051151D">
        <w:trPr>
          <w:trHeight w:val="300"/>
        </w:trPr>
        <w:tc>
          <w:tcPr>
            <w:tcW w:w="1680" w:type="dxa"/>
            <w:tcBorders>
              <w:top w:val="nil"/>
              <w:left w:val="single" w:sz="4" w:space="0" w:color="FFFFFF"/>
              <w:bottom w:val="single" w:sz="4" w:space="0" w:color="FFFFFF"/>
              <w:right w:val="single" w:sz="4" w:space="0" w:color="FFFFFF"/>
            </w:tcBorders>
            <w:shd w:val="clear" w:color="000000" w:fill="B1A0C7"/>
            <w:noWrap/>
            <w:vAlign w:val="center"/>
            <w:hideMark/>
          </w:tcPr>
          <w:p w14:paraId="73470F3B"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noWrap/>
            <w:vAlign w:val="center"/>
            <w:hideMark/>
          </w:tcPr>
          <w:p w14:paraId="0820324A"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noWrap/>
            <w:vAlign w:val="center"/>
            <w:hideMark/>
          </w:tcPr>
          <w:p w14:paraId="5635EB11"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£’000</w:t>
            </w:r>
          </w:p>
        </w:tc>
      </w:tr>
      <w:tr w:rsidR="0051151D" w:rsidRPr="0051151D" w14:paraId="1C08BFAC"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0E220AAB" w14:textId="60543524" w:rsidR="0051151D" w:rsidRPr="0051151D" w:rsidRDefault="004B0E90" w:rsidP="004E329B">
            <w:pPr>
              <w:jc w:val="right"/>
              <w:rPr>
                <w:rFonts w:ascii="Calibri" w:hAnsi="Calibri"/>
                <w:color w:val="000000"/>
                <w:lang w:eastAsia="en-GB"/>
              </w:rPr>
            </w:pPr>
            <w:r>
              <w:rPr>
                <w:rFonts w:ascii="Calibri" w:hAnsi="Calibri"/>
                <w:color w:val="000000"/>
                <w:lang w:eastAsia="en-GB"/>
              </w:rPr>
              <w:t>33,645</w:t>
            </w:r>
          </w:p>
        </w:tc>
        <w:tc>
          <w:tcPr>
            <w:tcW w:w="5840" w:type="dxa"/>
            <w:tcBorders>
              <w:top w:val="nil"/>
              <w:left w:val="nil"/>
              <w:bottom w:val="single" w:sz="4" w:space="0" w:color="FFFFFF"/>
              <w:right w:val="single" w:sz="4" w:space="0" w:color="FFFFFF"/>
            </w:tcBorders>
            <w:shd w:val="clear" w:color="000000" w:fill="E4DFEC"/>
            <w:noWrap/>
            <w:vAlign w:val="center"/>
            <w:hideMark/>
          </w:tcPr>
          <w:p w14:paraId="4B000854"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Revaluation Reserve</w:t>
            </w:r>
          </w:p>
        </w:tc>
        <w:tc>
          <w:tcPr>
            <w:tcW w:w="1720" w:type="dxa"/>
            <w:tcBorders>
              <w:top w:val="nil"/>
              <w:left w:val="nil"/>
              <w:bottom w:val="single" w:sz="4" w:space="0" w:color="FFFFFF"/>
              <w:right w:val="single" w:sz="4" w:space="0" w:color="FFFFFF"/>
            </w:tcBorders>
            <w:shd w:val="clear" w:color="000000" w:fill="E4DFEC"/>
            <w:noWrap/>
            <w:vAlign w:val="center"/>
          </w:tcPr>
          <w:p w14:paraId="5B4C5FEC" w14:textId="263F0D11" w:rsidR="0051151D" w:rsidRPr="0051151D" w:rsidRDefault="00726483" w:rsidP="00474B17">
            <w:pPr>
              <w:jc w:val="right"/>
              <w:rPr>
                <w:rFonts w:ascii="Calibri" w:hAnsi="Calibri"/>
                <w:color w:val="000000"/>
                <w:lang w:eastAsia="en-GB"/>
              </w:rPr>
            </w:pPr>
            <w:r>
              <w:rPr>
                <w:rFonts w:ascii="Calibri" w:hAnsi="Calibri"/>
                <w:color w:val="000000"/>
                <w:lang w:eastAsia="en-GB"/>
              </w:rPr>
              <w:t>45,</w:t>
            </w:r>
            <w:r w:rsidR="003161BF">
              <w:rPr>
                <w:rFonts w:ascii="Calibri" w:hAnsi="Calibri"/>
                <w:color w:val="000000"/>
                <w:lang w:eastAsia="en-GB"/>
              </w:rPr>
              <w:t>5</w:t>
            </w:r>
            <w:r w:rsidR="00114CF8">
              <w:rPr>
                <w:rFonts w:ascii="Calibri" w:hAnsi="Calibri"/>
                <w:color w:val="000000"/>
                <w:lang w:eastAsia="en-GB"/>
              </w:rPr>
              <w:t>70</w:t>
            </w:r>
          </w:p>
        </w:tc>
      </w:tr>
      <w:tr w:rsidR="00122C7C" w:rsidRPr="0051151D" w14:paraId="2D1EFACD"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tcPr>
          <w:p w14:paraId="16ADE248" w14:textId="26CE14A1" w:rsidR="00122C7C" w:rsidRDefault="004B0E90" w:rsidP="0058145B">
            <w:pPr>
              <w:jc w:val="right"/>
              <w:rPr>
                <w:rFonts w:ascii="Calibri" w:hAnsi="Calibri"/>
                <w:color w:val="000000"/>
                <w:lang w:eastAsia="en-GB"/>
              </w:rPr>
            </w:pPr>
            <w:r>
              <w:rPr>
                <w:rFonts w:ascii="Calibri" w:hAnsi="Calibri"/>
                <w:color w:val="000000"/>
                <w:lang w:eastAsia="en-GB"/>
              </w:rPr>
              <w:t>212</w:t>
            </w:r>
          </w:p>
        </w:tc>
        <w:tc>
          <w:tcPr>
            <w:tcW w:w="5840" w:type="dxa"/>
            <w:tcBorders>
              <w:top w:val="nil"/>
              <w:left w:val="nil"/>
              <w:bottom w:val="single" w:sz="4" w:space="0" w:color="FFFFFF"/>
              <w:right w:val="single" w:sz="4" w:space="0" w:color="FFFFFF"/>
            </w:tcBorders>
            <w:shd w:val="clear" w:color="000000" w:fill="E4DFEC"/>
            <w:noWrap/>
            <w:vAlign w:val="center"/>
          </w:tcPr>
          <w:p w14:paraId="27CEB1DC" w14:textId="77777777" w:rsidR="00122C7C" w:rsidRPr="0051151D" w:rsidRDefault="00122C7C" w:rsidP="0051151D">
            <w:pPr>
              <w:rPr>
                <w:rFonts w:ascii="Calibri" w:hAnsi="Calibri"/>
                <w:color w:val="000000"/>
                <w:lang w:eastAsia="en-GB"/>
              </w:rPr>
            </w:pPr>
            <w:r>
              <w:rPr>
                <w:rFonts w:ascii="Calibri" w:hAnsi="Calibri"/>
                <w:color w:val="000000"/>
                <w:lang w:eastAsia="en-GB"/>
              </w:rPr>
              <w:t>Financial Instruments Revaluation Reserve</w:t>
            </w:r>
          </w:p>
        </w:tc>
        <w:tc>
          <w:tcPr>
            <w:tcW w:w="1720" w:type="dxa"/>
            <w:tcBorders>
              <w:top w:val="nil"/>
              <w:left w:val="nil"/>
              <w:bottom w:val="single" w:sz="4" w:space="0" w:color="FFFFFF"/>
              <w:right w:val="single" w:sz="4" w:space="0" w:color="FFFFFF"/>
            </w:tcBorders>
            <w:shd w:val="clear" w:color="000000" w:fill="E4DFEC"/>
            <w:noWrap/>
            <w:vAlign w:val="center"/>
          </w:tcPr>
          <w:p w14:paraId="3F8A0642" w14:textId="29D2DCBA" w:rsidR="00122C7C" w:rsidRPr="0051151D" w:rsidRDefault="00114CF8" w:rsidP="004B33C3">
            <w:pPr>
              <w:jc w:val="right"/>
              <w:rPr>
                <w:rFonts w:ascii="Calibri" w:hAnsi="Calibri"/>
                <w:color w:val="000000"/>
                <w:lang w:eastAsia="en-GB"/>
              </w:rPr>
            </w:pPr>
            <w:r>
              <w:rPr>
                <w:rFonts w:ascii="Calibri" w:hAnsi="Calibri"/>
                <w:color w:val="000000"/>
                <w:lang w:eastAsia="en-GB"/>
              </w:rPr>
              <w:t>-152</w:t>
            </w:r>
          </w:p>
        </w:tc>
      </w:tr>
      <w:tr w:rsidR="0051151D" w:rsidRPr="0051151D" w14:paraId="0FBC2D21"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188868BC" w14:textId="24C8B477" w:rsidR="0051151D" w:rsidRPr="0051151D" w:rsidRDefault="004B0E90" w:rsidP="0058145B">
            <w:pPr>
              <w:jc w:val="right"/>
              <w:rPr>
                <w:rFonts w:ascii="Calibri" w:hAnsi="Calibri"/>
                <w:color w:val="000000"/>
                <w:lang w:eastAsia="en-GB"/>
              </w:rPr>
            </w:pPr>
            <w:r>
              <w:rPr>
                <w:rFonts w:ascii="Calibri" w:hAnsi="Calibri"/>
                <w:color w:val="000000"/>
                <w:lang w:eastAsia="en-GB"/>
              </w:rPr>
              <w:t>80,973</w:t>
            </w:r>
          </w:p>
        </w:tc>
        <w:tc>
          <w:tcPr>
            <w:tcW w:w="5840" w:type="dxa"/>
            <w:tcBorders>
              <w:top w:val="nil"/>
              <w:left w:val="nil"/>
              <w:bottom w:val="single" w:sz="4" w:space="0" w:color="FFFFFF"/>
              <w:right w:val="single" w:sz="4" w:space="0" w:color="FFFFFF"/>
            </w:tcBorders>
            <w:shd w:val="clear" w:color="000000" w:fill="E4DFEC"/>
            <w:noWrap/>
            <w:vAlign w:val="center"/>
            <w:hideMark/>
          </w:tcPr>
          <w:p w14:paraId="4426BB1B"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Capital Adjustment Account</w:t>
            </w:r>
          </w:p>
        </w:tc>
        <w:tc>
          <w:tcPr>
            <w:tcW w:w="1720" w:type="dxa"/>
            <w:tcBorders>
              <w:top w:val="nil"/>
              <w:left w:val="nil"/>
              <w:bottom w:val="single" w:sz="4" w:space="0" w:color="FFFFFF"/>
              <w:right w:val="single" w:sz="4" w:space="0" w:color="FFFFFF"/>
            </w:tcBorders>
            <w:shd w:val="clear" w:color="000000" w:fill="E4DFEC"/>
            <w:noWrap/>
            <w:vAlign w:val="center"/>
          </w:tcPr>
          <w:p w14:paraId="1CE4C73D" w14:textId="28E2FB24" w:rsidR="0051151D" w:rsidRPr="0051151D" w:rsidRDefault="00726483" w:rsidP="00C81BEF">
            <w:pPr>
              <w:jc w:val="right"/>
              <w:rPr>
                <w:rFonts w:ascii="Calibri" w:hAnsi="Calibri"/>
                <w:color w:val="000000"/>
                <w:lang w:eastAsia="en-GB"/>
              </w:rPr>
            </w:pPr>
            <w:r>
              <w:rPr>
                <w:rFonts w:ascii="Calibri" w:hAnsi="Calibri"/>
                <w:color w:val="000000"/>
                <w:lang w:eastAsia="en-GB"/>
              </w:rPr>
              <w:t>8</w:t>
            </w:r>
            <w:r w:rsidR="003161BF">
              <w:rPr>
                <w:rFonts w:ascii="Calibri" w:hAnsi="Calibri"/>
                <w:color w:val="000000"/>
                <w:lang w:eastAsia="en-GB"/>
              </w:rPr>
              <w:t>2,28</w:t>
            </w:r>
            <w:r w:rsidR="00114CF8">
              <w:rPr>
                <w:rFonts w:ascii="Calibri" w:hAnsi="Calibri"/>
                <w:color w:val="000000"/>
                <w:lang w:eastAsia="en-GB"/>
              </w:rPr>
              <w:t>0</w:t>
            </w:r>
          </w:p>
        </w:tc>
      </w:tr>
      <w:tr w:rsidR="0051151D" w:rsidRPr="0051151D" w14:paraId="38B1F26F"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411C06C8"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4DFEC"/>
            <w:noWrap/>
            <w:vAlign w:val="center"/>
            <w:hideMark/>
          </w:tcPr>
          <w:p w14:paraId="6B3CFE8B"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Financial Instruments Adjustment Account</w:t>
            </w:r>
          </w:p>
        </w:tc>
        <w:tc>
          <w:tcPr>
            <w:tcW w:w="1720" w:type="dxa"/>
            <w:tcBorders>
              <w:top w:val="nil"/>
              <w:left w:val="nil"/>
              <w:bottom w:val="single" w:sz="4" w:space="0" w:color="FFFFFF"/>
              <w:right w:val="single" w:sz="4" w:space="0" w:color="FFFFFF"/>
            </w:tcBorders>
            <w:shd w:val="clear" w:color="000000" w:fill="E4DFEC"/>
            <w:noWrap/>
            <w:vAlign w:val="center"/>
          </w:tcPr>
          <w:p w14:paraId="1DFE1D2C" w14:textId="26C95B43" w:rsidR="0051151D" w:rsidRPr="0051151D" w:rsidRDefault="00114CF8" w:rsidP="008B3132">
            <w:pPr>
              <w:jc w:val="right"/>
              <w:rPr>
                <w:rFonts w:ascii="Calibri" w:hAnsi="Calibri"/>
                <w:color w:val="000000"/>
                <w:lang w:eastAsia="en-GB"/>
              </w:rPr>
            </w:pPr>
            <w:r>
              <w:rPr>
                <w:rFonts w:ascii="Calibri" w:hAnsi="Calibri"/>
                <w:color w:val="000000"/>
                <w:lang w:eastAsia="en-GB"/>
              </w:rPr>
              <w:t>0</w:t>
            </w:r>
          </w:p>
        </w:tc>
      </w:tr>
      <w:tr w:rsidR="0051151D" w:rsidRPr="0051151D" w14:paraId="2B0EC0A2"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1DAE50D0" w14:textId="3D07B3C8" w:rsidR="0051151D" w:rsidRPr="0051151D" w:rsidRDefault="0058145B" w:rsidP="004E329B">
            <w:pPr>
              <w:jc w:val="right"/>
              <w:rPr>
                <w:rFonts w:ascii="Calibri" w:hAnsi="Calibri"/>
                <w:color w:val="000000"/>
                <w:lang w:eastAsia="en-GB"/>
              </w:rPr>
            </w:pPr>
            <w:r>
              <w:rPr>
                <w:rFonts w:ascii="Calibri" w:hAnsi="Calibri"/>
                <w:color w:val="000000"/>
                <w:lang w:eastAsia="en-GB"/>
              </w:rPr>
              <w:t>7</w:t>
            </w:r>
            <w:r w:rsidR="004B0E90">
              <w:rPr>
                <w:rFonts w:ascii="Calibri" w:hAnsi="Calibri"/>
                <w:color w:val="000000"/>
                <w:lang w:eastAsia="en-GB"/>
              </w:rPr>
              <w:t>95</w:t>
            </w:r>
          </w:p>
        </w:tc>
        <w:tc>
          <w:tcPr>
            <w:tcW w:w="5840" w:type="dxa"/>
            <w:tcBorders>
              <w:top w:val="nil"/>
              <w:left w:val="nil"/>
              <w:bottom w:val="single" w:sz="4" w:space="0" w:color="FFFFFF"/>
              <w:right w:val="single" w:sz="4" w:space="0" w:color="FFFFFF"/>
            </w:tcBorders>
            <w:shd w:val="clear" w:color="000000" w:fill="E4DFEC"/>
            <w:noWrap/>
            <w:vAlign w:val="center"/>
            <w:hideMark/>
          </w:tcPr>
          <w:p w14:paraId="435EEFCA"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Deferred Capital Receipts Reserve</w:t>
            </w:r>
          </w:p>
        </w:tc>
        <w:tc>
          <w:tcPr>
            <w:tcW w:w="1720" w:type="dxa"/>
            <w:tcBorders>
              <w:top w:val="nil"/>
              <w:left w:val="nil"/>
              <w:bottom w:val="single" w:sz="4" w:space="0" w:color="FFFFFF"/>
              <w:right w:val="single" w:sz="4" w:space="0" w:color="FFFFFF"/>
            </w:tcBorders>
            <w:shd w:val="clear" w:color="000000" w:fill="E4DFEC"/>
            <w:noWrap/>
            <w:vAlign w:val="center"/>
          </w:tcPr>
          <w:p w14:paraId="2C21E303" w14:textId="6D142EF2" w:rsidR="0051151D" w:rsidRPr="0051151D" w:rsidRDefault="003161BF" w:rsidP="008B3132">
            <w:pPr>
              <w:jc w:val="right"/>
              <w:rPr>
                <w:rFonts w:ascii="Calibri" w:hAnsi="Calibri"/>
                <w:color w:val="000000"/>
                <w:lang w:eastAsia="en-GB"/>
              </w:rPr>
            </w:pPr>
            <w:r>
              <w:rPr>
                <w:rFonts w:ascii="Calibri" w:hAnsi="Calibri"/>
                <w:color w:val="000000"/>
                <w:lang w:eastAsia="en-GB"/>
              </w:rPr>
              <w:t>817</w:t>
            </w:r>
          </w:p>
        </w:tc>
      </w:tr>
      <w:tr w:rsidR="0051151D" w:rsidRPr="0051151D" w14:paraId="5954E1B6"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7000D8D2" w14:textId="4D577488" w:rsidR="0051151D" w:rsidRPr="0051151D" w:rsidRDefault="0051151D" w:rsidP="00430B85">
            <w:pPr>
              <w:jc w:val="right"/>
              <w:rPr>
                <w:rFonts w:ascii="Calibri" w:hAnsi="Calibri"/>
                <w:color w:val="000000"/>
                <w:lang w:eastAsia="en-GB"/>
              </w:rPr>
            </w:pPr>
            <w:r w:rsidRPr="0051151D">
              <w:rPr>
                <w:rFonts w:ascii="Calibri" w:hAnsi="Calibri"/>
                <w:color w:val="000000"/>
                <w:lang w:eastAsia="en-GB"/>
              </w:rPr>
              <w:t>-</w:t>
            </w:r>
            <w:r w:rsidR="00430B85">
              <w:rPr>
                <w:rFonts w:ascii="Calibri" w:hAnsi="Calibri"/>
                <w:color w:val="000000"/>
                <w:lang w:eastAsia="en-GB"/>
              </w:rPr>
              <w:t>2</w:t>
            </w:r>
            <w:r w:rsidR="004B0E90">
              <w:rPr>
                <w:rFonts w:ascii="Calibri" w:hAnsi="Calibri"/>
                <w:color w:val="000000"/>
                <w:lang w:eastAsia="en-GB"/>
              </w:rPr>
              <w:t>0,547</w:t>
            </w:r>
          </w:p>
        </w:tc>
        <w:tc>
          <w:tcPr>
            <w:tcW w:w="5840" w:type="dxa"/>
            <w:tcBorders>
              <w:top w:val="nil"/>
              <w:left w:val="nil"/>
              <w:bottom w:val="single" w:sz="4" w:space="0" w:color="FFFFFF"/>
              <w:right w:val="single" w:sz="4" w:space="0" w:color="FFFFFF"/>
            </w:tcBorders>
            <w:shd w:val="clear" w:color="000000" w:fill="E4DFEC"/>
            <w:noWrap/>
            <w:vAlign w:val="center"/>
            <w:hideMark/>
          </w:tcPr>
          <w:p w14:paraId="6B8AE58D"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Pensions Reserve</w:t>
            </w:r>
          </w:p>
        </w:tc>
        <w:tc>
          <w:tcPr>
            <w:tcW w:w="1720" w:type="dxa"/>
            <w:tcBorders>
              <w:top w:val="nil"/>
              <w:left w:val="nil"/>
              <w:bottom w:val="single" w:sz="4" w:space="0" w:color="FFFFFF"/>
              <w:right w:val="single" w:sz="4" w:space="0" w:color="FFFFFF"/>
            </w:tcBorders>
            <w:shd w:val="clear" w:color="000000" w:fill="E4DFEC"/>
            <w:noWrap/>
            <w:vAlign w:val="center"/>
          </w:tcPr>
          <w:p w14:paraId="4A953667" w14:textId="46B5CDBC" w:rsidR="0051151D" w:rsidRPr="0051151D" w:rsidRDefault="00114CF8" w:rsidP="00847423">
            <w:pPr>
              <w:jc w:val="right"/>
              <w:rPr>
                <w:rFonts w:ascii="Calibri" w:hAnsi="Calibri"/>
                <w:color w:val="000000"/>
                <w:lang w:eastAsia="en-GB"/>
              </w:rPr>
            </w:pPr>
            <w:r>
              <w:rPr>
                <w:rFonts w:ascii="Calibri" w:hAnsi="Calibri"/>
                <w:color w:val="000000"/>
                <w:lang w:eastAsia="en-GB"/>
              </w:rPr>
              <w:t>-2,251</w:t>
            </w:r>
          </w:p>
        </w:tc>
      </w:tr>
      <w:tr w:rsidR="0051151D" w:rsidRPr="0051151D" w14:paraId="06726847" w14:textId="77777777" w:rsidTr="003738A6">
        <w:trPr>
          <w:trHeight w:val="278"/>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2863EA38" w14:textId="1786F259" w:rsidR="0051151D" w:rsidRPr="0051151D" w:rsidRDefault="0058145B" w:rsidP="0058145B">
            <w:pPr>
              <w:jc w:val="right"/>
              <w:rPr>
                <w:rFonts w:ascii="Calibri" w:hAnsi="Calibri"/>
                <w:color w:val="000000"/>
                <w:lang w:eastAsia="en-GB"/>
              </w:rPr>
            </w:pPr>
            <w:r>
              <w:rPr>
                <w:rFonts w:ascii="Calibri" w:hAnsi="Calibri"/>
                <w:color w:val="000000"/>
                <w:lang w:eastAsia="en-GB"/>
              </w:rPr>
              <w:t>-</w:t>
            </w:r>
            <w:r w:rsidR="004B0E90">
              <w:rPr>
                <w:rFonts w:ascii="Calibri" w:hAnsi="Calibri"/>
                <w:color w:val="000000"/>
                <w:lang w:eastAsia="en-GB"/>
              </w:rPr>
              <w:t>317</w:t>
            </w:r>
          </w:p>
        </w:tc>
        <w:tc>
          <w:tcPr>
            <w:tcW w:w="5840" w:type="dxa"/>
            <w:tcBorders>
              <w:top w:val="nil"/>
              <w:left w:val="nil"/>
              <w:bottom w:val="single" w:sz="4" w:space="0" w:color="FFFFFF"/>
              <w:right w:val="single" w:sz="4" w:space="0" w:color="FFFFFF"/>
            </w:tcBorders>
            <w:shd w:val="clear" w:color="000000" w:fill="E4DFEC"/>
            <w:noWrap/>
            <w:vAlign w:val="center"/>
            <w:hideMark/>
          </w:tcPr>
          <w:p w14:paraId="1C1D3DCA"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Collection Fund Adjustment Account</w:t>
            </w:r>
          </w:p>
        </w:tc>
        <w:tc>
          <w:tcPr>
            <w:tcW w:w="1720" w:type="dxa"/>
            <w:tcBorders>
              <w:top w:val="nil"/>
              <w:left w:val="nil"/>
              <w:bottom w:val="single" w:sz="4" w:space="0" w:color="FFFFFF"/>
              <w:right w:val="single" w:sz="4" w:space="0" w:color="FFFFFF"/>
            </w:tcBorders>
            <w:shd w:val="clear" w:color="000000" w:fill="E4DFEC"/>
            <w:noWrap/>
            <w:vAlign w:val="center"/>
          </w:tcPr>
          <w:p w14:paraId="28D820E3" w14:textId="4F4F394C" w:rsidR="00695E60" w:rsidRPr="0051151D" w:rsidRDefault="00114CF8" w:rsidP="003738A6">
            <w:pPr>
              <w:jc w:val="right"/>
              <w:rPr>
                <w:rFonts w:ascii="Calibri" w:hAnsi="Calibri"/>
                <w:color w:val="000000"/>
                <w:lang w:eastAsia="en-GB"/>
              </w:rPr>
            </w:pPr>
            <w:r>
              <w:rPr>
                <w:rFonts w:ascii="Calibri" w:hAnsi="Calibri"/>
                <w:color w:val="000000"/>
                <w:lang w:eastAsia="en-GB"/>
              </w:rPr>
              <w:t>-1,188</w:t>
            </w:r>
          </w:p>
        </w:tc>
      </w:tr>
      <w:tr w:rsidR="0051151D" w:rsidRPr="0051151D" w14:paraId="18AA57C4"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6E172E07" w14:textId="3AE8A6A2" w:rsidR="0051151D" w:rsidRPr="0051151D" w:rsidRDefault="0051151D" w:rsidP="0058145B">
            <w:pPr>
              <w:jc w:val="right"/>
              <w:rPr>
                <w:rFonts w:ascii="Calibri" w:hAnsi="Calibri"/>
                <w:color w:val="000000"/>
                <w:lang w:eastAsia="en-GB"/>
              </w:rPr>
            </w:pPr>
            <w:r w:rsidRPr="0051151D">
              <w:rPr>
                <w:rFonts w:ascii="Calibri" w:hAnsi="Calibri"/>
                <w:color w:val="000000"/>
                <w:lang w:eastAsia="en-GB"/>
              </w:rPr>
              <w:t>-</w:t>
            </w:r>
            <w:r w:rsidR="004B0E90">
              <w:rPr>
                <w:rFonts w:ascii="Calibri" w:hAnsi="Calibri"/>
                <w:color w:val="000000"/>
                <w:lang w:eastAsia="en-GB"/>
              </w:rPr>
              <w:t>161</w:t>
            </w:r>
          </w:p>
        </w:tc>
        <w:tc>
          <w:tcPr>
            <w:tcW w:w="5840" w:type="dxa"/>
            <w:tcBorders>
              <w:top w:val="nil"/>
              <w:left w:val="nil"/>
              <w:bottom w:val="single" w:sz="4" w:space="0" w:color="FFFFFF"/>
              <w:right w:val="single" w:sz="4" w:space="0" w:color="FFFFFF"/>
            </w:tcBorders>
            <w:shd w:val="clear" w:color="000000" w:fill="E4DFEC"/>
            <w:noWrap/>
            <w:vAlign w:val="center"/>
            <w:hideMark/>
          </w:tcPr>
          <w:p w14:paraId="0A4DB244"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Accumulated Absences Account</w:t>
            </w:r>
          </w:p>
        </w:tc>
        <w:tc>
          <w:tcPr>
            <w:tcW w:w="1720" w:type="dxa"/>
            <w:tcBorders>
              <w:top w:val="nil"/>
              <w:left w:val="nil"/>
              <w:bottom w:val="single" w:sz="4" w:space="0" w:color="FFFFFF"/>
              <w:right w:val="single" w:sz="4" w:space="0" w:color="FFFFFF"/>
            </w:tcBorders>
            <w:shd w:val="clear" w:color="000000" w:fill="E4DFEC"/>
            <w:noWrap/>
            <w:vAlign w:val="center"/>
          </w:tcPr>
          <w:p w14:paraId="61BC8795" w14:textId="42417A12" w:rsidR="0051151D" w:rsidRPr="0051151D" w:rsidRDefault="00114CF8" w:rsidP="008B3132">
            <w:pPr>
              <w:jc w:val="right"/>
              <w:rPr>
                <w:rFonts w:ascii="Calibri" w:hAnsi="Calibri"/>
                <w:color w:val="000000"/>
                <w:lang w:eastAsia="en-GB"/>
              </w:rPr>
            </w:pPr>
            <w:r>
              <w:rPr>
                <w:rFonts w:ascii="Calibri" w:hAnsi="Calibri"/>
                <w:color w:val="000000"/>
                <w:lang w:eastAsia="en-GB"/>
              </w:rPr>
              <w:t>-81</w:t>
            </w:r>
          </w:p>
        </w:tc>
      </w:tr>
      <w:tr w:rsidR="0051151D" w:rsidRPr="0051151D" w14:paraId="3F725DD3" w14:textId="77777777" w:rsidTr="00920D50">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59F5BE9D" w14:textId="695DA0E4" w:rsidR="0051151D" w:rsidRPr="0051151D" w:rsidRDefault="004B0E90" w:rsidP="00474B17">
            <w:pPr>
              <w:jc w:val="right"/>
              <w:rPr>
                <w:rFonts w:ascii="Calibri" w:hAnsi="Calibri"/>
                <w:b/>
                <w:bCs/>
                <w:color w:val="000000"/>
                <w:lang w:eastAsia="en-GB"/>
              </w:rPr>
            </w:pPr>
            <w:r>
              <w:rPr>
                <w:rFonts w:ascii="Calibri" w:hAnsi="Calibri"/>
                <w:b/>
                <w:bCs/>
                <w:color w:val="000000"/>
                <w:lang w:eastAsia="en-GB"/>
              </w:rPr>
              <w:t>94,600</w:t>
            </w:r>
          </w:p>
        </w:tc>
        <w:tc>
          <w:tcPr>
            <w:tcW w:w="5840" w:type="dxa"/>
            <w:tcBorders>
              <w:top w:val="nil"/>
              <w:left w:val="nil"/>
              <w:bottom w:val="single" w:sz="4" w:space="0" w:color="FFFFFF"/>
              <w:right w:val="single" w:sz="4" w:space="0" w:color="FFFFFF"/>
            </w:tcBorders>
            <w:shd w:val="clear" w:color="000000" w:fill="CCC0DA"/>
            <w:noWrap/>
            <w:vAlign w:val="center"/>
            <w:hideMark/>
          </w:tcPr>
          <w:p w14:paraId="439E60A8" w14:textId="77777777" w:rsidR="0051151D" w:rsidRPr="0051151D" w:rsidRDefault="0051151D" w:rsidP="0051151D">
            <w:pPr>
              <w:rPr>
                <w:rFonts w:ascii="Calibri" w:hAnsi="Calibri"/>
                <w:b/>
                <w:bCs/>
                <w:color w:val="000000"/>
                <w:lang w:eastAsia="en-GB"/>
              </w:rPr>
            </w:pPr>
            <w:r w:rsidRPr="0051151D">
              <w:rPr>
                <w:rFonts w:ascii="Calibri" w:hAnsi="Calibri"/>
                <w:b/>
                <w:bCs/>
                <w:color w:val="000000"/>
                <w:lang w:eastAsia="en-GB"/>
              </w:rPr>
              <w:t>Total Unusable Reserves</w:t>
            </w:r>
          </w:p>
        </w:tc>
        <w:tc>
          <w:tcPr>
            <w:tcW w:w="1720" w:type="dxa"/>
            <w:tcBorders>
              <w:top w:val="nil"/>
              <w:left w:val="nil"/>
              <w:bottom w:val="single" w:sz="4" w:space="0" w:color="FFFFFF"/>
              <w:right w:val="single" w:sz="4" w:space="0" w:color="FFFFFF"/>
            </w:tcBorders>
            <w:shd w:val="clear" w:color="000000" w:fill="CCC0DA"/>
            <w:noWrap/>
            <w:vAlign w:val="center"/>
          </w:tcPr>
          <w:p w14:paraId="2DEEDBC8" w14:textId="24DDDD28" w:rsidR="0051151D" w:rsidRPr="0051151D" w:rsidRDefault="00114CF8" w:rsidP="00474B17">
            <w:pPr>
              <w:jc w:val="right"/>
              <w:rPr>
                <w:rFonts w:ascii="Calibri" w:hAnsi="Calibri"/>
                <w:b/>
                <w:bCs/>
                <w:color w:val="000000"/>
                <w:lang w:eastAsia="en-GB"/>
              </w:rPr>
            </w:pPr>
            <w:r>
              <w:rPr>
                <w:rFonts w:ascii="Calibri" w:hAnsi="Calibri"/>
                <w:b/>
                <w:bCs/>
                <w:color w:val="000000"/>
                <w:lang w:eastAsia="en-GB"/>
              </w:rPr>
              <w:t>124,995</w:t>
            </w:r>
          </w:p>
        </w:tc>
      </w:tr>
    </w:tbl>
    <w:p w14:paraId="21863D26" w14:textId="6E7A1EAC" w:rsidR="0051151D" w:rsidRDefault="00A84039" w:rsidP="00D14540">
      <w:pPr>
        <w:widowControl w:val="0"/>
        <w:tabs>
          <w:tab w:val="left" w:pos="2520"/>
          <w:tab w:val="left" w:pos="7200"/>
          <w:tab w:val="left" w:pos="8460"/>
        </w:tabs>
        <w:rPr>
          <w:rFonts w:ascii="Arial" w:hAnsi="Arial" w:cs="Arial"/>
        </w:rPr>
      </w:pPr>
      <w:r>
        <w:rPr>
          <w:rFonts w:ascii="Arial" w:hAnsi="Arial" w:cs="Arial"/>
        </w:rPr>
        <w:tab/>
      </w:r>
    </w:p>
    <w:p w14:paraId="35E497F2" w14:textId="77777777" w:rsidR="00145528" w:rsidRPr="0051151D" w:rsidRDefault="00905629" w:rsidP="00D14540">
      <w:pPr>
        <w:widowControl w:val="0"/>
        <w:tabs>
          <w:tab w:val="left" w:pos="2520"/>
          <w:tab w:val="left" w:pos="7200"/>
          <w:tab w:val="left" w:pos="8460"/>
        </w:tabs>
        <w:rPr>
          <w:rFonts w:asciiTheme="minorHAnsi" w:hAnsiTheme="minorHAnsi" w:cs="Arial"/>
          <w:b/>
          <w:sz w:val="24"/>
          <w:szCs w:val="24"/>
        </w:rPr>
      </w:pPr>
      <w:r w:rsidRPr="0051151D">
        <w:rPr>
          <w:rFonts w:asciiTheme="minorHAnsi" w:hAnsiTheme="minorHAnsi" w:cs="Arial"/>
          <w:b/>
          <w:sz w:val="24"/>
          <w:szCs w:val="24"/>
        </w:rPr>
        <w:t>Revaluation Reserve</w:t>
      </w:r>
    </w:p>
    <w:p w14:paraId="1DA60126" w14:textId="77777777" w:rsidR="00A9769F" w:rsidRPr="0051151D" w:rsidRDefault="00A9769F" w:rsidP="00D14540">
      <w:pPr>
        <w:widowControl w:val="0"/>
        <w:tabs>
          <w:tab w:val="left" w:pos="2520"/>
          <w:tab w:val="left" w:pos="7200"/>
          <w:tab w:val="left" w:pos="8460"/>
        </w:tabs>
        <w:rPr>
          <w:rFonts w:asciiTheme="minorHAnsi" w:hAnsiTheme="minorHAnsi" w:cs="Arial"/>
          <w:b/>
          <w:sz w:val="22"/>
          <w:szCs w:val="22"/>
        </w:rPr>
      </w:pPr>
    </w:p>
    <w:p w14:paraId="0486C74E" w14:textId="77777777" w:rsidR="00A9769F" w:rsidRPr="0051151D" w:rsidRDefault="00A9769F" w:rsidP="00811EDC">
      <w:pPr>
        <w:widowControl w:val="0"/>
        <w:tabs>
          <w:tab w:val="left" w:pos="2520"/>
          <w:tab w:val="left" w:pos="7200"/>
          <w:tab w:val="left" w:pos="8460"/>
        </w:tabs>
        <w:jc w:val="both"/>
        <w:rPr>
          <w:rFonts w:asciiTheme="minorHAnsi" w:hAnsiTheme="minorHAnsi" w:cs="Arial"/>
          <w:sz w:val="22"/>
          <w:szCs w:val="22"/>
        </w:rPr>
      </w:pPr>
      <w:r w:rsidRPr="0051151D">
        <w:rPr>
          <w:rFonts w:asciiTheme="minorHAnsi" w:hAnsiTheme="minorHAnsi" w:cs="Arial"/>
          <w:sz w:val="22"/>
          <w:szCs w:val="22"/>
        </w:rPr>
        <w:t xml:space="preserve">The revaluation reserve contains the gains made by the </w:t>
      </w:r>
      <w:r w:rsidR="008F53B2" w:rsidRPr="0051151D">
        <w:rPr>
          <w:rFonts w:asciiTheme="minorHAnsi" w:hAnsiTheme="minorHAnsi" w:cs="Arial"/>
          <w:sz w:val="22"/>
          <w:szCs w:val="22"/>
        </w:rPr>
        <w:t>Council</w:t>
      </w:r>
      <w:r w:rsidRPr="0051151D">
        <w:rPr>
          <w:rFonts w:asciiTheme="minorHAnsi" w:hAnsiTheme="minorHAnsi" w:cs="Arial"/>
          <w:sz w:val="22"/>
          <w:szCs w:val="22"/>
        </w:rPr>
        <w:t xml:space="preserve"> arising from increases in the value of its property, plant and equipment (and intangible assets).  The balance is reduced when assets with accumulated gains are:</w:t>
      </w:r>
    </w:p>
    <w:p w14:paraId="4198AD2A" w14:textId="77777777" w:rsidR="00811EDC" w:rsidRPr="0051151D" w:rsidRDefault="00811EDC" w:rsidP="00811EDC">
      <w:pPr>
        <w:widowControl w:val="0"/>
        <w:tabs>
          <w:tab w:val="left" w:pos="2520"/>
          <w:tab w:val="left" w:pos="7200"/>
          <w:tab w:val="left" w:pos="8460"/>
        </w:tabs>
        <w:jc w:val="both"/>
        <w:rPr>
          <w:rFonts w:asciiTheme="minorHAnsi" w:hAnsiTheme="minorHAnsi" w:cs="Arial"/>
          <w:sz w:val="22"/>
          <w:szCs w:val="22"/>
        </w:rPr>
      </w:pPr>
    </w:p>
    <w:p w14:paraId="1937F615" w14:textId="77777777" w:rsidR="00A9769F" w:rsidRPr="0051151D" w:rsidRDefault="00A9769F" w:rsidP="00C76AD3">
      <w:pPr>
        <w:widowControl w:val="0"/>
        <w:numPr>
          <w:ilvl w:val="0"/>
          <w:numId w:val="7"/>
        </w:numPr>
        <w:tabs>
          <w:tab w:val="left" w:pos="2520"/>
          <w:tab w:val="left" w:pos="7200"/>
          <w:tab w:val="left" w:pos="8460"/>
        </w:tabs>
        <w:jc w:val="both"/>
        <w:rPr>
          <w:rFonts w:asciiTheme="minorHAnsi" w:hAnsiTheme="minorHAnsi" w:cs="Arial"/>
          <w:sz w:val="22"/>
          <w:szCs w:val="22"/>
        </w:rPr>
      </w:pPr>
      <w:r w:rsidRPr="0051151D">
        <w:rPr>
          <w:rFonts w:asciiTheme="minorHAnsi" w:hAnsiTheme="minorHAnsi" w:cs="Arial"/>
          <w:sz w:val="22"/>
          <w:szCs w:val="22"/>
        </w:rPr>
        <w:t xml:space="preserve">Revalued downwards or impaired and the gains are </w:t>
      </w:r>
      <w:proofErr w:type="gramStart"/>
      <w:r w:rsidRPr="0051151D">
        <w:rPr>
          <w:rFonts w:asciiTheme="minorHAnsi" w:hAnsiTheme="minorHAnsi" w:cs="Arial"/>
          <w:sz w:val="22"/>
          <w:szCs w:val="22"/>
        </w:rPr>
        <w:t>lost</w:t>
      </w:r>
      <w:proofErr w:type="gramEnd"/>
    </w:p>
    <w:p w14:paraId="12E84498" w14:textId="77777777" w:rsidR="00A9769F" w:rsidRPr="0051151D" w:rsidRDefault="00A9769F" w:rsidP="00C76AD3">
      <w:pPr>
        <w:widowControl w:val="0"/>
        <w:numPr>
          <w:ilvl w:val="0"/>
          <w:numId w:val="7"/>
        </w:numPr>
        <w:tabs>
          <w:tab w:val="left" w:pos="2520"/>
          <w:tab w:val="left" w:pos="7200"/>
          <w:tab w:val="left" w:pos="8460"/>
        </w:tabs>
        <w:jc w:val="both"/>
        <w:rPr>
          <w:rFonts w:asciiTheme="minorHAnsi" w:hAnsiTheme="minorHAnsi" w:cs="Arial"/>
          <w:sz w:val="22"/>
          <w:szCs w:val="22"/>
        </w:rPr>
      </w:pPr>
      <w:r w:rsidRPr="0051151D">
        <w:rPr>
          <w:rFonts w:asciiTheme="minorHAnsi" w:hAnsiTheme="minorHAnsi" w:cs="Arial"/>
          <w:sz w:val="22"/>
          <w:szCs w:val="22"/>
        </w:rPr>
        <w:t>Used in the provision of services and the gains are consumed through depreciation, or</w:t>
      </w:r>
    </w:p>
    <w:p w14:paraId="739C4133" w14:textId="77777777" w:rsidR="00A9769F" w:rsidRPr="0051151D" w:rsidRDefault="00A9769F" w:rsidP="00C76AD3">
      <w:pPr>
        <w:widowControl w:val="0"/>
        <w:numPr>
          <w:ilvl w:val="0"/>
          <w:numId w:val="7"/>
        </w:numPr>
        <w:tabs>
          <w:tab w:val="left" w:pos="2520"/>
          <w:tab w:val="left" w:pos="7200"/>
          <w:tab w:val="left" w:pos="8460"/>
        </w:tabs>
        <w:jc w:val="both"/>
        <w:rPr>
          <w:rFonts w:asciiTheme="minorHAnsi" w:hAnsiTheme="minorHAnsi" w:cs="Arial"/>
          <w:sz w:val="22"/>
          <w:szCs w:val="22"/>
        </w:rPr>
      </w:pPr>
      <w:r w:rsidRPr="0051151D">
        <w:rPr>
          <w:rFonts w:asciiTheme="minorHAnsi" w:hAnsiTheme="minorHAnsi" w:cs="Arial"/>
          <w:sz w:val="22"/>
          <w:szCs w:val="22"/>
        </w:rPr>
        <w:t xml:space="preserve">Disposed of and the gains are </w:t>
      </w:r>
      <w:proofErr w:type="gramStart"/>
      <w:r w:rsidRPr="0051151D">
        <w:rPr>
          <w:rFonts w:asciiTheme="minorHAnsi" w:hAnsiTheme="minorHAnsi" w:cs="Arial"/>
          <w:sz w:val="22"/>
          <w:szCs w:val="22"/>
        </w:rPr>
        <w:t>realised</w:t>
      </w:r>
      <w:proofErr w:type="gramEnd"/>
    </w:p>
    <w:p w14:paraId="4C7E3464" w14:textId="19F91714" w:rsidR="00A9769F" w:rsidRDefault="00A9769F" w:rsidP="00811EDC">
      <w:pPr>
        <w:widowControl w:val="0"/>
        <w:tabs>
          <w:tab w:val="left" w:pos="2520"/>
          <w:tab w:val="left" w:pos="7200"/>
          <w:tab w:val="left" w:pos="8460"/>
        </w:tabs>
        <w:jc w:val="both"/>
        <w:rPr>
          <w:rFonts w:asciiTheme="minorHAnsi" w:hAnsiTheme="minorHAnsi" w:cs="Arial"/>
          <w:sz w:val="22"/>
          <w:szCs w:val="22"/>
        </w:rPr>
      </w:pPr>
      <w:r w:rsidRPr="0051151D">
        <w:rPr>
          <w:rFonts w:asciiTheme="minorHAnsi" w:hAnsiTheme="minorHAnsi" w:cs="Arial"/>
          <w:sz w:val="22"/>
          <w:szCs w:val="22"/>
        </w:rPr>
        <w:t>The reserve only contains revaluation gains accumulated since 1 April 2007, the date that the reserve was created.  Accumulated gains arising before that date are consolidated into the balance on the Capital Adjustment Account.</w:t>
      </w:r>
    </w:p>
    <w:p w14:paraId="03F72952" w14:textId="0D88C967" w:rsidR="00397E37" w:rsidRDefault="00397E37" w:rsidP="00811EDC">
      <w:pPr>
        <w:widowControl w:val="0"/>
        <w:tabs>
          <w:tab w:val="left" w:pos="2520"/>
          <w:tab w:val="left" w:pos="7200"/>
          <w:tab w:val="left" w:pos="8460"/>
        </w:tabs>
        <w:jc w:val="both"/>
        <w:rPr>
          <w:rFonts w:asciiTheme="minorHAnsi" w:hAnsiTheme="minorHAnsi" w:cs="Arial"/>
          <w:sz w:val="22"/>
          <w:szCs w:val="22"/>
        </w:rPr>
      </w:pPr>
    </w:p>
    <w:p w14:paraId="53A33A07" w14:textId="274B2085" w:rsidR="00397E37" w:rsidRDefault="00397E37" w:rsidP="00811EDC">
      <w:pPr>
        <w:widowControl w:val="0"/>
        <w:tabs>
          <w:tab w:val="left" w:pos="2520"/>
          <w:tab w:val="left" w:pos="7200"/>
          <w:tab w:val="left" w:pos="8460"/>
        </w:tabs>
        <w:jc w:val="both"/>
        <w:rPr>
          <w:rFonts w:asciiTheme="minorHAnsi" w:hAnsiTheme="minorHAnsi" w:cs="Arial"/>
          <w:sz w:val="22"/>
          <w:szCs w:val="22"/>
        </w:rPr>
      </w:pPr>
    </w:p>
    <w:p w14:paraId="082B537B" w14:textId="012E3BE7" w:rsidR="00602A4B" w:rsidRDefault="00602A4B" w:rsidP="00811EDC">
      <w:pPr>
        <w:widowControl w:val="0"/>
        <w:tabs>
          <w:tab w:val="left" w:pos="2520"/>
          <w:tab w:val="left" w:pos="7200"/>
          <w:tab w:val="left" w:pos="8460"/>
        </w:tabs>
        <w:jc w:val="both"/>
        <w:rPr>
          <w:rFonts w:asciiTheme="minorHAnsi" w:hAnsiTheme="minorHAnsi" w:cs="Arial"/>
          <w:sz w:val="22"/>
          <w:szCs w:val="22"/>
        </w:rPr>
      </w:pPr>
    </w:p>
    <w:p w14:paraId="65BCB274" w14:textId="13170C6C" w:rsidR="00602A4B" w:rsidRDefault="00602A4B" w:rsidP="00811EDC">
      <w:pPr>
        <w:widowControl w:val="0"/>
        <w:tabs>
          <w:tab w:val="left" w:pos="2520"/>
          <w:tab w:val="left" w:pos="7200"/>
          <w:tab w:val="left" w:pos="8460"/>
        </w:tabs>
        <w:jc w:val="both"/>
        <w:rPr>
          <w:rFonts w:asciiTheme="minorHAnsi" w:hAnsiTheme="minorHAnsi" w:cs="Arial"/>
          <w:sz w:val="22"/>
          <w:szCs w:val="22"/>
        </w:rPr>
      </w:pPr>
    </w:p>
    <w:p w14:paraId="764448F9" w14:textId="34B06C13" w:rsidR="00602A4B" w:rsidRDefault="00602A4B" w:rsidP="00811EDC">
      <w:pPr>
        <w:widowControl w:val="0"/>
        <w:tabs>
          <w:tab w:val="left" w:pos="2520"/>
          <w:tab w:val="left" w:pos="7200"/>
          <w:tab w:val="left" w:pos="8460"/>
        </w:tabs>
        <w:jc w:val="both"/>
        <w:rPr>
          <w:rFonts w:asciiTheme="minorHAnsi" w:hAnsiTheme="minorHAnsi" w:cs="Arial"/>
          <w:sz w:val="22"/>
          <w:szCs w:val="22"/>
        </w:rPr>
      </w:pPr>
    </w:p>
    <w:p w14:paraId="6F2ED2DE" w14:textId="725C70CD" w:rsidR="00602A4B" w:rsidRDefault="00602A4B" w:rsidP="00811EDC">
      <w:pPr>
        <w:widowControl w:val="0"/>
        <w:tabs>
          <w:tab w:val="left" w:pos="2520"/>
          <w:tab w:val="left" w:pos="7200"/>
          <w:tab w:val="left" w:pos="8460"/>
        </w:tabs>
        <w:jc w:val="both"/>
        <w:rPr>
          <w:rFonts w:asciiTheme="minorHAnsi" w:hAnsiTheme="minorHAnsi" w:cs="Arial"/>
          <w:sz w:val="22"/>
          <w:szCs w:val="22"/>
        </w:rPr>
      </w:pPr>
    </w:p>
    <w:p w14:paraId="5F6066E0" w14:textId="77777777" w:rsidR="00602A4B" w:rsidRDefault="00602A4B" w:rsidP="00811EDC">
      <w:pPr>
        <w:widowControl w:val="0"/>
        <w:tabs>
          <w:tab w:val="left" w:pos="2520"/>
          <w:tab w:val="left" w:pos="7200"/>
          <w:tab w:val="left" w:pos="846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Revaluation Reserve"/>
        <w:tblDescription w:val="Revaluation Reserve at 31 March 2023 with 31 March 2022 comparables"/>
      </w:tblPr>
      <w:tblGrid>
        <w:gridCol w:w="1680"/>
        <w:gridCol w:w="5840"/>
        <w:gridCol w:w="1720"/>
      </w:tblGrid>
      <w:tr w:rsidR="0051151D" w:rsidRPr="0051151D" w14:paraId="514A98B5"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2B00AAEB" w14:textId="64C7585A" w:rsidR="003E08B9" w:rsidRPr="0051151D" w:rsidRDefault="0051151D" w:rsidP="004E329B">
            <w:pPr>
              <w:jc w:val="right"/>
              <w:rPr>
                <w:rFonts w:ascii="Calibri" w:hAnsi="Calibri"/>
                <w:color w:val="000000"/>
                <w:lang w:eastAsia="en-GB"/>
              </w:rPr>
            </w:pPr>
            <w:r w:rsidRPr="0051151D">
              <w:rPr>
                <w:rFonts w:ascii="Calibri" w:hAnsi="Calibri"/>
                <w:color w:val="000000"/>
                <w:lang w:eastAsia="en-GB"/>
              </w:rPr>
              <w:lastRenderedPageBreak/>
              <w:t>20</w:t>
            </w:r>
            <w:r w:rsidR="00411B52">
              <w:rPr>
                <w:rFonts w:ascii="Calibri" w:hAnsi="Calibri"/>
                <w:color w:val="000000"/>
                <w:lang w:eastAsia="en-GB"/>
              </w:rPr>
              <w:t>2</w:t>
            </w:r>
            <w:r w:rsidR="004B0E90">
              <w:rPr>
                <w:rFonts w:ascii="Calibri" w:hAnsi="Calibri"/>
                <w:color w:val="000000"/>
                <w:lang w:eastAsia="en-GB"/>
              </w:rPr>
              <w:t>1</w:t>
            </w:r>
            <w:r w:rsidRPr="0051151D">
              <w:rPr>
                <w:rFonts w:ascii="Calibri" w:hAnsi="Calibri"/>
                <w:color w:val="000000"/>
                <w:lang w:eastAsia="en-GB"/>
              </w:rPr>
              <w:t>-</w:t>
            </w:r>
            <w:r w:rsidR="004E329B">
              <w:rPr>
                <w:rFonts w:ascii="Calibri" w:hAnsi="Calibri"/>
                <w:color w:val="000000"/>
                <w:lang w:eastAsia="en-GB"/>
              </w:rPr>
              <w:t>2</w:t>
            </w:r>
            <w:r w:rsidR="004B0E9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noWrap/>
            <w:vAlign w:val="center"/>
            <w:hideMark/>
          </w:tcPr>
          <w:p w14:paraId="53A9D2E9"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noWrap/>
            <w:vAlign w:val="center"/>
            <w:hideMark/>
          </w:tcPr>
          <w:p w14:paraId="350D10CF" w14:textId="4FEF0516" w:rsidR="0051151D" w:rsidRPr="0051151D" w:rsidRDefault="0051151D" w:rsidP="004E329B">
            <w:pPr>
              <w:jc w:val="right"/>
              <w:rPr>
                <w:rFonts w:ascii="Calibri" w:hAnsi="Calibri"/>
                <w:color w:val="000000"/>
                <w:lang w:eastAsia="en-GB"/>
              </w:rPr>
            </w:pPr>
            <w:r w:rsidRPr="0051151D">
              <w:rPr>
                <w:rFonts w:ascii="Calibri" w:hAnsi="Calibri"/>
                <w:color w:val="000000"/>
                <w:lang w:eastAsia="en-GB"/>
              </w:rPr>
              <w:t>20</w:t>
            </w:r>
            <w:r w:rsidR="004E329B">
              <w:rPr>
                <w:rFonts w:ascii="Calibri" w:hAnsi="Calibri"/>
                <w:color w:val="000000"/>
                <w:lang w:eastAsia="en-GB"/>
              </w:rPr>
              <w:t>2</w:t>
            </w:r>
            <w:r w:rsidR="004B0E90">
              <w:rPr>
                <w:rFonts w:ascii="Calibri" w:hAnsi="Calibri"/>
                <w:color w:val="000000"/>
                <w:lang w:eastAsia="en-GB"/>
              </w:rPr>
              <w:t>2</w:t>
            </w:r>
            <w:r w:rsidRPr="0051151D">
              <w:rPr>
                <w:rFonts w:ascii="Calibri" w:hAnsi="Calibri"/>
                <w:color w:val="000000"/>
                <w:lang w:eastAsia="en-GB"/>
              </w:rPr>
              <w:t>-</w:t>
            </w:r>
            <w:r w:rsidR="00430B85">
              <w:rPr>
                <w:rFonts w:ascii="Calibri" w:hAnsi="Calibri"/>
                <w:color w:val="000000"/>
                <w:lang w:eastAsia="en-GB"/>
              </w:rPr>
              <w:t>2</w:t>
            </w:r>
            <w:r w:rsidR="004B0E90">
              <w:rPr>
                <w:rFonts w:ascii="Calibri" w:hAnsi="Calibri"/>
                <w:color w:val="000000"/>
                <w:lang w:eastAsia="en-GB"/>
              </w:rPr>
              <w:t>3</w:t>
            </w:r>
          </w:p>
        </w:tc>
      </w:tr>
      <w:tr w:rsidR="0051151D" w:rsidRPr="0051151D" w14:paraId="29BF87E7" w14:textId="77777777" w:rsidTr="0051151D">
        <w:trPr>
          <w:trHeight w:val="300"/>
        </w:trPr>
        <w:tc>
          <w:tcPr>
            <w:tcW w:w="1680" w:type="dxa"/>
            <w:tcBorders>
              <w:top w:val="nil"/>
              <w:left w:val="single" w:sz="4" w:space="0" w:color="FFFFFF"/>
              <w:bottom w:val="single" w:sz="4" w:space="0" w:color="FFFFFF"/>
              <w:right w:val="single" w:sz="4" w:space="0" w:color="FFFFFF"/>
            </w:tcBorders>
            <w:shd w:val="clear" w:color="000000" w:fill="B1A0C7"/>
            <w:noWrap/>
            <w:vAlign w:val="center"/>
            <w:hideMark/>
          </w:tcPr>
          <w:p w14:paraId="35D14AD8"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noWrap/>
            <w:vAlign w:val="center"/>
            <w:hideMark/>
          </w:tcPr>
          <w:p w14:paraId="39311A4F"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noWrap/>
            <w:vAlign w:val="center"/>
            <w:hideMark/>
          </w:tcPr>
          <w:p w14:paraId="2BCB1A5F" w14:textId="77777777"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£’000</w:t>
            </w:r>
          </w:p>
        </w:tc>
      </w:tr>
      <w:tr w:rsidR="0051151D" w:rsidRPr="0051151D" w14:paraId="4609CA1C" w14:textId="77777777" w:rsidTr="0051151D">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33CD7725" w14:textId="32C5E16A" w:rsidR="0051151D" w:rsidRPr="0051151D" w:rsidRDefault="004B0E90" w:rsidP="004E329B">
            <w:pPr>
              <w:jc w:val="right"/>
              <w:rPr>
                <w:rFonts w:ascii="Calibri" w:hAnsi="Calibri"/>
                <w:b/>
                <w:bCs/>
                <w:color w:val="000000"/>
                <w:lang w:eastAsia="en-GB"/>
              </w:rPr>
            </w:pPr>
            <w:r>
              <w:rPr>
                <w:rFonts w:ascii="Calibri" w:hAnsi="Calibri"/>
                <w:b/>
                <w:bCs/>
                <w:color w:val="000000"/>
                <w:lang w:eastAsia="en-GB"/>
              </w:rPr>
              <w:t>2</w:t>
            </w:r>
            <w:r w:rsidR="00411B52">
              <w:rPr>
                <w:rFonts w:ascii="Calibri" w:hAnsi="Calibri"/>
                <w:b/>
                <w:bCs/>
                <w:color w:val="000000"/>
                <w:lang w:eastAsia="en-GB"/>
              </w:rPr>
              <w:t>6</w:t>
            </w:r>
            <w:r w:rsidR="00DE0E04">
              <w:rPr>
                <w:rFonts w:ascii="Calibri" w:hAnsi="Calibri"/>
                <w:b/>
                <w:bCs/>
                <w:color w:val="000000"/>
                <w:lang w:eastAsia="en-GB"/>
              </w:rPr>
              <w:t>,</w:t>
            </w:r>
            <w:r>
              <w:rPr>
                <w:rFonts w:ascii="Calibri" w:hAnsi="Calibri"/>
                <w:b/>
                <w:bCs/>
                <w:color w:val="000000"/>
                <w:lang w:eastAsia="en-GB"/>
              </w:rPr>
              <w:t>846</w:t>
            </w:r>
          </w:p>
        </w:tc>
        <w:tc>
          <w:tcPr>
            <w:tcW w:w="5840" w:type="dxa"/>
            <w:tcBorders>
              <w:top w:val="nil"/>
              <w:left w:val="nil"/>
              <w:bottom w:val="single" w:sz="4" w:space="0" w:color="FFFFFF"/>
              <w:right w:val="single" w:sz="4" w:space="0" w:color="FFFFFF"/>
            </w:tcBorders>
            <w:shd w:val="clear" w:color="000000" w:fill="CCC0DA"/>
            <w:noWrap/>
            <w:vAlign w:val="center"/>
            <w:hideMark/>
          </w:tcPr>
          <w:p w14:paraId="6C609231" w14:textId="77777777" w:rsidR="0051151D" w:rsidRPr="0051151D" w:rsidRDefault="0051151D" w:rsidP="0051151D">
            <w:pPr>
              <w:rPr>
                <w:rFonts w:ascii="Calibri" w:hAnsi="Calibri"/>
                <w:b/>
                <w:bCs/>
                <w:color w:val="000000"/>
                <w:lang w:eastAsia="en-GB"/>
              </w:rPr>
            </w:pPr>
            <w:r w:rsidRPr="0051151D">
              <w:rPr>
                <w:rFonts w:ascii="Calibri" w:hAnsi="Calibri"/>
                <w:b/>
                <w:bCs/>
                <w:color w:val="000000"/>
                <w:lang w:eastAsia="en-GB"/>
              </w:rPr>
              <w:t xml:space="preserve">Balance </w:t>
            </w:r>
            <w:proofErr w:type="gramStart"/>
            <w:r w:rsidRPr="0051151D">
              <w:rPr>
                <w:rFonts w:ascii="Calibri" w:hAnsi="Calibri"/>
                <w:b/>
                <w:bCs/>
                <w:color w:val="000000"/>
                <w:lang w:eastAsia="en-GB"/>
              </w:rPr>
              <w:t>at</w:t>
            </w:r>
            <w:proofErr w:type="gramEnd"/>
            <w:r w:rsidRPr="0051151D">
              <w:rPr>
                <w:rFonts w:ascii="Calibri" w:hAnsi="Calibri"/>
                <w:b/>
                <w:bCs/>
                <w:color w:val="000000"/>
                <w:lang w:eastAsia="en-GB"/>
              </w:rPr>
              <w:t xml:space="preserve"> 1 April</w:t>
            </w:r>
          </w:p>
        </w:tc>
        <w:tc>
          <w:tcPr>
            <w:tcW w:w="1720" w:type="dxa"/>
            <w:tcBorders>
              <w:top w:val="nil"/>
              <w:left w:val="nil"/>
              <w:bottom w:val="single" w:sz="4" w:space="0" w:color="FFFFFF"/>
              <w:right w:val="single" w:sz="4" w:space="0" w:color="FFFFFF"/>
            </w:tcBorders>
            <w:shd w:val="clear" w:color="000000" w:fill="CCC0DA"/>
            <w:noWrap/>
            <w:vAlign w:val="center"/>
            <w:hideMark/>
          </w:tcPr>
          <w:p w14:paraId="4FD55424" w14:textId="65C2356C" w:rsidR="0051151D" w:rsidRPr="0051151D" w:rsidRDefault="004B0E90" w:rsidP="004E329B">
            <w:pPr>
              <w:jc w:val="right"/>
              <w:rPr>
                <w:rFonts w:ascii="Calibri" w:hAnsi="Calibri"/>
                <w:b/>
                <w:bCs/>
                <w:color w:val="000000"/>
                <w:lang w:eastAsia="en-GB"/>
              </w:rPr>
            </w:pPr>
            <w:r>
              <w:rPr>
                <w:rFonts w:ascii="Calibri" w:hAnsi="Calibri"/>
                <w:b/>
                <w:bCs/>
                <w:color w:val="000000"/>
                <w:lang w:eastAsia="en-GB"/>
              </w:rPr>
              <w:t>33</w:t>
            </w:r>
            <w:r w:rsidR="00DE0E04">
              <w:rPr>
                <w:rFonts w:ascii="Calibri" w:hAnsi="Calibri"/>
                <w:b/>
                <w:bCs/>
                <w:color w:val="000000"/>
                <w:lang w:eastAsia="en-GB"/>
              </w:rPr>
              <w:t>,</w:t>
            </w:r>
            <w:r>
              <w:rPr>
                <w:rFonts w:ascii="Calibri" w:hAnsi="Calibri"/>
                <w:b/>
                <w:bCs/>
                <w:color w:val="000000"/>
                <w:lang w:eastAsia="en-GB"/>
              </w:rPr>
              <w:t>645</w:t>
            </w:r>
          </w:p>
        </w:tc>
      </w:tr>
      <w:tr w:rsidR="0051151D" w:rsidRPr="0051151D" w14:paraId="12E9CC72"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009B76A2" w14:textId="37E11B71" w:rsidR="0051151D" w:rsidRPr="0051151D" w:rsidRDefault="004B0E90" w:rsidP="0058145B">
            <w:pPr>
              <w:jc w:val="right"/>
              <w:rPr>
                <w:rFonts w:ascii="Calibri" w:hAnsi="Calibri"/>
                <w:color w:val="000000"/>
                <w:lang w:eastAsia="en-GB"/>
              </w:rPr>
            </w:pPr>
            <w:r>
              <w:rPr>
                <w:rFonts w:ascii="Calibri" w:hAnsi="Calibri"/>
                <w:color w:val="000000"/>
                <w:lang w:eastAsia="en-GB"/>
              </w:rPr>
              <w:t>8,318</w:t>
            </w:r>
          </w:p>
        </w:tc>
        <w:tc>
          <w:tcPr>
            <w:tcW w:w="5840" w:type="dxa"/>
            <w:tcBorders>
              <w:top w:val="nil"/>
              <w:left w:val="nil"/>
              <w:bottom w:val="single" w:sz="4" w:space="0" w:color="FFFFFF"/>
              <w:right w:val="single" w:sz="4" w:space="0" w:color="FFFFFF"/>
            </w:tcBorders>
            <w:shd w:val="clear" w:color="000000" w:fill="E4DFEC"/>
            <w:noWrap/>
            <w:vAlign w:val="center"/>
            <w:hideMark/>
          </w:tcPr>
          <w:p w14:paraId="6722CBE3"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Upward revaluation of Assets</w:t>
            </w:r>
          </w:p>
        </w:tc>
        <w:tc>
          <w:tcPr>
            <w:tcW w:w="1720" w:type="dxa"/>
            <w:tcBorders>
              <w:top w:val="nil"/>
              <w:left w:val="nil"/>
              <w:bottom w:val="single" w:sz="4" w:space="0" w:color="FFFFFF"/>
              <w:right w:val="single" w:sz="4" w:space="0" w:color="FFFFFF"/>
            </w:tcBorders>
            <w:shd w:val="clear" w:color="000000" w:fill="E4DFEC"/>
            <w:noWrap/>
            <w:vAlign w:val="center"/>
          </w:tcPr>
          <w:p w14:paraId="3CF4B5A8" w14:textId="1704B19E" w:rsidR="0051151D" w:rsidRPr="0051151D" w:rsidRDefault="001347B1" w:rsidP="00C20C42">
            <w:pPr>
              <w:jc w:val="right"/>
              <w:rPr>
                <w:rFonts w:ascii="Calibri" w:hAnsi="Calibri"/>
                <w:color w:val="000000"/>
                <w:lang w:eastAsia="en-GB"/>
              </w:rPr>
            </w:pPr>
            <w:r>
              <w:rPr>
                <w:rFonts w:ascii="Calibri" w:hAnsi="Calibri"/>
                <w:color w:val="000000"/>
                <w:lang w:eastAsia="en-GB"/>
              </w:rPr>
              <w:t>13,471</w:t>
            </w:r>
          </w:p>
        </w:tc>
      </w:tr>
      <w:tr w:rsidR="0051151D" w:rsidRPr="0051151D" w14:paraId="084E8645"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2E54DFCC" w14:textId="7BF2D0F1" w:rsidR="0051151D" w:rsidRPr="0051151D" w:rsidRDefault="0051151D" w:rsidP="0058145B">
            <w:pPr>
              <w:jc w:val="right"/>
              <w:rPr>
                <w:rFonts w:ascii="Calibri" w:hAnsi="Calibri"/>
                <w:color w:val="000000"/>
                <w:lang w:eastAsia="en-GB"/>
              </w:rPr>
            </w:pPr>
            <w:r w:rsidRPr="0051151D">
              <w:rPr>
                <w:rFonts w:ascii="Calibri" w:hAnsi="Calibri"/>
                <w:color w:val="000000"/>
                <w:lang w:eastAsia="en-GB"/>
              </w:rPr>
              <w:t>-</w:t>
            </w:r>
            <w:r w:rsidR="004B0E90">
              <w:rPr>
                <w:rFonts w:ascii="Calibri" w:hAnsi="Calibri"/>
                <w:color w:val="000000"/>
                <w:lang w:eastAsia="en-GB"/>
              </w:rPr>
              <w:t>340</w:t>
            </w:r>
          </w:p>
        </w:tc>
        <w:tc>
          <w:tcPr>
            <w:tcW w:w="5840" w:type="dxa"/>
            <w:tcBorders>
              <w:top w:val="nil"/>
              <w:left w:val="nil"/>
              <w:bottom w:val="single" w:sz="4" w:space="0" w:color="FFFFFF"/>
              <w:right w:val="single" w:sz="4" w:space="0" w:color="FFFFFF"/>
            </w:tcBorders>
            <w:shd w:val="clear" w:color="000000" w:fill="E4DFEC"/>
            <w:vAlign w:val="center"/>
            <w:hideMark/>
          </w:tcPr>
          <w:p w14:paraId="091A594C"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Downward revaluation of assets and impairment losses not charged to the surplus/deficit on the provision of services</w:t>
            </w:r>
          </w:p>
        </w:tc>
        <w:tc>
          <w:tcPr>
            <w:tcW w:w="1720" w:type="dxa"/>
            <w:tcBorders>
              <w:top w:val="nil"/>
              <w:left w:val="nil"/>
              <w:bottom w:val="single" w:sz="4" w:space="0" w:color="FFFFFF"/>
              <w:right w:val="single" w:sz="4" w:space="0" w:color="FFFFFF"/>
            </w:tcBorders>
            <w:shd w:val="clear" w:color="000000" w:fill="E4DFEC"/>
            <w:noWrap/>
            <w:vAlign w:val="center"/>
          </w:tcPr>
          <w:p w14:paraId="52E07753" w14:textId="43F1E5DC" w:rsidR="0051151D" w:rsidRPr="0051151D" w:rsidRDefault="001347B1" w:rsidP="005F4ADF">
            <w:pPr>
              <w:jc w:val="right"/>
              <w:rPr>
                <w:rFonts w:ascii="Calibri" w:hAnsi="Calibri"/>
                <w:color w:val="000000"/>
                <w:lang w:eastAsia="en-GB"/>
              </w:rPr>
            </w:pPr>
            <w:r>
              <w:rPr>
                <w:rFonts w:ascii="Calibri" w:hAnsi="Calibri"/>
                <w:color w:val="000000"/>
                <w:lang w:eastAsia="en-GB"/>
              </w:rPr>
              <w:t>-531</w:t>
            </w:r>
          </w:p>
        </w:tc>
      </w:tr>
      <w:tr w:rsidR="0051151D" w:rsidRPr="0051151D" w14:paraId="5F5F6156"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4781B3BF" w14:textId="5C000E1F" w:rsidR="0051151D" w:rsidRPr="0051151D" w:rsidRDefault="004B0E90" w:rsidP="004E329B">
            <w:pPr>
              <w:jc w:val="right"/>
              <w:rPr>
                <w:rFonts w:ascii="Calibri" w:hAnsi="Calibri"/>
                <w:color w:val="000000"/>
                <w:lang w:eastAsia="en-GB"/>
              </w:rPr>
            </w:pPr>
            <w:r>
              <w:rPr>
                <w:rFonts w:ascii="Calibri" w:hAnsi="Calibri"/>
                <w:color w:val="000000"/>
                <w:lang w:eastAsia="en-GB"/>
              </w:rPr>
              <w:t>7,978</w:t>
            </w:r>
          </w:p>
        </w:tc>
        <w:tc>
          <w:tcPr>
            <w:tcW w:w="5840" w:type="dxa"/>
            <w:tcBorders>
              <w:top w:val="nil"/>
              <w:left w:val="nil"/>
              <w:bottom w:val="single" w:sz="4" w:space="0" w:color="FFFFFF"/>
              <w:right w:val="single" w:sz="4" w:space="0" w:color="FFFFFF"/>
            </w:tcBorders>
            <w:shd w:val="clear" w:color="000000" w:fill="CCC0DA"/>
            <w:vAlign w:val="center"/>
            <w:hideMark/>
          </w:tcPr>
          <w:p w14:paraId="55D98672"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Surplus/deficit (-) on revaluation of non-current assets not posted to the Surplus or deficit on the Provision of Services</w:t>
            </w:r>
          </w:p>
        </w:tc>
        <w:tc>
          <w:tcPr>
            <w:tcW w:w="1720" w:type="dxa"/>
            <w:tcBorders>
              <w:top w:val="nil"/>
              <w:left w:val="nil"/>
              <w:bottom w:val="single" w:sz="4" w:space="0" w:color="FFFFFF"/>
              <w:right w:val="single" w:sz="4" w:space="0" w:color="FFFFFF"/>
            </w:tcBorders>
            <w:shd w:val="clear" w:color="000000" w:fill="CCC0DA"/>
            <w:noWrap/>
            <w:vAlign w:val="center"/>
          </w:tcPr>
          <w:p w14:paraId="15079803" w14:textId="24658005" w:rsidR="0051151D" w:rsidRPr="0051151D" w:rsidRDefault="001347B1" w:rsidP="00C20C42">
            <w:pPr>
              <w:jc w:val="right"/>
              <w:rPr>
                <w:rFonts w:ascii="Calibri" w:hAnsi="Calibri"/>
                <w:color w:val="000000"/>
                <w:lang w:eastAsia="en-GB"/>
              </w:rPr>
            </w:pPr>
            <w:r>
              <w:rPr>
                <w:rFonts w:ascii="Calibri" w:hAnsi="Calibri"/>
                <w:color w:val="000000"/>
                <w:lang w:eastAsia="en-GB"/>
              </w:rPr>
              <w:t>12,940</w:t>
            </w:r>
          </w:p>
        </w:tc>
      </w:tr>
      <w:tr w:rsidR="0051151D" w:rsidRPr="0051151D" w14:paraId="041BFACF"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69260D8F" w14:textId="7C6D09A5" w:rsidR="0051151D" w:rsidRPr="0051151D" w:rsidRDefault="0051151D" w:rsidP="0058145B">
            <w:pPr>
              <w:jc w:val="right"/>
              <w:rPr>
                <w:rFonts w:ascii="Calibri" w:hAnsi="Calibri"/>
                <w:color w:val="000000"/>
                <w:lang w:eastAsia="en-GB"/>
              </w:rPr>
            </w:pPr>
            <w:r w:rsidRPr="0051151D">
              <w:rPr>
                <w:rFonts w:ascii="Calibri" w:hAnsi="Calibri"/>
                <w:color w:val="000000"/>
                <w:lang w:eastAsia="en-GB"/>
              </w:rPr>
              <w:t>-</w:t>
            </w:r>
            <w:r w:rsidR="004B0E90">
              <w:rPr>
                <w:rFonts w:ascii="Calibri" w:hAnsi="Calibri"/>
                <w:color w:val="000000"/>
                <w:lang w:eastAsia="en-GB"/>
              </w:rPr>
              <w:t>936</w:t>
            </w:r>
          </w:p>
        </w:tc>
        <w:tc>
          <w:tcPr>
            <w:tcW w:w="5840" w:type="dxa"/>
            <w:tcBorders>
              <w:top w:val="nil"/>
              <w:left w:val="nil"/>
              <w:bottom w:val="single" w:sz="4" w:space="0" w:color="FFFFFF"/>
              <w:right w:val="single" w:sz="4" w:space="0" w:color="FFFFFF"/>
            </w:tcBorders>
            <w:shd w:val="clear" w:color="000000" w:fill="E4DFEC"/>
            <w:vAlign w:val="center"/>
            <w:hideMark/>
          </w:tcPr>
          <w:p w14:paraId="73E327AC" w14:textId="449A8D86" w:rsidR="0051151D" w:rsidRPr="0051151D" w:rsidRDefault="0051151D" w:rsidP="0051151D">
            <w:pPr>
              <w:rPr>
                <w:rFonts w:ascii="Calibri" w:hAnsi="Calibri"/>
                <w:color w:val="000000"/>
                <w:lang w:eastAsia="en-GB"/>
              </w:rPr>
            </w:pPr>
            <w:r w:rsidRPr="0051151D">
              <w:rPr>
                <w:rFonts w:ascii="Calibri" w:hAnsi="Calibri"/>
                <w:color w:val="000000"/>
                <w:lang w:eastAsia="en-GB"/>
              </w:rPr>
              <w:t xml:space="preserve">Difference between fair value depreciation </w:t>
            </w:r>
            <w:r w:rsidR="00704A70">
              <w:rPr>
                <w:rFonts w:ascii="Calibri" w:hAnsi="Calibri"/>
                <w:color w:val="000000"/>
                <w:lang w:eastAsia="en-GB"/>
              </w:rPr>
              <w:t>and</w:t>
            </w:r>
            <w:r w:rsidRPr="0051151D">
              <w:rPr>
                <w:rFonts w:ascii="Calibri" w:hAnsi="Calibri"/>
                <w:color w:val="000000"/>
                <w:lang w:eastAsia="en-GB"/>
              </w:rPr>
              <w:t xml:space="preserve"> historical cost depreciation</w:t>
            </w:r>
          </w:p>
        </w:tc>
        <w:tc>
          <w:tcPr>
            <w:tcW w:w="1720" w:type="dxa"/>
            <w:tcBorders>
              <w:top w:val="nil"/>
              <w:left w:val="nil"/>
              <w:bottom w:val="single" w:sz="4" w:space="0" w:color="FFFFFF"/>
              <w:right w:val="single" w:sz="4" w:space="0" w:color="FFFFFF"/>
            </w:tcBorders>
            <w:shd w:val="clear" w:color="000000" w:fill="E4DFEC"/>
            <w:noWrap/>
            <w:vAlign w:val="center"/>
          </w:tcPr>
          <w:p w14:paraId="6C75F3EF" w14:textId="28F471F0" w:rsidR="0051151D" w:rsidRPr="0051151D" w:rsidRDefault="001347B1" w:rsidP="00C20C42">
            <w:pPr>
              <w:jc w:val="right"/>
              <w:rPr>
                <w:rFonts w:ascii="Calibri" w:hAnsi="Calibri"/>
                <w:color w:val="000000"/>
                <w:lang w:eastAsia="en-GB"/>
              </w:rPr>
            </w:pPr>
            <w:r>
              <w:rPr>
                <w:rFonts w:ascii="Calibri" w:hAnsi="Calibri"/>
                <w:color w:val="000000"/>
                <w:lang w:eastAsia="en-GB"/>
              </w:rPr>
              <w:t>-1,13</w:t>
            </w:r>
            <w:r w:rsidR="00D875DC">
              <w:rPr>
                <w:rFonts w:ascii="Calibri" w:hAnsi="Calibri"/>
                <w:color w:val="000000"/>
                <w:lang w:eastAsia="en-GB"/>
              </w:rPr>
              <w:t>6</w:t>
            </w:r>
          </w:p>
        </w:tc>
      </w:tr>
      <w:tr w:rsidR="0051151D" w:rsidRPr="0051151D" w14:paraId="5F92F3B5"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407188BA" w14:textId="54A9B4C0" w:rsidR="0051151D" w:rsidRPr="0051151D" w:rsidRDefault="0051151D" w:rsidP="0051151D">
            <w:pPr>
              <w:jc w:val="right"/>
              <w:rPr>
                <w:rFonts w:ascii="Calibri" w:hAnsi="Calibri"/>
                <w:color w:val="000000"/>
                <w:lang w:eastAsia="en-GB"/>
              </w:rPr>
            </w:pPr>
            <w:r w:rsidRPr="0051151D">
              <w:rPr>
                <w:rFonts w:ascii="Calibri" w:hAnsi="Calibri"/>
                <w:color w:val="000000"/>
                <w:lang w:eastAsia="en-GB"/>
              </w:rPr>
              <w:t>-</w:t>
            </w:r>
            <w:r w:rsidR="00411B52">
              <w:rPr>
                <w:rFonts w:ascii="Calibri" w:hAnsi="Calibri"/>
                <w:color w:val="000000"/>
                <w:lang w:eastAsia="en-GB"/>
              </w:rPr>
              <w:t>2</w:t>
            </w:r>
            <w:r w:rsidR="004B0E90">
              <w:rPr>
                <w:rFonts w:ascii="Calibri" w:hAnsi="Calibri"/>
                <w:color w:val="000000"/>
                <w:lang w:eastAsia="en-GB"/>
              </w:rPr>
              <w:t>43</w:t>
            </w:r>
          </w:p>
        </w:tc>
        <w:tc>
          <w:tcPr>
            <w:tcW w:w="5840" w:type="dxa"/>
            <w:tcBorders>
              <w:top w:val="nil"/>
              <w:left w:val="nil"/>
              <w:bottom w:val="single" w:sz="4" w:space="0" w:color="FFFFFF"/>
              <w:right w:val="single" w:sz="4" w:space="0" w:color="FFFFFF"/>
            </w:tcBorders>
            <w:shd w:val="clear" w:color="000000" w:fill="E4DFEC"/>
            <w:vAlign w:val="center"/>
            <w:hideMark/>
          </w:tcPr>
          <w:p w14:paraId="5E9723E1" w14:textId="77777777" w:rsidR="0051151D" w:rsidRPr="0051151D" w:rsidRDefault="0051151D" w:rsidP="0051151D">
            <w:pPr>
              <w:rPr>
                <w:rFonts w:ascii="Calibri" w:hAnsi="Calibri"/>
                <w:color w:val="000000"/>
                <w:lang w:eastAsia="en-GB"/>
              </w:rPr>
            </w:pPr>
            <w:r w:rsidRPr="0051151D">
              <w:rPr>
                <w:rFonts w:ascii="Calibri" w:hAnsi="Calibri"/>
                <w:color w:val="000000"/>
                <w:lang w:eastAsia="en-GB"/>
              </w:rPr>
              <w:t>Accumulated gains on assets sold or scrapped</w:t>
            </w:r>
          </w:p>
        </w:tc>
        <w:tc>
          <w:tcPr>
            <w:tcW w:w="1720" w:type="dxa"/>
            <w:tcBorders>
              <w:top w:val="nil"/>
              <w:left w:val="nil"/>
              <w:bottom w:val="single" w:sz="4" w:space="0" w:color="FFFFFF"/>
              <w:right w:val="single" w:sz="4" w:space="0" w:color="FFFFFF"/>
            </w:tcBorders>
            <w:shd w:val="clear" w:color="000000" w:fill="E4DFEC"/>
            <w:noWrap/>
            <w:vAlign w:val="center"/>
          </w:tcPr>
          <w:p w14:paraId="6748668C" w14:textId="1BB2B983" w:rsidR="0051151D" w:rsidRPr="0051151D" w:rsidRDefault="001347B1" w:rsidP="00F27C13">
            <w:pPr>
              <w:jc w:val="right"/>
              <w:rPr>
                <w:rFonts w:ascii="Calibri" w:hAnsi="Calibri"/>
                <w:color w:val="000000"/>
                <w:lang w:eastAsia="en-GB"/>
              </w:rPr>
            </w:pPr>
            <w:r>
              <w:rPr>
                <w:rFonts w:ascii="Calibri" w:hAnsi="Calibri"/>
                <w:color w:val="000000"/>
                <w:lang w:eastAsia="en-GB"/>
              </w:rPr>
              <w:t>121</w:t>
            </w:r>
          </w:p>
        </w:tc>
      </w:tr>
      <w:tr w:rsidR="0051151D" w:rsidRPr="0051151D" w14:paraId="18F46099"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239C4158" w14:textId="33FD27F2" w:rsidR="0051151D" w:rsidRPr="0051151D" w:rsidRDefault="0051151D" w:rsidP="0051151D">
            <w:pPr>
              <w:jc w:val="right"/>
              <w:rPr>
                <w:rFonts w:ascii="Calibri" w:hAnsi="Calibri"/>
                <w:color w:val="000000"/>
                <w:lang w:eastAsia="en-GB"/>
              </w:rPr>
            </w:pPr>
            <w:r w:rsidRPr="0051151D">
              <w:rPr>
                <w:rFonts w:ascii="Calibri" w:hAnsi="Calibri"/>
                <w:bCs/>
                <w:color w:val="000000"/>
                <w:lang w:eastAsia="en-GB"/>
              </w:rPr>
              <w:t>-</w:t>
            </w:r>
            <w:r w:rsidR="004B0E90">
              <w:rPr>
                <w:rFonts w:ascii="Calibri" w:hAnsi="Calibri"/>
                <w:bCs/>
                <w:color w:val="000000"/>
                <w:lang w:eastAsia="en-GB"/>
              </w:rPr>
              <w:t>1,179</w:t>
            </w:r>
          </w:p>
        </w:tc>
        <w:tc>
          <w:tcPr>
            <w:tcW w:w="5840" w:type="dxa"/>
            <w:tcBorders>
              <w:top w:val="nil"/>
              <w:left w:val="nil"/>
              <w:bottom w:val="single" w:sz="4" w:space="0" w:color="FFFFFF"/>
              <w:right w:val="single" w:sz="4" w:space="0" w:color="FFFFFF"/>
            </w:tcBorders>
            <w:shd w:val="clear" w:color="000000" w:fill="CCC0DA"/>
            <w:noWrap/>
            <w:vAlign w:val="center"/>
            <w:hideMark/>
          </w:tcPr>
          <w:p w14:paraId="3C839799" w14:textId="77777777" w:rsidR="0051151D" w:rsidRPr="0051151D" w:rsidRDefault="0051151D" w:rsidP="0051151D">
            <w:pPr>
              <w:rPr>
                <w:rFonts w:ascii="Calibri" w:hAnsi="Calibri"/>
                <w:color w:val="000000"/>
                <w:lang w:eastAsia="en-GB"/>
              </w:rPr>
            </w:pPr>
            <w:r w:rsidRPr="0051151D">
              <w:rPr>
                <w:rFonts w:ascii="Calibri" w:hAnsi="Calibri"/>
                <w:bCs/>
                <w:color w:val="000000"/>
                <w:lang w:eastAsia="en-GB"/>
              </w:rPr>
              <w:t>Amount written off to the Capital Adjustment Account</w:t>
            </w:r>
          </w:p>
        </w:tc>
        <w:tc>
          <w:tcPr>
            <w:tcW w:w="1720" w:type="dxa"/>
            <w:tcBorders>
              <w:top w:val="nil"/>
              <w:left w:val="nil"/>
              <w:bottom w:val="single" w:sz="4" w:space="0" w:color="FFFFFF"/>
              <w:right w:val="single" w:sz="4" w:space="0" w:color="FFFFFF"/>
            </w:tcBorders>
            <w:shd w:val="clear" w:color="000000" w:fill="CCC0DA"/>
            <w:noWrap/>
            <w:vAlign w:val="center"/>
          </w:tcPr>
          <w:p w14:paraId="1F5B9F20" w14:textId="2666A75E" w:rsidR="0051151D" w:rsidRPr="0051151D" w:rsidRDefault="001347B1" w:rsidP="00C20C42">
            <w:pPr>
              <w:jc w:val="right"/>
              <w:rPr>
                <w:rFonts w:ascii="Calibri" w:hAnsi="Calibri"/>
                <w:color w:val="000000"/>
                <w:lang w:eastAsia="en-GB"/>
              </w:rPr>
            </w:pPr>
            <w:r>
              <w:rPr>
                <w:rFonts w:ascii="Calibri" w:hAnsi="Calibri"/>
                <w:color w:val="000000"/>
                <w:lang w:eastAsia="en-GB"/>
              </w:rPr>
              <w:t>-1,01</w:t>
            </w:r>
            <w:r w:rsidR="00BC561B">
              <w:rPr>
                <w:rFonts w:ascii="Calibri" w:hAnsi="Calibri"/>
                <w:color w:val="000000"/>
                <w:lang w:eastAsia="en-GB"/>
              </w:rPr>
              <w:t>5</w:t>
            </w:r>
          </w:p>
        </w:tc>
      </w:tr>
      <w:tr w:rsidR="0051151D" w:rsidRPr="0051151D" w14:paraId="104D231C"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722A9C7B" w14:textId="716D1A04" w:rsidR="0051151D" w:rsidRPr="0051151D" w:rsidRDefault="004B0E90" w:rsidP="00F27C13">
            <w:pPr>
              <w:jc w:val="right"/>
              <w:rPr>
                <w:rFonts w:ascii="Calibri" w:hAnsi="Calibri"/>
                <w:b/>
                <w:bCs/>
                <w:color w:val="000000"/>
                <w:lang w:eastAsia="en-GB"/>
              </w:rPr>
            </w:pPr>
            <w:r>
              <w:rPr>
                <w:rFonts w:ascii="Calibri" w:hAnsi="Calibri"/>
                <w:b/>
                <w:bCs/>
                <w:color w:val="000000"/>
                <w:lang w:eastAsia="en-GB"/>
              </w:rPr>
              <w:t>33,645</w:t>
            </w:r>
          </w:p>
        </w:tc>
        <w:tc>
          <w:tcPr>
            <w:tcW w:w="5840" w:type="dxa"/>
            <w:tcBorders>
              <w:top w:val="nil"/>
              <w:left w:val="nil"/>
              <w:bottom w:val="single" w:sz="4" w:space="0" w:color="FFFFFF"/>
              <w:right w:val="single" w:sz="4" w:space="0" w:color="FFFFFF"/>
            </w:tcBorders>
            <w:shd w:val="clear" w:color="000000" w:fill="CCC0DA"/>
            <w:noWrap/>
            <w:vAlign w:val="center"/>
            <w:hideMark/>
          </w:tcPr>
          <w:p w14:paraId="67C1FEC9" w14:textId="77777777" w:rsidR="0051151D" w:rsidRPr="0051151D" w:rsidRDefault="0051151D" w:rsidP="0051151D">
            <w:pPr>
              <w:rPr>
                <w:rFonts w:ascii="Calibri" w:hAnsi="Calibri"/>
                <w:b/>
                <w:bCs/>
                <w:color w:val="000000"/>
                <w:lang w:eastAsia="en-GB"/>
              </w:rPr>
            </w:pPr>
            <w:r w:rsidRPr="0051151D">
              <w:rPr>
                <w:rFonts w:ascii="Calibri" w:hAnsi="Calibri"/>
                <w:b/>
                <w:bCs/>
                <w:color w:val="000000"/>
                <w:lang w:eastAsia="en-GB"/>
              </w:rPr>
              <w:t xml:space="preserve">Balance </w:t>
            </w:r>
            <w:proofErr w:type="gramStart"/>
            <w:r w:rsidRPr="0051151D">
              <w:rPr>
                <w:rFonts w:ascii="Calibri" w:hAnsi="Calibri"/>
                <w:b/>
                <w:bCs/>
                <w:color w:val="000000"/>
                <w:lang w:eastAsia="en-GB"/>
              </w:rPr>
              <w:t>at</w:t>
            </w:r>
            <w:proofErr w:type="gramEnd"/>
            <w:r w:rsidRPr="0051151D">
              <w:rPr>
                <w:rFonts w:ascii="Calibri" w:hAnsi="Calibri"/>
                <w:b/>
                <w:bCs/>
                <w:color w:val="000000"/>
                <w:lang w:eastAsia="en-GB"/>
              </w:rPr>
              <w:t xml:space="preserve"> 31 March</w:t>
            </w:r>
          </w:p>
        </w:tc>
        <w:tc>
          <w:tcPr>
            <w:tcW w:w="1720" w:type="dxa"/>
            <w:tcBorders>
              <w:top w:val="nil"/>
              <w:left w:val="nil"/>
              <w:bottom w:val="single" w:sz="4" w:space="0" w:color="FFFFFF"/>
              <w:right w:val="single" w:sz="4" w:space="0" w:color="FFFFFF"/>
            </w:tcBorders>
            <w:shd w:val="clear" w:color="000000" w:fill="CCC0DA"/>
            <w:noWrap/>
            <w:vAlign w:val="center"/>
          </w:tcPr>
          <w:p w14:paraId="185858A3" w14:textId="4BFC0E3B" w:rsidR="0051151D" w:rsidRPr="0051151D" w:rsidRDefault="001347B1" w:rsidP="00122CA2">
            <w:pPr>
              <w:jc w:val="right"/>
              <w:rPr>
                <w:rFonts w:ascii="Calibri" w:hAnsi="Calibri"/>
                <w:b/>
                <w:bCs/>
                <w:color w:val="000000"/>
                <w:lang w:eastAsia="en-GB"/>
              </w:rPr>
            </w:pPr>
            <w:r>
              <w:rPr>
                <w:rFonts w:ascii="Calibri" w:hAnsi="Calibri"/>
                <w:b/>
                <w:bCs/>
                <w:color w:val="000000"/>
                <w:lang w:eastAsia="en-GB"/>
              </w:rPr>
              <w:t>45,5</w:t>
            </w:r>
            <w:r w:rsidR="00BC561B">
              <w:rPr>
                <w:rFonts w:ascii="Calibri" w:hAnsi="Calibri"/>
                <w:b/>
                <w:bCs/>
                <w:color w:val="000000"/>
                <w:lang w:eastAsia="en-GB"/>
              </w:rPr>
              <w:t>70</w:t>
            </w:r>
          </w:p>
        </w:tc>
      </w:tr>
    </w:tbl>
    <w:p w14:paraId="7A489DFE" w14:textId="77777777" w:rsidR="006A5462" w:rsidRDefault="006A5462" w:rsidP="00D14540">
      <w:pPr>
        <w:widowControl w:val="0"/>
        <w:tabs>
          <w:tab w:val="left" w:pos="2520"/>
          <w:tab w:val="left" w:pos="7200"/>
          <w:tab w:val="left" w:pos="8460"/>
        </w:tabs>
        <w:rPr>
          <w:rFonts w:asciiTheme="minorHAnsi" w:hAnsiTheme="minorHAnsi" w:cs="Arial"/>
          <w:b/>
          <w:sz w:val="24"/>
          <w:szCs w:val="24"/>
        </w:rPr>
      </w:pPr>
    </w:p>
    <w:p w14:paraId="4EE21BA6" w14:textId="77777777" w:rsidR="00122C7C" w:rsidRDefault="00122C7C" w:rsidP="00122C7C">
      <w:pPr>
        <w:widowControl w:val="0"/>
        <w:tabs>
          <w:tab w:val="left" w:pos="2520"/>
          <w:tab w:val="left" w:pos="7200"/>
          <w:tab w:val="left" w:pos="8460"/>
        </w:tabs>
        <w:rPr>
          <w:rFonts w:asciiTheme="minorHAnsi" w:hAnsiTheme="minorHAnsi" w:cs="Arial"/>
          <w:b/>
          <w:sz w:val="24"/>
          <w:szCs w:val="24"/>
        </w:rPr>
      </w:pPr>
      <w:r>
        <w:rPr>
          <w:rFonts w:asciiTheme="minorHAnsi" w:hAnsiTheme="minorHAnsi" w:cs="Arial"/>
          <w:b/>
          <w:sz w:val="24"/>
          <w:szCs w:val="24"/>
        </w:rPr>
        <w:t>Financial Instruments Revaluation Reserve</w:t>
      </w:r>
      <w:r w:rsidR="006465C8">
        <w:rPr>
          <w:rFonts w:asciiTheme="minorHAnsi" w:hAnsiTheme="minorHAnsi" w:cs="Arial"/>
          <w:b/>
          <w:sz w:val="24"/>
          <w:szCs w:val="24"/>
        </w:rPr>
        <w:t xml:space="preserve"> </w:t>
      </w:r>
    </w:p>
    <w:p w14:paraId="534B8B3E" w14:textId="77777777" w:rsidR="00122C7C" w:rsidRDefault="00122C7C" w:rsidP="00122C7C">
      <w:pPr>
        <w:widowControl w:val="0"/>
        <w:tabs>
          <w:tab w:val="left" w:pos="2520"/>
          <w:tab w:val="left" w:pos="7200"/>
          <w:tab w:val="left" w:pos="8460"/>
        </w:tabs>
        <w:rPr>
          <w:rFonts w:asciiTheme="minorHAnsi" w:hAnsiTheme="minorHAnsi" w:cs="Arial"/>
          <w:b/>
          <w:sz w:val="24"/>
          <w:szCs w:val="24"/>
        </w:rPr>
      </w:pPr>
    </w:p>
    <w:p w14:paraId="14299E7F" w14:textId="77777777" w:rsidR="00122C7C" w:rsidRDefault="00122C7C" w:rsidP="0029188A">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The Financial Instruments Revaluation Reserve contains the gains made by the Council arising from increases in the value of its investments that are measured at fair value through other </w:t>
      </w:r>
      <w:r w:rsidR="00EA202B">
        <w:rPr>
          <w:rFonts w:asciiTheme="minorHAnsi" w:hAnsiTheme="minorHAnsi" w:cs="Arial"/>
          <w:sz w:val="22"/>
          <w:szCs w:val="22"/>
        </w:rPr>
        <w:t>operating expenditure</w:t>
      </w:r>
      <w:r>
        <w:rPr>
          <w:rFonts w:asciiTheme="minorHAnsi" w:hAnsiTheme="minorHAnsi" w:cs="Arial"/>
          <w:sz w:val="22"/>
          <w:szCs w:val="22"/>
        </w:rPr>
        <w:t>.   The balance is reduced when investments with accumulated gains are:</w:t>
      </w:r>
    </w:p>
    <w:p w14:paraId="1BB220DE" w14:textId="77777777" w:rsidR="00122C7C" w:rsidRDefault="00122C7C" w:rsidP="00C76AD3">
      <w:pPr>
        <w:pStyle w:val="ListParagraph"/>
        <w:widowControl w:val="0"/>
        <w:numPr>
          <w:ilvl w:val="0"/>
          <w:numId w:val="36"/>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Revalued downwards or impaired and the gains are </w:t>
      </w:r>
      <w:proofErr w:type="gramStart"/>
      <w:r>
        <w:rPr>
          <w:rFonts w:asciiTheme="minorHAnsi" w:hAnsiTheme="minorHAnsi" w:cs="Arial"/>
          <w:sz w:val="22"/>
          <w:szCs w:val="22"/>
        </w:rPr>
        <w:t>lost</w:t>
      </w:r>
      <w:proofErr w:type="gramEnd"/>
    </w:p>
    <w:p w14:paraId="1BA39701" w14:textId="77777777" w:rsidR="00122C7C" w:rsidRDefault="00122C7C" w:rsidP="00C76AD3">
      <w:pPr>
        <w:pStyle w:val="ListParagraph"/>
        <w:widowControl w:val="0"/>
        <w:numPr>
          <w:ilvl w:val="0"/>
          <w:numId w:val="36"/>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Disposed of and the gains are </w:t>
      </w:r>
      <w:proofErr w:type="gramStart"/>
      <w:r>
        <w:rPr>
          <w:rFonts w:asciiTheme="minorHAnsi" w:hAnsiTheme="minorHAnsi" w:cs="Arial"/>
          <w:sz w:val="22"/>
          <w:szCs w:val="22"/>
        </w:rPr>
        <w:t>realised</w:t>
      </w:r>
      <w:proofErr w:type="gramEnd"/>
      <w:r>
        <w:rPr>
          <w:rFonts w:asciiTheme="minorHAnsi" w:hAnsiTheme="minorHAnsi" w:cs="Arial"/>
          <w:sz w:val="22"/>
          <w:szCs w:val="22"/>
        </w:rPr>
        <w:t xml:space="preserve"> </w:t>
      </w:r>
    </w:p>
    <w:tbl>
      <w:tblPr>
        <w:tblW w:w="9345" w:type="dxa"/>
        <w:tblInd w:w="93" w:type="dxa"/>
        <w:tblLook w:val="04A0" w:firstRow="1" w:lastRow="0" w:firstColumn="1" w:lastColumn="0" w:noHBand="0" w:noVBand="1"/>
        <w:tblCaption w:val="Financial Instruments Revaluation Reserve"/>
        <w:tblDescription w:val="Financial Instruments Revaluation Reserve as at 31 March 2023 with 31 March 2022 for comparatives"/>
      </w:tblPr>
      <w:tblGrid>
        <w:gridCol w:w="960"/>
        <w:gridCol w:w="7420"/>
        <w:gridCol w:w="965"/>
      </w:tblGrid>
      <w:tr w:rsidR="00D71D9C" w:rsidRPr="006A5462" w14:paraId="7A5669A3" w14:textId="77777777" w:rsidTr="00430B85">
        <w:trPr>
          <w:trHeight w:val="300"/>
        </w:trPr>
        <w:tc>
          <w:tcPr>
            <w:tcW w:w="9345" w:type="dxa"/>
            <w:gridSpan w:val="3"/>
            <w:tcBorders>
              <w:top w:val="nil"/>
              <w:left w:val="nil"/>
              <w:right w:val="single" w:sz="4" w:space="0" w:color="FFFFFF"/>
            </w:tcBorders>
            <w:shd w:val="clear" w:color="auto" w:fill="auto"/>
            <w:noWrap/>
            <w:vAlign w:val="bottom"/>
          </w:tcPr>
          <w:p w14:paraId="6DE4B73C" w14:textId="213F31DE" w:rsidR="00A13F58" w:rsidRPr="00D71D9C" w:rsidRDefault="00A13F58" w:rsidP="00A13F58">
            <w:pPr>
              <w:ind w:left="-90"/>
              <w:rPr>
                <w:rFonts w:ascii="Calibri" w:hAnsi="Calibri"/>
                <w:b/>
                <w:color w:val="000000"/>
                <w:sz w:val="22"/>
                <w:szCs w:val="22"/>
                <w:lang w:eastAsia="en-GB"/>
              </w:rPr>
            </w:pPr>
          </w:p>
        </w:tc>
      </w:tr>
      <w:tr w:rsidR="00A13F58" w:rsidRPr="00430B85" w14:paraId="7868BFBB" w14:textId="77777777" w:rsidTr="00F367A2">
        <w:trPr>
          <w:cantSplit/>
          <w:trHeight w:val="315"/>
        </w:trPr>
        <w:tc>
          <w:tcPr>
            <w:tcW w:w="960" w:type="dxa"/>
            <w:tcBorders>
              <w:top w:val="nil"/>
              <w:left w:val="single" w:sz="8" w:space="0" w:color="FFFFFF"/>
              <w:bottom w:val="single" w:sz="8" w:space="0" w:color="FFFFFF"/>
              <w:right w:val="single" w:sz="8" w:space="0" w:color="FFFFFF"/>
            </w:tcBorders>
            <w:shd w:val="clear" w:color="auto" w:fill="B2A1C7" w:themeFill="accent4" w:themeFillTint="99"/>
            <w:noWrap/>
            <w:vAlign w:val="bottom"/>
          </w:tcPr>
          <w:p w14:paraId="574F311B" w14:textId="70AD11E3" w:rsidR="00A13F58" w:rsidRDefault="00A13F58" w:rsidP="000D5645">
            <w:pPr>
              <w:jc w:val="right"/>
              <w:rPr>
                <w:rFonts w:ascii="Calibri" w:hAnsi="Calibri" w:cs="Calibri"/>
                <w:color w:val="000000"/>
                <w:lang w:eastAsia="en-GB"/>
              </w:rPr>
            </w:pPr>
            <w:r>
              <w:rPr>
                <w:rFonts w:ascii="Calibri" w:hAnsi="Calibri" w:cs="Calibri"/>
                <w:color w:val="000000"/>
                <w:lang w:eastAsia="en-GB"/>
              </w:rPr>
              <w:t>20</w:t>
            </w:r>
            <w:r w:rsidR="00411B52">
              <w:rPr>
                <w:rFonts w:ascii="Calibri" w:hAnsi="Calibri" w:cs="Calibri"/>
                <w:color w:val="000000"/>
                <w:lang w:eastAsia="en-GB"/>
              </w:rPr>
              <w:t>2</w:t>
            </w:r>
            <w:r w:rsidR="004B0E90">
              <w:rPr>
                <w:rFonts w:ascii="Calibri" w:hAnsi="Calibri" w:cs="Calibri"/>
                <w:color w:val="000000"/>
                <w:lang w:eastAsia="en-GB"/>
              </w:rPr>
              <w:t>1</w:t>
            </w:r>
            <w:r>
              <w:rPr>
                <w:rFonts w:ascii="Calibri" w:hAnsi="Calibri" w:cs="Calibri"/>
                <w:color w:val="000000"/>
                <w:lang w:eastAsia="en-GB"/>
              </w:rPr>
              <w:t>-2</w:t>
            </w:r>
            <w:r w:rsidR="004B0E90">
              <w:rPr>
                <w:rFonts w:ascii="Calibri" w:hAnsi="Calibri" w:cs="Calibri"/>
                <w:color w:val="000000"/>
                <w:lang w:eastAsia="en-GB"/>
              </w:rPr>
              <w:t>2</w:t>
            </w:r>
          </w:p>
        </w:tc>
        <w:tc>
          <w:tcPr>
            <w:tcW w:w="7420" w:type="dxa"/>
            <w:tcBorders>
              <w:top w:val="single" w:sz="8" w:space="0" w:color="FFFFFF"/>
              <w:left w:val="nil"/>
              <w:right w:val="single" w:sz="8" w:space="0" w:color="FFFFFF"/>
            </w:tcBorders>
            <w:shd w:val="clear" w:color="auto" w:fill="B2A1C7" w:themeFill="accent4" w:themeFillTint="99"/>
            <w:noWrap/>
            <w:vAlign w:val="center"/>
          </w:tcPr>
          <w:p w14:paraId="141BC41C" w14:textId="77777777" w:rsidR="00A13F58" w:rsidRPr="00430B85" w:rsidRDefault="00A13F58" w:rsidP="00430B85">
            <w:pPr>
              <w:rPr>
                <w:rFonts w:ascii="Calibri" w:hAnsi="Calibri" w:cs="Calibri"/>
                <w:color w:val="000000"/>
                <w:lang w:eastAsia="en-GB"/>
              </w:rPr>
            </w:pPr>
          </w:p>
        </w:tc>
        <w:tc>
          <w:tcPr>
            <w:tcW w:w="965" w:type="dxa"/>
            <w:tcBorders>
              <w:top w:val="nil"/>
              <w:left w:val="nil"/>
              <w:bottom w:val="single" w:sz="8" w:space="0" w:color="FFFFFF"/>
              <w:right w:val="nil"/>
            </w:tcBorders>
            <w:shd w:val="clear" w:color="auto" w:fill="B2A1C7" w:themeFill="accent4" w:themeFillTint="99"/>
            <w:noWrap/>
            <w:vAlign w:val="center"/>
          </w:tcPr>
          <w:p w14:paraId="083F1DD9" w14:textId="6F569D4E" w:rsidR="00A13F58" w:rsidRDefault="00A13F58" w:rsidP="00CB36ED">
            <w:pPr>
              <w:jc w:val="right"/>
              <w:rPr>
                <w:rFonts w:ascii="Calibri" w:hAnsi="Calibri" w:cs="Calibri"/>
                <w:color w:val="000000"/>
                <w:lang w:eastAsia="en-GB"/>
              </w:rPr>
            </w:pPr>
            <w:r>
              <w:rPr>
                <w:rFonts w:ascii="Calibri" w:hAnsi="Calibri" w:cs="Calibri"/>
                <w:color w:val="000000"/>
                <w:lang w:eastAsia="en-GB"/>
              </w:rPr>
              <w:t>202</w:t>
            </w:r>
            <w:r w:rsidR="004B0E90">
              <w:rPr>
                <w:rFonts w:ascii="Calibri" w:hAnsi="Calibri" w:cs="Calibri"/>
                <w:color w:val="000000"/>
                <w:lang w:eastAsia="en-GB"/>
              </w:rPr>
              <w:t>2</w:t>
            </w:r>
            <w:r>
              <w:rPr>
                <w:rFonts w:ascii="Calibri" w:hAnsi="Calibri" w:cs="Calibri"/>
                <w:color w:val="000000"/>
                <w:lang w:eastAsia="en-GB"/>
              </w:rPr>
              <w:t>-2</w:t>
            </w:r>
            <w:r w:rsidR="004B0E90">
              <w:rPr>
                <w:rFonts w:ascii="Calibri" w:hAnsi="Calibri" w:cs="Calibri"/>
                <w:color w:val="000000"/>
                <w:lang w:eastAsia="en-GB"/>
              </w:rPr>
              <w:t>3</w:t>
            </w:r>
          </w:p>
        </w:tc>
      </w:tr>
      <w:tr w:rsidR="00A13F58" w:rsidRPr="00430B85" w14:paraId="4EC087C3" w14:textId="77777777" w:rsidTr="00A13F58">
        <w:trPr>
          <w:trHeight w:val="315"/>
        </w:trPr>
        <w:tc>
          <w:tcPr>
            <w:tcW w:w="960" w:type="dxa"/>
            <w:tcBorders>
              <w:top w:val="nil"/>
              <w:left w:val="single" w:sz="8" w:space="0" w:color="FFFFFF"/>
              <w:bottom w:val="single" w:sz="8" w:space="0" w:color="FFFFFF"/>
              <w:right w:val="single" w:sz="8" w:space="0" w:color="FFFFFF"/>
            </w:tcBorders>
            <w:shd w:val="clear" w:color="auto" w:fill="B2A1C7" w:themeFill="accent4" w:themeFillTint="99"/>
            <w:noWrap/>
            <w:vAlign w:val="bottom"/>
          </w:tcPr>
          <w:p w14:paraId="2614AAFA" w14:textId="473783C3" w:rsidR="00A13F58" w:rsidRDefault="00A13F58" w:rsidP="000D5645">
            <w:pPr>
              <w:jc w:val="right"/>
              <w:rPr>
                <w:rFonts w:ascii="Calibri" w:hAnsi="Calibri" w:cs="Calibri"/>
                <w:color w:val="000000"/>
                <w:lang w:eastAsia="en-GB"/>
              </w:rPr>
            </w:pPr>
            <w:r>
              <w:rPr>
                <w:rFonts w:ascii="Calibri" w:hAnsi="Calibri" w:cs="Calibri"/>
                <w:color w:val="000000"/>
                <w:lang w:eastAsia="en-GB"/>
              </w:rPr>
              <w:t>£’000</w:t>
            </w:r>
          </w:p>
        </w:tc>
        <w:tc>
          <w:tcPr>
            <w:tcW w:w="7420" w:type="dxa"/>
            <w:tcBorders>
              <w:left w:val="nil"/>
              <w:bottom w:val="single" w:sz="8" w:space="0" w:color="FFFFFF"/>
              <w:right w:val="single" w:sz="8" w:space="0" w:color="FFFFFF"/>
            </w:tcBorders>
            <w:shd w:val="clear" w:color="auto" w:fill="B2A1C7" w:themeFill="accent4" w:themeFillTint="99"/>
            <w:noWrap/>
            <w:vAlign w:val="center"/>
          </w:tcPr>
          <w:p w14:paraId="01EFFEA8" w14:textId="77777777" w:rsidR="00A13F58" w:rsidRPr="00430B85" w:rsidRDefault="00A13F58" w:rsidP="00430B85">
            <w:pPr>
              <w:rPr>
                <w:rFonts w:ascii="Calibri" w:hAnsi="Calibri" w:cs="Calibri"/>
                <w:color w:val="000000"/>
                <w:lang w:eastAsia="en-GB"/>
              </w:rPr>
            </w:pPr>
          </w:p>
        </w:tc>
        <w:tc>
          <w:tcPr>
            <w:tcW w:w="965" w:type="dxa"/>
            <w:tcBorders>
              <w:top w:val="nil"/>
              <w:left w:val="nil"/>
              <w:bottom w:val="single" w:sz="8" w:space="0" w:color="FFFFFF"/>
              <w:right w:val="nil"/>
            </w:tcBorders>
            <w:shd w:val="clear" w:color="auto" w:fill="B2A1C7" w:themeFill="accent4" w:themeFillTint="99"/>
            <w:noWrap/>
            <w:vAlign w:val="center"/>
          </w:tcPr>
          <w:p w14:paraId="6F093198" w14:textId="32945318" w:rsidR="00A13F58" w:rsidRDefault="00A13F58" w:rsidP="00CB36ED">
            <w:pPr>
              <w:jc w:val="right"/>
              <w:rPr>
                <w:rFonts w:ascii="Calibri" w:hAnsi="Calibri" w:cs="Calibri"/>
                <w:color w:val="000000"/>
                <w:lang w:eastAsia="en-GB"/>
              </w:rPr>
            </w:pPr>
            <w:r>
              <w:rPr>
                <w:rFonts w:ascii="Calibri" w:hAnsi="Calibri" w:cs="Calibri"/>
                <w:color w:val="000000"/>
                <w:lang w:eastAsia="en-GB"/>
              </w:rPr>
              <w:t>£’000</w:t>
            </w:r>
          </w:p>
        </w:tc>
      </w:tr>
      <w:tr w:rsidR="00430B85" w:rsidRPr="00430B85" w14:paraId="5BB2D748" w14:textId="77777777" w:rsidTr="00CB36ED">
        <w:trPr>
          <w:trHeight w:val="315"/>
        </w:trPr>
        <w:tc>
          <w:tcPr>
            <w:tcW w:w="960" w:type="dxa"/>
            <w:tcBorders>
              <w:top w:val="nil"/>
              <w:left w:val="single" w:sz="8" w:space="0" w:color="FFFFFF"/>
              <w:bottom w:val="single" w:sz="8" w:space="0" w:color="FFFFFF"/>
              <w:right w:val="single" w:sz="8" w:space="0" w:color="FFFFFF"/>
            </w:tcBorders>
            <w:shd w:val="clear" w:color="auto" w:fill="CCC0D9" w:themeFill="accent4" w:themeFillTint="66"/>
            <w:noWrap/>
            <w:vAlign w:val="bottom"/>
            <w:hideMark/>
          </w:tcPr>
          <w:p w14:paraId="683C8EA0" w14:textId="1DD886E6" w:rsidR="00430B85" w:rsidRPr="00430B85" w:rsidRDefault="000D5645" w:rsidP="000D5645">
            <w:pPr>
              <w:jc w:val="right"/>
              <w:rPr>
                <w:rFonts w:ascii="Calibri" w:hAnsi="Calibri" w:cs="Calibri"/>
                <w:color w:val="000000"/>
                <w:lang w:eastAsia="en-GB"/>
              </w:rPr>
            </w:pPr>
            <w:r>
              <w:rPr>
                <w:rFonts w:ascii="Calibri" w:hAnsi="Calibri" w:cs="Calibri"/>
                <w:color w:val="000000"/>
                <w:lang w:eastAsia="en-GB"/>
              </w:rPr>
              <w:t>-</w:t>
            </w:r>
            <w:r w:rsidR="004B0E90">
              <w:rPr>
                <w:rFonts w:ascii="Calibri" w:hAnsi="Calibri" w:cs="Calibri"/>
                <w:color w:val="000000"/>
                <w:lang w:eastAsia="en-GB"/>
              </w:rPr>
              <w:t>118</w:t>
            </w:r>
          </w:p>
        </w:tc>
        <w:tc>
          <w:tcPr>
            <w:tcW w:w="7420" w:type="dxa"/>
            <w:tcBorders>
              <w:top w:val="single" w:sz="8" w:space="0" w:color="FFFFFF"/>
              <w:left w:val="nil"/>
              <w:bottom w:val="single" w:sz="8" w:space="0" w:color="FFFFFF"/>
              <w:right w:val="single" w:sz="8" w:space="0" w:color="FFFFFF"/>
            </w:tcBorders>
            <w:shd w:val="clear" w:color="auto" w:fill="CCC0D9" w:themeFill="accent4" w:themeFillTint="66"/>
            <w:noWrap/>
            <w:vAlign w:val="center"/>
            <w:hideMark/>
          </w:tcPr>
          <w:p w14:paraId="7638749A" w14:textId="77777777" w:rsidR="00430B85" w:rsidRPr="00430B85" w:rsidRDefault="00430B85" w:rsidP="00430B85">
            <w:pPr>
              <w:rPr>
                <w:rFonts w:ascii="Calibri" w:hAnsi="Calibri" w:cs="Calibri"/>
                <w:color w:val="000000"/>
                <w:lang w:eastAsia="en-GB"/>
              </w:rPr>
            </w:pPr>
            <w:r w:rsidRPr="00430B85">
              <w:rPr>
                <w:rFonts w:ascii="Calibri" w:hAnsi="Calibri" w:cs="Calibri"/>
                <w:color w:val="000000"/>
                <w:lang w:eastAsia="en-GB"/>
              </w:rPr>
              <w:t>Balance</w:t>
            </w:r>
            <w:r>
              <w:rPr>
                <w:rFonts w:ascii="Calibri" w:hAnsi="Calibri" w:cs="Calibri"/>
                <w:color w:val="000000"/>
                <w:lang w:eastAsia="en-GB"/>
              </w:rPr>
              <w:t xml:space="preserve"> </w:t>
            </w:r>
            <w:proofErr w:type="gramStart"/>
            <w:r>
              <w:rPr>
                <w:rFonts w:ascii="Calibri" w:hAnsi="Calibri" w:cs="Calibri"/>
                <w:color w:val="000000"/>
                <w:lang w:eastAsia="en-GB"/>
              </w:rPr>
              <w:t>at</w:t>
            </w:r>
            <w:proofErr w:type="gramEnd"/>
            <w:r w:rsidRPr="00430B85">
              <w:rPr>
                <w:rFonts w:ascii="Calibri" w:hAnsi="Calibri" w:cs="Calibri"/>
                <w:color w:val="000000"/>
                <w:lang w:eastAsia="en-GB"/>
              </w:rPr>
              <w:t xml:space="preserve"> 1 Apri</w:t>
            </w:r>
            <w:r>
              <w:rPr>
                <w:rFonts w:ascii="Calibri" w:hAnsi="Calibri" w:cs="Calibri"/>
                <w:color w:val="000000"/>
                <w:lang w:eastAsia="en-GB"/>
              </w:rPr>
              <w:t>l</w:t>
            </w:r>
          </w:p>
        </w:tc>
        <w:tc>
          <w:tcPr>
            <w:tcW w:w="965" w:type="dxa"/>
            <w:tcBorders>
              <w:top w:val="nil"/>
              <w:left w:val="nil"/>
              <w:bottom w:val="single" w:sz="8" w:space="0" w:color="FFFFFF"/>
              <w:right w:val="nil"/>
            </w:tcBorders>
            <w:shd w:val="clear" w:color="auto" w:fill="CCC0D9" w:themeFill="accent4" w:themeFillTint="66"/>
            <w:noWrap/>
            <w:vAlign w:val="center"/>
            <w:hideMark/>
          </w:tcPr>
          <w:p w14:paraId="6EDE2809" w14:textId="08ABE43C" w:rsidR="00430B85" w:rsidRPr="00430B85" w:rsidRDefault="004B0E90" w:rsidP="00CB36ED">
            <w:pPr>
              <w:jc w:val="right"/>
              <w:rPr>
                <w:rFonts w:ascii="Calibri" w:hAnsi="Calibri" w:cs="Calibri"/>
                <w:color w:val="000000"/>
                <w:lang w:eastAsia="en-GB"/>
              </w:rPr>
            </w:pPr>
            <w:r>
              <w:rPr>
                <w:rFonts w:ascii="Calibri" w:hAnsi="Calibri" w:cs="Calibri"/>
                <w:color w:val="000000"/>
                <w:lang w:eastAsia="en-GB"/>
              </w:rPr>
              <w:t>212</w:t>
            </w:r>
          </w:p>
        </w:tc>
      </w:tr>
      <w:tr w:rsidR="00430B85" w:rsidRPr="00430B85" w14:paraId="3795B73F" w14:textId="77777777" w:rsidTr="00CB36ED">
        <w:trPr>
          <w:trHeight w:val="315"/>
        </w:trPr>
        <w:tc>
          <w:tcPr>
            <w:tcW w:w="960" w:type="dxa"/>
            <w:tcBorders>
              <w:top w:val="nil"/>
              <w:left w:val="single" w:sz="8" w:space="0" w:color="FFFFFF"/>
              <w:bottom w:val="single" w:sz="8" w:space="0" w:color="FFFFFF"/>
              <w:right w:val="single" w:sz="8" w:space="0" w:color="FFFFFF"/>
            </w:tcBorders>
            <w:shd w:val="clear" w:color="000000" w:fill="E4DFEC"/>
            <w:noWrap/>
            <w:vAlign w:val="bottom"/>
            <w:hideMark/>
          </w:tcPr>
          <w:p w14:paraId="76F9C24A" w14:textId="40E9296A" w:rsidR="00430B85" w:rsidRPr="00430B85" w:rsidRDefault="004B0E90" w:rsidP="000D5645">
            <w:pPr>
              <w:jc w:val="right"/>
              <w:rPr>
                <w:rFonts w:ascii="Calibri" w:hAnsi="Calibri" w:cs="Calibri"/>
                <w:color w:val="000000"/>
                <w:lang w:eastAsia="en-GB"/>
              </w:rPr>
            </w:pPr>
            <w:r>
              <w:rPr>
                <w:rFonts w:ascii="Calibri" w:hAnsi="Calibri" w:cs="Calibri"/>
                <w:color w:val="000000"/>
                <w:lang w:eastAsia="en-GB"/>
              </w:rPr>
              <w:t>33</w:t>
            </w:r>
            <w:r w:rsidR="00430B85">
              <w:rPr>
                <w:rFonts w:ascii="Calibri" w:hAnsi="Calibri" w:cs="Calibri"/>
                <w:color w:val="000000"/>
                <w:lang w:eastAsia="en-GB"/>
              </w:rPr>
              <w:t>0</w:t>
            </w:r>
          </w:p>
        </w:tc>
        <w:tc>
          <w:tcPr>
            <w:tcW w:w="7420" w:type="dxa"/>
            <w:tcBorders>
              <w:top w:val="nil"/>
              <w:left w:val="nil"/>
              <w:bottom w:val="single" w:sz="8" w:space="0" w:color="FFFFFF"/>
              <w:right w:val="single" w:sz="8" w:space="0" w:color="FFFFFF" w:themeColor="background1"/>
            </w:tcBorders>
            <w:shd w:val="clear" w:color="000000" w:fill="E4DFEC"/>
            <w:noWrap/>
            <w:vAlign w:val="center"/>
            <w:hideMark/>
          </w:tcPr>
          <w:p w14:paraId="669F889E" w14:textId="77777777" w:rsidR="00430B85" w:rsidRPr="00430B85" w:rsidRDefault="00430B85" w:rsidP="00430B85">
            <w:pPr>
              <w:rPr>
                <w:rFonts w:ascii="Calibri" w:hAnsi="Calibri" w:cs="Calibri"/>
                <w:color w:val="000000"/>
                <w:lang w:eastAsia="en-GB"/>
              </w:rPr>
            </w:pPr>
            <w:r w:rsidRPr="00430B85">
              <w:rPr>
                <w:rFonts w:ascii="Calibri" w:hAnsi="Calibri" w:cs="Calibri"/>
                <w:color w:val="000000"/>
                <w:lang w:eastAsia="en-GB"/>
              </w:rPr>
              <w:t>Upward revaluation of investments</w:t>
            </w:r>
          </w:p>
        </w:tc>
        <w:tc>
          <w:tcPr>
            <w:tcW w:w="965" w:type="dxa"/>
            <w:tcBorders>
              <w:top w:val="single" w:sz="8" w:space="0" w:color="FFFFFF" w:themeColor="background1"/>
              <w:left w:val="single" w:sz="8" w:space="0" w:color="FFFFFF" w:themeColor="background1"/>
              <w:bottom w:val="single" w:sz="8" w:space="0" w:color="FFFFFF" w:themeColor="background1"/>
              <w:right w:val="nil"/>
            </w:tcBorders>
            <w:shd w:val="clear" w:color="000000" w:fill="E4DFEC"/>
            <w:noWrap/>
            <w:vAlign w:val="center"/>
          </w:tcPr>
          <w:p w14:paraId="1148F96E" w14:textId="70EF6CD3" w:rsidR="00430B85" w:rsidRPr="00430B85" w:rsidRDefault="007247F2" w:rsidP="00430B85">
            <w:pPr>
              <w:jc w:val="right"/>
              <w:rPr>
                <w:rFonts w:ascii="Calibri" w:hAnsi="Calibri" w:cs="Calibri"/>
                <w:color w:val="000000"/>
                <w:lang w:eastAsia="en-GB"/>
              </w:rPr>
            </w:pPr>
            <w:r>
              <w:rPr>
                <w:rFonts w:ascii="Calibri" w:hAnsi="Calibri" w:cs="Calibri"/>
                <w:color w:val="000000"/>
                <w:lang w:eastAsia="en-GB"/>
              </w:rPr>
              <w:t>0</w:t>
            </w:r>
          </w:p>
        </w:tc>
      </w:tr>
      <w:tr w:rsidR="00A32831" w:rsidRPr="00430B85" w14:paraId="7C5BC7D3" w14:textId="77777777" w:rsidTr="00CB36ED">
        <w:trPr>
          <w:trHeight w:val="315"/>
        </w:trPr>
        <w:tc>
          <w:tcPr>
            <w:tcW w:w="960" w:type="dxa"/>
            <w:tcBorders>
              <w:top w:val="nil"/>
              <w:left w:val="single" w:sz="8" w:space="0" w:color="FFFFFF"/>
              <w:bottom w:val="single" w:sz="8" w:space="0" w:color="FFFFFF"/>
              <w:right w:val="single" w:sz="8" w:space="0" w:color="FFFFFF"/>
            </w:tcBorders>
            <w:shd w:val="clear" w:color="auto" w:fill="E5DFEC" w:themeFill="accent4" w:themeFillTint="33"/>
            <w:noWrap/>
            <w:vAlign w:val="bottom"/>
          </w:tcPr>
          <w:p w14:paraId="05A3ADE7" w14:textId="42046CB7" w:rsidR="00A32831" w:rsidRDefault="004B0E90" w:rsidP="00A32831">
            <w:pPr>
              <w:jc w:val="right"/>
              <w:rPr>
                <w:rFonts w:ascii="Calibri" w:hAnsi="Calibri" w:cs="Calibri"/>
                <w:color w:val="000000"/>
                <w:lang w:eastAsia="en-GB"/>
              </w:rPr>
            </w:pPr>
            <w:r>
              <w:rPr>
                <w:rFonts w:ascii="Calibri" w:hAnsi="Calibri" w:cs="Calibri"/>
                <w:color w:val="000000"/>
                <w:lang w:eastAsia="en-GB"/>
              </w:rPr>
              <w:t>0</w:t>
            </w:r>
            <w:r w:rsidR="00A32831">
              <w:rPr>
                <w:rFonts w:ascii="Calibri" w:hAnsi="Calibri" w:cs="Calibri"/>
                <w:color w:val="000000"/>
                <w:lang w:eastAsia="en-GB"/>
              </w:rPr>
              <w:t xml:space="preserve"> </w:t>
            </w:r>
          </w:p>
        </w:tc>
        <w:tc>
          <w:tcPr>
            <w:tcW w:w="7420" w:type="dxa"/>
            <w:tcBorders>
              <w:top w:val="nil"/>
              <w:left w:val="nil"/>
              <w:bottom w:val="single" w:sz="8" w:space="0" w:color="FFFFFF"/>
              <w:right w:val="single" w:sz="8" w:space="0" w:color="FFFFFF" w:themeColor="background1"/>
            </w:tcBorders>
            <w:shd w:val="clear" w:color="auto" w:fill="E5DFEC" w:themeFill="accent4" w:themeFillTint="33"/>
            <w:noWrap/>
            <w:vAlign w:val="center"/>
          </w:tcPr>
          <w:p w14:paraId="73532B5D" w14:textId="77777777" w:rsidR="00A32831" w:rsidRPr="00A32831" w:rsidRDefault="00A32831" w:rsidP="00430B85">
            <w:pPr>
              <w:rPr>
                <w:rFonts w:ascii="Calibri" w:hAnsi="Calibri" w:cs="Calibri"/>
                <w:bCs/>
                <w:color w:val="000000"/>
                <w:lang w:eastAsia="en-GB"/>
              </w:rPr>
            </w:pPr>
            <w:r w:rsidRPr="00A32831">
              <w:rPr>
                <w:rFonts w:ascii="Calibri" w:hAnsi="Calibri" w:cs="Calibri"/>
                <w:bCs/>
                <w:color w:val="000000"/>
                <w:lang w:eastAsia="en-GB"/>
              </w:rPr>
              <w:t>Downward revaluation of investments</w:t>
            </w:r>
          </w:p>
        </w:tc>
        <w:tc>
          <w:tcPr>
            <w:tcW w:w="965" w:type="dxa"/>
            <w:tcBorders>
              <w:top w:val="single" w:sz="8" w:space="0" w:color="FFFFFF" w:themeColor="background1"/>
              <w:left w:val="single" w:sz="8" w:space="0" w:color="FFFFFF" w:themeColor="background1"/>
              <w:bottom w:val="single" w:sz="8" w:space="0" w:color="FFFFFF" w:themeColor="background1"/>
              <w:right w:val="nil"/>
            </w:tcBorders>
            <w:shd w:val="clear" w:color="auto" w:fill="E5DFEC" w:themeFill="accent4" w:themeFillTint="33"/>
            <w:noWrap/>
            <w:vAlign w:val="center"/>
          </w:tcPr>
          <w:p w14:paraId="58B394AE" w14:textId="18366748" w:rsidR="00A32831" w:rsidRPr="004C3C59" w:rsidRDefault="007247F2" w:rsidP="001015B4">
            <w:pPr>
              <w:jc w:val="right"/>
              <w:rPr>
                <w:rFonts w:ascii="Calibri" w:hAnsi="Calibri" w:cs="Calibri"/>
                <w:bCs/>
                <w:color w:val="000000"/>
                <w:lang w:eastAsia="en-GB"/>
              </w:rPr>
            </w:pPr>
            <w:r>
              <w:rPr>
                <w:rFonts w:ascii="Calibri" w:hAnsi="Calibri" w:cs="Calibri"/>
                <w:bCs/>
                <w:color w:val="000000"/>
                <w:lang w:eastAsia="en-GB"/>
              </w:rPr>
              <w:t>-364</w:t>
            </w:r>
          </w:p>
        </w:tc>
      </w:tr>
      <w:tr w:rsidR="00430B85" w:rsidRPr="00430B85" w14:paraId="2718A96B" w14:textId="77777777" w:rsidTr="00CB36ED">
        <w:trPr>
          <w:trHeight w:val="315"/>
        </w:trPr>
        <w:tc>
          <w:tcPr>
            <w:tcW w:w="960" w:type="dxa"/>
            <w:tcBorders>
              <w:top w:val="nil"/>
              <w:left w:val="single" w:sz="8" w:space="0" w:color="FFFFFF"/>
              <w:bottom w:val="single" w:sz="8" w:space="0" w:color="FFFFFF"/>
              <w:right w:val="single" w:sz="8" w:space="0" w:color="FFFFFF"/>
            </w:tcBorders>
            <w:shd w:val="clear" w:color="000000" w:fill="CCC0DA"/>
            <w:noWrap/>
            <w:vAlign w:val="bottom"/>
            <w:hideMark/>
          </w:tcPr>
          <w:p w14:paraId="680DEA14" w14:textId="6119B8F5" w:rsidR="00430B85" w:rsidRPr="005E01F0" w:rsidRDefault="004B0E90" w:rsidP="000D5645">
            <w:pPr>
              <w:jc w:val="right"/>
              <w:rPr>
                <w:rFonts w:ascii="Calibri" w:hAnsi="Calibri" w:cs="Calibri"/>
                <w:b/>
                <w:bCs/>
                <w:color w:val="000000"/>
                <w:lang w:eastAsia="en-GB"/>
              </w:rPr>
            </w:pPr>
            <w:r>
              <w:rPr>
                <w:rFonts w:ascii="Calibri" w:hAnsi="Calibri" w:cs="Calibri"/>
                <w:b/>
                <w:bCs/>
                <w:color w:val="000000"/>
                <w:lang w:eastAsia="en-GB"/>
              </w:rPr>
              <w:t>212</w:t>
            </w:r>
          </w:p>
        </w:tc>
        <w:tc>
          <w:tcPr>
            <w:tcW w:w="7420" w:type="dxa"/>
            <w:tcBorders>
              <w:top w:val="nil"/>
              <w:left w:val="nil"/>
              <w:bottom w:val="single" w:sz="8" w:space="0" w:color="FFFFFF"/>
              <w:right w:val="single" w:sz="8" w:space="0" w:color="FFFFFF" w:themeColor="background1"/>
            </w:tcBorders>
            <w:shd w:val="clear" w:color="000000" w:fill="CCC0DA"/>
            <w:noWrap/>
            <w:vAlign w:val="center"/>
            <w:hideMark/>
          </w:tcPr>
          <w:p w14:paraId="78D9E7FD" w14:textId="77777777" w:rsidR="00430B85" w:rsidRPr="00430B85" w:rsidRDefault="00430B85" w:rsidP="00430B85">
            <w:pPr>
              <w:rPr>
                <w:rFonts w:ascii="Calibri" w:hAnsi="Calibri" w:cs="Calibri"/>
                <w:b/>
                <w:bCs/>
                <w:color w:val="000000"/>
                <w:lang w:eastAsia="en-GB"/>
              </w:rPr>
            </w:pPr>
            <w:r w:rsidRPr="00430B85">
              <w:rPr>
                <w:rFonts w:ascii="Calibri" w:hAnsi="Calibri" w:cs="Calibri"/>
                <w:b/>
                <w:bCs/>
                <w:color w:val="000000"/>
                <w:lang w:eastAsia="en-GB"/>
              </w:rPr>
              <w:t xml:space="preserve">Balance </w:t>
            </w:r>
            <w:proofErr w:type="gramStart"/>
            <w:r w:rsidRPr="00430B85">
              <w:rPr>
                <w:rFonts w:ascii="Calibri" w:hAnsi="Calibri" w:cs="Calibri"/>
                <w:b/>
                <w:bCs/>
                <w:color w:val="000000"/>
                <w:lang w:eastAsia="en-GB"/>
              </w:rPr>
              <w:t>at</w:t>
            </w:r>
            <w:proofErr w:type="gramEnd"/>
            <w:r w:rsidRPr="00430B85">
              <w:rPr>
                <w:rFonts w:ascii="Calibri" w:hAnsi="Calibri" w:cs="Calibri"/>
                <w:b/>
                <w:bCs/>
                <w:color w:val="000000"/>
                <w:lang w:eastAsia="en-GB"/>
              </w:rPr>
              <w:t xml:space="preserve"> 31 March</w:t>
            </w:r>
          </w:p>
        </w:tc>
        <w:tc>
          <w:tcPr>
            <w:tcW w:w="965" w:type="dxa"/>
            <w:tcBorders>
              <w:top w:val="single" w:sz="8" w:space="0" w:color="FFFFFF" w:themeColor="background1"/>
              <w:left w:val="single" w:sz="8" w:space="0" w:color="FFFFFF" w:themeColor="background1"/>
              <w:bottom w:val="nil"/>
              <w:right w:val="nil"/>
            </w:tcBorders>
            <w:shd w:val="clear" w:color="000000" w:fill="CCC0DA"/>
            <w:noWrap/>
            <w:vAlign w:val="center"/>
          </w:tcPr>
          <w:p w14:paraId="5AA5D63C" w14:textId="2C5F5468" w:rsidR="00430B85" w:rsidRPr="00430B85" w:rsidRDefault="007247F2" w:rsidP="00430B85">
            <w:pPr>
              <w:jc w:val="right"/>
              <w:rPr>
                <w:rFonts w:ascii="Calibri" w:hAnsi="Calibri" w:cs="Calibri"/>
                <w:b/>
                <w:bCs/>
                <w:color w:val="000000"/>
                <w:lang w:eastAsia="en-GB"/>
              </w:rPr>
            </w:pPr>
            <w:r>
              <w:rPr>
                <w:rFonts w:ascii="Calibri" w:hAnsi="Calibri" w:cs="Calibri"/>
                <w:b/>
                <w:bCs/>
                <w:color w:val="000000"/>
                <w:lang w:eastAsia="en-GB"/>
              </w:rPr>
              <w:t>-152</w:t>
            </w:r>
          </w:p>
        </w:tc>
      </w:tr>
    </w:tbl>
    <w:p w14:paraId="78283DBE" w14:textId="77777777" w:rsidR="00430B85" w:rsidRDefault="00430B85" w:rsidP="00D14540">
      <w:pPr>
        <w:widowControl w:val="0"/>
        <w:tabs>
          <w:tab w:val="left" w:pos="2520"/>
          <w:tab w:val="left" w:pos="7200"/>
          <w:tab w:val="left" w:pos="8460"/>
        </w:tabs>
        <w:rPr>
          <w:rFonts w:asciiTheme="minorHAnsi" w:hAnsiTheme="minorHAnsi" w:cs="Arial"/>
          <w:b/>
          <w:sz w:val="24"/>
          <w:szCs w:val="24"/>
        </w:rPr>
      </w:pPr>
    </w:p>
    <w:p w14:paraId="3AD593FD" w14:textId="77777777" w:rsidR="00A27305" w:rsidRPr="00BA12EF" w:rsidRDefault="002F1F5C" w:rsidP="00D14540">
      <w:pPr>
        <w:widowControl w:val="0"/>
        <w:tabs>
          <w:tab w:val="left" w:pos="2520"/>
          <w:tab w:val="left" w:pos="7200"/>
          <w:tab w:val="left" w:pos="8460"/>
        </w:tabs>
        <w:rPr>
          <w:rFonts w:asciiTheme="minorHAnsi" w:hAnsiTheme="minorHAnsi" w:cs="Arial"/>
          <w:b/>
          <w:sz w:val="24"/>
          <w:szCs w:val="24"/>
        </w:rPr>
      </w:pPr>
      <w:r>
        <w:rPr>
          <w:rFonts w:asciiTheme="minorHAnsi" w:hAnsiTheme="minorHAnsi" w:cs="Arial"/>
          <w:b/>
          <w:sz w:val="24"/>
          <w:szCs w:val="24"/>
        </w:rPr>
        <w:t>C</w:t>
      </w:r>
      <w:r w:rsidR="00A27305" w:rsidRPr="00BA12EF">
        <w:rPr>
          <w:rFonts w:asciiTheme="minorHAnsi" w:hAnsiTheme="minorHAnsi" w:cs="Arial"/>
          <w:b/>
          <w:sz w:val="24"/>
          <w:szCs w:val="24"/>
        </w:rPr>
        <w:t>apital Adjustment Account</w:t>
      </w:r>
    </w:p>
    <w:p w14:paraId="2E9B3564" w14:textId="77777777" w:rsidR="00A27305" w:rsidRDefault="00A27305" w:rsidP="00D14540">
      <w:pPr>
        <w:widowControl w:val="0"/>
        <w:tabs>
          <w:tab w:val="left" w:pos="2520"/>
          <w:tab w:val="left" w:pos="7200"/>
          <w:tab w:val="left" w:pos="8460"/>
        </w:tabs>
        <w:rPr>
          <w:rFonts w:ascii="Arial" w:hAnsi="Arial" w:cs="Arial"/>
          <w:b/>
        </w:rPr>
      </w:pPr>
    </w:p>
    <w:p w14:paraId="135C0710" w14:textId="77777777" w:rsidR="008F53B2" w:rsidRPr="00BA12EF" w:rsidRDefault="00A27305" w:rsidP="002F5CF4">
      <w:pPr>
        <w:widowControl w:val="0"/>
        <w:tabs>
          <w:tab w:val="left" w:pos="2520"/>
          <w:tab w:val="left" w:pos="7200"/>
          <w:tab w:val="left" w:pos="8460"/>
        </w:tabs>
        <w:jc w:val="both"/>
        <w:rPr>
          <w:rFonts w:asciiTheme="minorHAnsi" w:hAnsiTheme="minorHAnsi" w:cs="Arial"/>
          <w:sz w:val="22"/>
          <w:szCs w:val="22"/>
        </w:rPr>
      </w:pPr>
      <w:r w:rsidRPr="00BA12EF">
        <w:rPr>
          <w:rFonts w:asciiTheme="minorHAnsi" w:hAnsiTheme="minorHAnsi" w:cs="Arial"/>
          <w:sz w:val="22"/>
          <w:szCs w:val="22"/>
        </w:rPr>
        <w:t>T</w:t>
      </w:r>
      <w:r w:rsidR="0025194F" w:rsidRPr="00BA12EF">
        <w:rPr>
          <w:rFonts w:asciiTheme="minorHAnsi" w:hAnsiTheme="minorHAnsi" w:cs="Arial"/>
          <w:sz w:val="22"/>
          <w:szCs w:val="22"/>
        </w:rPr>
        <w:t>he capital adjustment account ab</w:t>
      </w:r>
      <w:r w:rsidRPr="00BA12EF">
        <w:rPr>
          <w:rFonts w:asciiTheme="minorHAnsi" w:hAnsiTheme="minorHAnsi" w:cs="Arial"/>
          <w:sz w:val="22"/>
          <w:szCs w:val="22"/>
        </w:rPr>
        <w:t xml:space="preserve">sorbs the timing differences arising from the different arrangements for accounting for the consumption of non-current assets and for financing the acquisition, construction or </w:t>
      </w:r>
      <w:r w:rsidR="00A23B81">
        <w:rPr>
          <w:rFonts w:asciiTheme="minorHAnsi" w:hAnsiTheme="minorHAnsi" w:cs="Arial"/>
          <w:sz w:val="22"/>
          <w:szCs w:val="22"/>
        </w:rPr>
        <w:t>addition to</w:t>
      </w:r>
      <w:r w:rsidRPr="00BA12EF">
        <w:rPr>
          <w:rFonts w:asciiTheme="minorHAnsi" w:hAnsiTheme="minorHAnsi" w:cs="Arial"/>
          <w:sz w:val="22"/>
          <w:szCs w:val="22"/>
        </w:rPr>
        <w:t xml:space="preserve"> those assets under statutory provisions.  </w:t>
      </w:r>
    </w:p>
    <w:p w14:paraId="4C879A19" w14:textId="77777777" w:rsidR="008F53B2" w:rsidRPr="00BA12EF" w:rsidRDefault="008F53B2" w:rsidP="00811EDC">
      <w:pPr>
        <w:widowControl w:val="0"/>
        <w:tabs>
          <w:tab w:val="left" w:pos="2520"/>
          <w:tab w:val="left" w:pos="7200"/>
          <w:tab w:val="left" w:pos="8460"/>
        </w:tabs>
        <w:jc w:val="both"/>
        <w:rPr>
          <w:rFonts w:asciiTheme="minorHAnsi" w:hAnsiTheme="minorHAnsi" w:cs="Arial"/>
          <w:sz w:val="22"/>
          <w:szCs w:val="22"/>
        </w:rPr>
      </w:pPr>
    </w:p>
    <w:p w14:paraId="092F8E26" w14:textId="77777777" w:rsidR="00A27305" w:rsidRPr="00BA12EF" w:rsidRDefault="00A27305" w:rsidP="00811EDC">
      <w:pPr>
        <w:widowControl w:val="0"/>
        <w:tabs>
          <w:tab w:val="left" w:pos="2520"/>
          <w:tab w:val="left" w:pos="7200"/>
          <w:tab w:val="left" w:pos="8460"/>
        </w:tabs>
        <w:jc w:val="both"/>
        <w:rPr>
          <w:rFonts w:asciiTheme="minorHAnsi" w:hAnsiTheme="minorHAnsi" w:cs="Arial"/>
          <w:sz w:val="22"/>
          <w:szCs w:val="22"/>
        </w:rPr>
      </w:pPr>
      <w:r w:rsidRPr="00BA12EF">
        <w:rPr>
          <w:rFonts w:asciiTheme="minorHAnsi" w:hAnsiTheme="minorHAnsi" w:cs="Arial"/>
          <w:sz w:val="22"/>
          <w:szCs w:val="22"/>
        </w:rPr>
        <w:t xml:space="preserve">The account is debited with cost of acquisition, construction </w:t>
      </w:r>
      <w:proofErr w:type="gramStart"/>
      <w:r w:rsidRPr="00BA12EF">
        <w:rPr>
          <w:rFonts w:asciiTheme="minorHAnsi" w:hAnsiTheme="minorHAnsi" w:cs="Arial"/>
          <w:sz w:val="22"/>
          <w:szCs w:val="22"/>
        </w:rPr>
        <w:t>or</w:t>
      </w:r>
      <w:r w:rsidR="001511D5" w:rsidRPr="00BA12EF">
        <w:rPr>
          <w:rFonts w:asciiTheme="minorHAnsi" w:hAnsiTheme="minorHAnsi" w:cs="Arial"/>
          <w:sz w:val="22"/>
          <w:szCs w:val="22"/>
        </w:rPr>
        <w:t xml:space="preserve">  subsequent</w:t>
      </w:r>
      <w:proofErr w:type="gramEnd"/>
      <w:r w:rsidR="001511D5" w:rsidRPr="00BA12EF">
        <w:rPr>
          <w:rFonts w:asciiTheme="minorHAnsi" w:hAnsiTheme="minorHAnsi" w:cs="Arial"/>
          <w:sz w:val="22"/>
          <w:szCs w:val="22"/>
        </w:rPr>
        <w:t xml:space="preserve"> costs</w:t>
      </w:r>
      <w:r w:rsidRPr="00BA12EF">
        <w:rPr>
          <w:rFonts w:asciiTheme="minorHAnsi" w:hAnsiTheme="minorHAnsi" w:cs="Arial"/>
          <w:sz w:val="22"/>
          <w:szCs w:val="22"/>
        </w:rPr>
        <w:t xml:space="preserve">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w:t>
      </w:r>
      <w:r w:rsidR="008F53B2" w:rsidRPr="00BA12EF">
        <w:rPr>
          <w:rFonts w:asciiTheme="minorHAnsi" w:hAnsiTheme="minorHAnsi" w:cs="Arial"/>
          <w:sz w:val="22"/>
          <w:szCs w:val="22"/>
        </w:rPr>
        <w:t>Council</w:t>
      </w:r>
      <w:r w:rsidRPr="00BA12EF">
        <w:rPr>
          <w:rFonts w:asciiTheme="minorHAnsi" w:hAnsiTheme="minorHAnsi" w:cs="Arial"/>
          <w:sz w:val="22"/>
          <w:szCs w:val="22"/>
        </w:rPr>
        <w:t xml:space="preserve"> as finance for the costs of acquisition, construction and </w:t>
      </w:r>
      <w:r w:rsidR="001511D5" w:rsidRPr="00BA12EF">
        <w:rPr>
          <w:rFonts w:asciiTheme="minorHAnsi" w:hAnsiTheme="minorHAnsi" w:cs="Arial"/>
          <w:sz w:val="22"/>
          <w:szCs w:val="22"/>
        </w:rPr>
        <w:t>subsequent costs</w:t>
      </w:r>
      <w:r w:rsidRPr="00BA12EF">
        <w:rPr>
          <w:rFonts w:asciiTheme="minorHAnsi" w:hAnsiTheme="minorHAnsi" w:cs="Arial"/>
          <w:sz w:val="22"/>
          <w:szCs w:val="22"/>
        </w:rPr>
        <w:t>.</w:t>
      </w:r>
    </w:p>
    <w:p w14:paraId="006CEBD9" w14:textId="77777777" w:rsidR="009C10CE" w:rsidRPr="00BA12EF" w:rsidRDefault="009C10CE" w:rsidP="00811EDC">
      <w:pPr>
        <w:widowControl w:val="0"/>
        <w:tabs>
          <w:tab w:val="left" w:pos="2520"/>
          <w:tab w:val="left" w:pos="7200"/>
          <w:tab w:val="left" w:pos="8460"/>
        </w:tabs>
        <w:jc w:val="both"/>
        <w:rPr>
          <w:rFonts w:asciiTheme="minorHAnsi" w:hAnsiTheme="minorHAnsi" w:cs="Arial"/>
          <w:sz w:val="22"/>
          <w:szCs w:val="22"/>
        </w:rPr>
      </w:pPr>
    </w:p>
    <w:p w14:paraId="6DA0A577" w14:textId="77777777" w:rsidR="00A27305" w:rsidRPr="00BA12EF" w:rsidRDefault="00A27305" w:rsidP="00811EDC">
      <w:pPr>
        <w:widowControl w:val="0"/>
        <w:tabs>
          <w:tab w:val="left" w:pos="2520"/>
          <w:tab w:val="left" w:pos="7200"/>
          <w:tab w:val="left" w:pos="8460"/>
        </w:tabs>
        <w:jc w:val="both"/>
        <w:rPr>
          <w:rFonts w:asciiTheme="minorHAnsi" w:hAnsiTheme="minorHAnsi" w:cs="Arial"/>
          <w:sz w:val="22"/>
          <w:szCs w:val="22"/>
        </w:rPr>
      </w:pPr>
      <w:r w:rsidRPr="00BA12EF">
        <w:rPr>
          <w:rFonts w:asciiTheme="minorHAnsi" w:hAnsiTheme="minorHAnsi" w:cs="Arial"/>
          <w:sz w:val="22"/>
          <w:szCs w:val="22"/>
        </w:rPr>
        <w:t>The account contains accumulated gains and losses on Investment propertie</w:t>
      </w:r>
      <w:r w:rsidRPr="00BA12EF">
        <w:rPr>
          <w:rStyle w:val="PageNumber"/>
          <w:rFonts w:asciiTheme="minorHAnsi" w:hAnsiTheme="minorHAnsi" w:cs="Arial"/>
          <w:sz w:val="22"/>
          <w:szCs w:val="22"/>
        </w:rPr>
        <w:t>s and gains recognised on donate</w:t>
      </w:r>
      <w:r w:rsidRPr="00BA12EF">
        <w:rPr>
          <w:rFonts w:asciiTheme="minorHAnsi" w:hAnsiTheme="minorHAnsi" w:cs="Arial"/>
          <w:sz w:val="22"/>
          <w:szCs w:val="22"/>
        </w:rPr>
        <w:t xml:space="preserve">d assets that have yet to be consumed by the </w:t>
      </w:r>
      <w:r w:rsidR="008F53B2" w:rsidRPr="00BA12EF">
        <w:rPr>
          <w:rFonts w:asciiTheme="minorHAnsi" w:hAnsiTheme="minorHAnsi" w:cs="Arial"/>
          <w:sz w:val="22"/>
          <w:szCs w:val="22"/>
        </w:rPr>
        <w:t>Council</w:t>
      </w:r>
      <w:r w:rsidRPr="00BA12EF">
        <w:rPr>
          <w:rFonts w:asciiTheme="minorHAnsi" w:hAnsiTheme="minorHAnsi" w:cs="Arial"/>
          <w:sz w:val="22"/>
          <w:szCs w:val="22"/>
        </w:rPr>
        <w:t>.</w:t>
      </w:r>
    </w:p>
    <w:p w14:paraId="46F8CAEE" w14:textId="77777777" w:rsidR="00A27305" w:rsidRPr="00BA12EF" w:rsidRDefault="00A27305" w:rsidP="00811EDC">
      <w:pPr>
        <w:widowControl w:val="0"/>
        <w:tabs>
          <w:tab w:val="left" w:pos="2520"/>
          <w:tab w:val="left" w:pos="7200"/>
          <w:tab w:val="left" w:pos="8460"/>
        </w:tabs>
        <w:jc w:val="both"/>
        <w:rPr>
          <w:rFonts w:asciiTheme="minorHAnsi" w:hAnsiTheme="minorHAnsi" w:cs="Arial"/>
          <w:sz w:val="22"/>
          <w:szCs w:val="22"/>
        </w:rPr>
      </w:pPr>
    </w:p>
    <w:p w14:paraId="518DE5DA" w14:textId="77777777" w:rsidR="00A27305" w:rsidRPr="000B0403" w:rsidRDefault="00A27305" w:rsidP="00811EDC">
      <w:pPr>
        <w:widowControl w:val="0"/>
        <w:tabs>
          <w:tab w:val="left" w:pos="2520"/>
          <w:tab w:val="left" w:pos="7200"/>
          <w:tab w:val="left" w:pos="8460"/>
        </w:tabs>
        <w:jc w:val="both"/>
        <w:rPr>
          <w:rFonts w:asciiTheme="minorHAnsi" w:hAnsiTheme="minorHAnsi" w:cs="Arial"/>
          <w:sz w:val="22"/>
          <w:szCs w:val="22"/>
        </w:rPr>
      </w:pPr>
      <w:r w:rsidRPr="00BA12EF">
        <w:rPr>
          <w:rFonts w:asciiTheme="minorHAnsi" w:hAnsiTheme="minorHAnsi" w:cs="Arial"/>
          <w:sz w:val="22"/>
          <w:szCs w:val="22"/>
        </w:rPr>
        <w:t xml:space="preserve">The account also contains revaluation gains accumulated on Property, Plant and Equipment before April </w:t>
      </w:r>
      <w:r w:rsidRPr="000B0403">
        <w:rPr>
          <w:rFonts w:asciiTheme="minorHAnsi" w:hAnsiTheme="minorHAnsi" w:cs="Arial"/>
          <w:sz w:val="22"/>
          <w:szCs w:val="22"/>
        </w:rPr>
        <w:t>2007, the date the revaluation reserve was created to hold such gains.</w:t>
      </w:r>
    </w:p>
    <w:p w14:paraId="4BB7AA6C" w14:textId="77777777" w:rsidR="00A27305" w:rsidRPr="000B0403" w:rsidRDefault="00A27305" w:rsidP="00811EDC">
      <w:pPr>
        <w:widowControl w:val="0"/>
        <w:tabs>
          <w:tab w:val="left" w:pos="2520"/>
          <w:tab w:val="left" w:pos="7200"/>
          <w:tab w:val="left" w:pos="8460"/>
        </w:tabs>
        <w:jc w:val="both"/>
        <w:rPr>
          <w:rFonts w:asciiTheme="minorHAnsi" w:hAnsiTheme="minorHAnsi" w:cs="Arial"/>
          <w:sz w:val="22"/>
          <w:szCs w:val="22"/>
        </w:rPr>
      </w:pPr>
    </w:p>
    <w:p w14:paraId="6011BCFC" w14:textId="005C0EC4" w:rsidR="0061183B" w:rsidRDefault="00F87682" w:rsidP="00811EDC">
      <w:pPr>
        <w:widowControl w:val="0"/>
        <w:tabs>
          <w:tab w:val="left" w:pos="2520"/>
          <w:tab w:val="left" w:pos="7200"/>
          <w:tab w:val="left" w:pos="8460"/>
        </w:tabs>
        <w:jc w:val="both"/>
        <w:rPr>
          <w:rFonts w:asciiTheme="minorHAnsi" w:hAnsiTheme="minorHAnsi" w:cs="Arial"/>
          <w:sz w:val="22"/>
          <w:szCs w:val="22"/>
        </w:rPr>
      </w:pPr>
      <w:r w:rsidRPr="00A43D07">
        <w:rPr>
          <w:rFonts w:asciiTheme="minorHAnsi" w:hAnsiTheme="minorHAnsi" w:cs="Arial"/>
          <w:sz w:val="22"/>
          <w:szCs w:val="22"/>
        </w:rPr>
        <w:t xml:space="preserve">Note </w:t>
      </w:r>
      <w:r w:rsidR="003D43A4" w:rsidRPr="00D3279C">
        <w:rPr>
          <w:rFonts w:asciiTheme="minorHAnsi" w:hAnsiTheme="minorHAnsi" w:cs="Arial"/>
          <w:sz w:val="22"/>
          <w:szCs w:val="22"/>
        </w:rPr>
        <w:t>1</w:t>
      </w:r>
      <w:r w:rsidR="00D3279C" w:rsidRPr="00D3279C">
        <w:rPr>
          <w:rFonts w:asciiTheme="minorHAnsi" w:hAnsiTheme="minorHAnsi" w:cs="Arial"/>
          <w:sz w:val="22"/>
          <w:szCs w:val="22"/>
        </w:rPr>
        <w:t>5</w:t>
      </w:r>
      <w:r w:rsidR="0061183B" w:rsidRPr="0029188A">
        <w:rPr>
          <w:rFonts w:asciiTheme="minorHAnsi" w:hAnsiTheme="minorHAnsi" w:cs="Arial"/>
          <w:sz w:val="22"/>
          <w:szCs w:val="22"/>
        </w:rPr>
        <w:t xml:space="preserve"> provides</w:t>
      </w:r>
      <w:r w:rsidR="0061183B" w:rsidRPr="000B0403">
        <w:rPr>
          <w:rFonts w:asciiTheme="minorHAnsi" w:hAnsiTheme="minorHAnsi" w:cs="Arial"/>
          <w:sz w:val="22"/>
          <w:szCs w:val="22"/>
        </w:rPr>
        <w:t xml:space="preserve"> details of the source of all the transactions posted to the account, apart from those inv</w:t>
      </w:r>
      <w:r w:rsidR="0061183B" w:rsidRPr="00BA12EF">
        <w:rPr>
          <w:rFonts w:asciiTheme="minorHAnsi" w:hAnsiTheme="minorHAnsi" w:cs="Arial"/>
          <w:sz w:val="22"/>
          <w:szCs w:val="22"/>
        </w:rPr>
        <w:t>olving the revaluation reserve.</w:t>
      </w:r>
    </w:p>
    <w:p w14:paraId="75CB24D9" w14:textId="238CB775" w:rsidR="00581D3D" w:rsidRDefault="00581D3D" w:rsidP="00811EDC">
      <w:pPr>
        <w:widowControl w:val="0"/>
        <w:tabs>
          <w:tab w:val="left" w:pos="2520"/>
          <w:tab w:val="left" w:pos="7200"/>
          <w:tab w:val="left" w:pos="8460"/>
        </w:tabs>
        <w:jc w:val="both"/>
        <w:rPr>
          <w:rFonts w:asciiTheme="minorHAnsi" w:hAnsiTheme="minorHAnsi" w:cs="Arial"/>
          <w:sz w:val="22"/>
          <w:szCs w:val="22"/>
        </w:rPr>
      </w:pPr>
    </w:p>
    <w:p w14:paraId="6866D46D" w14:textId="2E9CECBF" w:rsidR="00903C27" w:rsidRDefault="00903C27" w:rsidP="00811EDC">
      <w:pPr>
        <w:widowControl w:val="0"/>
        <w:tabs>
          <w:tab w:val="left" w:pos="2520"/>
          <w:tab w:val="left" w:pos="7200"/>
          <w:tab w:val="left" w:pos="8460"/>
        </w:tabs>
        <w:jc w:val="both"/>
        <w:rPr>
          <w:rFonts w:asciiTheme="minorHAnsi" w:hAnsiTheme="minorHAnsi" w:cs="Arial"/>
          <w:sz w:val="22"/>
          <w:szCs w:val="22"/>
        </w:rPr>
      </w:pPr>
    </w:p>
    <w:p w14:paraId="55332138" w14:textId="77777777" w:rsidR="00F154EC" w:rsidRDefault="00F154EC" w:rsidP="00811EDC">
      <w:pPr>
        <w:widowControl w:val="0"/>
        <w:tabs>
          <w:tab w:val="left" w:pos="2520"/>
          <w:tab w:val="left" w:pos="7200"/>
          <w:tab w:val="left" w:pos="8460"/>
        </w:tabs>
        <w:jc w:val="both"/>
        <w:rPr>
          <w:rFonts w:asciiTheme="minorHAnsi" w:hAnsiTheme="minorHAnsi" w:cs="Arial"/>
          <w:sz w:val="22"/>
          <w:szCs w:val="22"/>
        </w:rPr>
      </w:pPr>
    </w:p>
    <w:p w14:paraId="5E728598" w14:textId="77777777" w:rsidR="00903C27" w:rsidRDefault="00903C27" w:rsidP="00811EDC">
      <w:pPr>
        <w:widowControl w:val="0"/>
        <w:tabs>
          <w:tab w:val="left" w:pos="2520"/>
          <w:tab w:val="left" w:pos="7200"/>
          <w:tab w:val="left" w:pos="8460"/>
        </w:tabs>
        <w:jc w:val="both"/>
        <w:rPr>
          <w:rFonts w:asciiTheme="minorHAnsi" w:hAnsiTheme="minorHAnsi" w:cs="Arial"/>
          <w:sz w:val="22"/>
          <w:szCs w:val="22"/>
        </w:rPr>
      </w:pPr>
    </w:p>
    <w:tbl>
      <w:tblPr>
        <w:tblW w:w="9411" w:type="dxa"/>
        <w:tblInd w:w="93" w:type="dxa"/>
        <w:tblLook w:val="04A0" w:firstRow="1" w:lastRow="0" w:firstColumn="1" w:lastColumn="0" w:noHBand="0" w:noVBand="1"/>
        <w:tblCaption w:val="Capital Adjustment Account"/>
        <w:tblDescription w:val="Capital Adjustment Account as at 31 March 2023 with 31 March 2022 comparables"/>
      </w:tblPr>
      <w:tblGrid>
        <w:gridCol w:w="1291"/>
        <w:gridCol w:w="6120"/>
        <w:gridCol w:w="1000"/>
        <w:gridCol w:w="1000"/>
      </w:tblGrid>
      <w:tr w:rsidR="00E85D70" w:rsidRPr="00E85D70" w14:paraId="62421195" w14:textId="77777777" w:rsidTr="00F367A2">
        <w:trPr>
          <w:cantSplit/>
          <w:trHeight w:val="300"/>
          <w:tblHeader/>
        </w:trPr>
        <w:tc>
          <w:tcPr>
            <w:tcW w:w="1291"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0D5194D7" w14:textId="78135195" w:rsidR="00F27C13" w:rsidRPr="00E85D70" w:rsidRDefault="00E85D70" w:rsidP="00CB36ED">
            <w:pPr>
              <w:jc w:val="right"/>
              <w:rPr>
                <w:rFonts w:ascii="Calibri" w:hAnsi="Calibri"/>
                <w:color w:val="000000"/>
                <w:lang w:eastAsia="en-GB"/>
              </w:rPr>
            </w:pPr>
            <w:r w:rsidRPr="00E85D70">
              <w:rPr>
                <w:rFonts w:ascii="Calibri" w:hAnsi="Calibri"/>
                <w:color w:val="000000"/>
                <w:lang w:eastAsia="en-GB"/>
              </w:rPr>
              <w:t>20</w:t>
            </w:r>
            <w:r w:rsidR="00411B52">
              <w:rPr>
                <w:rFonts w:ascii="Calibri" w:hAnsi="Calibri"/>
                <w:color w:val="000000"/>
                <w:lang w:eastAsia="en-GB"/>
              </w:rPr>
              <w:t>2</w:t>
            </w:r>
            <w:r w:rsidR="004B0E90">
              <w:rPr>
                <w:rFonts w:ascii="Calibri" w:hAnsi="Calibri"/>
                <w:color w:val="000000"/>
                <w:lang w:eastAsia="en-GB"/>
              </w:rPr>
              <w:t>1</w:t>
            </w:r>
            <w:r w:rsidRPr="00E85D70">
              <w:rPr>
                <w:rFonts w:ascii="Calibri" w:hAnsi="Calibri"/>
                <w:color w:val="000000"/>
                <w:lang w:eastAsia="en-GB"/>
              </w:rPr>
              <w:t>-</w:t>
            </w:r>
            <w:r w:rsidR="00CB36ED">
              <w:rPr>
                <w:rFonts w:ascii="Calibri" w:hAnsi="Calibri"/>
                <w:color w:val="000000"/>
                <w:lang w:eastAsia="en-GB"/>
              </w:rPr>
              <w:t>2</w:t>
            </w:r>
            <w:r w:rsidR="004B0E90">
              <w:rPr>
                <w:rFonts w:ascii="Calibri" w:hAnsi="Calibri"/>
                <w:color w:val="000000"/>
                <w:lang w:eastAsia="en-GB"/>
              </w:rPr>
              <w:t>2</w:t>
            </w:r>
          </w:p>
        </w:tc>
        <w:tc>
          <w:tcPr>
            <w:tcW w:w="6120" w:type="dxa"/>
            <w:tcBorders>
              <w:top w:val="single" w:sz="4" w:space="0" w:color="FFFFFF"/>
              <w:left w:val="nil"/>
            </w:tcBorders>
            <w:shd w:val="clear" w:color="000000" w:fill="B1A0C7"/>
            <w:noWrap/>
            <w:vAlign w:val="bottom"/>
            <w:hideMark/>
          </w:tcPr>
          <w:p w14:paraId="0DC7C743"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single" w:sz="4" w:space="0" w:color="FFFFFF"/>
              <w:right w:val="single" w:sz="4" w:space="0" w:color="FFFFFF"/>
            </w:tcBorders>
            <w:shd w:val="clear" w:color="000000" w:fill="B1A0C7"/>
            <w:noWrap/>
            <w:vAlign w:val="bottom"/>
            <w:hideMark/>
          </w:tcPr>
          <w:p w14:paraId="44340FEF"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single" w:sz="4" w:space="0" w:color="FFFFFF"/>
              <w:left w:val="nil"/>
              <w:bottom w:val="single" w:sz="4" w:space="0" w:color="FFFFFF"/>
              <w:right w:val="single" w:sz="4" w:space="0" w:color="FFFFFF"/>
            </w:tcBorders>
            <w:shd w:val="clear" w:color="000000" w:fill="B1A0C7"/>
            <w:noWrap/>
            <w:vAlign w:val="center"/>
            <w:hideMark/>
          </w:tcPr>
          <w:p w14:paraId="1C541F50" w14:textId="39E6A37D" w:rsidR="00E85D70" w:rsidRPr="00E85D70" w:rsidRDefault="00E85D70" w:rsidP="00CB36ED">
            <w:pPr>
              <w:jc w:val="right"/>
              <w:rPr>
                <w:rFonts w:ascii="Calibri" w:hAnsi="Calibri"/>
                <w:color w:val="000000"/>
                <w:lang w:eastAsia="en-GB"/>
              </w:rPr>
            </w:pPr>
            <w:r w:rsidRPr="00E85D70">
              <w:rPr>
                <w:rFonts w:ascii="Calibri" w:hAnsi="Calibri"/>
                <w:color w:val="000000"/>
                <w:lang w:eastAsia="en-GB"/>
              </w:rPr>
              <w:t>20</w:t>
            </w:r>
            <w:r w:rsidR="00CB36ED">
              <w:rPr>
                <w:rFonts w:ascii="Calibri" w:hAnsi="Calibri"/>
                <w:color w:val="000000"/>
                <w:lang w:eastAsia="en-GB"/>
              </w:rPr>
              <w:t>2</w:t>
            </w:r>
            <w:r w:rsidR="004B0E90">
              <w:rPr>
                <w:rFonts w:ascii="Calibri" w:hAnsi="Calibri"/>
                <w:color w:val="000000"/>
                <w:lang w:eastAsia="en-GB"/>
              </w:rPr>
              <w:t>2</w:t>
            </w:r>
            <w:r w:rsidRPr="00E85D70">
              <w:rPr>
                <w:rFonts w:ascii="Calibri" w:hAnsi="Calibri"/>
                <w:color w:val="000000"/>
                <w:lang w:eastAsia="en-GB"/>
              </w:rPr>
              <w:t>-</w:t>
            </w:r>
            <w:r w:rsidR="00A32831">
              <w:rPr>
                <w:rFonts w:ascii="Calibri" w:hAnsi="Calibri"/>
                <w:color w:val="000000"/>
                <w:lang w:eastAsia="en-GB"/>
              </w:rPr>
              <w:t>2</w:t>
            </w:r>
            <w:r w:rsidR="004B0E90">
              <w:rPr>
                <w:rFonts w:ascii="Calibri" w:hAnsi="Calibri"/>
                <w:color w:val="000000"/>
                <w:lang w:eastAsia="en-GB"/>
              </w:rPr>
              <w:t>3</w:t>
            </w:r>
          </w:p>
        </w:tc>
      </w:tr>
      <w:tr w:rsidR="00E85D70" w:rsidRPr="00E85D70" w14:paraId="3D3E913F" w14:textId="77777777" w:rsidTr="00F367A2">
        <w:trPr>
          <w:trHeight w:val="300"/>
        </w:trPr>
        <w:tc>
          <w:tcPr>
            <w:tcW w:w="1291" w:type="dxa"/>
            <w:tcBorders>
              <w:top w:val="nil"/>
              <w:left w:val="single" w:sz="4" w:space="0" w:color="FFFFFF"/>
              <w:bottom w:val="single" w:sz="4" w:space="0" w:color="FFFFFF"/>
              <w:right w:val="single" w:sz="4" w:space="0" w:color="FFFFFF"/>
            </w:tcBorders>
            <w:shd w:val="clear" w:color="000000" w:fill="B1A0C7"/>
            <w:noWrap/>
            <w:vAlign w:val="center"/>
            <w:hideMark/>
          </w:tcPr>
          <w:p w14:paraId="1BA972F3" w14:textId="77777777"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£’000</w:t>
            </w:r>
          </w:p>
        </w:tc>
        <w:tc>
          <w:tcPr>
            <w:tcW w:w="6120" w:type="dxa"/>
            <w:tcBorders>
              <w:top w:val="nil"/>
              <w:left w:val="nil"/>
              <w:bottom w:val="single" w:sz="4" w:space="0" w:color="FFFFFF"/>
            </w:tcBorders>
            <w:shd w:val="clear" w:color="000000" w:fill="B1A0C7"/>
            <w:noWrap/>
            <w:vAlign w:val="bottom"/>
            <w:hideMark/>
          </w:tcPr>
          <w:p w14:paraId="4EAB8461"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nil"/>
              <w:bottom w:val="single" w:sz="4" w:space="0" w:color="FFFFFF"/>
              <w:right w:val="single" w:sz="4" w:space="0" w:color="FFFFFF"/>
            </w:tcBorders>
            <w:shd w:val="clear" w:color="000000" w:fill="B1A0C7"/>
            <w:noWrap/>
            <w:vAlign w:val="bottom"/>
            <w:hideMark/>
          </w:tcPr>
          <w:p w14:paraId="25026E9B"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nil"/>
              <w:left w:val="nil"/>
              <w:bottom w:val="single" w:sz="4" w:space="0" w:color="FFFFFF"/>
              <w:right w:val="single" w:sz="4" w:space="0" w:color="FFFFFF"/>
            </w:tcBorders>
            <w:shd w:val="clear" w:color="000000" w:fill="B1A0C7"/>
            <w:noWrap/>
            <w:vAlign w:val="center"/>
            <w:hideMark/>
          </w:tcPr>
          <w:p w14:paraId="695A0354" w14:textId="77777777"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£’000</w:t>
            </w:r>
          </w:p>
        </w:tc>
      </w:tr>
      <w:tr w:rsidR="00E85D70" w:rsidRPr="00E85D70" w14:paraId="6B3A97E6" w14:textId="77777777" w:rsidTr="00F367A2">
        <w:trPr>
          <w:trHeight w:val="300"/>
        </w:trPr>
        <w:tc>
          <w:tcPr>
            <w:tcW w:w="1291" w:type="dxa"/>
            <w:tcBorders>
              <w:top w:val="nil"/>
              <w:left w:val="single" w:sz="4" w:space="0" w:color="FFFFFF"/>
              <w:bottom w:val="single" w:sz="4" w:space="0" w:color="FFFFFF"/>
              <w:right w:val="single" w:sz="4" w:space="0" w:color="FFFFFF"/>
            </w:tcBorders>
            <w:shd w:val="clear" w:color="000000" w:fill="CCC0DA"/>
            <w:noWrap/>
            <w:vAlign w:val="center"/>
            <w:hideMark/>
          </w:tcPr>
          <w:p w14:paraId="2456EEA9" w14:textId="55067324" w:rsidR="00E85D70" w:rsidRPr="00E85D70" w:rsidRDefault="0058145B" w:rsidP="00CB36ED">
            <w:pPr>
              <w:jc w:val="right"/>
              <w:rPr>
                <w:rFonts w:ascii="Calibri" w:hAnsi="Calibri"/>
                <w:b/>
                <w:bCs/>
                <w:color w:val="000000"/>
                <w:lang w:eastAsia="en-GB"/>
              </w:rPr>
            </w:pPr>
            <w:r>
              <w:rPr>
                <w:rFonts w:ascii="Calibri" w:hAnsi="Calibri"/>
                <w:b/>
                <w:bCs/>
                <w:color w:val="000000"/>
                <w:lang w:eastAsia="en-GB"/>
              </w:rPr>
              <w:t>7</w:t>
            </w:r>
            <w:r w:rsidR="007B3980">
              <w:rPr>
                <w:rFonts w:ascii="Calibri" w:hAnsi="Calibri"/>
                <w:b/>
                <w:bCs/>
                <w:color w:val="000000"/>
                <w:lang w:eastAsia="en-GB"/>
              </w:rPr>
              <w:t>9</w:t>
            </w:r>
            <w:r w:rsidR="00A32831">
              <w:rPr>
                <w:rFonts w:ascii="Calibri" w:hAnsi="Calibri"/>
                <w:b/>
                <w:bCs/>
                <w:color w:val="000000"/>
                <w:lang w:eastAsia="en-GB"/>
              </w:rPr>
              <w:t>,</w:t>
            </w:r>
            <w:r w:rsidR="007B3980">
              <w:rPr>
                <w:rFonts w:ascii="Calibri" w:hAnsi="Calibri"/>
                <w:b/>
                <w:bCs/>
                <w:color w:val="000000"/>
                <w:lang w:eastAsia="en-GB"/>
              </w:rPr>
              <w:t>033</w:t>
            </w:r>
          </w:p>
        </w:tc>
        <w:tc>
          <w:tcPr>
            <w:tcW w:w="6120" w:type="dxa"/>
            <w:tcBorders>
              <w:top w:val="single" w:sz="4" w:space="0" w:color="FFFFFF"/>
              <w:left w:val="nil"/>
              <w:bottom w:val="single" w:sz="4" w:space="0" w:color="FFFFFF"/>
            </w:tcBorders>
            <w:shd w:val="clear" w:color="000000" w:fill="CCC0DA"/>
            <w:noWrap/>
            <w:vAlign w:val="center"/>
            <w:hideMark/>
          </w:tcPr>
          <w:p w14:paraId="360E9BE4" w14:textId="77777777" w:rsidR="00E85D70" w:rsidRPr="00E85D70" w:rsidRDefault="00E85D70" w:rsidP="00E85D70">
            <w:pPr>
              <w:ind w:firstLineChars="100" w:firstLine="201"/>
              <w:rPr>
                <w:rFonts w:ascii="Calibri" w:hAnsi="Calibri"/>
                <w:b/>
                <w:bCs/>
                <w:color w:val="000000"/>
                <w:lang w:eastAsia="en-GB"/>
              </w:rPr>
            </w:pPr>
            <w:r w:rsidRPr="00E85D70">
              <w:rPr>
                <w:rFonts w:ascii="Calibri" w:hAnsi="Calibri"/>
                <w:b/>
                <w:bCs/>
                <w:color w:val="000000"/>
                <w:lang w:eastAsia="en-GB"/>
              </w:rPr>
              <w:t xml:space="preserve">Balance </w:t>
            </w:r>
            <w:proofErr w:type="gramStart"/>
            <w:r w:rsidRPr="00E85D70">
              <w:rPr>
                <w:rFonts w:ascii="Calibri" w:hAnsi="Calibri"/>
                <w:b/>
                <w:bCs/>
                <w:color w:val="000000"/>
                <w:lang w:eastAsia="en-GB"/>
              </w:rPr>
              <w:t>at</w:t>
            </w:r>
            <w:proofErr w:type="gramEnd"/>
            <w:r w:rsidRPr="00E85D70">
              <w:rPr>
                <w:rFonts w:ascii="Calibri" w:hAnsi="Calibri"/>
                <w:b/>
                <w:bCs/>
                <w:color w:val="000000"/>
                <w:lang w:eastAsia="en-GB"/>
              </w:rPr>
              <w:t xml:space="preserve"> 1 April</w:t>
            </w:r>
          </w:p>
        </w:tc>
        <w:tc>
          <w:tcPr>
            <w:tcW w:w="1000" w:type="dxa"/>
            <w:tcBorders>
              <w:top w:val="single" w:sz="4" w:space="0" w:color="FFFFFF"/>
              <w:bottom w:val="single" w:sz="4" w:space="0" w:color="FFFFFF"/>
              <w:right w:val="single" w:sz="4" w:space="0" w:color="FFFFFF"/>
            </w:tcBorders>
            <w:shd w:val="clear" w:color="000000" w:fill="CCC0DA"/>
            <w:noWrap/>
            <w:vAlign w:val="bottom"/>
            <w:hideMark/>
          </w:tcPr>
          <w:p w14:paraId="697F5324"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nil"/>
              <w:left w:val="nil"/>
              <w:bottom w:val="single" w:sz="4" w:space="0" w:color="FFFFFF"/>
              <w:right w:val="single" w:sz="4" w:space="0" w:color="FFFFFF"/>
            </w:tcBorders>
            <w:shd w:val="clear" w:color="000000" w:fill="CCC0DA"/>
            <w:noWrap/>
            <w:vAlign w:val="center"/>
            <w:hideMark/>
          </w:tcPr>
          <w:p w14:paraId="54A579B3" w14:textId="4AAB75A9" w:rsidR="00E85D70" w:rsidRPr="00E85D70" w:rsidRDefault="007B3980" w:rsidP="00CB36ED">
            <w:pPr>
              <w:jc w:val="right"/>
              <w:rPr>
                <w:rFonts w:ascii="Calibri" w:hAnsi="Calibri"/>
                <w:b/>
                <w:bCs/>
                <w:color w:val="000000"/>
                <w:lang w:eastAsia="en-GB"/>
              </w:rPr>
            </w:pPr>
            <w:r>
              <w:rPr>
                <w:rFonts w:ascii="Calibri" w:hAnsi="Calibri"/>
                <w:b/>
                <w:bCs/>
                <w:color w:val="000000"/>
                <w:lang w:eastAsia="en-GB"/>
              </w:rPr>
              <w:t>80</w:t>
            </w:r>
            <w:r w:rsidR="00DE0E04">
              <w:rPr>
                <w:rFonts w:ascii="Calibri" w:hAnsi="Calibri"/>
                <w:b/>
                <w:bCs/>
                <w:color w:val="000000"/>
                <w:lang w:eastAsia="en-GB"/>
              </w:rPr>
              <w:t>,</w:t>
            </w:r>
            <w:r>
              <w:rPr>
                <w:rFonts w:ascii="Calibri" w:hAnsi="Calibri"/>
                <w:b/>
                <w:bCs/>
                <w:color w:val="000000"/>
                <w:lang w:eastAsia="en-GB"/>
              </w:rPr>
              <w:t>973</w:t>
            </w:r>
          </w:p>
        </w:tc>
      </w:tr>
      <w:tr w:rsidR="00E85D70" w:rsidRPr="00E85D70" w14:paraId="7A92652C" w14:textId="77777777" w:rsidTr="00F27C13">
        <w:trPr>
          <w:trHeight w:val="510"/>
        </w:trPr>
        <w:tc>
          <w:tcPr>
            <w:tcW w:w="1291" w:type="dxa"/>
            <w:tcBorders>
              <w:top w:val="nil"/>
              <w:left w:val="single" w:sz="4" w:space="0" w:color="FFFFFF"/>
              <w:bottom w:val="single" w:sz="4" w:space="0" w:color="FFFFFF"/>
              <w:right w:val="nil"/>
            </w:tcBorders>
            <w:shd w:val="clear" w:color="000000" w:fill="E4DFEC"/>
            <w:noWrap/>
            <w:vAlign w:val="bottom"/>
            <w:hideMark/>
          </w:tcPr>
          <w:p w14:paraId="41E24485"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6120" w:type="dxa"/>
            <w:tcBorders>
              <w:top w:val="nil"/>
              <w:left w:val="nil"/>
              <w:bottom w:val="single" w:sz="4" w:space="0" w:color="FFFFFF"/>
              <w:right w:val="nil"/>
            </w:tcBorders>
            <w:shd w:val="clear" w:color="000000" w:fill="E4DFEC"/>
            <w:vAlign w:val="center"/>
            <w:hideMark/>
          </w:tcPr>
          <w:p w14:paraId="206B86CC" w14:textId="036CD009" w:rsidR="00E85D70" w:rsidRPr="00E85D70" w:rsidRDefault="00E85D70" w:rsidP="00E85D70">
            <w:pPr>
              <w:rPr>
                <w:rFonts w:ascii="Calibri" w:hAnsi="Calibri"/>
                <w:b/>
                <w:bCs/>
                <w:color w:val="000000"/>
                <w:lang w:eastAsia="en-GB"/>
              </w:rPr>
            </w:pPr>
            <w:r w:rsidRPr="00E85D70">
              <w:rPr>
                <w:rFonts w:ascii="Calibri" w:hAnsi="Calibri"/>
                <w:b/>
                <w:bCs/>
                <w:color w:val="000000"/>
                <w:lang w:eastAsia="en-GB"/>
              </w:rPr>
              <w:t xml:space="preserve">Reversal of items relating to capital expenditure on the Comprehensive Income </w:t>
            </w:r>
            <w:r w:rsidR="00704A70">
              <w:rPr>
                <w:rFonts w:ascii="Calibri" w:hAnsi="Calibri"/>
                <w:b/>
                <w:bCs/>
                <w:color w:val="000000"/>
                <w:lang w:eastAsia="en-GB"/>
              </w:rPr>
              <w:t>and</w:t>
            </w:r>
            <w:r w:rsidRPr="00E85D70">
              <w:rPr>
                <w:rFonts w:ascii="Calibri" w:hAnsi="Calibri"/>
                <w:b/>
                <w:bCs/>
                <w:color w:val="000000"/>
                <w:lang w:eastAsia="en-GB"/>
              </w:rPr>
              <w:t xml:space="preserve"> Expenditure Statement:</w:t>
            </w:r>
          </w:p>
        </w:tc>
        <w:tc>
          <w:tcPr>
            <w:tcW w:w="1000" w:type="dxa"/>
            <w:tcBorders>
              <w:top w:val="nil"/>
              <w:left w:val="nil"/>
              <w:bottom w:val="single" w:sz="4" w:space="0" w:color="FFFFFF"/>
              <w:right w:val="nil"/>
            </w:tcBorders>
            <w:shd w:val="clear" w:color="000000" w:fill="E4DFEC"/>
            <w:noWrap/>
            <w:vAlign w:val="center"/>
            <w:hideMark/>
          </w:tcPr>
          <w:p w14:paraId="581F09D6"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nil"/>
              <w:left w:val="nil"/>
              <w:bottom w:val="nil"/>
              <w:right w:val="nil"/>
            </w:tcBorders>
            <w:shd w:val="clear" w:color="000000" w:fill="E4DFEC"/>
            <w:noWrap/>
            <w:vAlign w:val="center"/>
            <w:hideMark/>
          </w:tcPr>
          <w:p w14:paraId="39C94CC1" w14:textId="77777777"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 </w:t>
            </w:r>
          </w:p>
        </w:tc>
      </w:tr>
      <w:tr w:rsidR="00E85D70" w:rsidRPr="00E85D70" w14:paraId="0B216114"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5D4039C0" w14:textId="206F6E32" w:rsidR="00E85D70" w:rsidRPr="00E85D70" w:rsidRDefault="00E85D70" w:rsidP="00A32831">
            <w:pPr>
              <w:jc w:val="right"/>
              <w:rPr>
                <w:rFonts w:ascii="Calibri" w:hAnsi="Calibri"/>
                <w:color w:val="000000"/>
                <w:lang w:eastAsia="en-GB"/>
              </w:rPr>
            </w:pPr>
            <w:r w:rsidRPr="00E85D70">
              <w:rPr>
                <w:rFonts w:ascii="Calibri" w:hAnsi="Calibri"/>
                <w:color w:val="000000"/>
                <w:lang w:eastAsia="en-GB"/>
              </w:rPr>
              <w:t>-</w:t>
            </w:r>
            <w:r w:rsidR="00DE0E04">
              <w:rPr>
                <w:rFonts w:ascii="Calibri" w:hAnsi="Calibri"/>
                <w:color w:val="000000"/>
                <w:lang w:eastAsia="en-GB"/>
              </w:rPr>
              <w:t>2,</w:t>
            </w:r>
            <w:r w:rsidR="007B3980">
              <w:rPr>
                <w:rFonts w:ascii="Calibri" w:hAnsi="Calibri"/>
                <w:color w:val="000000"/>
                <w:lang w:eastAsia="en-GB"/>
              </w:rPr>
              <w:t>851</w:t>
            </w:r>
          </w:p>
        </w:tc>
        <w:tc>
          <w:tcPr>
            <w:tcW w:w="6120" w:type="dxa"/>
            <w:tcBorders>
              <w:top w:val="nil"/>
              <w:left w:val="nil"/>
              <w:bottom w:val="single" w:sz="4" w:space="0" w:color="FFFFFF"/>
              <w:right w:val="single" w:sz="4" w:space="0" w:color="FFFFFF"/>
            </w:tcBorders>
            <w:shd w:val="clear" w:color="000000" w:fill="E4DFEC"/>
            <w:vAlign w:val="center"/>
            <w:hideMark/>
          </w:tcPr>
          <w:p w14:paraId="03F462D4"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Charges for depreciation and impairment of non-current assets</w:t>
            </w:r>
          </w:p>
        </w:tc>
        <w:tc>
          <w:tcPr>
            <w:tcW w:w="1000" w:type="dxa"/>
            <w:tcBorders>
              <w:top w:val="nil"/>
              <w:left w:val="nil"/>
              <w:bottom w:val="single" w:sz="4" w:space="0" w:color="FFFFFF"/>
              <w:right w:val="single" w:sz="4" w:space="0" w:color="FFFFFF"/>
            </w:tcBorders>
            <w:shd w:val="clear" w:color="000000" w:fill="E4DFEC"/>
            <w:noWrap/>
            <w:vAlign w:val="center"/>
          </w:tcPr>
          <w:p w14:paraId="51801DF4" w14:textId="5B3A19B8" w:rsidR="00E85D70" w:rsidRPr="00E85D70" w:rsidRDefault="003161BF" w:rsidP="00170BF4">
            <w:pPr>
              <w:jc w:val="right"/>
              <w:rPr>
                <w:rFonts w:ascii="Calibri" w:hAnsi="Calibri"/>
                <w:color w:val="000000"/>
                <w:lang w:eastAsia="en-GB"/>
              </w:rPr>
            </w:pPr>
            <w:r>
              <w:rPr>
                <w:rFonts w:ascii="Calibri" w:hAnsi="Calibri"/>
                <w:color w:val="000000"/>
                <w:lang w:eastAsia="en-GB"/>
              </w:rPr>
              <w:t>-3,069</w:t>
            </w:r>
          </w:p>
        </w:tc>
        <w:tc>
          <w:tcPr>
            <w:tcW w:w="1000" w:type="dxa"/>
            <w:tcBorders>
              <w:top w:val="nil"/>
              <w:left w:val="nil"/>
              <w:bottom w:val="nil"/>
              <w:right w:val="nil"/>
            </w:tcBorders>
            <w:shd w:val="clear" w:color="000000" w:fill="E4DFEC"/>
            <w:noWrap/>
            <w:vAlign w:val="center"/>
          </w:tcPr>
          <w:p w14:paraId="3B0A09A9" w14:textId="77777777" w:rsidR="00E85D70" w:rsidRPr="00E85D70" w:rsidRDefault="00E85D70" w:rsidP="00E85D70">
            <w:pPr>
              <w:jc w:val="right"/>
              <w:rPr>
                <w:rFonts w:ascii="Calibri" w:hAnsi="Calibri"/>
                <w:color w:val="000000"/>
                <w:lang w:eastAsia="en-GB"/>
              </w:rPr>
            </w:pPr>
          </w:p>
        </w:tc>
      </w:tr>
      <w:tr w:rsidR="00E85D70" w:rsidRPr="00E85D70" w14:paraId="5884ECFA"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1A95F716" w14:textId="332BAD7D" w:rsidR="00E85D70" w:rsidRPr="00E85D70" w:rsidRDefault="007B3980" w:rsidP="00E85D70">
            <w:pPr>
              <w:jc w:val="right"/>
              <w:rPr>
                <w:rFonts w:ascii="Calibri" w:hAnsi="Calibri"/>
                <w:color w:val="000000"/>
                <w:lang w:eastAsia="en-GB"/>
              </w:rPr>
            </w:pPr>
            <w:r>
              <w:rPr>
                <w:rFonts w:ascii="Calibri" w:hAnsi="Calibri"/>
                <w:color w:val="000000"/>
                <w:lang w:eastAsia="en-GB"/>
              </w:rPr>
              <w:t>874</w:t>
            </w:r>
          </w:p>
        </w:tc>
        <w:tc>
          <w:tcPr>
            <w:tcW w:w="6120" w:type="dxa"/>
            <w:tcBorders>
              <w:top w:val="nil"/>
              <w:left w:val="nil"/>
              <w:bottom w:val="single" w:sz="4" w:space="0" w:color="FFFFFF"/>
              <w:right w:val="single" w:sz="4" w:space="0" w:color="FFFFFF"/>
            </w:tcBorders>
            <w:shd w:val="clear" w:color="000000" w:fill="E4DFEC"/>
            <w:vAlign w:val="center"/>
            <w:hideMark/>
          </w:tcPr>
          <w:p w14:paraId="0634D106"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Revaluation gains/losses on Property, Plant and Equipment</w:t>
            </w:r>
          </w:p>
        </w:tc>
        <w:tc>
          <w:tcPr>
            <w:tcW w:w="1000" w:type="dxa"/>
            <w:tcBorders>
              <w:top w:val="nil"/>
              <w:left w:val="nil"/>
              <w:bottom w:val="single" w:sz="4" w:space="0" w:color="FFFFFF"/>
              <w:right w:val="single" w:sz="4" w:space="0" w:color="FFFFFF"/>
            </w:tcBorders>
            <w:shd w:val="clear" w:color="000000" w:fill="E4DFEC"/>
            <w:noWrap/>
            <w:vAlign w:val="center"/>
          </w:tcPr>
          <w:p w14:paraId="33439857" w14:textId="296301A1" w:rsidR="0098618B" w:rsidRPr="00E85D70" w:rsidRDefault="003161BF" w:rsidP="00C576B9">
            <w:pPr>
              <w:jc w:val="right"/>
              <w:rPr>
                <w:rFonts w:ascii="Calibri" w:hAnsi="Calibri"/>
                <w:color w:val="000000"/>
                <w:lang w:eastAsia="en-GB"/>
              </w:rPr>
            </w:pPr>
            <w:r>
              <w:rPr>
                <w:rFonts w:ascii="Calibri" w:hAnsi="Calibri"/>
                <w:color w:val="000000"/>
                <w:lang w:eastAsia="en-GB"/>
              </w:rPr>
              <w:t>46</w:t>
            </w:r>
            <w:r w:rsidR="00D875DC">
              <w:rPr>
                <w:rFonts w:ascii="Calibri" w:hAnsi="Calibri"/>
                <w:color w:val="000000"/>
                <w:lang w:eastAsia="en-GB"/>
              </w:rPr>
              <w:t>1</w:t>
            </w:r>
          </w:p>
        </w:tc>
        <w:tc>
          <w:tcPr>
            <w:tcW w:w="1000" w:type="dxa"/>
            <w:tcBorders>
              <w:top w:val="nil"/>
              <w:left w:val="nil"/>
              <w:bottom w:val="nil"/>
              <w:right w:val="nil"/>
            </w:tcBorders>
            <w:shd w:val="clear" w:color="000000" w:fill="E4DFEC"/>
            <w:noWrap/>
            <w:vAlign w:val="center"/>
          </w:tcPr>
          <w:p w14:paraId="43380E2F" w14:textId="77777777" w:rsidR="00E85D70" w:rsidRPr="00E85D70" w:rsidRDefault="00E85D70" w:rsidP="00E85D70">
            <w:pPr>
              <w:jc w:val="right"/>
              <w:rPr>
                <w:rFonts w:ascii="Calibri" w:hAnsi="Calibri"/>
                <w:color w:val="000000"/>
                <w:lang w:eastAsia="en-GB"/>
              </w:rPr>
            </w:pPr>
          </w:p>
        </w:tc>
      </w:tr>
      <w:tr w:rsidR="00E85D70" w:rsidRPr="00E85D70" w14:paraId="41C1E4EE"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7E840CBB" w14:textId="2682DD28" w:rsidR="00E85D70" w:rsidRPr="00E85D70" w:rsidRDefault="00E85D70" w:rsidP="0058145B">
            <w:pPr>
              <w:jc w:val="right"/>
              <w:rPr>
                <w:rFonts w:ascii="Calibri" w:hAnsi="Calibri"/>
                <w:color w:val="000000"/>
                <w:lang w:eastAsia="en-GB"/>
              </w:rPr>
            </w:pPr>
            <w:r w:rsidRPr="00E85D70">
              <w:rPr>
                <w:rFonts w:ascii="Calibri" w:hAnsi="Calibri"/>
                <w:color w:val="000000"/>
                <w:lang w:eastAsia="en-GB"/>
              </w:rPr>
              <w:t>-</w:t>
            </w:r>
            <w:r w:rsidR="007B3980">
              <w:rPr>
                <w:rFonts w:ascii="Calibri" w:hAnsi="Calibri"/>
                <w:color w:val="000000"/>
                <w:lang w:eastAsia="en-GB"/>
              </w:rPr>
              <w:t>59</w:t>
            </w:r>
          </w:p>
        </w:tc>
        <w:tc>
          <w:tcPr>
            <w:tcW w:w="6120" w:type="dxa"/>
            <w:tcBorders>
              <w:top w:val="nil"/>
              <w:left w:val="nil"/>
              <w:bottom w:val="single" w:sz="4" w:space="0" w:color="FFFFFF"/>
              <w:right w:val="single" w:sz="4" w:space="0" w:color="FFFFFF"/>
            </w:tcBorders>
            <w:shd w:val="clear" w:color="000000" w:fill="E4DFEC"/>
            <w:vAlign w:val="center"/>
            <w:hideMark/>
          </w:tcPr>
          <w:p w14:paraId="2AE960F0"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Amortisation of Intangible Assets</w:t>
            </w:r>
          </w:p>
        </w:tc>
        <w:tc>
          <w:tcPr>
            <w:tcW w:w="1000" w:type="dxa"/>
            <w:tcBorders>
              <w:top w:val="nil"/>
              <w:left w:val="nil"/>
              <w:bottom w:val="single" w:sz="4" w:space="0" w:color="FFFFFF"/>
              <w:right w:val="single" w:sz="4" w:space="0" w:color="FFFFFF"/>
            </w:tcBorders>
            <w:shd w:val="clear" w:color="000000" w:fill="E4DFEC"/>
            <w:noWrap/>
            <w:vAlign w:val="center"/>
          </w:tcPr>
          <w:p w14:paraId="5638AC88" w14:textId="39085045" w:rsidR="00E85D70" w:rsidRPr="00E85D70" w:rsidRDefault="003161BF" w:rsidP="00E85D70">
            <w:pPr>
              <w:jc w:val="right"/>
              <w:rPr>
                <w:rFonts w:ascii="Calibri" w:hAnsi="Calibri"/>
                <w:color w:val="000000"/>
                <w:lang w:eastAsia="en-GB"/>
              </w:rPr>
            </w:pPr>
            <w:r>
              <w:rPr>
                <w:rFonts w:ascii="Calibri" w:hAnsi="Calibri"/>
                <w:color w:val="000000"/>
                <w:lang w:eastAsia="en-GB"/>
              </w:rPr>
              <w:t>-72</w:t>
            </w:r>
          </w:p>
        </w:tc>
        <w:tc>
          <w:tcPr>
            <w:tcW w:w="1000" w:type="dxa"/>
            <w:tcBorders>
              <w:top w:val="nil"/>
              <w:left w:val="nil"/>
              <w:bottom w:val="nil"/>
              <w:right w:val="nil"/>
            </w:tcBorders>
            <w:shd w:val="clear" w:color="000000" w:fill="E4DFEC"/>
            <w:noWrap/>
            <w:vAlign w:val="center"/>
          </w:tcPr>
          <w:p w14:paraId="573FB2F9" w14:textId="77777777" w:rsidR="00E85D70" w:rsidRPr="00E85D70" w:rsidRDefault="00E85D70" w:rsidP="00E85D70">
            <w:pPr>
              <w:jc w:val="right"/>
              <w:rPr>
                <w:rFonts w:ascii="Calibri" w:hAnsi="Calibri"/>
                <w:color w:val="000000"/>
                <w:lang w:eastAsia="en-GB"/>
              </w:rPr>
            </w:pPr>
          </w:p>
        </w:tc>
      </w:tr>
      <w:tr w:rsidR="00E85D70" w:rsidRPr="00E85D70" w14:paraId="760B54AA"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46785C92" w14:textId="0078B20A"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w:t>
            </w:r>
            <w:r w:rsidR="00411B52">
              <w:rPr>
                <w:rFonts w:ascii="Calibri" w:hAnsi="Calibri"/>
                <w:color w:val="000000"/>
                <w:lang w:eastAsia="en-GB"/>
              </w:rPr>
              <w:t>2</w:t>
            </w:r>
            <w:r w:rsidR="007B3980">
              <w:rPr>
                <w:rFonts w:ascii="Calibri" w:hAnsi="Calibri"/>
                <w:color w:val="000000"/>
                <w:lang w:eastAsia="en-GB"/>
              </w:rPr>
              <w:t>82</w:t>
            </w:r>
          </w:p>
        </w:tc>
        <w:tc>
          <w:tcPr>
            <w:tcW w:w="6120" w:type="dxa"/>
            <w:tcBorders>
              <w:top w:val="nil"/>
              <w:left w:val="nil"/>
              <w:bottom w:val="single" w:sz="4" w:space="0" w:color="FFFFFF"/>
              <w:right w:val="single" w:sz="4" w:space="0" w:color="FFFFFF"/>
            </w:tcBorders>
            <w:shd w:val="clear" w:color="000000" w:fill="E4DFEC"/>
            <w:vAlign w:val="center"/>
            <w:hideMark/>
          </w:tcPr>
          <w:p w14:paraId="12842C47"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Revenue expenditure funded from capital under statute</w:t>
            </w:r>
          </w:p>
        </w:tc>
        <w:tc>
          <w:tcPr>
            <w:tcW w:w="1000" w:type="dxa"/>
            <w:tcBorders>
              <w:top w:val="nil"/>
              <w:left w:val="nil"/>
              <w:bottom w:val="single" w:sz="4" w:space="0" w:color="FFFFFF"/>
              <w:right w:val="single" w:sz="4" w:space="0" w:color="FFFFFF"/>
            </w:tcBorders>
            <w:shd w:val="clear" w:color="000000" w:fill="E4DFEC"/>
            <w:noWrap/>
            <w:vAlign w:val="center"/>
          </w:tcPr>
          <w:p w14:paraId="73A34E19" w14:textId="12678860" w:rsidR="00E85D70" w:rsidRPr="00E85D70" w:rsidRDefault="003161BF" w:rsidP="005A00B3">
            <w:pPr>
              <w:jc w:val="right"/>
              <w:rPr>
                <w:rFonts w:ascii="Calibri" w:hAnsi="Calibri"/>
                <w:color w:val="000000"/>
                <w:lang w:eastAsia="en-GB"/>
              </w:rPr>
            </w:pPr>
            <w:r>
              <w:rPr>
                <w:rFonts w:ascii="Calibri" w:hAnsi="Calibri"/>
                <w:color w:val="000000"/>
                <w:lang w:eastAsia="en-GB"/>
              </w:rPr>
              <w:t>-586</w:t>
            </w:r>
          </w:p>
        </w:tc>
        <w:tc>
          <w:tcPr>
            <w:tcW w:w="1000" w:type="dxa"/>
            <w:tcBorders>
              <w:top w:val="nil"/>
              <w:left w:val="nil"/>
              <w:bottom w:val="nil"/>
              <w:right w:val="nil"/>
            </w:tcBorders>
            <w:shd w:val="clear" w:color="000000" w:fill="E4DFEC"/>
            <w:noWrap/>
            <w:vAlign w:val="center"/>
          </w:tcPr>
          <w:p w14:paraId="5AF7F8A9" w14:textId="77777777" w:rsidR="00E85D70" w:rsidRPr="00E85D70" w:rsidRDefault="00E85D70" w:rsidP="00E85D70">
            <w:pPr>
              <w:jc w:val="right"/>
              <w:rPr>
                <w:rFonts w:ascii="Calibri" w:hAnsi="Calibri"/>
                <w:color w:val="000000"/>
                <w:lang w:eastAsia="en-GB"/>
              </w:rPr>
            </w:pPr>
          </w:p>
        </w:tc>
      </w:tr>
      <w:tr w:rsidR="00E85D70" w:rsidRPr="00E85D70" w14:paraId="79B4F45A" w14:textId="77777777" w:rsidTr="00DE0E04">
        <w:trPr>
          <w:trHeight w:val="765"/>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2BBC05D4" w14:textId="714F91E9"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w:t>
            </w:r>
            <w:r w:rsidR="007B3980">
              <w:rPr>
                <w:rFonts w:ascii="Calibri" w:hAnsi="Calibri"/>
                <w:color w:val="000000"/>
                <w:lang w:eastAsia="en-GB"/>
              </w:rPr>
              <w:t>613</w:t>
            </w:r>
          </w:p>
        </w:tc>
        <w:tc>
          <w:tcPr>
            <w:tcW w:w="6120" w:type="dxa"/>
            <w:tcBorders>
              <w:top w:val="nil"/>
              <w:left w:val="nil"/>
              <w:bottom w:val="single" w:sz="4" w:space="0" w:color="FFFFFF"/>
              <w:right w:val="single" w:sz="4" w:space="0" w:color="FFFFFF"/>
            </w:tcBorders>
            <w:shd w:val="clear" w:color="000000" w:fill="E4DFEC"/>
            <w:vAlign w:val="center"/>
            <w:hideMark/>
          </w:tcPr>
          <w:p w14:paraId="67386A75" w14:textId="3C139129" w:rsidR="00E85D70" w:rsidRPr="00E85D70" w:rsidRDefault="00E85D70" w:rsidP="00E85D70">
            <w:pPr>
              <w:rPr>
                <w:rFonts w:ascii="Calibri" w:hAnsi="Calibri"/>
                <w:color w:val="000000"/>
                <w:lang w:eastAsia="en-GB"/>
              </w:rPr>
            </w:pPr>
            <w:r w:rsidRPr="00E85D70">
              <w:rPr>
                <w:rFonts w:ascii="Calibri" w:hAnsi="Calibri"/>
                <w:color w:val="000000"/>
                <w:lang w:eastAsia="en-GB"/>
              </w:rPr>
              <w:t xml:space="preserve">Amounts of non-current assets written off on disposal as part of the gain/loss on disposal to the comprehensive income </w:t>
            </w:r>
            <w:r w:rsidR="00704A70">
              <w:rPr>
                <w:rFonts w:ascii="Calibri" w:hAnsi="Calibri"/>
                <w:color w:val="000000"/>
                <w:lang w:eastAsia="en-GB"/>
              </w:rPr>
              <w:t>and</w:t>
            </w:r>
            <w:r w:rsidRPr="00E85D70">
              <w:rPr>
                <w:rFonts w:ascii="Calibri" w:hAnsi="Calibri"/>
                <w:color w:val="000000"/>
                <w:lang w:eastAsia="en-GB"/>
              </w:rPr>
              <w:t xml:space="preserve"> expenditure statement</w:t>
            </w:r>
          </w:p>
        </w:tc>
        <w:tc>
          <w:tcPr>
            <w:tcW w:w="1000" w:type="dxa"/>
            <w:tcBorders>
              <w:top w:val="nil"/>
              <w:left w:val="nil"/>
              <w:bottom w:val="single" w:sz="4" w:space="0" w:color="FFFFFF"/>
              <w:right w:val="single" w:sz="4" w:space="0" w:color="FFFFFF"/>
            </w:tcBorders>
            <w:shd w:val="clear" w:color="000000" w:fill="E4DFEC"/>
            <w:noWrap/>
            <w:vAlign w:val="center"/>
          </w:tcPr>
          <w:p w14:paraId="7A58FF8A" w14:textId="29D3BF61" w:rsidR="00E85D70" w:rsidRPr="00E85D70" w:rsidRDefault="003161BF" w:rsidP="006465C8">
            <w:pPr>
              <w:jc w:val="right"/>
              <w:rPr>
                <w:rFonts w:ascii="Calibri" w:hAnsi="Calibri"/>
                <w:color w:val="000000"/>
                <w:lang w:eastAsia="en-GB"/>
              </w:rPr>
            </w:pPr>
            <w:r>
              <w:rPr>
                <w:rFonts w:ascii="Calibri" w:hAnsi="Calibri"/>
                <w:color w:val="000000"/>
                <w:lang w:eastAsia="en-GB"/>
              </w:rPr>
              <w:t>-766</w:t>
            </w:r>
          </w:p>
        </w:tc>
        <w:tc>
          <w:tcPr>
            <w:tcW w:w="1000" w:type="dxa"/>
            <w:tcBorders>
              <w:top w:val="nil"/>
              <w:left w:val="nil"/>
              <w:bottom w:val="nil"/>
              <w:right w:val="nil"/>
            </w:tcBorders>
            <w:shd w:val="clear" w:color="000000" w:fill="E4DFEC"/>
            <w:noWrap/>
            <w:vAlign w:val="center"/>
          </w:tcPr>
          <w:p w14:paraId="435046B2" w14:textId="77777777" w:rsidR="00E85D70" w:rsidRPr="00E85D70" w:rsidRDefault="00E85D70" w:rsidP="00E85D70">
            <w:pPr>
              <w:jc w:val="right"/>
              <w:rPr>
                <w:rFonts w:ascii="Calibri" w:hAnsi="Calibri"/>
                <w:color w:val="000000"/>
                <w:lang w:eastAsia="en-GB"/>
              </w:rPr>
            </w:pPr>
          </w:p>
        </w:tc>
      </w:tr>
      <w:tr w:rsidR="00E85D70" w:rsidRPr="00E85D70" w14:paraId="4D52869E"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CCC0DA"/>
            <w:noWrap/>
            <w:vAlign w:val="center"/>
            <w:hideMark/>
          </w:tcPr>
          <w:p w14:paraId="2E0F0ACC" w14:textId="262CE985" w:rsidR="00E85D70" w:rsidRPr="00E85D70" w:rsidRDefault="0058145B" w:rsidP="0058145B">
            <w:pPr>
              <w:jc w:val="right"/>
              <w:rPr>
                <w:rFonts w:ascii="Calibri" w:hAnsi="Calibri"/>
                <w:color w:val="000000"/>
                <w:lang w:eastAsia="en-GB"/>
              </w:rPr>
            </w:pPr>
            <w:r>
              <w:rPr>
                <w:rFonts w:ascii="Calibri" w:hAnsi="Calibri"/>
                <w:color w:val="000000"/>
                <w:lang w:eastAsia="en-GB"/>
              </w:rPr>
              <w:t>-</w:t>
            </w:r>
            <w:r w:rsidR="007B3980">
              <w:rPr>
                <w:rFonts w:ascii="Calibri" w:hAnsi="Calibri"/>
                <w:color w:val="000000"/>
                <w:lang w:eastAsia="en-GB"/>
              </w:rPr>
              <w:t>2,931</w:t>
            </w:r>
          </w:p>
        </w:tc>
        <w:tc>
          <w:tcPr>
            <w:tcW w:w="6120" w:type="dxa"/>
            <w:tcBorders>
              <w:top w:val="nil"/>
              <w:left w:val="nil"/>
              <w:bottom w:val="single" w:sz="4" w:space="0" w:color="FFFFFF"/>
              <w:right w:val="single" w:sz="4" w:space="0" w:color="FFFFFF"/>
            </w:tcBorders>
            <w:shd w:val="clear" w:color="000000" w:fill="CCC0DA"/>
            <w:vAlign w:val="bottom"/>
            <w:hideMark/>
          </w:tcPr>
          <w:p w14:paraId="121DEF61"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nil"/>
              <w:left w:val="nil"/>
              <w:bottom w:val="single" w:sz="4" w:space="0" w:color="FFFFFF"/>
              <w:right w:val="nil"/>
            </w:tcBorders>
            <w:shd w:val="clear" w:color="000000" w:fill="CCC0DA"/>
            <w:noWrap/>
            <w:vAlign w:val="center"/>
          </w:tcPr>
          <w:p w14:paraId="217529B7" w14:textId="5DC28A7D" w:rsidR="00E85D70" w:rsidRPr="00E85D70" w:rsidRDefault="00E85D70" w:rsidP="00E85D70">
            <w:pPr>
              <w:rPr>
                <w:rFonts w:ascii="Calibri" w:hAnsi="Calibri"/>
                <w:color w:val="000000"/>
                <w:lang w:eastAsia="en-GB"/>
              </w:rPr>
            </w:pPr>
          </w:p>
        </w:tc>
        <w:tc>
          <w:tcPr>
            <w:tcW w:w="1000" w:type="dxa"/>
            <w:tcBorders>
              <w:top w:val="single" w:sz="4" w:space="0" w:color="FFFFFF"/>
              <w:left w:val="single" w:sz="4" w:space="0" w:color="FFFFFF"/>
              <w:bottom w:val="single" w:sz="4" w:space="0" w:color="FFFFFF"/>
              <w:right w:val="single" w:sz="4" w:space="0" w:color="FFFFFF"/>
            </w:tcBorders>
            <w:shd w:val="clear" w:color="000000" w:fill="CCC0DA"/>
            <w:noWrap/>
            <w:vAlign w:val="center"/>
          </w:tcPr>
          <w:p w14:paraId="26CE2447" w14:textId="49314DCB" w:rsidR="00E85D70" w:rsidRPr="00E85D70" w:rsidRDefault="003161BF" w:rsidP="005C1E5D">
            <w:pPr>
              <w:jc w:val="right"/>
              <w:rPr>
                <w:rFonts w:ascii="Calibri" w:hAnsi="Calibri"/>
                <w:color w:val="000000"/>
                <w:lang w:eastAsia="en-GB"/>
              </w:rPr>
            </w:pPr>
            <w:r>
              <w:rPr>
                <w:rFonts w:ascii="Calibri" w:hAnsi="Calibri"/>
                <w:color w:val="000000"/>
                <w:lang w:eastAsia="en-GB"/>
              </w:rPr>
              <w:t>-4,03</w:t>
            </w:r>
            <w:r w:rsidR="00D875DC">
              <w:rPr>
                <w:rFonts w:ascii="Calibri" w:hAnsi="Calibri"/>
                <w:color w:val="000000"/>
                <w:lang w:eastAsia="en-GB"/>
              </w:rPr>
              <w:t>2</w:t>
            </w:r>
          </w:p>
        </w:tc>
      </w:tr>
      <w:tr w:rsidR="00E85D70" w:rsidRPr="00E85D70" w14:paraId="7DB03404"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72033888" w14:textId="776ECE98" w:rsidR="00E85D70" w:rsidRPr="00E85D70" w:rsidRDefault="007B3980" w:rsidP="0058145B">
            <w:pPr>
              <w:jc w:val="right"/>
              <w:rPr>
                <w:rFonts w:ascii="Calibri" w:hAnsi="Calibri"/>
                <w:color w:val="000000"/>
                <w:lang w:eastAsia="en-GB"/>
              </w:rPr>
            </w:pPr>
            <w:r>
              <w:rPr>
                <w:rFonts w:ascii="Calibri" w:hAnsi="Calibri"/>
                <w:color w:val="000000"/>
                <w:lang w:eastAsia="en-GB"/>
              </w:rPr>
              <w:t>1,179</w:t>
            </w:r>
          </w:p>
        </w:tc>
        <w:tc>
          <w:tcPr>
            <w:tcW w:w="6120" w:type="dxa"/>
            <w:tcBorders>
              <w:top w:val="nil"/>
              <w:left w:val="nil"/>
              <w:bottom w:val="single" w:sz="4" w:space="0" w:color="FFFFFF"/>
              <w:right w:val="single" w:sz="4" w:space="0" w:color="FFFFFF"/>
            </w:tcBorders>
            <w:shd w:val="clear" w:color="000000" w:fill="E4DFEC"/>
            <w:vAlign w:val="center"/>
            <w:hideMark/>
          </w:tcPr>
          <w:p w14:paraId="009CB125"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Adjusting amounts written out of the Revaluation Reserve</w:t>
            </w:r>
          </w:p>
        </w:tc>
        <w:tc>
          <w:tcPr>
            <w:tcW w:w="1000" w:type="dxa"/>
            <w:tcBorders>
              <w:top w:val="nil"/>
              <w:left w:val="nil"/>
              <w:bottom w:val="single" w:sz="4" w:space="0" w:color="FFFFFF"/>
              <w:right w:val="nil"/>
            </w:tcBorders>
            <w:shd w:val="clear" w:color="000000" w:fill="E4DFEC"/>
            <w:noWrap/>
            <w:vAlign w:val="center"/>
          </w:tcPr>
          <w:p w14:paraId="1644961C" w14:textId="59901037" w:rsidR="00E85D70" w:rsidRPr="00E85D70" w:rsidRDefault="003161BF" w:rsidP="00C20C42">
            <w:pPr>
              <w:jc w:val="right"/>
              <w:rPr>
                <w:rFonts w:ascii="Calibri" w:hAnsi="Calibri"/>
                <w:color w:val="000000"/>
                <w:lang w:eastAsia="en-GB"/>
              </w:rPr>
            </w:pPr>
            <w:r>
              <w:rPr>
                <w:rFonts w:ascii="Calibri" w:hAnsi="Calibri"/>
                <w:color w:val="000000"/>
                <w:lang w:eastAsia="en-GB"/>
              </w:rPr>
              <w:t>1,01</w:t>
            </w:r>
            <w:r w:rsidR="00BC561B">
              <w:rPr>
                <w:rFonts w:ascii="Calibri" w:hAnsi="Calibri"/>
                <w:color w:val="000000"/>
                <w:lang w:eastAsia="en-GB"/>
              </w:rPr>
              <w:t>5</w:t>
            </w:r>
          </w:p>
        </w:tc>
        <w:tc>
          <w:tcPr>
            <w:tcW w:w="1000" w:type="dxa"/>
            <w:tcBorders>
              <w:top w:val="nil"/>
              <w:left w:val="single" w:sz="4" w:space="0" w:color="FFFFFF"/>
              <w:bottom w:val="single" w:sz="4" w:space="0" w:color="FFFFFF"/>
              <w:right w:val="single" w:sz="4" w:space="0" w:color="FFFFFF"/>
            </w:tcBorders>
            <w:shd w:val="clear" w:color="000000" w:fill="E4DFEC"/>
            <w:noWrap/>
            <w:vAlign w:val="center"/>
          </w:tcPr>
          <w:p w14:paraId="603F7674" w14:textId="77777777" w:rsidR="00E85D70" w:rsidRPr="00E85D70" w:rsidRDefault="00E85D70" w:rsidP="00BA17C6">
            <w:pPr>
              <w:jc w:val="right"/>
              <w:rPr>
                <w:rFonts w:ascii="Calibri" w:hAnsi="Calibri"/>
                <w:color w:val="000000"/>
                <w:lang w:eastAsia="en-GB"/>
              </w:rPr>
            </w:pPr>
          </w:p>
        </w:tc>
      </w:tr>
      <w:tr w:rsidR="00E85D70" w:rsidRPr="00E85D70" w14:paraId="28791505" w14:textId="77777777" w:rsidTr="00DE0E04">
        <w:trPr>
          <w:trHeight w:val="510"/>
        </w:trPr>
        <w:tc>
          <w:tcPr>
            <w:tcW w:w="1291" w:type="dxa"/>
            <w:tcBorders>
              <w:top w:val="nil"/>
              <w:left w:val="single" w:sz="4" w:space="0" w:color="FFFFFF"/>
              <w:bottom w:val="single" w:sz="4" w:space="0" w:color="FFFFFF"/>
              <w:right w:val="single" w:sz="4" w:space="0" w:color="FFFFFF"/>
            </w:tcBorders>
            <w:shd w:val="clear" w:color="000000" w:fill="CCC0DA"/>
            <w:noWrap/>
            <w:vAlign w:val="center"/>
            <w:hideMark/>
          </w:tcPr>
          <w:p w14:paraId="6BC866F3" w14:textId="77B69C94" w:rsidR="00E85D70" w:rsidRPr="00E85D70" w:rsidRDefault="0058145B" w:rsidP="00E85D70">
            <w:pPr>
              <w:jc w:val="right"/>
              <w:rPr>
                <w:rFonts w:ascii="Calibri" w:hAnsi="Calibri"/>
                <w:color w:val="000000"/>
                <w:lang w:eastAsia="en-GB"/>
              </w:rPr>
            </w:pPr>
            <w:r>
              <w:rPr>
                <w:rFonts w:ascii="Calibri" w:hAnsi="Calibri"/>
                <w:color w:val="000000"/>
                <w:lang w:eastAsia="en-GB"/>
              </w:rPr>
              <w:t>-</w:t>
            </w:r>
            <w:r w:rsidR="007B3980">
              <w:rPr>
                <w:rFonts w:ascii="Calibri" w:hAnsi="Calibri"/>
                <w:color w:val="000000"/>
                <w:lang w:eastAsia="en-GB"/>
              </w:rPr>
              <w:t>1,752</w:t>
            </w:r>
          </w:p>
        </w:tc>
        <w:tc>
          <w:tcPr>
            <w:tcW w:w="6120" w:type="dxa"/>
            <w:tcBorders>
              <w:top w:val="nil"/>
              <w:left w:val="nil"/>
              <w:bottom w:val="single" w:sz="4" w:space="0" w:color="FFFFFF"/>
              <w:right w:val="single" w:sz="4" w:space="0" w:color="FFFFFF"/>
            </w:tcBorders>
            <w:shd w:val="clear" w:color="000000" w:fill="CCC0DA"/>
            <w:vAlign w:val="center"/>
            <w:hideMark/>
          </w:tcPr>
          <w:p w14:paraId="02226EE5"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Net written out amount of the cost of non-current assets consumed in the year</w:t>
            </w:r>
          </w:p>
        </w:tc>
        <w:tc>
          <w:tcPr>
            <w:tcW w:w="1000" w:type="dxa"/>
            <w:tcBorders>
              <w:top w:val="nil"/>
              <w:left w:val="nil"/>
              <w:bottom w:val="single" w:sz="4" w:space="0" w:color="FFFFFF"/>
              <w:right w:val="nil"/>
            </w:tcBorders>
            <w:shd w:val="clear" w:color="000000" w:fill="CCC0DA"/>
            <w:noWrap/>
            <w:vAlign w:val="center"/>
          </w:tcPr>
          <w:p w14:paraId="7E04E8FB" w14:textId="77777777" w:rsidR="00E85D70" w:rsidRPr="00E85D70" w:rsidRDefault="00E85D70" w:rsidP="00E85D70">
            <w:pPr>
              <w:rPr>
                <w:rFonts w:ascii="Calibri" w:hAnsi="Calibri"/>
                <w:color w:val="000000"/>
                <w:lang w:eastAsia="en-GB"/>
              </w:rPr>
            </w:pPr>
          </w:p>
        </w:tc>
        <w:tc>
          <w:tcPr>
            <w:tcW w:w="1000" w:type="dxa"/>
            <w:tcBorders>
              <w:top w:val="nil"/>
              <w:left w:val="single" w:sz="4" w:space="0" w:color="FFFFFF"/>
              <w:bottom w:val="single" w:sz="4" w:space="0" w:color="FFFFFF"/>
              <w:right w:val="single" w:sz="4" w:space="0" w:color="FFFFFF"/>
            </w:tcBorders>
            <w:shd w:val="clear" w:color="000000" w:fill="CCC0DA"/>
            <w:noWrap/>
            <w:vAlign w:val="center"/>
          </w:tcPr>
          <w:p w14:paraId="1D6AE252" w14:textId="357CDF9D" w:rsidR="00E85D70" w:rsidRPr="00E85D70" w:rsidRDefault="003161BF" w:rsidP="005C1E5D">
            <w:pPr>
              <w:jc w:val="right"/>
              <w:rPr>
                <w:rFonts w:ascii="Calibri" w:hAnsi="Calibri"/>
                <w:color w:val="000000"/>
                <w:lang w:eastAsia="en-GB"/>
              </w:rPr>
            </w:pPr>
            <w:r>
              <w:rPr>
                <w:rFonts w:ascii="Calibri" w:hAnsi="Calibri"/>
                <w:color w:val="000000"/>
                <w:lang w:eastAsia="en-GB"/>
              </w:rPr>
              <w:t>-3,01</w:t>
            </w:r>
            <w:r w:rsidR="00D875DC">
              <w:rPr>
                <w:rFonts w:ascii="Calibri" w:hAnsi="Calibri"/>
                <w:color w:val="000000"/>
                <w:lang w:eastAsia="en-GB"/>
              </w:rPr>
              <w:t>7</w:t>
            </w:r>
          </w:p>
        </w:tc>
      </w:tr>
      <w:tr w:rsidR="00E85D70" w:rsidRPr="00E85D70" w14:paraId="5AC897C3" w14:textId="77777777" w:rsidTr="00DE0E04">
        <w:trPr>
          <w:trHeight w:val="300"/>
        </w:trPr>
        <w:tc>
          <w:tcPr>
            <w:tcW w:w="1291" w:type="dxa"/>
            <w:tcBorders>
              <w:top w:val="nil"/>
              <w:left w:val="single" w:sz="4" w:space="0" w:color="FFFFFF"/>
              <w:bottom w:val="single" w:sz="4" w:space="0" w:color="FFFFFF"/>
              <w:right w:val="nil"/>
            </w:tcBorders>
            <w:shd w:val="clear" w:color="000000" w:fill="E4DFEC"/>
            <w:noWrap/>
            <w:vAlign w:val="bottom"/>
            <w:hideMark/>
          </w:tcPr>
          <w:p w14:paraId="48282141"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6120" w:type="dxa"/>
            <w:tcBorders>
              <w:top w:val="nil"/>
              <w:left w:val="nil"/>
              <w:bottom w:val="single" w:sz="4" w:space="0" w:color="FFFFFF"/>
              <w:right w:val="nil"/>
            </w:tcBorders>
            <w:shd w:val="clear" w:color="000000" w:fill="E4DFEC"/>
            <w:vAlign w:val="center"/>
            <w:hideMark/>
          </w:tcPr>
          <w:p w14:paraId="46909C8B" w14:textId="77777777" w:rsidR="00E85D70" w:rsidRPr="00E85D70" w:rsidRDefault="00E85D70" w:rsidP="00E85D70">
            <w:pPr>
              <w:rPr>
                <w:rFonts w:ascii="Calibri" w:hAnsi="Calibri"/>
                <w:b/>
                <w:bCs/>
                <w:color w:val="000000"/>
                <w:lang w:eastAsia="en-GB"/>
              </w:rPr>
            </w:pPr>
            <w:r w:rsidRPr="00E85D70">
              <w:rPr>
                <w:rFonts w:ascii="Calibri" w:hAnsi="Calibri"/>
                <w:b/>
                <w:bCs/>
                <w:color w:val="000000"/>
                <w:lang w:eastAsia="en-GB"/>
              </w:rPr>
              <w:t>Capital Financing Applied in the year:</w:t>
            </w:r>
          </w:p>
        </w:tc>
        <w:tc>
          <w:tcPr>
            <w:tcW w:w="1000" w:type="dxa"/>
            <w:tcBorders>
              <w:top w:val="nil"/>
              <w:left w:val="nil"/>
              <w:bottom w:val="single" w:sz="4" w:space="0" w:color="FFFFFF"/>
              <w:right w:val="nil"/>
            </w:tcBorders>
            <w:shd w:val="clear" w:color="000000" w:fill="E4DFEC"/>
            <w:noWrap/>
            <w:vAlign w:val="center"/>
          </w:tcPr>
          <w:p w14:paraId="34D269D9" w14:textId="77777777" w:rsidR="00E85D70" w:rsidRPr="00E85D70" w:rsidRDefault="00E85D70" w:rsidP="00E85D70">
            <w:pPr>
              <w:rPr>
                <w:rFonts w:ascii="Calibri" w:hAnsi="Calibri"/>
                <w:color w:val="000000"/>
                <w:lang w:eastAsia="en-GB"/>
              </w:rPr>
            </w:pPr>
          </w:p>
        </w:tc>
        <w:tc>
          <w:tcPr>
            <w:tcW w:w="1000" w:type="dxa"/>
            <w:tcBorders>
              <w:top w:val="nil"/>
              <w:left w:val="nil"/>
              <w:bottom w:val="nil"/>
              <w:right w:val="nil"/>
            </w:tcBorders>
            <w:shd w:val="clear" w:color="000000" w:fill="E4DFEC"/>
            <w:noWrap/>
            <w:vAlign w:val="center"/>
          </w:tcPr>
          <w:p w14:paraId="07336C26" w14:textId="77777777" w:rsidR="00E85D70" w:rsidRPr="00E85D70" w:rsidRDefault="00E85D70" w:rsidP="00E85D70">
            <w:pPr>
              <w:jc w:val="right"/>
              <w:rPr>
                <w:rFonts w:ascii="Calibri" w:hAnsi="Calibri"/>
                <w:color w:val="000000"/>
                <w:lang w:eastAsia="en-GB"/>
              </w:rPr>
            </w:pPr>
          </w:p>
        </w:tc>
      </w:tr>
      <w:tr w:rsidR="00E85D70" w:rsidRPr="00E85D70" w14:paraId="3BBEF38B" w14:textId="77777777" w:rsidTr="00DE0E04">
        <w:trPr>
          <w:trHeight w:val="402"/>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5C730940" w14:textId="23B1FF44" w:rsidR="00E85D70" w:rsidRPr="00E85D70" w:rsidRDefault="007B3980" w:rsidP="0058145B">
            <w:pPr>
              <w:jc w:val="right"/>
              <w:rPr>
                <w:rFonts w:ascii="Calibri" w:hAnsi="Calibri"/>
                <w:color w:val="000000"/>
                <w:lang w:eastAsia="en-GB"/>
              </w:rPr>
            </w:pPr>
            <w:r>
              <w:rPr>
                <w:rFonts w:ascii="Calibri" w:hAnsi="Calibri"/>
                <w:color w:val="000000"/>
                <w:lang w:eastAsia="en-GB"/>
              </w:rPr>
              <w:t>985</w:t>
            </w:r>
          </w:p>
        </w:tc>
        <w:tc>
          <w:tcPr>
            <w:tcW w:w="6120" w:type="dxa"/>
            <w:tcBorders>
              <w:top w:val="nil"/>
              <w:left w:val="nil"/>
              <w:bottom w:val="single" w:sz="4" w:space="0" w:color="FFFFFF"/>
              <w:right w:val="single" w:sz="4" w:space="0" w:color="FFFFFF"/>
            </w:tcBorders>
            <w:shd w:val="clear" w:color="000000" w:fill="E4DFEC"/>
            <w:vAlign w:val="center"/>
            <w:hideMark/>
          </w:tcPr>
          <w:p w14:paraId="4436CE4A"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Use of the Capital Receipts Reserve to finance new capital expenditure</w:t>
            </w:r>
          </w:p>
        </w:tc>
        <w:tc>
          <w:tcPr>
            <w:tcW w:w="1000" w:type="dxa"/>
            <w:tcBorders>
              <w:top w:val="nil"/>
              <w:left w:val="nil"/>
              <w:bottom w:val="single" w:sz="4" w:space="0" w:color="FFFFFF"/>
              <w:right w:val="single" w:sz="4" w:space="0" w:color="FFFFFF"/>
            </w:tcBorders>
            <w:shd w:val="clear" w:color="000000" w:fill="E4DFEC"/>
            <w:noWrap/>
            <w:vAlign w:val="center"/>
          </w:tcPr>
          <w:p w14:paraId="0594D842" w14:textId="02E5D899" w:rsidR="00E85D70" w:rsidRPr="00E85D70" w:rsidRDefault="003161BF" w:rsidP="00E85D70">
            <w:pPr>
              <w:jc w:val="right"/>
              <w:rPr>
                <w:rFonts w:ascii="Calibri" w:hAnsi="Calibri"/>
                <w:color w:val="000000"/>
                <w:lang w:eastAsia="en-GB"/>
              </w:rPr>
            </w:pPr>
            <w:r>
              <w:rPr>
                <w:rFonts w:ascii="Calibri" w:hAnsi="Calibri"/>
                <w:color w:val="000000"/>
                <w:lang w:eastAsia="en-GB"/>
              </w:rPr>
              <w:t>1,315</w:t>
            </w:r>
          </w:p>
        </w:tc>
        <w:tc>
          <w:tcPr>
            <w:tcW w:w="1000" w:type="dxa"/>
            <w:tcBorders>
              <w:top w:val="nil"/>
              <w:left w:val="nil"/>
              <w:bottom w:val="nil"/>
              <w:right w:val="nil"/>
            </w:tcBorders>
            <w:shd w:val="clear" w:color="000000" w:fill="E4DFEC"/>
            <w:noWrap/>
            <w:vAlign w:val="center"/>
          </w:tcPr>
          <w:p w14:paraId="3A391A9E" w14:textId="77777777" w:rsidR="00E85D70" w:rsidRPr="00E85D70" w:rsidRDefault="00E85D70" w:rsidP="00E85D70">
            <w:pPr>
              <w:jc w:val="right"/>
              <w:rPr>
                <w:rFonts w:ascii="Calibri" w:hAnsi="Calibri"/>
                <w:color w:val="000000"/>
                <w:lang w:eastAsia="en-GB"/>
              </w:rPr>
            </w:pPr>
          </w:p>
        </w:tc>
      </w:tr>
      <w:tr w:rsidR="00E85D70" w:rsidRPr="00E85D70" w14:paraId="524BA197" w14:textId="77777777" w:rsidTr="00DE0E04">
        <w:trPr>
          <w:trHeight w:val="423"/>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2791F4AA" w14:textId="5A524FFC"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1,</w:t>
            </w:r>
            <w:r w:rsidR="007B3980">
              <w:rPr>
                <w:rFonts w:ascii="Calibri" w:hAnsi="Calibri"/>
                <w:color w:val="000000"/>
                <w:lang w:eastAsia="en-GB"/>
              </w:rPr>
              <w:t>112</w:t>
            </w:r>
          </w:p>
        </w:tc>
        <w:tc>
          <w:tcPr>
            <w:tcW w:w="6120" w:type="dxa"/>
            <w:tcBorders>
              <w:top w:val="nil"/>
              <w:left w:val="nil"/>
              <w:bottom w:val="single" w:sz="4" w:space="0" w:color="FFFFFF"/>
              <w:right w:val="single" w:sz="4" w:space="0" w:color="FFFFFF"/>
            </w:tcBorders>
            <w:shd w:val="clear" w:color="000000" w:fill="E4DFEC"/>
            <w:vAlign w:val="center"/>
            <w:hideMark/>
          </w:tcPr>
          <w:p w14:paraId="2563D714"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Use of the Major Repairs Reserve to finance new capital expenditure</w:t>
            </w:r>
          </w:p>
        </w:tc>
        <w:tc>
          <w:tcPr>
            <w:tcW w:w="1000" w:type="dxa"/>
            <w:tcBorders>
              <w:top w:val="nil"/>
              <w:left w:val="nil"/>
              <w:bottom w:val="single" w:sz="4" w:space="0" w:color="FFFFFF"/>
              <w:right w:val="single" w:sz="4" w:space="0" w:color="FFFFFF"/>
            </w:tcBorders>
            <w:shd w:val="clear" w:color="000000" w:fill="E4DFEC"/>
            <w:noWrap/>
            <w:vAlign w:val="center"/>
          </w:tcPr>
          <w:p w14:paraId="023EF263" w14:textId="143D908C" w:rsidR="00E85D70" w:rsidRPr="00E85D70" w:rsidRDefault="003161BF" w:rsidP="004619B9">
            <w:pPr>
              <w:jc w:val="right"/>
              <w:rPr>
                <w:rFonts w:ascii="Calibri" w:hAnsi="Calibri"/>
                <w:color w:val="000000"/>
                <w:lang w:eastAsia="en-GB"/>
              </w:rPr>
            </w:pPr>
            <w:r>
              <w:rPr>
                <w:rFonts w:ascii="Calibri" w:hAnsi="Calibri"/>
                <w:color w:val="000000"/>
                <w:lang w:eastAsia="en-GB"/>
              </w:rPr>
              <w:t>1,943</w:t>
            </w:r>
          </w:p>
        </w:tc>
        <w:tc>
          <w:tcPr>
            <w:tcW w:w="1000" w:type="dxa"/>
            <w:tcBorders>
              <w:top w:val="nil"/>
              <w:left w:val="nil"/>
              <w:bottom w:val="nil"/>
              <w:right w:val="nil"/>
            </w:tcBorders>
            <w:shd w:val="clear" w:color="000000" w:fill="E4DFEC"/>
            <w:noWrap/>
            <w:vAlign w:val="center"/>
          </w:tcPr>
          <w:p w14:paraId="43E56474" w14:textId="77777777" w:rsidR="00E85D70" w:rsidRPr="00E85D70" w:rsidRDefault="00E85D70" w:rsidP="00E85D70">
            <w:pPr>
              <w:jc w:val="right"/>
              <w:rPr>
                <w:rFonts w:ascii="Calibri" w:hAnsi="Calibri"/>
                <w:color w:val="000000"/>
                <w:lang w:eastAsia="en-GB"/>
              </w:rPr>
            </w:pPr>
          </w:p>
        </w:tc>
      </w:tr>
      <w:tr w:rsidR="00E85D70" w:rsidRPr="00E85D70" w14:paraId="0B6845AD" w14:textId="77777777" w:rsidTr="00DE0E04">
        <w:trPr>
          <w:trHeight w:val="51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3A82FA78" w14:textId="12B24B5F" w:rsidR="00E85D70" w:rsidRPr="00E85D70" w:rsidRDefault="007B3980" w:rsidP="00E85D70">
            <w:pPr>
              <w:jc w:val="right"/>
              <w:rPr>
                <w:rFonts w:ascii="Calibri" w:hAnsi="Calibri"/>
                <w:color w:val="000000"/>
                <w:lang w:eastAsia="en-GB"/>
              </w:rPr>
            </w:pPr>
            <w:r>
              <w:rPr>
                <w:rFonts w:ascii="Calibri" w:hAnsi="Calibri"/>
                <w:color w:val="000000"/>
                <w:lang w:eastAsia="en-GB"/>
              </w:rPr>
              <w:t>37</w:t>
            </w:r>
          </w:p>
        </w:tc>
        <w:tc>
          <w:tcPr>
            <w:tcW w:w="6120" w:type="dxa"/>
            <w:tcBorders>
              <w:top w:val="nil"/>
              <w:left w:val="nil"/>
              <w:bottom w:val="single" w:sz="4" w:space="0" w:color="FFFFFF"/>
              <w:right w:val="single" w:sz="4" w:space="0" w:color="FFFFFF"/>
            </w:tcBorders>
            <w:shd w:val="clear" w:color="000000" w:fill="E4DFEC"/>
            <w:vAlign w:val="center"/>
            <w:hideMark/>
          </w:tcPr>
          <w:p w14:paraId="4DCF948D" w14:textId="0FC86174" w:rsidR="00E85D70" w:rsidRPr="00E85D70" w:rsidRDefault="00E85D70" w:rsidP="00E85D70">
            <w:pPr>
              <w:rPr>
                <w:rFonts w:ascii="Calibri" w:hAnsi="Calibri"/>
                <w:color w:val="000000"/>
                <w:lang w:eastAsia="en-GB"/>
              </w:rPr>
            </w:pPr>
            <w:r w:rsidRPr="00E85D70">
              <w:rPr>
                <w:rFonts w:ascii="Calibri" w:hAnsi="Calibri"/>
                <w:color w:val="000000"/>
                <w:lang w:eastAsia="en-GB"/>
              </w:rPr>
              <w:t xml:space="preserve">Use of Development </w:t>
            </w:r>
            <w:r w:rsidR="00704A70">
              <w:rPr>
                <w:rFonts w:ascii="Calibri" w:hAnsi="Calibri"/>
                <w:color w:val="000000"/>
                <w:lang w:eastAsia="en-GB"/>
              </w:rPr>
              <w:t>and</w:t>
            </w:r>
            <w:r w:rsidRPr="00E85D70">
              <w:rPr>
                <w:rFonts w:ascii="Calibri" w:hAnsi="Calibri"/>
                <w:color w:val="000000"/>
                <w:lang w:eastAsia="en-GB"/>
              </w:rPr>
              <w:t xml:space="preserve"> Regeneration Reserve to finance new capital expenditure</w:t>
            </w:r>
          </w:p>
        </w:tc>
        <w:tc>
          <w:tcPr>
            <w:tcW w:w="1000" w:type="dxa"/>
            <w:tcBorders>
              <w:top w:val="nil"/>
              <w:left w:val="nil"/>
              <w:bottom w:val="single" w:sz="4" w:space="0" w:color="FFFFFF"/>
              <w:right w:val="single" w:sz="4" w:space="0" w:color="FFFFFF"/>
            </w:tcBorders>
            <w:shd w:val="clear" w:color="000000" w:fill="E4DFEC"/>
            <w:noWrap/>
            <w:vAlign w:val="center"/>
          </w:tcPr>
          <w:p w14:paraId="2F82BF96" w14:textId="18DF02D5" w:rsidR="00E85D70" w:rsidRPr="00E85D70" w:rsidRDefault="003161BF" w:rsidP="00170BF4">
            <w:pPr>
              <w:jc w:val="right"/>
              <w:rPr>
                <w:rFonts w:ascii="Calibri" w:hAnsi="Calibri"/>
                <w:color w:val="000000"/>
                <w:lang w:eastAsia="en-GB"/>
              </w:rPr>
            </w:pPr>
            <w:r>
              <w:rPr>
                <w:rFonts w:ascii="Calibri" w:hAnsi="Calibri"/>
                <w:color w:val="000000"/>
                <w:lang w:eastAsia="en-GB"/>
              </w:rPr>
              <w:t>7</w:t>
            </w:r>
          </w:p>
        </w:tc>
        <w:tc>
          <w:tcPr>
            <w:tcW w:w="1000" w:type="dxa"/>
            <w:tcBorders>
              <w:top w:val="nil"/>
              <w:left w:val="nil"/>
              <w:bottom w:val="nil"/>
              <w:right w:val="nil"/>
            </w:tcBorders>
            <w:shd w:val="clear" w:color="000000" w:fill="E4DFEC"/>
            <w:noWrap/>
            <w:vAlign w:val="center"/>
          </w:tcPr>
          <w:p w14:paraId="45FCB994" w14:textId="77777777" w:rsidR="00E85D70" w:rsidRPr="00E85D70" w:rsidRDefault="00E85D70" w:rsidP="00E85D70">
            <w:pPr>
              <w:jc w:val="right"/>
              <w:rPr>
                <w:rFonts w:ascii="Calibri" w:hAnsi="Calibri"/>
                <w:color w:val="000000"/>
                <w:lang w:eastAsia="en-GB"/>
              </w:rPr>
            </w:pPr>
          </w:p>
        </w:tc>
      </w:tr>
      <w:tr w:rsidR="00E85D70" w:rsidRPr="00E85D70" w14:paraId="3E0D842E" w14:textId="77777777" w:rsidTr="00DE0E04">
        <w:trPr>
          <w:trHeight w:val="538"/>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3A45A855" w14:textId="59278412" w:rsidR="00E85D70" w:rsidRPr="00E85D70" w:rsidRDefault="00411B52" w:rsidP="00E85D70">
            <w:pPr>
              <w:jc w:val="right"/>
              <w:rPr>
                <w:rFonts w:ascii="Calibri" w:hAnsi="Calibri"/>
                <w:color w:val="000000"/>
                <w:lang w:eastAsia="en-GB"/>
              </w:rPr>
            </w:pPr>
            <w:r>
              <w:rPr>
                <w:rFonts w:ascii="Calibri" w:hAnsi="Calibri"/>
                <w:color w:val="000000"/>
                <w:lang w:eastAsia="en-GB"/>
              </w:rPr>
              <w:t>2</w:t>
            </w:r>
            <w:r w:rsidR="007B3980">
              <w:rPr>
                <w:rFonts w:ascii="Calibri" w:hAnsi="Calibri"/>
                <w:color w:val="000000"/>
                <w:lang w:eastAsia="en-GB"/>
              </w:rPr>
              <w:t>96</w:t>
            </w:r>
          </w:p>
        </w:tc>
        <w:tc>
          <w:tcPr>
            <w:tcW w:w="6120" w:type="dxa"/>
            <w:tcBorders>
              <w:top w:val="nil"/>
              <w:left w:val="nil"/>
              <w:bottom w:val="single" w:sz="4" w:space="0" w:color="FFFFFF"/>
              <w:right w:val="single" w:sz="4" w:space="0" w:color="FFFFFF"/>
            </w:tcBorders>
            <w:shd w:val="clear" w:color="000000" w:fill="E4DFEC"/>
            <w:vAlign w:val="center"/>
            <w:hideMark/>
          </w:tcPr>
          <w:p w14:paraId="1D579E59" w14:textId="1537D675" w:rsidR="00E85D70" w:rsidRPr="00E85D70" w:rsidRDefault="00E85D70" w:rsidP="00E85D70">
            <w:pPr>
              <w:rPr>
                <w:rFonts w:ascii="Calibri" w:hAnsi="Calibri"/>
                <w:color w:val="000000"/>
                <w:lang w:eastAsia="en-GB"/>
              </w:rPr>
            </w:pPr>
            <w:r w:rsidRPr="00E85D70">
              <w:rPr>
                <w:rFonts w:ascii="Calibri" w:hAnsi="Calibri"/>
                <w:color w:val="000000"/>
                <w:lang w:eastAsia="en-GB"/>
              </w:rPr>
              <w:t xml:space="preserve">Capital Grants </w:t>
            </w:r>
            <w:r w:rsidR="00704A70">
              <w:rPr>
                <w:rFonts w:ascii="Calibri" w:hAnsi="Calibri"/>
                <w:color w:val="000000"/>
                <w:lang w:eastAsia="en-GB"/>
              </w:rPr>
              <w:t>and</w:t>
            </w:r>
            <w:r w:rsidRPr="00E85D70">
              <w:rPr>
                <w:rFonts w:ascii="Calibri" w:hAnsi="Calibri"/>
                <w:color w:val="000000"/>
                <w:lang w:eastAsia="en-GB"/>
              </w:rPr>
              <w:t xml:space="preserve"> Contributions credited to comprehensive income </w:t>
            </w:r>
            <w:r w:rsidR="00704A70">
              <w:rPr>
                <w:rFonts w:ascii="Calibri" w:hAnsi="Calibri"/>
                <w:color w:val="000000"/>
                <w:lang w:eastAsia="en-GB"/>
              </w:rPr>
              <w:t>and</w:t>
            </w:r>
            <w:r w:rsidRPr="00E85D70">
              <w:rPr>
                <w:rFonts w:ascii="Calibri" w:hAnsi="Calibri"/>
                <w:color w:val="000000"/>
                <w:lang w:eastAsia="en-GB"/>
              </w:rPr>
              <w:t xml:space="preserve"> expenditure statement that have been applied to capital financing</w:t>
            </w:r>
          </w:p>
        </w:tc>
        <w:tc>
          <w:tcPr>
            <w:tcW w:w="1000" w:type="dxa"/>
            <w:tcBorders>
              <w:top w:val="nil"/>
              <w:left w:val="nil"/>
              <w:bottom w:val="single" w:sz="4" w:space="0" w:color="FFFFFF"/>
              <w:right w:val="single" w:sz="4" w:space="0" w:color="FFFFFF"/>
            </w:tcBorders>
            <w:shd w:val="clear" w:color="000000" w:fill="E4DFEC"/>
            <w:noWrap/>
            <w:vAlign w:val="center"/>
          </w:tcPr>
          <w:p w14:paraId="45626B2A" w14:textId="53004115" w:rsidR="00E85D70" w:rsidRPr="00E85D70" w:rsidRDefault="003161BF" w:rsidP="00E85D70">
            <w:pPr>
              <w:jc w:val="right"/>
              <w:rPr>
                <w:rFonts w:ascii="Calibri" w:hAnsi="Calibri"/>
                <w:color w:val="000000"/>
                <w:lang w:eastAsia="en-GB"/>
              </w:rPr>
            </w:pPr>
            <w:r>
              <w:rPr>
                <w:rFonts w:ascii="Calibri" w:hAnsi="Calibri"/>
                <w:color w:val="000000"/>
                <w:lang w:eastAsia="en-GB"/>
              </w:rPr>
              <w:t>838</w:t>
            </w:r>
          </w:p>
        </w:tc>
        <w:tc>
          <w:tcPr>
            <w:tcW w:w="1000" w:type="dxa"/>
            <w:tcBorders>
              <w:top w:val="nil"/>
              <w:left w:val="nil"/>
              <w:bottom w:val="nil"/>
              <w:right w:val="nil"/>
            </w:tcBorders>
            <w:shd w:val="clear" w:color="000000" w:fill="E4DFEC"/>
            <w:noWrap/>
            <w:vAlign w:val="center"/>
          </w:tcPr>
          <w:p w14:paraId="6BB5F1E3" w14:textId="77777777" w:rsidR="00E85D70" w:rsidRPr="00E85D70" w:rsidRDefault="00E85D70" w:rsidP="00E85D70">
            <w:pPr>
              <w:jc w:val="right"/>
              <w:rPr>
                <w:rFonts w:ascii="Calibri" w:hAnsi="Calibri"/>
                <w:color w:val="000000"/>
                <w:lang w:eastAsia="en-GB"/>
              </w:rPr>
            </w:pPr>
          </w:p>
        </w:tc>
      </w:tr>
      <w:tr w:rsidR="00E85D70" w:rsidRPr="00E85D70" w14:paraId="52D93086" w14:textId="77777777" w:rsidTr="00DE0E04">
        <w:trPr>
          <w:trHeight w:val="51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2794B626" w14:textId="13486EDD" w:rsidR="00E85D70" w:rsidRPr="00E85D70" w:rsidRDefault="007B3980" w:rsidP="00E85D70">
            <w:pPr>
              <w:jc w:val="right"/>
              <w:rPr>
                <w:rFonts w:ascii="Calibri" w:hAnsi="Calibri"/>
                <w:color w:val="000000"/>
                <w:lang w:eastAsia="en-GB"/>
              </w:rPr>
            </w:pPr>
            <w:r>
              <w:rPr>
                <w:rFonts w:ascii="Calibri" w:hAnsi="Calibri"/>
                <w:color w:val="000000"/>
                <w:lang w:eastAsia="en-GB"/>
              </w:rPr>
              <w:t>0</w:t>
            </w:r>
          </w:p>
        </w:tc>
        <w:tc>
          <w:tcPr>
            <w:tcW w:w="6120" w:type="dxa"/>
            <w:tcBorders>
              <w:top w:val="nil"/>
              <w:left w:val="nil"/>
              <w:bottom w:val="single" w:sz="4" w:space="0" w:color="FFFFFF"/>
              <w:right w:val="single" w:sz="4" w:space="0" w:color="FFFFFF"/>
            </w:tcBorders>
            <w:shd w:val="clear" w:color="000000" w:fill="E4DFEC"/>
            <w:vAlign w:val="center"/>
            <w:hideMark/>
          </w:tcPr>
          <w:p w14:paraId="0F1C96B1"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Application of Grants to capital financing from Capital Grants Unapplied Account</w:t>
            </w:r>
          </w:p>
        </w:tc>
        <w:tc>
          <w:tcPr>
            <w:tcW w:w="1000" w:type="dxa"/>
            <w:tcBorders>
              <w:top w:val="nil"/>
              <w:left w:val="nil"/>
              <w:bottom w:val="single" w:sz="4" w:space="0" w:color="FFFFFF"/>
              <w:right w:val="single" w:sz="4" w:space="0" w:color="FFFFFF"/>
            </w:tcBorders>
            <w:shd w:val="clear" w:color="000000" w:fill="E4DFEC"/>
            <w:noWrap/>
            <w:vAlign w:val="center"/>
          </w:tcPr>
          <w:p w14:paraId="56CDB155" w14:textId="4BCDA7C8" w:rsidR="00E85D70" w:rsidRPr="00E85D70" w:rsidRDefault="003161BF" w:rsidP="00E85D70">
            <w:pPr>
              <w:jc w:val="right"/>
              <w:rPr>
                <w:rFonts w:ascii="Calibri" w:hAnsi="Calibri"/>
                <w:color w:val="000000"/>
                <w:lang w:eastAsia="en-GB"/>
              </w:rPr>
            </w:pPr>
            <w:r>
              <w:rPr>
                <w:rFonts w:ascii="Calibri" w:hAnsi="Calibri"/>
                <w:color w:val="000000"/>
                <w:lang w:eastAsia="en-GB"/>
              </w:rPr>
              <w:t>0</w:t>
            </w:r>
          </w:p>
        </w:tc>
        <w:tc>
          <w:tcPr>
            <w:tcW w:w="1000" w:type="dxa"/>
            <w:tcBorders>
              <w:top w:val="nil"/>
              <w:left w:val="nil"/>
              <w:bottom w:val="nil"/>
              <w:right w:val="nil"/>
            </w:tcBorders>
            <w:shd w:val="clear" w:color="000000" w:fill="E4DFEC"/>
            <w:noWrap/>
            <w:vAlign w:val="center"/>
          </w:tcPr>
          <w:p w14:paraId="2C18EA17" w14:textId="77777777" w:rsidR="00E85D70" w:rsidRPr="00E85D70" w:rsidRDefault="00E85D70" w:rsidP="00E85D70">
            <w:pPr>
              <w:jc w:val="right"/>
              <w:rPr>
                <w:rFonts w:ascii="Calibri" w:hAnsi="Calibri"/>
                <w:color w:val="000000"/>
                <w:lang w:eastAsia="en-GB"/>
              </w:rPr>
            </w:pPr>
          </w:p>
        </w:tc>
      </w:tr>
      <w:tr w:rsidR="007F25A3" w:rsidRPr="00E85D70" w14:paraId="37B6E143" w14:textId="77777777" w:rsidTr="00DE0E04">
        <w:trPr>
          <w:trHeight w:val="510"/>
        </w:trPr>
        <w:tc>
          <w:tcPr>
            <w:tcW w:w="1291" w:type="dxa"/>
            <w:tcBorders>
              <w:top w:val="nil"/>
              <w:left w:val="single" w:sz="4" w:space="0" w:color="FFFFFF"/>
              <w:bottom w:val="single" w:sz="4" w:space="0" w:color="FFFFFF"/>
              <w:right w:val="single" w:sz="4" w:space="0" w:color="FFFFFF"/>
            </w:tcBorders>
            <w:shd w:val="clear" w:color="000000" w:fill="E4DFEC"/>
            <w:noWrap/>
            <w:vAlign w:val="center"/>
          </w:tcPr>
          <w:p w14:paraId="3E1A2F84" w14:textId="7DEC99E8" w:rsidR="007F25A3" w:rsidRDefault="007F25A3" w:rsidP="00E85D70">
            <w:pPr>
              <w:jc w:val="right"/>
              <w:rPr>
                <w:rFonts w:ascii="Calibri" w:hAnsi="Calibri"/>
                <w:color w:val="000000"/>
                <w:lang w:eastAsia="en-GB"/>
              </w:rPr>
            </w:pPr>
            <w:r>
              <w:rPr>
                <w:rFonts w:ascii="Calibri" w:hAnsi="Calibri"/>
                <w:color w:val="000000"/>
                <w:lang w:eastAsia="en-GB"/>
              </w:rPr>
              <w:t>0</w:t>
            </w:r>
          </w:p>
        </w:tc>
        <w:tc>
          <w:tcPr>
            <w:tcW w:w="6120" w:type="dxa"/>
            <w:tcBorders>
              <w:top w:val="nil"/>
              <w:left w:val="nil"/>
              <w:bottom w:val="single" w:sz="4" w:space="0" w:color="FFFFFF"/>
              <w:right w:val="single" w:sz="4" w:space="0" w:color="FFFFFF"/>
            </w:tcBorders>
            <w:shd w:val="clear" w:color="000000" w:fill="E4DFEC"/>
            <w:vAlign w:val="center"/>
          </w:tcPr>
          <w:p w14:paraId="0D9DBCD0" w14:textId="7F5F70D1" w:rsidR="007F25A3" w:rsidRPr="00E85D70" w:rsidRDefault="007F25A3" w:rsidP="00E85D70">
            <w:pPr>
              <w:rPr>
                <w:rFonts w:ascii="Calibri" w:hAnsi="Calibri"/>
                <w:color w:val="000000"/>
                <w:lang w:eastAsia="en-GB"/>
              </w:rPr>
            </w:pPr>
            <w:r>
              <w:rPr>
                <w:rFonts w:ascii="Calibri" w:hAnsi="Calibri"/>
                <w:color w:val="000000"/>
                <w:lang w:eastAsia="en-GB"/>
              </w:rPr>
              <w:t>Payments from third parties</w:t>
            </w:r>
          </w:p>
        </w:tc>
        <w:tc>
          <w:tcPr>
            <w:tcW w:w="1000" w:type="dxa"/>
            <w:tcBorders>
              <w:top w:val="nil"/>
              <w:left w:val="nil"/>
              <w:bottom w:val="single" w:sz="4" w:space="0" w:color="FFFFFF"/>
              <w:right w:val="single" w:sz="4" w:space="0" w:color="FFFFFF"/>
            </w:tcBorders>
            <w:shd w:val="clear" w:color="000000" w:fill="E4DFEC"/>
            <w:noWrap/>
            <w:vAlign w:val="center"/>
          </w:tcPr>
          <w:p w14:paraId="77613394" w14:textId="148F2DFB" w:rsidR="007F25A3" w:rsidRDefault="007F25A3" w:rsidP="00E85D70">
            <w:pPr>
              <w:jc w:val="right"/>
              <w:rPr>
                <w:rFonts w:ascii="Calibri" w:hAnsi="Calibri"/>
                <w:color w:val="000000"/>
                <w:lang w:eastAsia="en-GB"/>
              </w:rPr>
            </w:pPr>
            <w:r>
              <w:rPr>
                <w:rFonts w:ascii="Calibri" w:hAnsi="Calibri"/>
                <w:color w:val="000000"/>
                <w:lang w:eastAsia="en-GB"/>
              </w:rPr>
              <w:t>73</w:t>
            </w:r>
          </w:p>
        </w:tc>
        <w:tc>
          <w:tcPr>
            <w:tcW w:w="1000" w:type="dxa"/>
            <w:tcBorders>
              <w:top w:val="nil"/>
              <w:left w:val="nil"/>
              <w:bottom w:val="nil"/>
              <w:right w:val="nil"/>
            </w:tcBorders>
            <w:shd w:val="clear" w:color="000000" w:fill="E4DFEC"/>
            <w:noWrap/>
            <w:vAlign w:val="center"/>
          </w:tcPr>
          <w:p w14:paraId="6704A18F" w14:textId="77777777" w:rsidR="007F25A3" w:rsidRPr="00E85D70" w:rsidRDefault="007F25A3" w:rsidP="00E85D70">
            <w:pPr>
              <w:jc w:val="right"/>
              <w:rPr>
                <w:rFonts w:ascii="Calibri" w:hAnsi="Calibri"/>
                <w:color w:val="000000"/>
                <w:lang w:eastAsia="en-GB"/>
              </w:rPr>
            </w:pPr>
          </w:p>
        </w:tc>
      </w:tr>
      <w:tr w:rsidR="00E85D70" w:rsidRPr="00E85D70" w14:paraId="6E08FC3B" w14:textId="77777777" w:rsidTr="00DE0E04">
        <w:trPr>
          <w:trHeight w:val="51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7127590C" w14:textId="77777777"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1</w:t>
            </w:r>
            <w:r w:rsidR="00DE0E04">
              <w:rPr>
                <w:rFonts w:ascii="Calibri" w:hAnsi="Calibri"/>
                <w:color w:val="000000"/>
                <w:lang w:eastAsia="en-GB"/>
              </w:rPr>
              <w:t>2</w:t>
            </w:r>
          </w:p>
        </w:tc>
        <w:tc>
          <w:tcPr>
            <w:tcW w:w="6120" w:type="dxa"/>
            <w:tcBorders>
              <w:top w:val="nil"/>
              <w:left w:val="nil"/>
              <w:bottom w:val="single" w:sz="4" w:space="0" w:color="FFFFFF"/>
              <w:right w:val="single" w:sz="4" w:space="0" w:color="FFFFFF"/>
            </w:tcBorders>
            <w:shd w:val="clear" w:color="000000" w:fill="E4DFEC"/>
            <w:vAlign w:val="center"/>
            <w:hideMark/>
          </w:tcPr>
          <w:p w14:paraId="0D900F6F"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Statutory provision for the financing of capital investment charged against the General Fund and HRA balances</w:t>
            </w:r>
          </w:p>
        </w:tc>
        <w:tc>
          <w:tcPr>
            <w:tcW w:w="1000" w:type="dxa"/>
            <w:tcBorders>
              <w:top w:val="nil"/>
              <w:left w:val="nil"/>
              <w:bottom w:val="single" w:sz="4" w:space="0" w:color="FFFFFF"/>
              <w:right w:val="single" w:sz="4" w:space="0" w:color="FFFFFF"/>
            </w:tcBorders>
            <w:shd w:val="clear" w:color="000000" w:fill="E4DFEC"/>
            <w:noWrap/>
            <w:vAlign w:val="center"/>
          </w:tcPr>
          <w:p w14:paraId="6AACC25B" w14:textId="697B97C5" w:rsidR="00E85D70" w:rsidRPr="00E85D70" w:rsidRDefault="007F25A3" w:rsidP="00E85D70">
            <w:pPr>
              <w:jc w:val="right"/>
              <w:rPr>
                <w:rFonts w:ascii="Calibri" w:hAnsi="Calibri"/>
                <w:color w:val="000000"/>
                <w:lang w:eastAsia="en-GB"/>
              </w:rPr>
            </w:pPr>
            <w:r>
              <w:rPr>
                <w:rFonts w:ascii="Calibri" w:hAnsi="Calibri"/>
                <w:color w:val="000000"/>
                <w:lang w:eastAsia="en-GB"/>
              </w:rPr>
              <w:t>11</w:t>
            </w:r>
          </w:p>
        </w:tc>
        <w:tc>
          <w:tcPr>
            <w:tcW w:w="1000" w:type="dxa"/>
            <w:tcBorders>
              <w:top w:val="nil"/>
              <w:left w:val="nil"/>
              <w:bottom w:val="nil"/>
              <w:right w:val="nil"/>
            </w:tcBorders>
            <w:shd w:val="clear" w:color="000000" w:fill="E4DFEC"/>
            <w:noWrap/>
            <w:vAlign w:val="center"/>
          </w:tcPr>
          <w:p w14:paraId="00A8FD45" w14:textId="77777777" w:rsidR="00E85D70" w:rsidRPr="00E85D70" w:rsidRDefault="00E85D70" w:rsidP="00E85D70">
            <w:pPr>
              <w:jc w:val="right"/>
              <w:rPr>
                <w:rFonts w:ascii="Calibri" w:hAnsi="Calibri"/>
                <w:color w:val="000000"/>
                <w:lang w:eastAsia="en-GB"/>
              </w:rPr>
            </w:pPr>
          </w:p>
        </w:tc>
      </w:tr>
      <w:tr w:rsidR="00E85D70" w:rsidRPr="00E85D70" w14:paraId="6C38110F" w14:textId="77777777" w:rsidTr="00DE0E04">
        <w:trPr>
          <w:trHeight w:val="43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69C15E2A" w14:textId="32B2580F" w:rsidR="00E85D70" w:rsidRPr="00E85D70" w:rsidRDefault="007B3980" w:rsidP="00E85D70">
            <w:pPr>
              <w:jc w:val="right"/>
              <w:rPr>
                <w:rFonts w:ascii="Calibri" w:hAnsi="Calibri"/>
                <w:color w:val="000000"/>
                <w:lang w:eastAsia="en-GB"/>
              </w:rPr>
            </w:pPr>
            <w:r>
              <w:rPr>
                <w:rFonts w:ascii="Calibri" w:hAnsi="Calibri"/>
                <w:color w:val="000000"/>
                <w:lang w:eastAsia="en-GB"/>
              </w:rPr>
              <w:t>77</w:t>
            </w:r>
          </w:p>
        </w:tc>
        <w:tc>
          <w:tcPr>
            <w:tcW w:w="6120" w:type="dxa"/>
            <w:tcBorders>
              <w:top w:val="nil"/>
              <w:left w:val="nil"/>
              <w:bottom w:val="single" w:sz="4" w:space="0" w:color="FFFFFF"/>
              <w:right w:val="single" w:sz="4" w:space="0" w:color="FFFFFF"/>
            </w:tcBorders>
            <w:shd w:val="clear" w:color="000000" w:fill="E4DFEC"/>
            <w:vAlign w:val="center"/>
            <w:hideMark/>
          </w:tcPr>
          <w:p w14:paraId="3A466ADE"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Capital expenditure charged against the General Fund and HRA balances</w:t>
            </w:r>
          </w:p>
        </w:tc>
        <w:tc>
          <w:tcPr>
            <w:tcW w:w="1000" w:type="dxa"/>
            <w:tcBorders>
              <w:top w:val="nil"/>
              <w:left w:val="nil"/>
              <w:bottom w:val="single" w:sz="4" w:space="0" w:color="FFFFFF"/>
              <w:right w:val="single" w:sz="4" w:space="0" w:color="FFFFFF"/>
            </w:tcBorders>
            <w:shd w:val="clear" w:color="000000" w:fill="E4DFEC"/>
            <w:noWrap/>
            <w:vAlign w:val="center"/>
          </w:tcPr>
          <w:p w14:paraId="3A7E98EC" w14:textId="35520FE9" w:rsidR="00E85D70" w:rsidRPr="00E85D70" w:rsidRDefault="007F25A3" w:rsidP="00E85D70">
            <w:pPr>
              <w:jc w:val="right"/>
              <w:rPr>
                <w:rFonts w:ascii="Calibri" w:hAnsi="Calibri"/>
                <w:color w:val="000000"/>
                <w:lang w:eastAsia="en-GB"/>
              </w:rPr>
            </w:pPr>
            <w:r>
              <w:rPr>
                <w:rFonts w:ascii="Calibri" w:hAnsi="Calibri"/>
                <w:color w:val="000000"/>
                <w:lang w:eastAsia="en-GB"/>
              </w:rPr>
              <w:t>137</w:t>
            </w:r>
          </w:p>
        </w:tc>
        <w:tc>
          <w:tcPr>
            <w:tcW w:w="1000" w:type="dxa"/>
            <w:tcBorders>
              <w:top w:val="nil"/>
              <w:left w:val="nil"/>
              <w:bottom w:val="nil"/>
              <w:right w:val="nil"/>
            </w:tcBorders>
            <w:shd w:val="clear" w:color="000000" w:fill="E4DFEC"/>
            <w:noWrap/>
            <w:vAlign w:val="center"/>
          </w:tcPr>
          <w:p w14:paraId="25BD5A25" w14:textId="77777777" w:rsidR="00E85D70" w:rsidRPr="00E85D70" w:rsidRDefault="00E85D70" w:rsidP="00E85D70">
            <w:pPr>
              <w:jc w:val="right"/>
              <w:rPr>
                <w:rFonts w:ascii="Calibri" w:hAnsi="Calibri"/>
                <w:color w:val="000000"/>
                <w:lang w:eastAsia="en-GB"/>
              </w:rPr>
            </w:pPr>
          </w:p>
        </w:tc>
      </w:tr>
      <w:tr w:rsidR="00E85D70" w:rsidRPr="00E85D70" w14:paraId="637701A1"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3DF36190" w14:textId="32CD50D8" w:rsidR="00E85D70" w:rsidRPr="00E85D70" w:rsidRDefault="007B3980" w:rsidP="00E85D70">
            <w:pPr>
              <w:jc w:val="right"/>
              <w:rPr>
                <w:rFonts w:ascii="Calibri" w:hAnsi="Calibri"/>
                <w:color w:val="000000"/>
                <w:lang w:eastAsia="en-GB"/>
              </w:rPr>
            </w:pPr>
            <w:r>
              <w:rPr>
                <w:rFonts w:ascii="Calibri" w:hAnsi="Calibri"/>
                <w:color w:val="000000"/>
                <w:lang w:eastAsia="en-GB"/>
              </w:rPr>
              <w:t>1,201</w:t>
            </w:r>
          </w:p>
        </w:tc>
        <w:tc>
          <w:tcPr>
            <w:tcW w:w="6120" w:type="dxa"/>
            <w:tcBorders>
              <w:top w:val="nil"/>
              <w:left w:val="nil"/>
              <w:bottom w:val="single" w:sz="4" w:space="0" w:color="FFFFFF"/>
              <w:right w:val="single" w:sz="4" w:space="0" w:color="FFFFFF"/>
            </w:tcBorders>
            <w:shd w:val="clear" w:color="000000" w:fill="E4DFEC"/>
            <w:vAlign w:val="center"/>
            <w:hideMark/>
          </w:tcPr>
          <w:p w14:paraId="3CF2A78E"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Deferred Liability – LCC Licence (Parkside)</w:t>
            </w:r>
          </w:p>
        </w:tc>
        <w:tc>
          <w:tcPr>
            <w:tcW w:w="1000" w:type="dxa"/>
            <w:tcBorders>
              <w:top w:val="nil"/>
              <w:left w:val="nil"/>
              <w:bottom w:val="single" w:sz="4" w:space="0" w:color="FFFFFF"/>
              <w:right w:val="single" w:sz="4" w:space="0" w:color="FFFFFF"/>
            </w:tcBorders>
            <w:shd w:val="clear" w:color="000000" w:fill="E4DFEC"/>
            <w:noWrap/>
            <w:vAlign w:val="center"/>
          </w:tcPr>
          <w:p w14:paraId="4412CF0C" w14:textId="46C890D2" w:rsidR="00E85D70" w:rsidRPr="00E85D70" w:rsidRDefault="00E85D70" w:rsidP="00E85D70">
            <w:pPr>
              <w:jc w:val="right"/>
              <w:rPr>
                <w:rFonts w:ascii="Calibri" w:hAnsi="Calibri"/>
                <w:color w:val="000000"/>
                <w:lang w:eastAsia="en-GB"/>
              </w:rPr>
            </w:pPr>
          </w:p>
        </w:tc>
        <w:tc>
          <w:tcPr>
            <w:tcW w:w="1000" w:type="dxa"/>
            <w:tcBorders>
              <w:top w:val="nil"/>
              <w:left w:val="nil"/>
              <w:bottom w:val="nil"/>
              <w:right w:val="nil"/>
            </w:tcBorders>
            <w:shd w:val="clear" w:color="000000" w:fill="E4DFEC"/>
            <w:noWrap/>
            <w:vAlign w:val="center"/>
          </w:tcPr>
          <w:p w14:paraId="209DDEBF" w14:textId="77777777" w:rsidR="00E85D70" w:rsidRPr="00E85D70" w:rsidRDefault="00E85D70" w:rsidP="00E85D70">
            <w:pPr>
              <w:jc w:val="right"/>
              <w:rPr>
                <w:rFonts w:ascii="Calibri" w:hAnsi="Calibri"/>
                <w:color w:val="000000"/>
                <w:lang w:eastAsia="en-GB"/>
              </w:rPr>
            </w:pPr>
          </w:p>
        </w:tc>
      </w:tr>
      <w:tr w:rsidR="00E85D70" w:rsidRPr="00E85D70" w14:paraId="2B3539A8"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678658D3" w14:textId="0C65B834" w:rsidR="00E85D70" w:rsidRPr="00E85D70" w:rsidRDefault="00E85D70" w:rsidP="00E85D70">
            <w:pPr>
              <w:jc w:val="right"/>
              <w:rPr>
                <w:rFonts w:ascii="Calibri" w:hAnsi="Calibri"/>
                <w:color w:val="000000"/>
                <w:lang w:eastAsia="en-GB"/>
              </w:rPr>
            </w:pPr>
            <w:r w:rsidRPr="00E85D70">
              <w:rPr>
                <w:rFonts w:ascii="Calibri" w:hAnsi="Calibri"/>
                <w:color w:val="000000"/>
                <w:lang w:eastAsia="en-GB"/>
              </w:rPr>
              <w:t>-</w:t>
            </w:r>
            <w:r w:rsidR="00A32831">
              <w:rPr>
                <w:rFonts w:ascii="Calibri" w:hAnsi="Calibri"/>
                <w:color w:val="000000"/>
                <w:lang w:eastAsia="en-GB"/>
              </w:rPr>
              <w:t>2</w:t>
            </w:r>
            <w:r w:rsidR="00411B52">
              <w:rPr>
                <w:rFonts w:ascii="Calibri" w:hAnsi="Calibri"/>
                <w:color w:val="000000"/>
                <w:lang w:eastAsia="en-GB"/>
              </w:rPr>
              <w:t>3</w:t>
            </w:r>
          </w:p>
        </w:tc>
        <w:tc>
          <w:tcPr>
            <w:tcW w:w="6120" w:type="dxa"/>
            <w:tcBorders>
              <w:top w:val="nil"/>
              <w:left w:val="nil"/>
              <w:bottom w:val="single" w:sz="4" w:space="0" w:color="FFFFFF"/>
              <w:right w:val="single" w:sz="4" w:space="0" w:color="FFFFFF"/>
            </w:tcBorders>
            <w:shd w:val="clear" w:color="000000" w:fill="E4DFEC"/>
            <w:vAlign w:val="center"/>
            <w:hideMark/>
          </w:tcPr>
          <w:p w14:paraId="280A809A" w14:textId="62340595" w:rsidR="00E85D70" w:rsidRPr="00E85D70" w:rsidRDefault="00E85D70" w:rsidP="00E85D70">
            <w:pPr>
              <w:rPr>
                <w:rFonts w:ascii="Calibri" w:hAnsi="Calibri"/>
                <w:color w:val="000000"/>
                <w:lang w:eastAsia="en-GB"/>
              </w:rPr>
            </w:pPr>
            <w:r w:rsidRPr="00E85D70">
              <w:rPr>
                <w:rFonts w:ascii="Calibri" w:hAnsi="Calibri"/>
                <w:color w:val="000000"/>
                <w:lang w:eastAsia="en-GB"/>
              </w:rPr>
              <w:t>Change to Deferred Receipt - Nottingham Road Lease</w:t>
            </w:r>
          </w:p>
        </w:tc>
        <w:tc>
          <w:tcPr>
            <w:tcW w:w="1000" w:type="dxa"/>
            <w:tcBorders>
              <w:top w:val="nil"/>
              <w:left w:val="nil"/>
              <w:bottom w:val="nil"/>
              <w:right w:val="single" w:sz="4" w:space="0" w:color="FFFFFF"/>
            </w:tcBorders>
            <w:shd w:val="clear" w:color="000000" w:fill="E4DFEC"/>
            <w:noWrap/>
            <w:vAlign w:val="center"/>
          </w:tcPr>
          <w:p w14:paraId="35F467A4" w14:textId="6F3F0F71" w:rsidR="00E85D70" w:rsidRPr="00E85D70" w:rsidRDefault="007F25A3">
            <w:pPr>
              <w:jc w:val="right"/>
              <w:rPr>
                <w:rFonts w:ascii="Calibri" w:hAnsi="Calibri"/>
                <w:color w:val="000000"/>
                <w:lang w:eastAsia="en-GB"/>
              </w:rPr>
            </w:pPr>
            <w:r>
              <w:rPr>
                <w:rFonts w:ascii="Calibri" w:hAnsi="Calibri"/>
                <w:color w:val="000000"/>
                <w:lang w:eastAsia="en-GB"/>
              </w:rPr>
              <w:t>-2</w:t>
            </w:r>
            <w:r w:rsidR="00D875DC">
              <w:rPr>
                <w:rFonts w:ascii="Calibri" w:hAnsi="Calibri"/>
                <w:color w:val="000000"/>
                <w:lang w:eastAsia="en-GB"/>
              </w:rPr>
              <w:t>1</w:t>
            </w:r>
          </w:p>
        </w:tc>
        <w:tc>
          <w:tcPr>
            <w:tcW w:w="1000" w:type="dxa"/>
            <w:tcBorders>
              <w:top w:val="nil"/>
              <w:left w:val="nil"/>
              <w:bottom w:val="nil"/>
              <w:right w:val="nil"/>
            </w:tcBorders>
            <w:shd w:val="clear" w:color="000000" w:fill="E4DFEC"/>
            <w:noWrap/>
            <w:vAlign w:val="center"/>
          </w:tcPr>
          <w:p w14:paraId="7C38D44B" w14:textId="77777777" w:rsidR="00E85D70" w:rsidRPr="00E85D70" w:rsidRDefault="00E85D70" w:rsidP="00E85D70">
            <w:pPr>
              <w:jc w:val="right"/>
              <w:rPr>
                <w:rFonts w:ascii="Calibri" w:hAnsi="Calibri"/>
                <w:color w:val="000000"/>
                <w:lang w:eastAsia="en-GB"/>
              </w:rPr>
            </w:pPr>
          </w:p>
        </w:tc>
      </w:tr>
      <w:tr w:rsidR="00E85D70" w:rsidRPr="00E85D70" w14:paraId="45F9A992"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CCC0DA"/>
            <w:noWrap/>
            <w:vAlign w:val="center"/>
            <w:hideMark/>
          </w:tcPr>
          <w:p w14:paraId="33F1B7FA" w14:textId="5DBDD959" w:rsidR="00E85D70" w:rsidRPr="00E85D70" w:rsidRDefault="007B3980" w:rsidP="00E85D70">
            <w:pPr>
              <w:jc w:val="right"/>
              <w:rPr>
                <w:rFonts w:ascii="Calibri" w:hAnsi="Calibri"/>
                <w:color w:val="000000"/>
                <w:lang w:eastAsia="en-GB"/>
              </w:rPr>
            </w:pPr>
            <w:r>
              <w:rPr>
                <w:rFonts w:ascii="Calibri" w:hAnsi="Calibri"/>
                <w:color w:val="000000"/>
                <w:lang w:eastAsia="en-GB"/>
              </w:rPr>
              <w:t>3,697</w:t>
            </w:r>
          </w:p>
        </w:tc>
        <w:tc>
          <w:tcPr>
            <w:tcW w:w="6120" w:type="dxa"/>
            <w:tcBorders>
              <w:top w:val="nil"/>
              <w:left w:val="nil"/>
              <w:bottom w:val="single" w:sz="4" w:space="0" w:color="FFFFFF"/>
              <w:right w:val="single" w:sz="4" w:space="0" w:color="FFFFFF"/>
            </w:tcBorders>
            <w:shd w:val="clear" w:color="000000" w:fill="CCC0DA"/>
            <w:vAlign w:val="bottom"/>
            <w:hideMark/>
          </w:tcPr>
          <w:p w14:paraId="5B2BB268"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 </w:t>
            </w:r>
          </w:p>
        </w:tc>
        <w:tc>
          <w:tcPr>
            <w:tcW w:w="1000" w:type="dxa"/>
            <w:tcBorders>
              <w:top w:val="single" w:sz="4" w:space="0" w:color="FFFFFF"/>
              <w:left w:val="nil"/>
              <w:bottom w:val="single" w:sz="4" w:space="0" w:color="FFFFFF"/>
              <w:right w:val="nil"/>
            </w:tcBorders>
            <w:shd w:val="clear" w:color="000000" w:fill="CCC0DA"/>
            <w:noWrap/>
            <w:vAlign w:val="center"/>
          </w:tcPr>
          <w:p w14:paraId="36682FA6" w14:textId="77777777" w:rsidR="00E85D70" w:rsidRPr="00E85D70" w:rsidRDefault="00E85D70" w:rsidP="00E85D70">
            <w:pPr>
              <w:rPr>
                <w:rFonts w:ascii="Calibri" w:hAnsi="Calibri"/>
                <w:color w:val="000000"/>
                <w:lang w:eastAsia="en-GB"/>
              </w:rPr>
            </w:pPr>
          </w:p>
        </w:tc>
        <w:tc>
          <w:tcPr>
            <w:tcW w:w="1000" w:type="dxa"/>
            <w:tcBorders>
              <w:top w:val="single" w:sz="4" w:space="0" w:color="FFFFFF"/>
              <w:left w:val="nil"/>
              <w:bottom w:val="single" w:sz="4" w:space="0" w:color="FFFFFF"/>
              <w:right w:val="single" w:sz="4" w:space="0" w:color="FFFFFF"/>
            </w:tcBorders>
            <w:shd w:val="clear" w:color="000000" w:fill="CCC0DA"/>
            <w:noWrap/>
            <w:vAlign w:val="center"/>
          </w:tcPr>
          <w:p w14:paraId="55F8D469" w14:textId="794EDFAC" w:rsidR="00E85D70" w:rsidRPr="00E85D70" w:rsidRDefault="007F25A3" w:rsidP="005A00B3">
            <w:pPr>
              <w:jc w:val="right"/>
              <w:rPr>
                <w:rFonts w:ascii="Calibri" w:hAnsi="Calibri"/>
                <w:color w:val="000000"/>
                <w:lang w:eastAsia="en-GB"/>
              </w:rPr>
            </w:pPr>
            <w:r>
              <w:rPr>
                <w:rFonts w:ascii="Calibri" w:hAnsi="Calibri"/>
                <w:color w:val="000000"/>
                <w:lang w:eastAsia="en-GB"/>
              </w:rPr>
              <w:t>4,30</w:t>
            </w:r>
            <w:r w:rsidR="00D875DC">
              <w:rPr>
                <w:rFonts w:ascii="Calibri" w:hAnsi="Calibri"/>
                <w:color w:val="000000"/>
                <w:lang w:eastAsia="en-GB"/>
              </w:rPr>
              <w:t>3</w:t>
            </w:r>
          </w:p>
        </w:tc>
      </w:tr>
      <w:tr w:rsidR="00E85D70" w:rsidRPr="00E85D70" w14:paraId="6AE2EFD7"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E4DFEC"/>
            <w:noWrap/>
            <w:vAlign w:val="center"/>
            <w:hideMark/>
          </w:tcPr>
          <w:p w14:paraId="15EB0F52" w14:textId="4E3C8636" w:rsidR="00E85D70" w:rsidRPr="00E85D70" w:rsidRDefault="007B3980" w:rsidP="0058145B">
            <w:pPr>
              <w:jc w:val="right"/>
              <w:rPr>
                <w:rFonts w:ascii="Calibri" w:hAnsi="Calibri"/>
                <w:color w:val="000000"/>
                <w:lang w:eastAsia="en-GB"/>
              </w:rPr>
            </w:pPr>
            <w:r>
              <w:rPr>
                <w:rFonts w:ascii="Calibri" w:hAnsi="Calibri"/>
                <w:color w:val="000000"/>
                <w:lang w:eastAsia="en-GB"/>
              </w:rPr>
              <w:t>-5</w:t>
            </w:r>
          </w:p>
        </w:tc>
        <w:tc>
          <w:tcPr>
            <w:tcW w:w="6120" w:type="dxa"/>
            <w:tcBorders>
              <w:top w:val="nil"/>
              <w:left w:val="nil"/>
              <w:bottom w:val="single" w:sz="4" w:space="0" w:color="FFFFFF"/>
              <w:right w:val="single" w:sz="4" w:space="0" w:color="FFFFFF"/>
            </w:tcBorders>
            <w:shd w:val="clear" w:color="000000" w:fill="E4DFEC"/>
            <w:vAlign w:val="center"/>
            <w:hideMark/>
          </w:tcPr>
          <w:p w14:paraId="75B788FD" w14:textId="77777777" w:rsidR="00E85D70" w:rsidRPr="00E85D70" w:rsidRDefault="00E85D70" w:rsidP="00E85D70">
            <w:pPr>
              <w:rPr>
                <w:rFonts w:ascii="Calibri" w:hAnsi="Calibri"/>
                <w:color w:val="000000"/>
                <w:lang w:eastAsia="en-GB"/>
              </w:rPr>
            </w:pPr>
            <w:r w:rsidRPr="00E85D70">
              <w:rPr>
                <w:rFonts w:ascii="Calibri" w:hAnsi="Calibri"/>
                <w:color w:val="000000"/>
                <w:lang w:eastAsia="en-GB"/>
              </w:rPr>
              <w:t>Movement in Market Value of Investment Properties</w:t>
            </w:r>
          </w:p>
        </w:tc>
        <w:tc>
          <w:tcPr>
            <w:tcW w:w="1000" w:type="dxa"/>
            <w:tcBorders>
              <w:top w:val="nil"/>
              <w:left w:val="nil"/>
              <w:bottom w:val="single" w:sz="4" w:space="0" w:color="FFFFFF"/>
              <w:right w:val="nil"/>
            </w:tcBorders>
            <w:shd w:val="clear" w:color="000000" w:fill="E4DFEC"/>
            <w:noWrap/>
            <w:vAlign w:val="center"/>
          </w:tcPr>
          <w:p w14:paraId="1D0F47B3" w14:textId="21D5A6CD" w:rsidR="00E85D70" w:rsidRPr="00E85D70" w:rsidRDefault="007F25A3" w:rsidP="00F54B62">
            <w:pPr>
              <w:jc w:val="right"/>
              <w:rPr>
                <w:rFonts w:ascii="Calibri" w:hAnsi="Calibri"/>
                <w:color w:val="000000"/>
                <w:lang w:eastAsia="en-GB"/>
              </w:rPr>
            </w:pPr>
            <w:r>
              <w:rPr>
                <w:rFonts w:ascii="Calibri" w:hAnsi="Calibri"/>
                <w:color w:val="000000"/>
                <w:lang w:eastAsia="en-GB"/>
              </w:rPr>
              <w:t>21</w:t>
            </w:r>
          </w:p>
        </w:tc>
        <w:tc>
          <w:tcPr>
            <w:tcW w:w="1000" w:type="dxa"/>
            <w:tcBorders>
              <w:top w:val="nil"/>
              <w:left w:val="nil"/>
              <w:bottom w:val="single" w:sz="4" w:space="0" w:color="FFFFFF"/>
              <w:right w:val="single" w:sz="4" w:space="0" w:color="FFFFFF"/>
            </w:tcBorders>
            <w:shd w:val="clear" w:color="000000" w:fill="E4DFEC"/>
            <w:noWrap/>
            <w:vAlign w:val="center"/>
          </w:tcPr>
          <w:p w14:paraId="6E3E662E" w14:textId="5960C9F2" w:rsidR="00E85D70" w:rsidRPr="00E85D70" w:rsidRDefault="00E85D70" w:rsidP="00E85D70">
            <w:pPr>
              <w:jc w:val="right"/>
              <w:rPr>
                <w:rFonts w:ascii="Calibri" w:hAnsi="Calibri"/>
                <w:color w:val="000000"/>
                <w:lang w:eastAsia="en-GB"/>
              </w:rPr>
            </w:pPr>
          </w:p>
        </w:tc>
      </w:tr>
      <w:tr w:rsidR="00E85D70" w:rsidRPr="00E85D70" w14:paraId="7919B727" w14:textId="77777777" w:rsidTr="00DE0E04">
        <w:trPr>
          <w:trHeight w:val="300"/>
        </w:trPr>
        <w:tc>
          <w:tcPr>
            <w:tcW w:w="1291" w:type="dxa"/>
            <w:tcBorders>
              <w:top w:val="nil"/>
              <w:left w:val="single" w:sz="4" w:space="0" w:color="FFFFFF"/>
              <w:bottom w:val="single" w:sz="4" w:space="0" w:color="FFFFFF"/>
              <w:right w:val="single" w:sz="4" w:space="0" w:color="FFFFFF"/>
            </w:tcBorders>
            <w:shd w:val="clear" w:color="000000" w:fill="CCC0DA"/>
            <w:noWrap/>
            <w:vAlign w:val="center"/>
            <w:hideMark/>
          </w:tcPr>
          <w:p w14:paraId="1F17F222" w14:textId="744572D3" w:rsidR="00E85D70" w:rsidRPr="00E85D70" w:rsidRDefault="007B3980" w:rsidP="00E85D70">
            <w:pPr>
              <w:jc w:val="right"/>
              <w:rPr>
                <w:rFonts w:ascii="Calibri" w:hAnsi="Calibri"/>
                <w:b/>
                <w:bCs/>
                <w:color w:val="000000"/>
                <w:lang w:eastAsia="en-GB"/>
              </w:rPr>
            </w:pPr>
            <w:r>
              <w:rPr>
                <w:rFonts w:ascii="Calibri" w:hAnsi="Calibri"/>
                <w:b/>
                <w:bCs/>
                <w:color w:val="000000"/>
                <w:lang w:eastAsia="en-GB"/>
              </w:rPr>
              <w:t>80,973</w:t>
            </w:r>
          </w:p>
        </w:tc>
        <w:tc>
          <w:tcPr>
            <w:tcW w:w="6120" w:type="dxa"/>
            <w:tcBorders>
              <w:top w:val="nil"/>
              <w:left w:val="nil"/>
              <w:bottom w:val="single" w:sz="4" w:space="0" w:color="FFFFFF"/>
              <w:right w:val="single" w:sz="4" w:space="0" w:color="FFFFFF"/>
            </w:tcBorders>
            <w:shd w:val="clear" w:color="000000" w:fill="CCC0DA"/>
            <w:vAlign w:val="center"/>
            <w:hideMark/>
          </w:tcPr>
          <w:p w14:paraId="74B0D2E6" w14:textId="77777777" w:rsidR="00E85D70" w:rsidRPr="00E85D70" w:rsidRDefault="00E85D70" w:rsidP="00E85D70">
            <w:pPr>
              <w:rPr>
                <w:rFonts w:ascii="Calibri" w:hAnsi="Calibri"/>
                <w:b/>
                <w:bCs/>
                <w:color w:val="000000"/>
                <w:lang w:eastAsia="en-GB"/>
              </w:rPr>
            </w:pPr>
            <w:r w:rsidRPr="00E85D70">
              <w:rPr>
                <w:rFonts w:ascii="Calibri" w:hAnsi="Calibri"/>
                <w:b/>
                <w:bCs/>
                <w:color w:val="000000"/>
                <w:lang w:eastAsia="en-GB"/>
              </w:rPr>
              <w:t xml:space="preserve">Balance </w:t>
            </w:r>
            <w:proofErr w:type="gramStart"/>
            <w:r w:rsidRPr="00E85D70">
              <w:rPr>
                <w:rFonts w:ascii="Calibri" w:hAnsi="Calibri"/>
                <w:b/>
                <w:bCs/>
                <w:color w:val="000000"/>
                <w:lang w:eastAsia="en-GB"/>
              </w:rPr>
              <w:t>at</w:t>
            </w:r>
            <w:proofErr w:type="gramEnd"/>
            <w:r w:rsidRPr="00E85D70">
              <w:rPr>
                <w:rFonts w:ascii="Calibri" w:hAnsi="Calibri"/>
                <w:b/>
                <w:bCs/>
                <w:color w:val="000000"/>
                <w:lang w:eastAsia="en-GB"/>
              </w:rPr>
              <w:t xml:space="preserve"> 31 March </w:t>
            </w:r>
          </w:p>
        </w:tc>
        <w:tc>
          <w:tcPr>
            <w:tcW w:w="1000" w:type="dxa"/>
            <w:tcBorders>
              <w:top w:val="nil"/>
              <w:left w:val="nil"/>
              <w:bottom w:val="single" w:sz="4" w:space="0" w:color="FFFFFF"/>
              <w:right w:val="nil"/>
            </w:tcBorders>
            <w:shd w:val="clear" w:color="000000" w:fill="CCC0DA"/>
            <w:noWrap/>
            <w:vAlign w:val="center"/>
          </w:tcPr>
          <w:p w14:paraId="3E97A582" w14:textId="77777777" w:rsidR="00E85D70" w:rsidRPr="00E85D70" w:rsidRDefault="00E85D70" w:rsidP="00E85D70">
            <w:pPr>
              <w:rPr>
                <w:rFonts w:ascii="Calibri" w:hAnsi="Calibri"/>
                <w:b/>
                <w:bCs/>
                <w:color w:val="000000"/>
                <w:lang w:eastAsia="en-GB"/>
              </w:rPr>
            </w:pPr>
          </w:p>
        </w:tc>
        <w:tc>
          <w:tcPr>
            <w:tcW w:w="1000" w:type="dxa"/>
            <w:tcBorders>
              <w:top w:val="nil"/>
              <w:left w:val="nil"/>
              <w:bottom w:val="single" w:sz="4" w:space="0" w:color="FFFFFF"/>
              <w:right w:val="single" w:sz="4" w:space="0" w:color="FFFFFF"/>
            </w:tcBorders>
            <w:shd w:val="clear" w:color="000000" w:fill="CCC0DA"/>
            <w:noWrap/>
            <w:vAlign w:val="center"/>
          </w:tcPr>
          <w:p w14:paraId="5AB5520E" w14:textId="4761911E" w:rsidR="00E85D70" w:rsidRPr="00E85D70" w:rsidRDefault="007F25A3" w:rsidP="00C81BEF">
            <w:pPr>
              <w:jc w:val="right"/>
              <w:rPr>
                <w:rFonts w:ascii="Calibri" w:hAnsi="Calibri"/>
                <w:b/>
                <w:bCs/>
                <w:color w:val="000000"/>
                <w:lang w:eastAsia="en-GB"/>
              </w:rPr>
            </w:pPr>
            <w:r>
              <w:rPr>
                <w:rFonts w:ascii="Calibri" w:hAnsi="Calibri"/>
                <w:b/>
                <w:bCs/>
                <w:color w:val="000000"/>
                <w:lang w:eastAsia="en-GB"/>
              </w:rPr>
              <w:t>82,280</w:t>
            </w:r>
          </w:p>
        </w:tc>
      </w:tr>
    </w:tbl>
    <w:p w14:paraId="6A944BBA" w14:textId="77777777" w:rsidR="000E2597" w:rsidRDefault="000E2597" w:rsidP="00D14540">
      <w:pPr>
        <w:widowControl w:val="0"/>
        <w:tabs>
          <w:tab w:val="left" w:pos="2520"/>
          <w:tab w:val="left" w:pos="7200"/>
          <w:tab w:val="left" w:pos="8460"/>
        </w:tabs>
        <w:rPr>
          <w:rFonts w:ascii="Arial" w:hAnsi="Arial" w:cs="Arial"/>
          <w:b/>
        </w:rPr>
      </w:pPr>
    </w:p>
    <w:p w14:paraId="562A0273" w14:textId="77777777" w:rsidR="00145528" w:rsidRPr="00E85D70" w:rsidRDefault="000F0424" w:rsidP="00D14540">
      <w:pPr>
        <w:widowControl w:val="0"/>
        <w:tabs>
          <w:tab w:val="left" w:pos="2520"/>
          <w:tab w:val="left" w:pos="7200"/>
          <w:tab w:val="left" w:pos="8460"/>
        </w:tabs>
        <w:rPr>
          <w:rFonts w:asciiTheme="minorHAnsi" w:hAnsiTheme="minorHAnsi" w:cs="Arial"/>
          <w:b/>
          <w:sz w:val="24"/>
          <w:szCs w:val="24"/>
        </w:rPr>
      </w:pPr>
      <w:r w:rsidRPr="00E85D70">
        <w:rPr>
          <w:rFonts w:asciiTheme="minorHAnsi" w:hAnsiTheme="minorHAnsi" w:cs="Arial"/>
          <w:b/>
          <w:sz w:val="24"/>
          <w:szCs w:val="24"/>
        </w:rPr>
        <w:t>Financial Instruments Adjustment Account</w:t>
      </w:r>
    </w:p>
    <w:p w14:paraId="24ACD47D" w14:textId="77777777" w:rsidR="000F0424" w:rsidRDefault="000F0424" w:rsidP="00D14540">
      <w:pPr>
        <w:widowControl w:val="0"/>
        <w:tabs>
          <w:tab w:val="left" w:pos="2520"/>
          <w:tab w:val="left" w:pos="7200"/>
          <w:tab w:val="left" w:pos="8460"/>
        </w:tabs>
        <w:rPr>
          <w:rFonts w:ascii="Arial" w:hAnsi="Arial" w:cs="Arial"/>
          <w:b/>
        </w:rPr>
      </w:pPr>
    </w:p>
    <w:p w14:paraId="156089AB" w14:textId="21C94FB5" w:rsidR="00062998" w:rsidRDefault="000F0424" w:rsidP="00811EDC">
      <w:pPr>
        <w:widowControl w:val="0"/>
        <w:tabs>
          <w:tab w:val="left" w:pos="2520"/>
          <w:tab w:val="left" w:pos="7200"/>
          <w:tab w:val="left" w:pos="8460"/>
        </w:tabs>
        <w:jc w:val="both"/>
        <w:rPr>
          <w:rFonts w:asciiTheme="minorHAnsi" w:hAnsiTheme="minorHAnsi" w:cs="Arial"/>
          <w:sz w:val="22"/>
          <w:szCs w:val="22"/>
        </w:rPr>
      </w:pPr>
      <w:r w:rsidRPr="00E85D70">
        <w:rPr>
          <w:rFonts w:asciiTheme="minorHAnsi" w:hAnsiTheme="minorHAnsi" w:cs="Arial"/>
          <w:sz w:val="22"/>
          <w:szCs w:val="22"/>
        </w:rPr>
        <w:t xml:space="preserve">The Financial Instruments Adjustment Account absorbs the timing differences arising from the different arrangements for accounting for income and expenses relating to certain financial instruments and for bearing losses or benefitting from gains per statutory provisions.  The </w:t>
      </w:r>
      <w:r w:rsidR="00DC74D1" w:rsidRPr="00E85D70">
        <w:rPr>
          <w:rFonts w:asciiTheme="minorHAnsi" w:hAnsiTheme="minorHAnsi" w:cs="Arial"/>
          <w:sz w:val="22"/>
          <w:szCs w:val="22"/>
        </w:rPr>
        <w:t>Council</w:t>
      </w:r>
      <w:r w:rsidRPr="00E85D70">
        <w:rPr>
          <w:rFonts w:asciiTheme="minorHAnsi" w:hAnsiTheme="minorHAnsi" w:cs="Arial"/>
          <w:sz w:val="22"/>
          <w:szCs w:val="22"/>
        </w:rPr>
        <w:t xml:space="preserve"> uses the account to manage premiums paid and discounts received on the early redemption of loans.  Premiums are debited and discounts credited to the Comprehensive Income and Expenditure Statement when they are </w:t>
      </w:r>
      <w:proofErr w:type="gramStart"/>
      <w:r w:rsidRPr="00E85D70">
        <w:rPr>
          <w:rFonts w:asciiTheme="minorHAnsi" w:hAnsiTheme="minorHAnsi" w:cs="Arial"/>
          <w:sz w:val="22"/>
          <w:szCs w:val="22"/>
        </w:rPr>
        <w:t>incurred, but</w:t>
      </w:r>
      <w:proofErr w:type="gramEnd"/>
      <w:r w:rsidRPr="00E85D70">
        <w:rPr>
          <w:rFonts w:asciiTheme="minorHAnsi" w:hAnsiTheme="minorHAnsi" w:cs="Arial"/>
          <w:sz w:val="22"/>
          <w:szCs w:val="22"/>
        </w:rPr>
        <w:t xml:space="preserve"> reversed out of the General Fund balance to the Account in the Movement in Reserves statement. Over time the expense/income is posted back to the General Fund balance in accordance with statutory arrangements for spreading the burden on Council Tax.</w:t>
      </w:r>
      <w:r w:rsidR="006114FB" w:rsidRPr="00E85D70">
        <w:rPr>
          <w:rFonts w:asciiTheme="minorHAnsi" w:hAnsiTheme="minorHAnsi" w:cs="Arial"/>
          <w:sz w:val="22"/>
          <w:szCs w:val="22"/>
        </w:rPr>
        <w:t xml:space="preserve">  </w:t>
      </w:r>
      <w:r w:rsidRPr="00E85D70">
        <w:rPr>
          <w:rFonts w:asciiTheme="minorHAnsi" w:hAnsiTheme="minorHAnsi" w:cs="Arial"/>
          <w:sz w:val="22"/>
          <w:szCs w:val="22"/>
        </w:rPr>
        <w:t xml:space="preserve">In </w:t>
      </w:r>
      <w:r w:rsidR="00811EDC" w:rsidRPr="00E85D70">
        <w:rPr>
          <w:rFonts w:asciiTheme="minorHAnsi" w:hAnsiTheme="minorHAnsi" w:cs="Arial"/>
          <w:sz w:val="22"/>
          <w:szCs w:val="22"/>
        </w:rPr>
        <w:t>the Council’s</w:t>
      </w:r>
      <w:r w:rsidR="00F61366" w:rsidRPr="00E85D70">
        <w:rPr>
          <w:rFonts w:asciiTheme="minorHAnsi" w:hAnsiTheme="minorHAnsi" w:cs="Arial"/>
          <w:sz w:val="22"/>
          <w:szCs w:val="22"/>
        </w:rPr>
        <w:t xml:space="preserve"> case, there are no premiums or discounts outstanding.</w:t>
      </w:r>
    </w:p>
    <w:p w14:paraId="338E18D3" w14:textId="77777777" w:rsidR="00A31144" w:rsidRDefault="000F0424" w:rsidP="00D14540">
      <w:pPr>
        <w:widowControl w:val="0"/>
        <w:tabs>
          <w:tab w:val="left" w:pos="2520"/>
          <w:tab w:val="left" w:pos="7200"/>
          <w:tab w:val="left" w:pos="8460"/>
        </w:tabs>
        <w:rPr>
          <w:rFonts w:ascii="Arial" w:hAnsi="Arial" w:cs="Arial"/>
        </w:rPr>
      </w:pPr>
      <w:r>
        <w:rPr>
          <w:rFonts w:ascii="Arial" w:hAnsi="Arial" w:cs="Arial"/>
        </w:rPr>
        <w:t xml:space="preserve"> </w:t>
      </w:r>
    </w:p>
    <w:p w14:paraId="64FD3377" w14:textId="77777777" w:rsidR="00F665D7" w:rsidRDefault="00F665D7" w:rsidP="00D14540">
      <w:pPr>
        <w:widowControl w:val="0"/>
        <w:tabs>
          <w:tab w:val="left" w:pos="2520"/>
          <w:tab w:val="left" w:pos="7200"/>
          <w:tab w:val="left" w:pos="8460"/>
        </w:tabs>
        <w:rPr>
          <w:rFonts w:ascii="Arial" w:hAnsi="Arial" w:cs="Arial"/>
        </w:rPr>
      </w:pPr>
    </w:p>
    <w:p w14:paraId="4A9A5717" w14:textId="77777777" w:rsidR="00F665D7" w:rsidRDefault="00F665D7" w:rsidP="00D14540">
      <w:pPr>
        <w:widowControl w:val="0"/>
        <w:tabs>
          <w:tab w:val="left" w:pos="2520"/>
          <w:tab w:val="left" w:pos="7200"/>
          <w:tab w:val="left" w:pos="8460"/>
        </w:tabs>
        <w:rPr>
          <w:rFonts w:ascii="Arial" w:hAnsi="Arial" w:cs="Arial"/>
        </w:rPr>
      </w:pPr>
    </w:p>
    <w:p w14:paraId="48414B64" w14:textId="77777777" w:rsidR="00F665D7" w:rsidRDefault="00F665D7" w:rsidP="00D14540">
      <w:pPr>
        <w:widowControl w:val="0"/>
        <w:tabs>
          <w:tab w:val="left" w:pos="2520"/>
          <w:tab w:val="left" w:pos="7200"/>
          <w:tab w:val="left" w:pos="8460"/>
        </w:tabs>
        <w:rPr>
          <w:rFonts w:ascii="Arial" w:hAnsi="Arial" w:cs="Arial"/>
          <w:b/>
        </w:rPr>
      </w:pPr>
    </w:p>
    <w:p w14:paraId="6D5B16DD" w14:textId="77777777" w:rsidR="00AC0445" w:rsidRPr="00E85D70" w:rsidRDefault="00AC0445" w:rsidP="00D14540">
      <w:pPr>
        <w:widowControl w:val="0"/>
        <w:tabs>
          <w:tab w:val="left" w:pos="2520"/>
          <w:tab w:val="left" w:pos="7200"/>
          <w:tab w:val="left" w:pos="8460"/>
        </w:tabs>
        <w:rPr>
          <w:rFonts w:asciiTheme="minorHAnsi" w:hAnsiTheme="minorHAnsi" w:cs="Arial"/>
          <w:b/>
          <w:sz w:val="24"/>
          <w:szCs w:val="24"/>
        </w:rPr>
      </w:pPr>
      <w:r w:rsidRPr="00E85D70">
        <w:rPr>
          <w:rFonts w:asciiTheme="minorHAnsi" w:hAnsiTheme="minorHAnsi" w:cs="Arial"/>
          <w:b/>
          <w:sz w:val="24"/>
          <w:szCs w:val="24"/>
        </w:rPr>
        <w:lastRenderedPageBreak/>
        <w:t>Pensions Reserve</w:t>
      </w:r>
    </w:p>
    <w:p w14:paraId="5A890FAC" w14:textId="77777777" w:rsidR="00AC0445" w:rsidRDefault="00AC0445" w:rsidP="00D14540">
      <w:pPr>
        <w:widowControl w:val="0"/>
        <w:tabs>
          <w:tab w:val="left" w:pos="2520"/>
          <w:tab w:val="left" w:pos="7200"/>
          <w:tab w:val="left" w:pos="8460"/>
        </w:tabs>
        <w:rPr>
          <w:rFonts w:ascii="Arial" w:hAnsi="Arial" w:cs="Arial"/>
          <w:b/>
        </w:rPr>
      </w:pPr>
    </w:p>
    <w:p w14:paraId="572B2F32" w14:textId="01769950" w:rsidR="00756D0B" w:rsidRDefault="00AC0445" w:rsidP="0087469D">
      <w:pPr>
        <w:widowControl w:val="0"/>
        <w:tabs>
          <w:tab w:val="left" w:pos="2520"/>
          <w:tab w:val="left" w:pos="7200"/>
          <w:tab w:val="left" w:pos="8460"/>
        </w:tabs>
        <w:jc w:val="both"/>
        <w:rPr>
          <w:rFonts w:ascii="Arial" w:hAnsi="Arial" w:cs="Arial"/>
        </w:rPr>
      </w:pPr>
      <w:r w:rsidRPr="00E85D70">
        <w:rPr>
          <w:rFonts w:asciiTheme="minorHAnsi" w:hAnsiTheme="minorHAnsi" w:cs="Arial"/>
          <w:sz w:val="22"/>
          <w:szCs w:val="22"/>
        </w:rPr>
        <w:t xml:space="preserve">The Pensions reserve absorbs the timing differences arising from the different arrangements for accounting for </w:t>
      </w:r>
      <w:proofErr w:type="spellStart"/>
      <w:r w:rsidRPr="00E85D70">
        <w:rPr>
          <w:rFonts w:asciiTheme="minorHAnsi" w:hAnsiTheme="minorHAnsi" w:cs="Arial"/>
          <w:sz w:val="22"/>
          <w:szCs w:val="22"/>
        </w:rPr>
        <w:t>post employment</w:t>
      </w:r>
      <w:proofErr w:type="spellEnd"/>
      <w:r w:rsidRPr="00E85D70">
        <w:rPr>
          <w:rFonts w:asciiTheme="minorHAnsi" w:hAnsiTheme="minorHAnsi" w:cs="Arial"/>
          <w:sz w:val="22"/>
          <w:szCs w:val="22"/>
        </w:rPr>
        <w:t xml:space="preserve"> benefits and for funding benefits in accordance</w:t>
      </w:r>
      <w:r w:rsidR="00F97D7B" w:rsidRPr="00E85D70">
        <w:rPr>
          <w:rFonts w:asciiTheme="minorHAnsi" w:hAnsiTheme="minorHAnsi" w:cs="Arial"/>
          <w:sz w:val="22"/>
          <w:szCs w:val="22"/>
        </w:rPr>
        <w:t xml:space="preserve"> with statutory provisions.  The </w:t>
      </w:r>
      <w:r w:rsidR="00A23B81">
        <w:rPr>
          <w:rFonts w:asciiTheme="minorHAnsi" w:hAnsiTheme="minorHAnsi" w:cs="Arial"/>
          <w:sz w:val="22"/>
          <w:szCs w:val="22"/>
        </w:rPr>
        <w:t>Council</w:t>
      </w:r>
      <w:r w:rsidR="00F97D7B" w:rsidRPr="00E85D70">
        <w:rPr>
          <w:rFonts w:asciiTheme="minorHAnsi" w:hAnsiTheme="minorHAnsi" w:cs="Arial"/>
          <w:sz w:val="22"/>
          <w:szCs w:val="22"/>
        </w:rPr>
        <w:t xml:space="preserve"> accounts for </w:t>
      </w:r>
      <w:proofErr w:type="spellStart"/>
      <w:r w:rsidR="00F97D7B" w:rsidRPr="00E85D70">
        <w:rPr>
          <w:rFonts w:asciiTheme="minorHAnsi" w:hAnsiTheme="minorHAnsi" w:cs="Arial"/>
          <w:sz w:val="22"/>
          <w:szCs w:val="22"/>
        </w:rPr>
        <w:t>post employment</w:t>
      </w:r>
      <w:proofErr w:type="spellEnd"/>
      <w:r w:rsidR="00F97D7B" w:rsidRPr="00E85D70">
        <w:rPr>
          <w:rFonts w:asciiTheme="minorHAnsi" w:hAnsiTheme="minorHAnsi" w:cs="Arial"/>
          <w:sz w:val="22"/>
          <w:szCs w:val="22"/>
        </w:rPr>
        <w:t xml:space="preserve"> benefits in the Comprehensive Income </w:t>
      </w:r>
      <w:r w:rsidR="00704A70">
        <w:rPr>
          <w:rFonts w:asciiTheme="minorHAnsi" w:hAnsiTheme="minorHAnsi" w:cs="Arial"/>
          <w:sz w:val="22"/>
          <w:szCs w:val="22"/>
        </w:rPr>
        <w:t>and</w:t>
      </w:r>
      <w:r w:rsidR="00F97D7B" w:rsidRPr="00E85D70">
        <w:rPr>
          <w:rFonts w:asciiTheme="minorHAnsi" w:hAnsiTheme="minorHAnsi" w:cs="Arial"/>
          <w:sz w:val="22"/>
          <w:szCs w:val="22"/>
        </w:rPr>
        <w:t xml:space="preserve">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w:t>
      </w:r>
      <w:r w:rsidRPr="00E85D70">
        <w:rPr>
          <w:rFonts w:asciiTheme="minorHAnsi" w:hAnsiTheme="minorHAnsi" w:cs="Arial"/>
          <w:sz w:val="22"/>
          <w:szCs w:val="22"/>
        </w:rPr>
        <w:t xml:space="preserve"> </w:t>
      </w:r>
      <w:r w:rsidR="00811EDC" w:rsidRPr="00E85D70">
        <w:rPr>
          <w:rFonts w:asciiTheme="minorHAnsi" w:hAnsiTheme="minorHAnsi" w:cs="Arial"/>
          <w:sz w:val="22"/>
          <w:szCs w:val="22"/>
        </w:rPr>
        <w:t>financed as</w:t>
      </w:r>
      <w:r w:rsidR="00E047D6">
        <w:rPr>
          <w:rFonts w:asciiTheme="minorHAnsi" w:hAnsiTheme="minorHAnsi" w:cs="Arial"/>
          <w:sz w:val="22"/>
          <w:szCs w:val="22"/>
        </w:rPr>
        <w:t xml:space="preserve"> the Council</w:t>
      </w:r>
      <w:r w:rsidR="00F97D7B" w:rsidRPr="00E85D70">
        <w:rPr>
          <w:rFonts w:asciiTheme="minorHAnsi" w:hAnsiTheme="minorHAnsi" w:cs="Arial"/>
          <w:sz w:val="22"/>
          <w:szCs w:val="22"/>
        </w:rPr>
        <w:t xml:space="preserve"> makes employers contributions in </w:t>
      </w:r>
      <w:r w:rsidR="00811EDC" w:rsidRPr="00E85D70">
        <w:rPr>
          <w:rFonts w:asciiTheme="minorHAnsi" w:hAnsiTheme="minorHAnsi" w:cs="Arial"/>
          <w:sz w:val="22"/>
          <w:szCs w:val="22"/>
        </w:rPr>
        <w:t>pension’s</w:t>
      </w:r>
      <w:r w:rsidR="00F97D7B" w:rsidRPr="00E85D70">
        <w:rPr>
          <w:rFonts w:asciiTheme="minorHAnsi" w:hAnsiTheme="minorHAnsi" w:cs="Arial"/>
          <w:sz w:val="22"/>
          <w:szCs w:val="22"/>
        </w:rPr>
        <w:t xml:space="preserve"> funds or eventually pays any pension for which it is directly responsible.  The debit balance on the pensions reserve therefore shows a substantial shortfall in the benefits earned by past and current employees and the resources the </w:t>
      </w:r>
      <w:r w:rsidR="00E047D6">
        <w:rPr>
          <w:rFonts w:asciiTheme="minorHAnsi" w:hAnsiTheme="minorHAnsi" w:cs="Arial"/>
          <w:sz w:val="22"/>
          <w:szCs w:val="22"/>
        </w:rPr>
        <w:t>Council</w:t>
      </w:r>
      <w:r w:rsidR="00F97D7B" w:rsidRPr="00E85D70">
        <w:rPr>
          <w:rFonts w:asciiTheme="minorHAnsi" w:hAnsiTheme="minorHAnsi" w:cs="Arial"/>
          <w:sz w:val="22"/>
          <w:szCs w:val="22"/>
        </w:rPr>
        <w:t xml:space="preserve"> has aside to meet them.  The statutory arrangements will ensure that funding will have been set aside by the time the benefits come to be paid.</w:t>
      </w:r>
    </w:p>
    <w:p w14:paraId="2EBE78B7" w14:textId="77777777" w:rsidR="00F97D7B" w:rsidRDefault="003315C5" w:rsidP="00D14540">
      <w:pPr>
        <w:widowControl w:val="0"/>
        <w:tabs>
          <w:tab w:val="left" w:pos="2520"/>
          <w:tab w:val="left" w:pos="7200"/>
          <w:tab w:val="left" w:pos="8460"/>
        </w:tabs>
        <w:rPr>
          <w:rFonts w:ascii="Arial" w:hAnsi="Arial" w:cs="Arial"/>
        </w:rPr>
      </w:pPr>
      <w:r>
        <w:rPr>
          <w:rFonts w:ascii="Arial" w:hAnsi="Arial" w:cs="Arial"/>
        </w:rPr>
        <w:tab/>
      </w:r>
      <w:r>
        <w:rPr>
          <w:rFonts w:ascii="Arial" w:hAnsi="Arial" w:cs="Arial"/>
        </w:rPr>
        <w:tab/>
      </w:r>
      <w:r>
        <w:rPr>
          <w:rFonts w:ascii="Arial" w:hAnsi="Arial" w:cs="Arial"/>
        </w:rPr>
        <w:tab/>
      </w:r>
    </w:p>
    <w:tbl>
      <w:tblPr>
        <w:tblW w:w="9240" w:type="dxa"/>
        <w:tblInd w:w="93" w:type="dxa"/>
        <w:tblLook w:val="04A0" w:firstRow="1" w:lastRow="0" w:firstColumn="1" w:lastColumn="0" w:noHBand="0" w:noVBand="1"/>
        <w:tblCaption w:val="Pension Reserve"/>
        <w:tblDescription w:val="Pension Reserve as at 31 March 2023 with 31 March 2022 comparables"/>
      </w:tblPr>
      <w:tblGrid>
        <w:gridCol w:w="1680"/>
        <w:gridCol w:w="5840"/>
        <w:gridCol w:w="1720"/>
      </w:tblGrid>
      <w:tr w:rsidR="008A003B" w:rsidRPr="008A003B" w14:paraId="1C71060B"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5C29DF5E" w14:textId="1712A33C" w:rsidR="008A003B" w:rsidRPr="008A003B" w:rsidRDefault="008A003B" w:rsidP="007C3629">
            <w:pPr>
              <w:jc w:val="right"/>
              <w:rPr>
                <w:rFonts w:ascii="Calibri" w:hAnsi="Calibri"/>
                <w:color w:val="000000"/>
                <w:lang w:eastAsia="en-GB"/>
              </w:rPr>
            </w:pPr>
            <w:r w:rsidRPr="008A003B">
              <w:rPr>
                <w:rFonts w:ascii="Calibri" w:hAnsi="Calibri"/>
                <w:color w:val="000000"/>
                <w:lang w:eastAsia="en-GB"/>
              </w:rPr>
              <w:t>20</w:t>
            </w:r>
            <w:r w:rsidR="004957BB">
              <w:rPr>
                <w:rFonts w:ascii="Calibri" w:hAnsi="Calibri"/>
                <w:color w:val="000000"/>
                <w:lang w:eastAsia="en-GB"/>
              </w:rPr>
              <w:t>2</w:t>
            </w:r>
            <w:r w:rsidR="007B3980">
              <w:rPr>
                <w:rFonts w:ascii="Calibri" w:hAnsi="Calibri"/>
                <w:color w:val="000000"/>
                <w:lang w:eastAsia="en-GB"/>
              </w:rPr>
              <w:t>1</w:t>
            </w:r>
            <w:r w:rsidRPr="008A003B">
              <w:rPr>
                <w:rFonts w:ascii="Calibri" w:hAnsi="Calibri"/>
                <w:color w:val="000000"/>
                <w:lang w:eastAsia="en-GB"/>
              </w:rPr>
              <w:t>-</w:t>
            </w:r>
            <w:r w:rsidR="007C3629">
              <w:rPr>
                <w:rFonts w:ascii="Calibri" w:hAnsi="Calibri"/>
                <w:color w:val="000000"/>
                <w:lang w:eastAsia="en-GB"/>
              </w:rPr>
              <w:t>2</w:t>
            </w:r>
            <w:r w:rsidR="007B398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noWrap/>
            <w:vAlign w:val="center"/>
            <w:hideMark/>
          </w:tcPr>
          <w:p w14:paraId="4D6AFFA6" w14:textId="77777777" w:rsidR="008A003B" w:rsidRPr="008A003B" w:rsidRDefault="008A003B" w:rsidP="008A003B">
            <w:pPr>
              <w:jc w:val="right"/>
              <w:rPr>
                <w:rFonts w:ascii="Calibri" w:hAnsi="Calibri"/>
                <w:color w:val="000000"/>
                <w:lang w:eastAsia="en-GB"/>
              </w:rPr>
            </w:pPr>
            <w:r w:rsidRPr="008A003B">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noWrap/>
            <w:vAlign w:val="center"/>
            <w:hideMark/>
          </w:tcPr>
          <w:p w14:paraId="1CDE6FBA" w14:textId="52149B11" w:rsidR="008A003B" w:rsidRPr="008A003B" w:rsidRDefault="008A003B" w:rsidP="007C3629">
            <w:pPr>
              <w:jc w:val="right"/>
              <w:rPr>
                <w:rFonts w:ascii="Calibri" w:hAnsi="Calibri"/>
                <w:color w:val="000000"/>
                <w:lang w:eastAsia="en-GB"/>
              </w:rPr>
            </w:pPr>
            <w:r w:rsidRPr="008A003B">
              <w:rPr>
                <w:rFonts w:ascii="Calibri" w:hAnsi="Calibri"/>
                <w:color w:val="000000"/>
                <w:lang w:eastAsia="en-GB"/>
              </w:rPr>
              <w:t>20</w:t>
            </w:r>
            <w:r w:rsidR="007C3629">
              <w:rPr>
                <w:rFonts w:ascii="Calibri" w:hAnsi="Calibri"/>
                <w:color w:val="000000"/>
                <w:lang w:eastAsia="en-GB"/>
              </w:rPr>
              <w:t>2</w:t>
            </w:r>
            <w:r w:rsidR="007B3980">
              <w:rPr>
                <w:rFonts w:ascii="Calibri" w:hAnsi="Calibri"/>
                <w:color w:val="000000"/>
                <w:lang w:eastAsia="en-GB"/>
              </w:rPr>
              <w:t>2</w:t>
            </w:r>
            <w:r w:rsidRPr="008A003B">
              <w:rPr>
                <w:rFonts w:ascii="Calibri" w:hAnsi="Calibri"/>
                <w:color w:val="000000"/>
                <w:lang w:eastAsia="en-GB"/>
              </w:rPr>
              <w:t>-</w:t>
            </w:r>
            <w:r w:rsidR="00A32831">
              <w:rPr>
                <w:rFonts w:ascii="Calibri" w:hAnsi="Calibri"/>
                <w:color w:val="000000"/>
                <w:lang w:eastAsia="en-GB"/>
              </w:rPr>
              <w:t>2</w:t>
            </w:r>
            <w:r w:rsidR="007B3980">
              <w:rPr>
                <w:rFonts w:ascii="Calibri" w:hAnsi="Calibri"/>
                <w:color w:val="000000"/>
                <w:lang w:eastAsia="en-GB"/>
              </w:rPr>
              <w:t>3</w:t>
            </w:r>
          </w:p>
        </w:tc>
      </w:tr>
      <w:tr w:rsidR="008A003B" w:rsidRPr="008A003B" w14:paraId="3AD62D0E" w14:textId="77777777" w:rsidTr="008A003B">
        <w:trPr>
          <w:trHeight w:val="300"/>
        </w:trPr>
        <w:tc>
          <w:tcPr>
            <w:tcW w:w="1680" w:type="dxa"/>
            <w:tcBorders>
              <w:top w:val="nil"/>
              <w:left w:val="single" w:sz="4" w:space="0" w:color="FFFFFF"/>
              <w:bottom w:val="single" w:sz="4" w:space="0" w:color="FFFFFF"/>
              <w:right w:val="single" w:sz="4" w:space="0" w:color="FFFFFF"/>
            </w:tcBorders>
            <w:shd w:val="clear" w:color="000000" w:fill="B1A0C7"/>
            <w:noWrap/>
            <w:vAlign w:val="center"/>
            <w:hideMark/>
          </w:tcPr>
          <w:p w14:paraId="370194CF" w14:textId="77777777" w:rsidR="008A003B" w:rsidRPr="008A003B" w:rsidRDefault="008A003B" w:rsidP="008A003B">
            <w:pPr>
              <w:jc w:val="right"/>
              <w:rPr>
                <w:rFonts w:ascii="Calibri" w:hAnsi="Calibri"/>
                <w:color w:val="000000"/>
                <w:lang w:eastAsia="en-GB"/>
              </w:rPr>
            </w:pPr>
            <w:r w:rsidRPr="008A003B">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noWrap/>
            <w:vAlign w:val="center"/>
            <w:hideMark/>
          </w:tcPr>
          <w:p w14:paraId="52B6A79C" w14:textId="77777777" w:rsidR="008A003B" w:rsidRPr="008A003B" w:rsidRDefault="008A003B" w:rsidP="008A003B">
            <w:pPr>
              <w:jc w:val="right"/>
              <w:rPr>
                <w:rFonts w:ascii="Calibri" w:hAnsi="Calibri"/>
                <w:color w:val="000000"/>
                <w:lang w:eastAsia="en-GB"/>
              </w:rPr>
            </w:pPr>
            <w:r w:rsidRPr="008A003B">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noWrap/>
            <w:vAlign w:val="center"/>
            <w:hideMark/>
          </w:tcPr>
          <w:p w14:paraId="4448E06A" w14:textId="77777777" w:rsidR="008A003B" w:rsidRPr="008A003B" w:rsidRDefault="008A003B" w:rsidP="008A003B">
            <w:pPr>
              <w:jc w:val="right"/>
              <w:rPr>
                <w:rFonts w:ascii="Calibri" w:hAnsi="Calibri"/>
                <w:color w:val="000000"/>
                <w:lang w:eastAsia="en-GB"/>
              </w:rPr>
            </w:pPr>
            <w:r w:rsidRPr="008A003B">
              <w:rPr>
                <w:rFonts w:ascii="Calibri" w:hAnsi="Calibri"/>
                <w:color w:val="000000"/>
                <w:lang w:eastAsia="en-GB"/>
              </w:rPr>
              <w:t>£'000</w:t>
            </w:r>
          </w:p>
        </w:tc>
      </w:tr>
      <w:tr w:rsidR="008A003B" w:rsidRPr="008A003B" w14:paraId="2444DDA5" w14:textId="77777777" w:rsidTr="008A003B">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458B572A" w14:textId="32C0C3D9" w:rsidR="008A003B" w:rsidRPr="008A003B" w:rsidRDefault="008A003B" w:rsidP="007C3629">
            <w:pPr>
              <w:jc w:val="right"/>
              <w:rPr>
                <w:rFonts w:ascii="Calibri" w:hAnsi="Calibri"/>
                <w:b/>
                <w:bCs/>
                <w:color w:val="000000"/>
                <w:lang w:eastAsia="en-GB"/>
              </w:rPr>
            </w:pPr>
            <w:r w:rsidRPr="008A003B">
              <w:rPr>
                <w:rFonts w:ascii="Calibri" w:hAnsi="Calibri"/>
                <w:b/>
                <w:bCs/>
                <w:color w:val="000000"/>
                <w:lang w:eastAsia="en-GB"/>
              </w:rPr>
              <w:t>-</w:t>
            </w:r>
            <w:r w:rsidR="007C3629">
              <w:rPr>
                <w:rFonts w:ascii="Calibri" w:hAnsi="Calibri"/>
                <w:b/>
                <w:bCs/>
                <w:color w:val="000000"/>
                <w:lang w:eastAsia="en-GB"/>
              </w:rPr>
              <w:t>2</w:t>
            </w:r>
            <w:r w:rsidR="007B3980">
              <w:rPr>
                <w:rFonts w:ascii="Calibri" w:hAnsi="Calibri"/>
                <w:b/>
                <w:bCs/>
                <w:color w:val="000000"/>
                <w:lang w:eastAsia="en-GB"/>
              </w:rPr>
              <w:t>7</w:t>
            </w:r>
            <w:r w:rsidR="004957BB">
              <w:rPr>
                <w:rFonts w:ascii="Calibri" w:hAnsi="Calibri"/>
                <w:b/>
                <w:bCs/>
                <w:color w:val="000000"/>
                <w:lang w:eastAsia="en-GB"/>
              </w:rPr>
              <w:t>,</w:t>
            </w:r>
            <w:r w:rsidR="007B3980">
              <w:rPr>
                <w:rFonts w:ascii="Calibri" w:hAnsi="Calibri"/>
                <w:b/>
                <w:bCs/>
                <w:color w:val="000000"/>
                <w:lang w:eastAsia="en-GB"/>
              </w:rPr>
              <w:t>681</w:t>
            </w:r>
          </w:p>
        </w:tc>
        <w:tc>
          <w:tcPr>
            <w:tcW w:w="5840" w:type="dxa"/>
            <w:tcBorders>
              <w:top w:val="nil"/>
              <w:left w:val="nil"/>
              <w:bottom w:val="single" w:sz="4" w:space="0" w:color="FFFFFF"/>
              <w:right w:val="single" w:sz="4" w:space="0" w:color="FFFFFF"/>
            </w:tcBorders>
            <w:shd w:val="clear" w:color="000000" w:fill="CCC0DA"/>
            <w:noWrap/>
            <w:vAlign w:val="center"/>
            <w:hideMark/>
          </w:tcPr>
          <w:p w14:paraId="0D9BC160" w14:textId="77777777" w:rsidR="008A003B" w:rsidRPr="008A003B" w:rsidRDefault="008A003B" w:rsidP="008A003B">
            <w:pPr>
              <w:rPr>
                <w:rFonts w:ascii="Calibri" w:hAnsi="Calibri"/>
                <w:b/>
                <w:bCs/>
                <w:color w:val="000000"/>
                <w:lang w:eastAsia="en-GB"/>
              </w:rPr>
            </w:pPr>
            <w:r w:rsidRPr="008A003B">
              <w:rPr>
                <w:rFonts w:ascii="Calibri" w:hAnsi="Calibri"/>
                <w:b/>
                <w:bCs/>
                <w:color w:val="000000"/>
                <w:lang w:eastAsia="en-GB"/>
              </w:rPr>
              <w:t xml:space="preserve">Balance </w:t>
            </w:r>
            <w:proofErr w:type="gramStart"/>
            <w:r w:rsidRPr="008A003B">
              <w:rPr>
                <w:rFonts w:ascii="Calibri" w:hAnsi="Calibri"/>
                <w:b/>
                <w:bCs/>
                <w:color w:val="000000"/>
                <w:lang w:eastAsia="en-GB"/>
              </w:rPr>
              <w:t>at</w:t>
            </w:r>
            <w:proofErr w:type="gramEnd"/>
            <w:r w:rsidRPr="008A003B">
              <w:rPr>
                <w:rFonts w:ascii="Calibri" w:hAnsi="Calibri"/>
                <w:b/>
                <w:bCs/>
                <w:color w:val="000000"/>
                <w:lang w:eastAsia="en-GB"/>
              </w:rPr>
              <w:t xml:space="preserve"> 1 April</w:t>
            </w:r>
          </w:p>
        </w:tc>
        <w:tc>
          <w:tcPr>
            <w:tcW w:w="1720" w:type="dxa"/>
            <w:tcBorders>
              <w:top w:val="nil"/>
              <w:left w:val="nil"/>
              <w:bottom w:val="single" w:sz="4" w:space="0" w:color="FFFFFF"/>
              <w:right w:val="single" w:sz="4" w:space="0" w:color="FFFFFF"/>
            </w:tcBorders>
            <w:shd w:val="clear" w:color="000000" w:fill="CCC0DA"/>
            <w:noWrap/>
            <w:vAlign w:val="center"/>
            <w:hideMark/>
          </w:tcPr>
          <w:p w14:paraId="2B562E8F" w14:textId="6C4B4DF4" w:rsidR="008A003B" w:rsidRPr="008A003B" w:rsidRDefault="00A32831" w:rsidP="007C3629">
            <w:pPr>
              <w:jc w:val="right"/>
              <w:rPr>
                <w:rFonts w:ascii="Calibri" w:hAnsi="Calibri"/>
                <w:b/>
                <w:bCs/>
                <w:color w:val="000000"/>
                <w:lang w:eastAsia="en-GB"/>
              </w:rPr>
            </w:pPr>
            <w:r>
              <w:rPr>
                <w:rFonts w:ascii="Calibri" w:hAnsi="Calibri"/>
                <w:b/>
                <w:bCs/>
                <w:color w:val="000000"/>
                <w:lang w:eastAsia="en-GB"/>
              </w:rPr>
              <w:t>-2</w:t>
            </w:r>
            <w:r w:rsidR="007B3980">
              <w:rPr>
                <w:rFonts w:ascii="Calibri" w:hAnsi="Calibri"/>
                <w:b/>
                <w:bCs/>
                <w:color w:val="000000"/>
                <w:lang w:eastAsia="en-GB"/>
              </w:rPr>
              <w:t>0,547</w:t>
            </w:r>
            <w:r w:rsidR="008A003B" w:rsidRPr="008A003B">
              <w:rPr>
                <w:rFonts w:ascii="Calibri" w:hAnsi="Calibri"/>
                <w:b/>
                <w:bCs/>
                <w:color w:val="000000"/>
                <w:lang w:eastAsia="en-GB"/>
              </w:rPr>
              <w:t> </w:t>
            </w:r>
          </w:p>
        </w:tc>
      </w:tr>
      <w:tr w:rsidR="008A003B" w:rsidRPr="008A003B" w14:paraId="717AE8C6"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00F7D78A" w14:textId="6567C8C7" w:rsidR="008A003B" w:rsidRPr="008A003B" w:rsidRDefault="007B3980" w:rsidP="008A003B">
            <w:pPr>
              <w:jc w:val="right"/>
              <w:rPr>
                <w:rFonts w:ascii="Calibri" w:hAnsi="Calibri"/>
                <w:color w:val="000000"/>
                <w:lang w:eastAsia="en-GB"/>
              </w:rPr>
            </w:pPr>
            <w:r>
              <w:rPr>
                <w:rFonts w:ascii="Calibri" w:hAnsi="Calibri"/>
                <w:color w:val="000000"/>
                <w:lang w:eastAsia="en-GB"/>
              </w:rPr>
              <w:t>8,966</w:t>
            </w:r>
          </w:p>
        </w:tc>
        <w:tc>
          <w:tcPr>
            <w:tcW w:w="5840" w:type="dxa"/>
            <w:tcBorders>
              <w:top w:val="nil"/>
              <w:left w:val="nil"/>
              <w:bottom w:val="single" w:sz="4" w:space="0" w:color="FFFFFF"/>
              <w:right w:val="single" w:sz="4" w:space="0" w:color="FFFFFF"/>
            </w:tcBorders>
            <w:shd w:val="clear" w:color="000000" w:fill="E4DFEC"/>
            <w:vAlign w:val="center"/>
            <w:hideMark/>
          </w:tcPr>
          <w:p w14:paraId="3F147F62" w14:textId="77777777" w:rsidR="008A003B" w:rsidRPr="008A003B" w:rsidRDefault="008A003B" w:rsidP="008A003B">
            <w:pPr>
              <w:rPr>
                <w:rFonts w:ascii="Calibri" w:hAnsi="Calibri"/>
                <w:color w:val="000000"/>
                <w:lang w:eastAsia="en-GB"/>
              </w:rPr>
            </w:pPr>
            <w:r w:rsidRPr="008A003B">
              <w:rPr>
                <w:rFonts w:ascii="Calibri" w:hAnsi="Calibri"/>
                <w:color w:val="000000"/>
                <w:lang w:eastAsia="en-GB"/>
              </w:rPr>
              <w:t>Re-measurements of the net defined benefit liability/asset</w:t>
            </w:r>
          </w:p>
        </w:tc>
        <w:tc>
          <w:tcPr>
            <w:tcW w:w="1720" w:type="dxa"/>
            <w:tcBorders>
              <w:top w:val="nil"/>
              <w:left w:val="nil"/>
              <w:bottom w:val="single" w:sz="4" w:space="0" w:color="FFFFFF"/>
              <w:right w:val="single" w:sz="4" w:space="0" w:color="FFFFFF"/>
            </w:tcBorders>
            <w:shd w:val="clear" w:color="000000" w:fill="E4DFEC"/>
            <w:noWrap/>
            <w:vAlign w:val="center"/>
          </w:tcPr>
          <w:p w14:paraId="10679990" w14:textId="5661BEB1" w:rsidR="008A003B" w:rsidRPr="008A003B" w:rsidRDefault="006F57BD" w:rsidP="00097A5B">
            <w:pPr>
              <w:jc w:val="right"/>
              <w:rPr>
                <w:rFonts w:ascii="Calibri" w:hAnsi="Calibri"/>
                <w:color w:val="000000"/>
                <w:lang w:eastAsia="en-GB"/>
              </w:rPr>
            </w:pPr>
            <w:r>
              <w:rPr>
                <w:rFonts w:ascii="Calibri" w:hAnsi="Calibri"/>
                <w:color w:val="000000"/>
                <w:lang w:eastAsia="en-GB"/>
              </w:rPr>
              <w:t>19,889</w:t>
            </w:r>
          </w:p>
        </w:tc>
      </w:tr>
      <w:tr w:rsidR="008A003B" w:rsidRPr="008A003B" w14:paraId="23CB446F" w14:textId="77777777" w:rsidTr="00DE0E04">
        <w:trPr>
          <w:trHeight w:val="765"/>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1340EE5E" w14:textId="04D02859" w:rsidR="008A003B" w:rsidRPr="008A003B" w:rsidRDefault="008A003B" w:rsidP="0058145B">
            <w:pPr>
              <w:jc w:val="right"/>
              <w:rPr>
                <w:rFonts w:ascii="Calibri" w:hAnsi="Calibri"/>
                <w:color w:val="000000"/>
                <w:lang w:eastAsia="en-GB"/>
              </w:rPr>
            </w:pPr>
            <w:r w:rsidRPr="008A003B">
              <w:rPr>
                <w:rFonts w:ascii="Calibri" w:hAnsi="Calibri"/>
                <w:color w:val="000000"/>
                <w:lang w:eastAsia="en-GB"/>
              </w:rPr>
              <w:t>-</w:t>
            </w:r>
            <w:r w:rsidR="007B3980">
              <w:rPr>
                <w:rFonts w:ascii="Calibri" w:hAnsi="Calibri"/>
                <w:color w:val="000000"/>
                <w:lang w:eastAsia="en-GB"/>
              </w:rPr>
              <w:t>3,197</w:t>
            </w:r>
          </w:p>
        </w:tc>
        <w:tc>
          <w:tcPr>
            <w:tcW w:w="5840" w:type="dxa"/>
            <w:tcBorders>
              <w:top w:val="nil"/>
              <w:left w:val="nil"/>
              <w:bottom w:val="single" w:sz="4" w:space="0" w:color="FFFFFF"/>
              <w:right w:val="single" w:sz="4" w:space="0" w:color="FFFFFF"/>
            </w:tcBorders>
            <w:shd w:val="clear" w:color="000000" w:fill="E4DFEC"/>
            <w:vAlign w:val="center"/>
            <w:hideMark/>
          </w:tcPr>
          <w:p w14:paraId="3D053822" w14:textId="77777777" w:rsidR="008A003B" w:rsidRPr="008A003B" w:rsidRDefault="008A003B" w:rsidP="008A003B">
            <w:pPr>
              <w:rPr>
                <w:rFonts w:ascii="Calibri" w:hAnsi="Calibri"/>
                <w:color w:val="000000"/>
                <w:lang w:eastAsia="en-GB"/>
              </w:rPr>
            </w:pPr>
            <w:r w:rsidRPr="008A003B">
              <w:rPr>
                <w:rFonts w:ascii="Calibri" w:hAnsi="Calibri"/>
                <w:color w:val="000000"/>
                <w:lang w:eastAsia="en-GB"/>
              </w:rPr>
              <w:t>Reversal of items relating to retirement benefits credited to the deficit on provision of Services in the Comprehensive Income and Expenditure statement</w:t>
            </w:r>
          </w:p>
        </w:tc>
        <w:tc>
          <w:tcPr>
            <w:tcW w:w="1720" w:type="dxa"/>
            <w:tcBorders>
              <w:top w:val="nil"/>
              <w:left w:val="nil"/>
              <w:bottom w:val="single" w:sz="4" w:space="0" w:color="FFFFFF"/>
              <w:right w:val="single" w:sz="4" w:space="0" w:color="FFFFFF"/>
            </w:tcBorders>
            <w:shd w:val="clear" w:color="000000" w:fill="E4DFEC"/>
            <w:noWrap/>
            <w:vAlign w:val="center"/>
          </w:tcPr>
          <w:p w14:paraId="0C473BBC" w14:textId="33A25F1F" w:rsidR="008A003B" w:rsidRPr="008A003B" w:rsidRDefault="006F57BD" w:rsidP="00847423">
            <w:pPr>
              <w:jc w:val="right"/>
              <w:rPr>
                <w:rFonts w:ascii="Calibri" w:hAnsi="Calibri"/>
                <w:color w:val="000000"/>
                <w:lang w:eastAsia="en-GB"/>
              </w:rPr>
            </w:pPr>
            <w:r>
              <w:rPr>
                <w:rFonts w:ascii="Calibri" w:hAnsi="Calibri"/>
                <w:color w:val="000000"/>
                <w:lang w:eastAsia="en-GB"/>
              </w:rPr>
              <w:t>-3,079</w:t>
            </w:r>
          </w:p>
        </w:tc>
      </w:tr>
      <w:tr w:rsidR="008A003B" w:rsidRPr="008A003B" w14:paraId="5F0D2F6C"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480D2573" w14:textId="4E524A76" w:rsidR="008A003B" w:rsidRPr="008A003B" w:rsidRDefault="00A32831" w:rsidP="008A003B">
            <w:pPr>
              <w:jc w:val="right"/>
              <w:rPr>
                <w:rFonts w:ascii="Calibri" w:hAnsi="Calibri"/>
                <w:color w:val="000000"/>
                <w:lang w:eastAsia="en-GB"/>
              </w:rPr>
            </w:pPr>
            <w:r>
              <w:rPr>
                <w:rFonts w:ascii="Calibri" w:hAnsi="Calibri"/>
                <w:color w:val="000000"/>
                <w:lang w:eastAsia="en-GB"/>
              </w:rPr>
              <w:t>1,</w:t>
            </w:r>
            <w:r w:rsidR="007B3980">
              <w:rPr>
                <w:rFonts w:ascii="Calibri" w:hAnsi="Calibri"/>
                <w:color w:val="000000"/>
                <w:lang w:eastAsia="en-GB"/>
              </w:rPr>
              <w:t>365</w:t>
            </w:r>
          </w:p>
        </w:tc>
        <w:tc>
          <w:tcPr>
            <w:tcW w:w="5840" w:type="dxa"/>
            <w:tcBorders>
              <w:top w:val="nil"/>
              <w:left w:val="nil"/>
              <w:bottom w:val="single" w:sz="4" w:space="0" w:color="FFFFFF"/>
              <w:right w:val="single" w:sz="4" w:space="0" w:color="FFFFFF"/>
            </w:tcBorders>
            <w:shd w:val="clear" w:color="000000" w:fill="E4DFEC"/>
            <w:vAlign w:val="center"/>
            <w:hideMark/>
          </w:tcPr>
          <w:p w14:paraId="3B627F6D" w14:textId="77777777" w:rsidR="008A003B" w:rsidRPr="008A003B" w:rsidRDefault="008A003B" w:rsidP="008A003B">
            <w:pPr>
              <w:rPr>
                <w:rFonts w:ascii="Calibri" w:hAnsi="Calibri"/>
                <w:color w:val="000000"/>
                <w:lang w:eastAsia="en-GB"/>
              </w:rPr>
            </w:pPr>
            <w:r w:rsidRPr="008A003B">
              <w:rPr>
                <w:rFonts w:ascii="Calibri" w:hAnsi="Calibri"/>
                <w:color w:val="000000"/>
                <w:lang w:eastAsia="en-GB"/>
              </w:rPr>
              <w:t>Employers pension contributions and direct payments to pensioners payable in the year</w:t>
            </w:r>
          </w:p>
        </w:tc>
        <w:tc>
          <w:tcPr>
            <w:tcW w:w="1720" w:type="dxa"/>
            <w:tcBorders>
              <w:top w:val="nil"/>
              <w:left w:val="nil"/>
              <w:bottom w:val="single" w:sz="4" w:space="0" w:color="FFFFFF"/>
              <w:right w:val="single" w:sz="4" w:space="0" w:color="FFFFFF"/>
            </w:tcBorders>
            <w:shd w:val="clear" w:color="000000" w:fill="E4DFEC"/>
            <w:noWrap/>
            <w:vAlign w:val="center"/>
          </w:tcPr>
          <w:p w14:paraId="4CBF397C" w14:textId="640BC186" w:rsidR="008A003B" w:rsidRPr="008A003B" w:rsidRDefault="006F57BD" w:rsidP="008A003B">
            <w:pPr>
              <w:jc w:val="right"/>
              <w:rPr>
                <w:rFonts w:ascii="Calibri" w:hAnsi="Calibri"/>
                <w:color w:val="000000"/>
                <w:lang w:eastAsia="en-GB"/>
              </w:rPr>
            </w:pPr>
            <w:r>
              <w:rPr>
                <w:rFonts w:ascii="Calibri" w:hAnsi="Calibri"/>
                <w:color w:val="000000"/>
                <w:lang w:eastAsia="en-GB"/>
              </w:rPr>
              <w:t>1,486</w:t>
            </w:r>
          </w:p>
        </w:tc>
      </w:tr>
      <w:tr w:rsidR="008A003B" w:rsidRPr="008A003B" w14:paraId="36207ED9"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17E13939" w14:textId="370599F6" w:rsidR="008A003B" w:rsidRPr="008A003B" w:rsidRDefault="008A003B" w:rsidP="008A003B">
            <w:pPr>
              <w:jc w:val="right"/>
              <w:rPr>
                <w:rFonts w:ascii="Calibri" w:hAnsi="Calibri"/>
                <w:b/>
                <w:bCs/>
                <w:color w:val="000000"/>
                <w:lang w:eastAsia="en-GB"/>
              </w:rPr>
            </w:pPr>
            <w:r w:rsidRPr="008A003B">
              <w:rPr>
                <w:rFonts w:ascii="Calibri" w:hAnsi="Calibri"/>
                <w:b/>
                <w:bCs/>
                <w:color w:val="000000"/>
                <w:lang w:eastAsia="en-GB"/>
              </w:rPr>
              <w:t>-</w:t>
            </w:r>
            <w:r w:rsidR="00A32831">
              <w:rPr>
                <w:rFonts w:ascii="Calibri" w:hAnsi="Calibri"/>
                <w:b/>
                <w:bCs/>
                <w:color w:val="000000"/>
                <w:lang w:eastAsia="en-GB"/>
              </w:rPr>
              <w:t>2</w:t>
            </w:r>
            <w:r w:rsidR="007B3980">
              <w:rPr>
                <w:rFonts w:ascii="Calibri" w:hAnsi="Calibri"/>
                <w:b/>
                <w:bCs/>
                <w:color w:val="000000"/>
                <w:lang w:eastAsia="en-GB"/>
              </w:rPr>
              <w:t>0,547</w:t>
            </w:r>
          </w:p>
        </w:tc>
        <w:tc>
          <w:tcPr>
            <w:tcW w:w="5840" w:type="dxa"/>
            <w:tcBorders>
              <w:top w:val="nil"/>
              <w:left w:val="nil"/>
              <w:bottom w:val="single" w:sz="4" w:space="0" w:color="FFFFFF"/>
              <w:right w:val="single" w:sz="4" w:space="0" w:color="FFFFFF"/>
            </w:tcBorders>
            <w:shd w:val="clear" w:color="000000" w:fill="CCC0DA"/>
            <w:vAlign w:val="center"/>
            <w:hideMark/>
          </w:tcPr>
          <w:p w14:paraId="365D0444" w14:textId="77777777" w:rsidR="008A003B" w:rsidRPr="008A003B" w:rsidRDefault="008A003B" w:rsidP="008A003B">
            <w:pPr>
              <w:rPr>
                <w:rFonts w:ascii="Calibri" w:hAnsi="Calibri"/>
                <w:b/>
                <w:bCs/>
                <w:color w:val="000000"/>
                <w:lang w:eastAsia="en-GB"/>
              </w:rPr>
            </w:pPr>
            <w:r w:rsidRPr="008A003B">
              <w:rPr>
                <w:rFonts w:ascii="Calibri" w:hAnsi="Calibri"/>
                <w:b/>
                <w:bCs/>
                <w:color w:val="000000"/>
                <w:lang w:eastAsia="en-GB"/>
              </w:rPr>
              <w:t xml:space="preserve">Balance </w:t>
            </w:r>
            <w:proofErr w:type="gramStart"/>
            <w:r w:rsidRPr="008A003B">
              <w:rPr>
                <w:rFonts w:ascii="Calibri" w:hAnsi="Calibri"/>
                <w:b/>
                <w:bCs/>
                <w:color w:val="000000"/>
                <w:lang w:eastAsia="en-GB"/>
              </w:rPr>
              <w:t>at</w:t>
            </w:r>
            <w:proofErr w:type="gramEnd"/>
            <w:r w:rsidRPr="008A003B">
              <w:rPr>
                <w:rFonts w:ascii="Calibri" w:hAnsi="Calibri"/>
                <w:b/>
                <w:bCs/>
                <w:color w:val="000000"/>
                <w:lang w:eastAsia="en-GB"/>
              </w:rPr>
              <w:t xml:space="preserve"> 31 March</w:t>
            </w:r>
          </w:p>
        </w:tc>
        <w:tc>
          <w:tcPr>
            <w:tcW w:w="1720" w:type="dxa"/>
            <w:tcBorders>
              <w:top w:val="nil"/>
              <w:left w:val="nil"/>
              <w:bottom w:val="single" w:sz="4" w:space="0" w:color="FFFFFF"/>
              <w:right w:val="single" w:sz="4" w:space="0" w:color="FFFFFF"/>
            </w:tcBorders>
            <w:shd w:val="clear" w:color="000000" w:fill="CCC0DA"/>
            <w:noWrap/>
            <w:vAlign w:val="center"/>
          </w:tcPr>
          <w:p w14:paraId="29798643" w14:textId="5BA2AB83" w:rsidR="008A003B" w:rsidRPr="008A003B" w:rsidRDefault="006F57BD" w:rsidP="00847423">
            <w:pPr>
              <w:jc w:val="right"/>
              <w:rPr>
                <w:rFonts w:ascii="Calibri" w:hAnsi="Calibri"/>
                <w:b/>
                <w:bCs/>
                <w:color w:val="000000"/>
                <w:lang w:eastAsia="en-GB"/>
              </w:rPr>
            </w:pPr>
            <w:r>
              <w:rPr>
                <w:rFonts w:ascii="Calibri" w:hAnsi="Calibri"/>
                <w:b/>
                <w:bCs/>
                <w:color w:val="000000"/>
                <w:lang w:eastAsia="en-GB"/>
              </w:rPr>
              <w:t>-2,251</w:t>
            </w:r>
          </w:p>
        </w:tc>
      </w:tr>
    </w:tbl>
    <w:p w14:paraId="17AF21C0" w14:textId="77777777" w:rsidR="006114FB" w:rsidRDefault="006114FB" w:rsidP="00D14540">
      <w:pPr>
        <w:widowControl w:val="0"/>
        <w:tabs>
          <w:tab w:val="left" w:pos="2520"/>
          <w:tab w:val="left" w:pos="7200"/>
          <w:tab w:val="left" w:pos="8460"/>
        </w:tabs>
        <w:rPr>
          <w:rFonts w:ascii="Arial" w:hAnsi="Arial" w:cs="Arial"/>
          <w:b/>
        </w:rPr>
      </w:pPr>
    </w:p>
    <w:p w14:paraId="34AE9133" w14:textId="77777777" w:rsidR="00AC0445" w:rsidRPr="00D24DB0" w:rsidRDefault="00FB4FC8" w:rsidP="00D14540">
      <w:pPr>
        <w:widowControl w:val="0"/>
        <w:tabs>
          <w:tab w:val="left" w:pos="2520"/>
          <w:tab w:val="left" w:pos="7200"/>
          <w:tab w:val="left" w:pos="8460"/>
        </w:tabs>
        <w:rPr>
          <w:rFonts w:asciiTheme="minorHAnsi" w:hAnsiTheme="minorHAnsi" w:cs="Arial"/>
          <w:b/>
          <w:sz w:val="24"/>
          <w:szCs w:val="24"/>
        </w:rPr>
      </w:pPr>
      <w:r w:rsidRPr="00D24DB0">
        <w:rPr>
          <w:rFonts w:asciiTheme="minorHAnsi" w:hAnsiTheme="minorHAnsi" w:cs="Arial"/>
          <w:b/>
          <w:sz w:val="24"/>
          <w:szCs w:val="24"/>
        </w:rPr>
        <w:t>Deferred Capital Receipts Reserve</w:t>
      </w:r>
    </w:p>
    <w:p w14:paraId="28053230" w14:textId="77777777" w:rsidR="00FB4FC8" w:rsidRDefault="00FB4FC8" w:rsidP="00D14540">
      <w:pPr>
        <w:widowControl w:val="0"/>
        <w:tabs>
          <w:tab w:val="left" w:pos="2520"/>
          <w:tab w:val="left" w:pos="7200"/>
          <w:tab w:val="left" w:pos="8460"/>
        </w:tabs>
        <w:rPr>
          <w:rFonts w:ascii="Arial" w:hAnsi="Arial" w:cs="Arial"/>
          <w:b/>
        </w:rPr>
      </w:pPr>
    </w:p>
    <w:p w14:paraId="6A631B0D" w14:textId="77777777" w:rsidR="00FB4FC8" w:rsidRPr="00D24DB0" w:rsidRDefault="00FB4FC8" w:rsidP="00811EDC">
      <w:pPr>
        <w:widowControl w:val="0"/>
        <w:tabs>
          <w:tab w:val="left" w:pos="2520"/>
          <w:tab w:val="left" w:pos="7200"/>
          <w:tab w:val="left" w:pos="8460"/>
        </w:tabs>
        <w:jc w:val="both"/>
        <w:rPr>
          <w:rStyle w:val="PageNumber"/>
          <w:rFonts w:asciiTheme="minorHAnsi" w:hAnsiTheme="minorHAnsi" w:cs="Arial"/>
          <w:sz w:val="22"/>
          <w:szCs w:val="22"/>
        </w:rPr>
      </w:pPr>
      <w:r w:rsidRPr="00D24DB0">
        <w:rPr>
          <w:rFonts w:asciiTheme="minorHAnsi" w:hAnsiTheme="minorHAnsi" w:cs="Arial"/>
          <w:sz w:val="22"/>
          <w:szCs w:val="22"/>
        </w:rPr>
        <w:t xml:space="preserve">The Deferred Capital Receipts Reserve holds the gains recognised on the disposal of non-current </w:t>
      </w:r>
      <w:r w:rsidR="00811EDC" w:rsidRPr="00D24DB0">
        <w:rPr>
          <w:rFonts w:asciiTheme="minorHAnsi" w:hAnsiTheme="minorHAnsi" w:cs="Arial"/>
          <w:sz w:val="22"/>
          <w:szCs w:val="22"/>
        </w:rPr>
        <w:t>assets but</w:t>
      </w:r>
      <w:r w:rsidRPr="00D24DB0">
        <w:rPr>
          <w:rFonts w:asciiTheme="minorHAnsi" w:hAnsiTheme="minorHAnsi" w:cs="Arial"/>
          <w:sz w:val="22"/>
          <w:szCs w:val="22"/>
        </w:rPr>
        <w:t xml:space="preserve"> for which cash settlement has yet to take place.  Under statutory arrangements</w:t>
      </w:r>
      <w:r w:rsidRPr="00D24DB0">
        <w:rPr>
          <w:rStyle w:val="PageNumber"/>
          <w:rFonts w:asciiTheme="minorHAnsi" w:hAnsiTheme="minorHAnsi" w:cs="Arial"/>
          <w:sz w:val="22"/>
          <w:szCs w:val="22"/>
        </w:rPr>
        <w:t xml:space="preserve">, the </w:t>
      </w:r>
      <w:r w:rsidR="00F61366" w:rsidRPr="00D24DB0">
        <w:rPr>
          <w:rStyle w:val="PageNumber"/>
          <w:rFonts w:asciiTheme="minorHAnsi" w:hAnsiTheme="minorHAnsi" w:cs="Arial"/>
          <w:sz w:val="22"/>
          <w:szCs w:val="22"/>
        </w:rPr>
        <w:t>Council</w:t>
      </w:r>
      <w:r w:rsidRPr="00D24DB0">
        <w:rPr>
          <w:rStyle w:val="PageNumber"/>
          <w:rFonts w:asciiTheme="minorHAnsi" w:hAnsiTheme="minorHAnsi" w:cs="Arial"/>
          <w:sz w:val="22"/>
          <w:szCs w:val="22"/>
        </w:rPr>
        <w:t xml:space="preserve"> does not treat these gains as usable for financing new capital expenditure</w:t>
      </w:r>
      <w:r w:rsidR="00F61366" w:rsidRPr="00D24DB0">
        <w:rPr>
          <w:rStyle w:val="PageNumber"/>
          <w:rFonts w:asciiTheme="minorHAnsi" w:hAnsiTheme="minorHAnsi" w:cs="Arial"/>
          <w:sz w:val="22"/>
          <w:szCs w:val="22"/>
        </w:rPr>
        <w:t xml:space="preserve"> until they are</w:t>
      </w:r>
      <w:r w:rsidRPr="00D24DB0">
        <w:rPr>
          <w:rStyle w:val="PageNumber"/>
          <w:rFonts w:asciiTheme="minorHAnsi" w:hAnsiTheme="minorHAnsi" w:cs="Arial"/>
          <w:sz w:val="22"/>
          <w:szCs w:val="22"/>
        </w:rPr>
        <w:t xml:space="preserve"> backed by cash receipts.  When the deferred cash settlement eventually takes place, amounts are transferred to the Capital Receipts Reserve.</w:t>
      </w:r>
    </w:p>
    <w:p w14:paraId="7711A3BA" w14:textId="77777777" w:rsidR="00FB4FC8" w:rsidRDefault="00FB4FC8" w:rsidP="00D14540">
      <w:pPr>
        <w:widowControl w:val="0"/>
        <w:tabs>
          <w:tab w:val="left" w:pos="2520"/>
          <w:tab w:val="left" w:pos="7200"/>
          <w:tab w:val="left" w:pos="8460"/>
        </w:tabs>
        <w:rPr>
          <w:rStyle w:val="PageNumber"/>
          <w:rFonts w:ascii="Arial" w:hAnsi="Arial" w:cs="Arial"/>
        </w:rPr>
      </w:pPr>
    </w:p>
    <w:tbl>
      <w:tblPr>
        <w:tblW w:w="9240" w:type="dxa"/>
        <w:tblInd w:w="93" w:type="dxa"/>
        <w:tblLook w:val="04A0" w:firstRow="1" w:lastRow="0" w:firstColumn="1" w:lastColumn="0" w:noHBand="0" w:noVBand="1"/>
        <w:tblCaption w:val="Deferred Capital Receipts Reserve"/>
        <w:tblDescription w:val="Deferred Capital Receipts Reserve as at 31 March 2023 with 31 March 2022 comparables"/>
      </w:tblPr>
      <w:tblGrid>
        <w:gridCol w:w="1680"/>
        <w:gridCol w:w="5840"/>
        <w:gridCol w:w="1720"/>
      </w:tblGrid>
      <w:tr w:rsidR="00D24DB0" w:rsidRPr="00D24DB0" w14:paraId="66103C3D"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7AC306E2" w14:textId="50725AC3" w:rsidR="00D24DB0" w:rsidRPr="00D24DB0" w:rsidRDefault="00D24DB0" w:rsidP="007C3629">
            <w:pPr>
              <w:jc w:val="right"/>
              <w:rPr>
                <w:rFonts w:ascii="Calibri" w:hAnsi="Calibri"/>
                <w:color w:val="000000"/>
                <w:lang w:eastAsia="en-GB"/>
              </w:rPr>
            </w:pPr>
            <w:r w:rsidRPr="00D24DB0">
              <w:rPr>
                <w:rFonts w:ascii="Calibri" w:hAnsi="Calibri"/>
                <w:color w:val="000000"/>
                <w:lang w:eastAsia="en-GB"/>
              </w:rPr>
              <w:t>20</w:t>
            </w:r>
            <w:r w:rsidR="004957BB">
              <w:rPr>
                <w:rFonts w:ascii="Calibri" w:hAnsi="Calibri"/>
                <w:color w:val="000000"/>
                <w:lang w:eastAsia="en-GB"/>
              </w:rPr>
              <w:t>2</w:t>
            </w:r>
            <w:r w:rsidR="007B3980">
              <w:rPr>
                <w:rFonts w:ascii="Calibri" w:hAnsi="Calibri"/>
                <w:color w:val="000000"/>
                <w:lang w:eastAsia="en-GB"/>
              </w:rPr>
              <w:t>1</w:t>
            </w:r>
            <w:r w:rsidRPr="00D24DB0">
              <w:rPr>
                <w:rFonts w:ascii="Calibri" w:hAnsi="Calibri"/>
                <w:color w:val="000000"/>
                <w:lang w:eastAsia="en-GB"/>
              </w:rPr>
              <w:t>-</w:t>
            </w:r>
            <w:r w:rsidR="007C3629">
              <w:rPr>
                <w:rFonts w:ascii="Calibri" w:hAnsi="Calibri"/>
                <w:color w:val="000000"/>
                <w:lang w:eastAsia="en-GB"/>
              </w:rPr>
              <w:t>2</w:t>
            </w:r>
            <w:r w:rsidR="007B398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noWrap/>
            <w:vAlign w:val="center"/>
            <w:hideMark/>
          </w:tcPr>
          <w:p w14:paraId="26EC1718" w14:textId="77777777" w:rsidR="00D24DB0" w:rsidRPr="00D24DB0" w:rsidRDefault="00D24DB0" w:rsidP="00D24DB0">
            <w:pPr>
              <w:jc w:val="right"/>
              <w:rPr>
                <w:rFonts w:ascii="Calibri" w:hAnsi="Calibri"/>
                <w:color w:val="000000"/>
                <w:lang w:eastAsia="en-GB"/>
              </w:rPr>
            </w:pPr>
            <w:r w:rsidRPr="00D24DB0">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noWrap/>
            <w:vAlign w:val="center"/>
            <w:hideMark/>
          </w:tcPr>
          <w:p w14:paraId="4A3ECB76" w14:textId="09FAF7C2" w:rsidR="00D24DB0" w:rsidRPr="00D24DB0" w:rsidRDefault="00D24DB0" w:rsidP="007C3629">
            <w:pPr>
              <w:jc w:val="right"/>
              <w:rPr>
                <w:rFonts w:ascii="Calibri" w:hAnsi="Calibri"/>
                <w:color w:val="000000"/>
                <w:lang w:eastAsia="en-GB"/>
              </w:rPr>
            </w:pPr>
            <w:r w:rsidRPr="00D24DB0">
              <w:rPr>
                <w:rFonts w:ascii="Calibri" w:hAnsi="Calibri"/>
                <w:color w:val="000000"/>
                <w:lang w:eastAsia="en-GB"/>
              </w:rPr>
              <w:t>20</w:t>
            </w:r>
            <w:r w:rsidR="007C3629">
              <w:rPr>
                <w:rFonts w:ascii="Calibri" w:hAnsi="Calibri"/>
                <w:color w:val="000000"/>
                <w:lang w:eastAsia="en-GB"/>
              </w:rPr>
              <w:t>2</w:t>
            </w:r>
            <w:r w:rsidR="007B3980">
              <w:rPr>
                <w:rFonts w:ascii="Calibri" w:hAnsi="Calibri"/>
                <w:color w:val="000000"/>
                <w:lang w:eastAsia="en-GB"/>
              </w:rPr>
              <w:t>2</w:t>
            </w:r>
            <w:r w:rsidRPr="00D24DB0">
              <w:rPr>
                <w:rFonts w:ascii="Calibri" w:hAnsi="Calibri"/>
                <w:color w:val="000000"/>
                <w:lang w:eastAsia="en-GB"/>
              </w:rPr>
              <w:t>-</w:t>
            </w:r>
            <w:r w:rsidR="00AA5389">
              <w:rPr>
                <w:rFonts w:ascii="Calibri" w:hAnsi="Calibri"/>
                <w:color w:val="000000"/>
                <w:lang w:eastAsia="en-GB"/>
              </w:rPr>
              <w:t>2</w:t>
            </w:r>
            <w:r w:rsidR="007B3980">
              <w:rPr>
                <w:rFonts w:ascii="Calibri" w:hAnsi="Calibri"/>
                <w:color w:val="000000"/>
                <w:lang w:eastAsia="en-GB"/>
              </w:rPr>
              <w:t>3</w:t>
            </w:r>
          </w:p>
        </w:tc>
      </w:tr>
      <w:tr w:rsidR="00D24DB0" w:rsidRPr="00D24DB0" w14:paraId="5377F503" w14:textId="77777777" w:rsidTr="00D24DB0">
        <w:trPr>
          <w:trHeight w:val="300"/>
        </w:trPr>
        <w:tc>
          <w:tcPr>
            <w:tcW w:w="1680" w:type="dxa"/>
            <w:tcBorders>
              <w:top w:val="nil"/>
              <w:left w:val="single" w:sz="4" w:space="0" w:color="FFFFFF"/>
              <w:bottom w:val="single" w:sz="4" w:space="0" w:color="FFFFFF"/>
              <w:right w:val="single" w:sz="4" w:space="0" w:color="FFFFFF"/>
            </w:tcBorders>
            <w:shd w:val="clear" w:color="000000" w:fill="B1A0C7"/>
            <w:noWrap/>
            <w:vAlign w:val="center"/>
            <w:hideMark/>
          </w:tcPr>
          <w:p w14:paraId="17E3F037" w14:textId="77777777" w:rsidR="00D24DB0" w:rsidRPr="00D24DB0" w:rsidRDefault="00D24DB0" w:rsidP="00D24DB0">
            <w:pPr>
              <w:jc w:val="right"/>
              <w:rPr>
                <w:rFonts w:ascii="Calibri" w:hAnsi="Calibri"/>
                <w:color w:val="000000"/>
                <w:lang w:eastAsia="en-GB"/>
              </w:rPr>
            </w:pPr>
            <w:r w:rsidRPr="00D24DB0">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noWrap/>
            <w:vAlign w:val="center"/>
            <w:hideMark/>
          </w:tcPr>
          <w:p w14:paraId="1E8331B8" w14:textId="77777777" w:rsidR="00D24DB0" w:rsidRPr="00D24DB0" w:rsidRDefault="00D24DB0" w:rsidP="00D24DB0">
            <w:pPr>
              <w:jc w:val="right"/>
              <w:rPr>
                <w:rFonts w:ascii="Calibri" w:hAnsi="Calibri"/>
                <w:color w:val="000000"/>
                <w:lang w:eastAsia="en-GB"/>
              </w:rPr>
            </w:pPr>
            <w:r w:rsidRPr="00D24DB0">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noWrap/>
            <w:vAlign w:val="center"/>
            <w:hideMark/>
          </w:tcPr>
          <w:p w14:paraId="2A171B1D" w14:textId="77777777" w:rsidR="00D24DB0" w:rsidRPr="00D24DB0" w:rsidRDefault="00D24DB0" w:rsidP="00D24DB0">
            <w:pPr>
              <w:jc w:val="right"/>
              <w:rPr>
                <w:rFonts w:ascii="Calibri" w:hAnsi="Calibri"/>
                <w:color w:val="000000"/>
                <w:lang w:eastAsia="en-GB"/>
              </w:rPr>
            </w:pPr>
            <w:r w:rsidRPr="00D24DB0">
              <w:rPr>
                <w:rFonts w:ascii="Calibri" w:hAnsi="Calibri"/>
                <w:color w:val="000000"/>
                <w:lang w:eastAsia="en-GB"/>
              </w:rPr>
              <w:t>£’000</w:t>
            </w:r>
          </w:p>
        </w:tc>
      </w:tr>
      <w:tr w:rsidR="00D24DB0" w:rsidRPr="00D24DB0" w14:paraId="24303E31" w14:textId="77777777" w:rsidTr="00D24DB0">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3BFF46E3" w14:textId="11E49F14" w:rsidR="00D24DB0" w:rsidRPr="00D24DB0" w:rsidRDefault="00AA5389" w:rsidP="007C3629">
            <w:pPr>
              <w:jc w:val="right"/>
              <w:rPr>
                <w:rFonts w:ascii="Calibri" w:hAnsi="Calibri"/>
                <w:b/>
                <w:bCs/>
                <w:color w:val="000000"/>
                <w:lang w:eastAsia="en-GB"/>
              </w:rPr>
            </w:pPr>
            <w:r>
              <w:rPr>
                <w:rFonts w:ascii="Calibri" w:hAnsi="Calibri"/>
                <w:b/>
                <w:bCs/>
                <w:color w:val="000000"/>
                <w:lang w:eastAsia="en-GB"/>
              </w:rPr>
              <w:t>7</w:t>
            </w:r>
            <w:r w:rsidR="007B3980">
              <w:rPr>
                <w:rFonts w:ascii="Calibri" w:hAnsi="Calibri"/>
                <w:b/>
                <w:bCs/>
                <w:color w:val="000000"/>
                <w:lang w:eastAsia="en-GB"/>
              </w:rPr>
              <w:t>72</w:t>
            </w:r>
          </w:p>
        </w:tc>
        <w:tc>
          <w:tcPr>
            <w:tcW w:w="5840" w:type="dxa"/>
            <w:tcBorders>
              <w:top w:val="nil"/>
              <w:left w:val="nil"/>
              <w:bottom w:val="single" w:sz="4" w:space="0" w:color="FFFFFF"/>
              <w:right w:val="single" w:sz="4" w:space="0" w:color="FFFFFF"/>
            </w:tcBorders>
            <w:shd w:val="clear" w:color="000000" w:fill="CCC0DA"/>
            <w:noWrap/>
            <w:vAlign w:val="center"/>
            <w:hideMark/>
          </w:tcPr>
          <w:p w14:paraId="4B4F414A" w14:textId="77777777" w:rsidR="00D24DB0" w:rsidRPr="00D24DB0" w:rsidRDefault="00D24DB0" w:rsidP="00D24DB0">
            <w:pPr>
              <w:rPr>
                <w:rFonts w:ascii="Calibri" w:hAnsi="Calibri"/>
                <w:b/>
                <w:bCs/>
                <w:color w:val="000000"/>
                <w:lang w:eastAsia="en-GB"/>
              </w:rPr>
            </w:pPr>
            <w:r w:rsidRPr="00D24DB0">
              <w:rPr>
                <w:rFonts w:ascii="Calibri" w:hAnsi="Calibri"/>
                <w:b/>
                <w:bCs/>
                <w:color w:val="000000"/>
                <w:lang w:eastAsia="en-GB"/>
              </w:rPr>
              <w:t xml:space="preserve">Balance </w:t>
            </w:r>
            <w:proofErr w:type="gramStart"/>
            <w:r w:rsidRPr="00D24DB0">
              <w:rPr>
                <w:rFonts w:ascii="Calibri" w:hAnsi="Calibri"/>
                <w:b/>
                <w:bCs/>
                <w:color w:val="000000"/>
                <w:lang w:eastAsia="en-GB"/>
              </w:rPr>
              <w:t>at</w:t>
            </w:r>
            <w:proofErr w:type="gramEnd"/>
            <w:r w:rsidRPr="00D24DB0">
              <w:rPr>
                <w:rFonts w:ascii="Calibri" w:hAnsi="Calibri"/>
                <w:b/>
                <w:bCs/>
                <w:color w:val="000000"/>
                <w:lang w:eastAsia="en-GB"/>
              </w:rPr>
              <w:t xml:space="preserve"> 1 April</w:t>
            </w:r>
          </w:p>
        </w:tc>
        <w:tc>
          <w:tcPr>
            <w:tcW w:w="1720" w:type="dxa"/>
            <w:tcBorders>
              <w:top w:val="nil"/>
              <w:left w:val="nil"/>
              <w:bottom w:val="single" w:sz="4" w:space="0" w:color="FFFFFF"/>
              <w:right w:val="single" w:sz="4" w:space="0" w:color="FFFFFF"/>
            </w:tcBorders>
            <w:shd w:val="clear" w:color="000000" w:fill="CCC0DA"/>
            <w:noWrap/>
            <w:vAlign w:val="center"/>
            <w:hideMark/>
          </w:tcPr>
          <w:p w14:paraId="3A889105" w14:textId="29A3A946" w:rsidR="00D24DB0" w:rsidRPr="00D24DB0" w:rsidRDefault="0058145B" w:rsidP="007C3629">
            <w:pPr>
              <w:jc w:val="right"/>
              <w:rPr>
                <w:rFonts w:ascii="Calibri" w:hAnsi="Calibri"/>
                <w:b/>
                <w:bCs/>
                <w:color w:val="000000"/>
                <w:lang w:eastAsia="en-GB"/>
              </w:rPr>
            </w:pPr>
            <w:r>
              <w:rPr>
                <w:rFonts w:ascii="Calibri" w:hAnsi="Calibri"/>
                <w:b/>
                <w:bCs/>
                <w:color w:val="000000"/>
                <w:lang w:eastAsia="en-GB"/>
              </w:rPr>
              <w:t>7</w:t>
            </w:r>
            <w:r w:rsidR="007B3980">
              <w:rPr>
                <w:rFonts w:ascii="Calibri" w:hAnsi="Calibri"/>
                <w:b/>
                <w:bCs/>
                <w:color w:val="000000"/>
                <w:lang w:eastAsia="en-GB"/>
              </w:rPr>
              <w:t>95</w:t>
            </w:r>
          </w:p>
        </w:tc>
      </w:tr>
      <w:tr w:rsidR="00D24DB0" w:rsidRPr="00D24DB0" w14:paraId="142C8529"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69CE9B51" w14:textId="59906AF6" w:rsidR="00D24DB0" w:rsidRPr="00D24DB0" w:rsidRDefault="00AA5389" w:rsidP="007C3629">
            <w:pPr>
              <w:jc w:val="right"/>
              <w:rPr>
                <w:rFonts w:ascii="Calibri" w:hAnsi="Calibri"/>
                <w:color w:val="000000"/>
                <w:lang w:eastAsia="en-GB"/>
              </w:rPr>
            </w:pPr>
            <w:r>
              <w:rPr>
                <w:rFonts w:ascii="Calibri" w:hAnsi="Calibri"/>
                <w:color w:val="000000"/>
                <w:lang w:eastAsia="en-GB"/>
              </w:rPr>
              <w:t>2</w:t>
            </w:r>
            <w:r w:rsidR="004957BB">
              <w:rPr>
                <w:rFonts w:ascii="Calibri" w:hAnsi="Calibri"/>
                <w:color w:val="000000"/>
                <w:lang w:eastAsia="en-GB"/>
              </w:rPr>
              <w:t>3</w:t>
            </w:r>
          </w:p>
        </w:tc>
        <w:tc>
          <w:tcPr>
            <w:tcW w:w="5840" w:type="dxa"/>
            <w:tcBorders>
              <w:top w:val="nil"/>
              <w:left w:val="nil"/>
              <w:bottom w:val="single" w:sz="4" w:space="0" w:color="FFFFFF"/>
              <w:right w:val="single" w:sz="4" w:space="0" w:color="FFFFFF"/>
            </w:tcBorders>
            <w:shd w:val="clear" w:color="000000" w:fill="E4DFEC"/>
            <w:vAlign w:val="center"/>
            <w:hideMark/>
          </w:tcPr>
          <w:p w14:paraId="36295123" w14:textId="77444836" w:rsidR="00D24DB0" w:rsidRPr="00D24DB0" w:rsidRDefault="00D24DB0" w:rsidP="00D24DB0">
            <w:pPr>
              <w:rPr>
                <w:rFonts w:ascii="Calibri" w:hAnsi="Calibri"/>
                <w:color w:val="000000"/>
                <w:lang w:eastAsia="en-GB"/>
              </w:rPr>
            </w:pPr>
            <w:r w:rsidRPr="00D24DB0">
              <w:rPr>
                <w:rFonts w:ascii="Calibri" w:hAnsi="Calibri"/>
                <w:color w:val="000000"/>
                <w:lang w:eastAsia="en-GB"/>
              </w:rPr>
              <w:t xml:space="preserve">Transfer of deferred sale proceeds credited as part of gain/loss on disposal on comprehensive income </w:t>
            </w:r>
            <w:r w:rsidR="00704A70">
              <w:rPr>
                <w:rFonts w:ascii="Calibri" w:hAnsi="Calibri"/>
                <w:color w:val="000000"/>
                <w:lang w:eastAsia="en-GB"/>
              </w:rPr>
              <w:t>and</w:t>
            </w:r>
            <w:r w:rsidRPr="00D24DB0">
              <w:rPr>
                <w:rFonts w:ascii="Calibri" w:hAnsi="Calibri"/>
                <w:color w:val="000000"/>
                <w:lang w:eastAsia="en-GB"/>
              </w:rPr>
              <w:t xml:space="preserve"> expenditure statement</w:t>
            </w:r>
          </w:p>
        </w:tc>
        <w:tc>
          <w:tcPr>
            <w:tcW w:w="1720" w:type="dxa"/>
            <w:tcBorders>
              <w:top w:val="nil"/>
              <w:left w:val="nil"/>
              <w:bottom w:val="single" w:sz="4" w:space="0" w:color="FFFFFF"/>
              <w:right w:val="single" w:sz="4" w:space="0" w:color="FFFFFF"/>
            </w:tcBorders>
            <w:shd w:val="clear" w:color="000000" w:fill="E4DFEC"/>
            <w:noWrap/>
            <w:vAlign w:val="center"/>
          </w:tcPr>
          <w:p w14:paraId="6A1A75F7" w14:textId="5EABB8AE" w:rsidR="00D24DB0" w:rsidRPr="00D24DB0" w:rsidRDefault="007F25A3" w:rsidP="00D24DB0">
            <w:pPr>
              <w:jc w:val="right"/>
              <w:rPr>
                <w:rFonts w:ascii="Calibri" w:hAnsi="Calibri"/>
                <w:color w:val="000000"/>
                <w:lang w:eastAsia="en-GB"/>
              </w:rPr>
            </w:pPr>
            <w:r>
              <w:rPr>
                <w:rFonts w:ascii="Calibri" w:hAnsi="Calibri"/>
                <w:color w:val="000000"/>
                <w:lang w:eastAsia="en-GB"/>
              </w:rPr>
              <w:t>22</w:t>
            </w:r>
          </w:p>
        </w:tc>
      </w:tr>
      <w:tr w:rsidR="00D24DB0" w:rsidRPr="00D24DB0" w14:paraId="136B84EE"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0AFD361D" w14:textId="77777777" w:rsidR="00D24DB0" w:rsidRPr="00D24DB0" w:rsidRDefault="00D24DB0" w:rsidP="00D24DB0">
            <w:pPr>
              <w:jc w:val="right"/>
              <w:rPr>
                <w:rFonts w:ascii="Calibri" w:hAnsi="Calibri"/>
                <w:color w:val="000000"/>
                <w:lang w:eastAsia="en-GB"/>
              </w:rPr>
            </w:pPr>
            <w:r w:rsidRPr="00D24DB0">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E4DFEC"/>
            <w:vAlign w:val="center"/>
            <w:hideMark/>
          </w:tcPr>
          <w:p w14:paraId="2F119D33" w14:textId="77777777" w:rsidR="00D24DB0" w:rsidRPr="00D24DB0" w:rsidRDefault="00D24DB0" w:rsidP="00D24DB0">
            <w:pPr>
              <w:rPr>
                <w:rFonts w:ascii="Calibri" w:hAnsi="Calibri"/>
                <w:color w:val="000000"/>
                <w:lang w:eastAsia="en-GB"/>
              </w:rPr>
            </w:pPr>
            <w:r w:rsidRPr="00D24DB0">
              <w:rPr>
                <w:rFonts w:ascii="Calibri" w:hAnsi="Calibri"/>
                <w:color w:val="000000"/>
                <w:lang w:eastAsia="en-GB"/>
              </w:rPr>
              <w:t>Transfer to the Capital Receipts Reserve upon receipt of cash</w:t>
            </w:r>
          </w:p>
        </w:tc>
        <w:tc>
          <w:tcPr>
            <w:tcW w:w="1720" w:type="dxa"/>
            <w:tcBorders>
              <w:top w:val="nil"/>
              <w:left w:val="nil"/>
              <w:bottom w:val="single" w:sz="4" w:space="0" w:color="FFFFFF"/>
              <w:right w:val="single" w:sz="4" w:space="0" w:color="FFFFFF"/>
            </w:tcBorders>
            <w:shd w:val="clear" w:color="000000" w:fill="E4DFEC"/>
            <w:noWrap/>
            <w:vAlign w:val="center"/>
          </w:tcPr>
          <w:p w14:paraId="51C87CE0" w14:textId="7CD8C9EB" w:rsidR="00D24DB0" w:rsidRPr="00D24DB0" w:rsidRDefault="007F25A3" w:rsidP="00D24DB0">
            <w:pPr>
              <w:jc w:val="right"/>
              <w:rPr>
                <w:rFonts w:ascii="Calibri" w:hAnsi="Calibri"/>
                <w:color w:val="000000"/>
                <w:lang w:eastAsia="en-GB"/>
              </w:rPr>
            </w:pPr>
            <w:r>
              <w:rPr>
                <w:rFonts w:ascii="Calibri" w:hAnsi="Calibri"/>
                <w:color w:val="000000"/>
                <w:lang w:eastAsia="en-GB"/>
              </w:rPr>
              <w:t>0</w:t>
            </w:r>
          </w:p>
        </w:tc>
      </w:tr>
      <w:tr w:rsidR="00D24DB0" w:rsidRPr="00D24DB0" w14:paraId="1F61B821"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1ED752FD" w14:textId="703C5990" w:rsidR="00D24DB0" w:rsidRPr="00D24DB0" w:rsidRDefault="00AA5389" w:rsidP="00D24DB0">
            <w:pPr>
              <w:jc w:val="right"/>
              <w:rPr>
                <w:rFonts w:ascii="Calibri" w:hAnsi="Calibri"/>
                <w:b/>
                <w:bCs/>
                <w:color w:val="000000"/>
                <w:lang w:eastAsia="en-GB"/>
              </w:rPr>
            </w:pPr>
            <w:r>
              <w:rPr>
                <w:rFonts w:ascii="Calibri" w:hAnsi="Calibri"/>
                <w:b/>
                <w:bCs/>
                <w:color w:val="000000"/>
                <w:lang w:eastAsia="en-GB"/>
              </w:rPr>
              <w:t>7</w:t>
            </w:r>
            <w:r w:rsidR="007B3980">
              <w:rPr>
                <w:rFonts w:ascii="Calibri" w:hAnsi="Calibri"/>
                <w:b/>
                <w:bCs/>
                <w:color w:val="000000"/>
                <w:lang w:eastAsia="en-GB"/>
              </w:rPr>
              <w:t>95</w:t>
            </w:r>
          </w:p>
        </w:tc>
        <w:tc>
          <w:tcPr>
            <w:tcW w:w="5840" w:type="dxa"/>
            <w:tcBorders>
              <w:top w:val="nil"/>
              <w:left w:val="nil"/>
              <w:bottom w:val="single" w:sz="4" w:space="0" w:color="FFFFFF"/>
              <w:right w:val="single" w:sz="4" w:space="0" w:color="FFFFFF"/>
            </w:tcBorders>
            <w:shd w:val="clear" w:color="000000" w:fill="CCC0DA"/>
            <w:vAlign w:val="center"/>
            <w:hideMark/>
          </w:tcPr>
          <w:p w14:paraId="4597740C" w14:textId="77777777" w:rsidR="00D24DB0" w:rsidRPr="00D24DB0" w:rsidRDefault="00D24DB0" w:rsidP="00D24DB0">
            <w:pPr>
              <w:rPr>
                <w:rFonts w:ascii="Calibri" w:hAnsi="Calibri"/>
                <w:b/>
                <w:bCs/>
                <w:color w:val="000000"/>
                <w:lang w:eastAsia="en-GB"/>
              </w:rPr>
            </w:pPr>
            <w:r w:rsidRPr="00D24DB0">
              <w:rPr>
                <w:rFonts w:ascii="Calibri" w:hAnsi="Calibri"/>
                <w:b/>
                <w:bCs/>
                <w:color w:val="000000"/>
                <w:lang w:eastAsia="en-GB"/>
              </w:rPr>
              <w:t xml:space="preserve">Balance </w:t>
            </w:r>
            <w:proofErr w:type="gramStart"/>
            <w:r w:rsidRPr="00D24DB0">
              <w:rPr>
                <w:rFonts w:ascii="Calibri" w:hAnsi="Calibri"/>
                <w:b/>
                <w:bCs/>
                <w:color w:val="000000"/>
                <w:lang w:eastAsia="en-GB"/>
              </w:rPr>
              <w:t>at</w:t>
            </w:r>
            <w:proofErr w:type="gramEnd"/>
            <w:r w:rsidRPr="00D24DB0">
              <w:rPr>
                <w:rFonts w:ascii="Calibri" w:hAnsi="Calibri"/>
                <w:b/>
                <w:bCs/>
                <w:color w:val="000000"/>
                <w:lang w:eastAsia="en-GB"/>
              </w:rPr>
              <w:t xml:space="preserve"> 31 March</w:t>
            </w:r>
          </w:p>
        </w:tc>
        <w:tc>
          <w:tcPr>
            <w:tcW w:w="1720" w:type="dxa"/>
            <w:tcBorders>
              <w:top w:val="nil"/>
              <w:left w:val="nil"/>
              <w:bottom w:val="single" w:sz="4" w:space="0" w:color="FFFFFF"/>
              <w:right w:val="single" w:sz="4" w:space="0" w:color="FFFFFF"/>
            </w:tcBorders>
            <w:shd w:val="clear" w:color="000000" w:fill="CCC0DA"/>
            <w:noWrap/>
            <w:vAlign w:val="center"/>
          </w:tcPr>
          <w:p w14:paraId="5E4BDCC7" w14:textId="7C7579E7" w:rsidR="00D24DB0" w:rsidRPr="00D24DB0" w:rsidRDefault="007F25A3" w:rsidP="00D24DB0">
            <w:pPr>
              <w:jc w:val="right"/>
              <w:rPr>
                <w:rFonts w:ascii="Calibri" w:hAnsi="Calibri"/>
                <w:b/>
                <w:bCs/>
                <w:color w:val="000000"/>
                <w:lang w:eastAsia="en-GB"/>
              </w:rPr>
            </w:pPr>
            <w:r>
              <w:rPr>
                <w:rFonts w:ascii="Calibri" w:hAnsi="Calibri"/>
                <w:b/>
                <w:bCs/>
                <w:color w:val="000000"/>
                <w:lang w:eastAsia="en-GB"/>
              </w:rPr>
              <w:t>817</w:t>
            </w:r>
          </w:p>
        </w:tc>
      </w:tr>
    </w:tbl>
    <w:p w14:paraId="02E18ACE" w14:textId="77777777" w:rsidR="00ED56BB" w:rsidRDefault="00ED56BB" w:rsidP="00D14540">
      <w:pPr>
        <w:widowControl w:val="0"/>
        <w:tabs>
          <w:tab w:val="left" w:pos="2520"/>
          <w:tab w:val="left" w:pos="7200"/>
          <w:tab w:val="left" w:pos="8460"/>
        </w:tabs>
        <w:rPr>
          <w:rFonts w:ascii="Arial" w:hAnsi="Arial" w:cs="Arial"/>
        </w:rPr>
      </w:pPr>
    </w:p>
    <w:p w14:paraId="2196B8E2" w14:textId="22567686" w:rsidR="00AC0445" w:rsidRPr="00D24DB0" w:rsidRDefault="00FB4FC8" w:rsidP="00D14540">
      <w:pPr>
        <w:widowControl w:val="0"/>
        <w:tabs>
          <w:tab w:val="left" w:pos="2520"/>
          <w:tab w:val="left" w:pos="7200"/>
          <w:tab w:val="left" w:pos="8460"/>
        </w:tabs>
        <w:rPr>
          <w:rFonts w:asciiTheme="minorHAnsi" w:hAnsiTheme="minorHAnsi" w:cs="Arial"/>
          <w:b/>
          <w:sz w:val="24"/>
          <w:szCs w:val="24"/>
        </w:rPr>
      </w:pPr>
      <w:r w:rsidRPr="00D24DB0">
        <w:rPr>
          <w:rFonts w:asciiTheme="minorHAnsi" w:hAnsiTheme="minorHAnsi" w:cs="Arial"/>
          <w:b/>
          <w:sz w:val="24"/>
          <w:szCs w:val="24"/>
        </w:rPr>
        <w:t>Collection Fund Adjustment Account</w:t>
      </w:r>
    </w:p>
    <w:p w14:paraId="2E3F8AD9" w14:textId="77777777" w:rsidR="00FB4FC8" w:rsidRDefault="00FB4FC8" w:rsidP="00D14540">
      <w:pPr>
        <w:widowControl w:val="0"/>
        <w:tabs>
          <w:tab w:val="left" w:pos="2520"/>
          <w:tab w:val="left" w:pos="7200"/>
          <w:tab w:val="left" w:pos="8460"/>
        </w:tabs>
        <w:rPr>
          <w:rFonts w:ascii="Arial" w:hAnsi="Arial" w:cs="Arial"/>
          <w:b/>
        </w:rPr>
      </w:pPr>
    </w:p>
    <w:p w14:paraId="56BE8205" w14:textId="77777777" w:rsidR="00FB4FC8" w:rsidRDefault="00E616C8" w:rsidP="00811EDC">
      <w:pPr>
        <w:widowControl w:val="0"/>
        <w:tabs>
          <w:tab w:val="left" w:pos="2520"/>
          <w:tab w:val="left" w:pos="7200"/>
          <w:tab w:val="left" w:pos="8460"/>
        </w:tabs>
        <w:jc w:val="both"/>
        <w:rPr>
          <w:rFonts w:asciiTheme="minorHAnsi" w:hAnsiTheme="minorHAnsi" w:cs="Arial"/>
          <w:sz w:val="22"/>
          <w:szCs w:val="22"/>
        </w:rPr>
      </w:pPr>
      <w:r w:rsidRPr="00D24DB0">
        <w:rPr>
          <w:rFonts w:asciiTheme="minorHAnsi" w:hAnsiTheme="minorHAnsi" w:cs="Arial"/>
          <w:sz w:val="22"/>
          <w:szCs w:val="22"/>
        </w:rPr>
        <w:t xml:space="preserve">The Collection Fund Adjustment Account manages the differences arising from the recognition of Council </w:t>
      </w:r>
      <w:r w:rsidR="002C441F" w:rsidRPr="00D24DB0">
        <w:rPr>
          <w:rFonts w:asciiTheme="minorHAnsi" w:hAnsiTheme="minorHAnsi" w:cs="Arial"/>
          <w:sz w:val="22"/>
          <w:szCs w:val="22"/>
        </w:rPr>
        <w:t>Tax and</w:t>
      </w:r>
      <w:r w:rsidR="005E0696" w:rsidRPr="00D24DB0">
        <w:rPr>
          <w:rFonts w:asciiTheme="minorHAnsi" w:hAnsiTheme="minorHAnsi" w:cs="Arial"/>
          <w:sz w:val="22"/>
          <w:szCs w:val="22"/>
        </w:rPr>
        <w:t xml:space="preserve"> non-domestic rates </w:t>
      </w:r>
      <w:r w:rsidRPr="00D24DB0">
        <w:rPr>
          <w:rFonts w:asciiTheme="minorHAnsi" w:hAnsiTheme="minorHAnsi" w:cs="Arial"/>
          <w:sz w:val="22"/>
          <w:szCs w:val="22"/>
        </w:rPr>
        <w:t xml:space="preserve">income in the Comprehensive Income and Expenditure Statement as it falls due from Council </w:t>
      </w:r>
      <w:proofErr w:type="gramStart"/>
      <w:r w:rsidRPr="00D24DB0">
        <w:rPr>
          <w:rFonts w:asciiTheme="minorHAnsi" w:hAnsiTheme="minorHAnsi" w:cs="Arial"/>
          <w:sz w:val="22"/>
          <w:szCs w:val="22"/>
        </w:rPr>
        <w:t>Tax payers</w:t>
      </w:r>
      <w:proofErr w:type="gramEnd"/>
      <w:r w:rsidRPr="00D24DB0">
        <w:rPr>
          <w:rFonts w:asciiTheme="minorHAnsi" w:hAnsiTheme="minorHAnsi" w:cs="Arial"/>
          <w:sz w:val="22"/>
          <w:szCs w:val="22"/>
        </w:rPr>
        <w:t xml:space="preserve"> </w:t>
      </w:r>
      <w:r w:rsidR="005E0696" w:rsidRPr="00D24DB0">
        <w:rPr>
          <w:rFonts w:asciiTheme="minorHAnsi" w:hAnsiTheme="minorHAnsi" w:cs="Arial"/>
          <w:sz w:val="22"/>
          <w:szCs w:val="22"/>
        </w:rPr>
        <w:t xml:space="preserve">and business rates payers </w:t>
      </w:r>
      <w:r w:rsidRPr="00D24DB0">
        <w:rPr>
          <w:rFonts w:asciiTheme="minorHAnsi" w:hAnsiTheme="minorHAnsi" w:cs="Arial"/>
          <w:sz w:val="22"/>
          <w:szCs w:val="22"/>
        </w:rPr>
        <w:t>compared with the statutory arrangements for paying across amounts to the General Fund from the Collection Fund.</w:t>
      </w:r>
    </w:p>
    <w:p w14:paraId="43CBBEEE" w14:textId="77777777" w:rsidR="00F665D7" w:rsidRDefault="00F665D7" w:rsidP="00811EDC">
      <w:pPr>
        <w:widowControl w:val="0"/>
        <w:tabs>
          <w:tab w:val="left" w:pos="2520"/>
          <w:tab w:val="left" w:pos="7200"/>
          <w:tab w:val="left" w:pos="8460"/>
        </w:tabs>
        <w:jc w:val="both"/>
        <w:rPr>
          <w:rFonts w:asciiTheme="minorHAnsi" w:hAnsiTheme="minorHAnsi" w:cs="Arial"/>
          <w:sz w:val="22"/>
          <w:szCs w:val="22"/>
        </w:rPr>
      </w:pPr>
    </w:p>
    <w:p w14:paraId="159D3405" w14:textId="77777777" w:rsidR="00F665D7" w:rsidRDefault="00F665D7" w:rsidP="00811EDC">
      <w:pPr>
        <w:widowControl w:val="0"/>
        <w:tabs>
          <w:tab w:val="left" w:pos="2520"/>
          <w:tab w:val="left" w:pos="7200"/>
          <w:tab w:val="left" w:pos="8460"/>
        </w:tabs>
        <w:jc w:val="both"/>
        <w:rPr>
          <w:rFonts w:asciiTheme="minorHAnsi" w:hAnsiTheme="minorHAnsi" w:cs="Arial"/>
          <w:sz w:val="22"/>
          <w:szCs w:val="22"/>
        </w:rPr>
      </w:pPr>
    </w:p>
    <w:p w14:paraId="452BC3E5" w14:textId="77777777" w:rsidR="00F665D7" w:rsidRDefault="00F665D7" w:rsidP="00811EDC">
      <w:pPr>
        <w:widowControl w:val="0"/>
        <w:tabs>
          <w:tab w:val="left" w:pos="2520"/>
          <w:tab w:val="left" w:pos="7200"/>
          <w:tab w:val="left" w:pos="8460"/>
        </w:tabs>
        <w:jc w:val="both"/>
        <w:rPr>
          <w:rFonts w:asciiTheme="minorHAnsi" w:hAnsiTheme="minorHAnsi" w:cs="Arial"/>
          <w:sz w:val="22"/>
          <w:szCs w:val="22"/>
        </w:rPr>
      </w:pPr>
    </w:p>
    <w:p w14:paraId="193BA3AE" w14:textId="77777777" w:rsidR="00F665D7" w:rsidRDefault="00F665D7" w:rsidP="00811EDC">
      <w:pPr>
        <w:widowControl w:val="0"/>
        <w:tabs>
          <w:tab w:val="left" w:pos="2520"/>
          <w:tab w:val="left" w:pos="7200"/>
          <w:tab w:val="left" w:pos="8460"/>
        </w:tabs>
        <w:jc w:val="both"/>
        <w:rPr>
          <w:rFonts w:asciiTheme="minorHAnsi" w:hAnsiTheme="minorHAnsi" w:cs="Arial"/>
          <w:sz w:val="22"/>
          <w:szCs w:val="22"/>
        </w:rPr>
      </w:pPr>
    </w:p>
    <w:p w14:paraId="317FAFEF" w14:textId="77777777" w:rsidR="00F665D7" w:rsidRDefault="00F665D7" w:rsidP="00811EDC">
      <w:pPr>
        <w:widowControl w:val="0"/>
        <w:tabs>
          <w:tab w:val="left" w:pos="2520"/>
          <w:tab w:val="left" w:pos="7200"/>
          <w:tab w:val="left" w:pos="8460"/>
        </w:tabs>
        <w:jc w:val="both"/>
        <w:rPr>
          <w:rFonts w:asciiTheme="minorHAnsi" w:hAnsiTheme="minorHAnsi" w:cs="Arial"/>
          <w:sz w:val="22"/>
          <w:szCs w:val="22"/>
        </w:rPr>
      </w:pPr>
    </w:p>
    <w:p w14:paraId="64DD12F3" w14:textId="77777777" w:rsidR="00F665D7" w:rsidRPr="00D24DB0" w:rsidRDefault="00F665D7" w:rsidP="00811EDC">
      <w:pPr>
        <w:widowControl w:val="0"/>
        <w:tabs>
          <w:tab w:val="left" w:pos="2520"/>
          <w:tab w:val="left" w:pos="7200"/>
          <w:tab w:val="left" w:pos="8460"/>
        </w:tabs>
        <w:jc w:val="both"/>
        <w:rPr>
          <w:rFonts w:asciiTheme="minorHAnsi" w:hAnsiTheme="minorHAnsi" w:cs="Arial"/>
          <w:sz w:val="22"/>
          <w:szCs w:val="22"/>
        </w:rPr>
      </w:pPr>
    </w:p>
    <w:p w14:paraId="658ED5D4" w14:textId="77777777" w:rsidR="00E252DB" w:rsidRDefault="00E252DB" w:rsidP="00D14540">
      <w:pPr>
        <w:widowControl w:val="0"/>
        <w:tabs>
          <w:tab w:val="left" w:pos="2520"/>
          <w:tab w:val="left" w:pos="7200"/>
          <w:tab w:val="left" w:pos="8460"/>
        </w:tabs>
        <w:rPr>
          <w:rFonts w:ascii="Arial" w:hAnsi="Arial" w:cs="Arial"/>
        </w:rPr>
      </w:pPr>
    </w:p>
    <w:tbl>
      <w:tblPr>
        <w:tblW w:w="9240" w:type="dxa"/>
        <w:tblInd w:w="93" w:type="dxa"/>
        <w:tblLayout w:type="fixed"/>
        <w:tblLook w:val="04A0" w:firstRow="1" w:lastRow="0" w:firstColumn="1" w:lastColumn="0" w:noHBand="0" w:noVBand="1"/>
        <w:tblCaption w:val="Collection Fund Adjustment Account"/>
        <w:tblDescription w:val="Collection Fund Adjustment Account as at 31 March 2023 with 30 March 2022 comparables"/>
      </w:tblPr>
      <w:tblGrid>
        <w:gridCol w:w="1680"/>
        <w:gridCol w:w="5840"/>
        <w:gridCol w:w="1720"/>
      </w:tblGrid>
      <w:tr w:rsidR="00D45B53" w:rsidRPr="00D45B53" w14:paraId="4A50188E"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vAlign w:val="center"/>
            <w:hideMark/>
          </w:tcPr>
          <w:p w14:paraId="33AE01F4" w14:textId="6C1F2C5F" w:rsidR="00D45B53" w:rsidRPr="00D45B53" w:rsidRDefault="00D45B53" w:rsidP="007C3629">
            <w:pPr>
              <w:jc w:val="right"/>
              <w:rPr>
                <w:rFonts w:ascii="Calibri" w:hAnsi="Calibri"/>
                <w:color w:val="000000"/>
                <w:lang w:eastAsia="en-GB"/>
              </w:rPr>
            </w:pPr>
            <w:r w:rsidRPr="00D45B53">
              <w:rPr>
                <w:rFonts w:ascii="Calibri" w:hAnsi="Calibri"/>
                <w:color w:val="000000"/>
                <w:lang w:eastAsia="en-GB"/>
              </w:rPr>
              <w:lastRenderedPageBreak/>
              <w:t>20</w:t>
            </w:r>
            <w:r w:rsidR="004957BB">
              <w:rPr>
                <w:rFonts w:ascii="Calibri" w:hAnsi="Calibri"/>
                <w:color w:val="000000"/>
                <w:lang w:eastAsia="en-GB"/>
              </w:rPr>
              <w:t>2</w:t>
            </w:r>
            <w:r w:rsidR="007B3980">
              <w:rPr>
                <w:rFonts w:ascii="Calibri" w:hAnsi="Calibri"/>
                <w:color w:val="000000"/>
                <w:lang w:eastAsia="en-GB"/>
              </w:rPr>
              <w:t>1</w:t>
            </w:r>
            <w:r w:rsidRPr="00D45B53">
              <w:rPr>
                <w:rFonts w:ascii="Calibri" w:hAnsi="Calibri"/>
                <w:color w:val="000000"/>
                <w:lang w:eastAsia="en-GB"/>
              </w:rPr>
              <w:t>-</w:t>
            </w:r>
            <w:r w:rsidR="007C3629">
              <w:rPr>
                <w:rFonts w:ascii="Calibri" w:hAnsi="Calibri"/>
                <w:color w:val="000000"/>
                <w:lang w:eastAsia="en-GB"/>
              </w:rPr>
              <w:t>2</w:t>
            </w:r>
            <w:r w:rsidR="007B398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vAlign w:val="center"/>
            <w:hideMark/>
          </w:tcPr>
          <w:p w14:paraId="358DC29C" w14:textId="77777777" w:rsidR="00D45B53" w:rsidRPr="00D45B53" w:rsidRDefault="00D45B53" w:rsidP="00D45B53">
            <w:pPr>
              <w:jc w:val="right"/>
              <w:rPr>
                <w:rFonts w:ascii="Calibri" w:hAnsi="Calibri"/>
                <w:color w:val="000000"/>
                <w:lang w:eastAsia="en-GB"/>
              </w:rPr>
            </w:pPr>
            <w:r w:rsidRPr="00D45B53">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vAlign w:val="center"/>
            <w:hideMark/>
          </w:tcPr>
          <w:p w14:paraId="1A6FB3C4" w14:textId="06A55ECA" w:rsidR="00D45B53" w:rsidRPr="00D45B53" w:rsidRDefault="00D45B53" w:rsidP="007C3629">
            <w:pPr>
              <w:jc w:val="right"/>
              <w:rPr>
                <w:rFonts w:ascii="Calibri" w:hAnsi="Calibri"/>
                <w:color w:val="000000"/>
                <w:lang w:eastAsia="en-GB"/>
              </w:rPr>
            </w:pPr>
            <w:r w:rsidRPr="00D45B53">
              <w:rPr>
                <w:rFonts w:ascii="Calibri" w:hAnsi="Calibri"/>
                <w:color w:val="000000"/>
                <w:lang w:eastAsia="en-GB"/>
              </w:rPr>
              <w:t>20</w:t>
            </w:r>
            <w:r w:rsidR="007C3629">
              <w:rPr>
                <w:rFonts w:ascii="Calibri" w:hAnsi="Calibri"/>
                <w:color w:val="000000"/>
                <w:lang w:eastAsia="en-GB"/>
              </w:rPr>
              <w:t>2</w:t>
            </w:r>
            <w:r w:rsidR="007B3980">
              <w:rPr>
                <w:rFonts w:ascii="Calibri" w:hAnsi="Calibri"/>
                <w:color w:val="000000"/>
                <w:lang w:eastAsia="en-GB"/>
              </w:rPr>
              <w:t>2</w:t>
            </w:r>
            <w:r w:rsidRPr="00D45B53">
              <w:rPr>
                <w:rFonts w:ascii="Calibri" w:hAnsi="Calibri"/>
                <w:color w:val="000000"/>
                <w:lang w:eastAsia="en-GB"/>
              </w:rPr>
              <w:t>-</w:t>
            </w:r>
            <w:r w:rsidR="00AA5389">
              <w:rPr>
                <w:rFonts w:ascii="Calibri" w:hAnsi="Calibri"/>
                <w:color w:val="000000"/>
                <w:lang w:eastAsia="en-GB"/>
              </w:rPr>
              <w:t>2</w:t>
            </w:r>
            <w:r w:rsidR="007B3980">
              <w:rPr>
                <w:rFonts w:ascii="Calibri" w:hAnsi="Calibri"/>
                <w:color w:val="000000"/>
                <w:lang w:eastAsia="en-GB"/>
              </w:rPr>
              <w:t>3</w:t>
            </w:r>
          </w:p>
        </w:tc>
      </w:tr>
      <w:tr w:rsidR="00D45B53" w:rsidRPr="00D45B53" w14:paraId="7F6768F5" w14:textId="77777777" w:rsidTr="00D45B53">
        <w:trPr>
          <w:trHeight w:val="300"/>
        </w:trPr>
        <w:tc>
          <w:tcPr>
            <w:tcW w:w="1680" w:type="dxa"/>
            <w:tcBorders>
              <w:top w:val="nil"/>
              <w:left w:val="single" w:sz="4" w:space="0" w:color="FFFFFF"/>
              <w:bottom w:val="single" w:sz="4" w:space="0" w:color="FFFFFF"/>
              <w:right w:val="single" w:sz="4" w:space="0" w:color="FFFFFF"/>
            </w:tcBorders>
            <w:shd w:val="clear" w:color="000000" w:fill="B1A0C7"/>
            <w:vAlign w:val="center"/>
            <w:hideMark/>
          </w:tcPr>
          <w:p w14:paraId="7DCADBD2" w14:textId="77777777" w:rsidR="00D45B53" w:rsidRPr="00D45B53" w:rsidRDefault="00D45B53" w:rsidP="00D45B53">
            <w:pPr>
              <w:jc w:val="right"/>
              <w:rPr>
                <w:rFonts w:ascii="Calibri" w:hAnsi="Calibri"/>
                <w:color w:val="000000"/>
                <w:lang w:eastAsia="en-GB"/>
              </w:rPr>
            </w:pPr>
            <w:r w:rsidRPr="00D45B53">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vAlign w:val="center"/>
            <w:hideMark/>
          </w:tcPr>
          <w:p w14:paraId="6A5FF821" w14:textId="77777777" w:rsidR="00D45B53" w:rsidRPr="00D45B53" w:rsidRDefault="00D45B53" w:rsidP="00D45B53">
            <w:pPr>
              <w:jc w:val="right"/>
              <w:rPr>
                <w:rFonts w:ascii="Calibri" w:hAnsi="Calibri"/>
                <w:color w:val="000000"/>
                <w:lang w:eastAsia="en-GB"/>
              </w:rPr>
            </w:pPr>
            <w:r w:rsidRPr="00D45B53">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vAlign w:val="center"/>
            <w:hideMark/>
          </w:tcPr>
          <w:p w14:paraId="7EBEF91A" w14:textId="77777777" w:rsidR="00D45B53" w:rsidRPr="00D45B53" w:rsidRDefault="00D45B53" w:rsidP="00D45B53">
            <w:pPr>
              <w:jc w:val="right"/>
              <w:rPr>
                <w:rFonts w:ascii="Calibri" w:hAnsi="Calibri"/>
                <w:color w:val="000000"/>
                <w:lang w:eastAsia="en-GB"/>
              </w:rPr>
            </w:pPr>
            <w:r w:rsidRPr="00D45B53">
              <w:rPr>
                <w:rFonts w:ascii="Calibri" w:hAnsi="Calibri"/>
                <w:color w:val="000000"/>
                <w:lang w:eastAsia="en-GB"/>
              </w:rPr>
              <w:t>£’000</w:t>
            </w:r>
          </w:p>
        </w:tc>
      </w:tr>
      <w:tr w:rsidR="00D45B53" w:rsidRPr="00D45B53" w14:paraId="57CDD3FF" w14:textId="77777777" w:rsidTr="00D45B53">
        <w:trPr>
          <w:trHeight w:val="300"/>
        </w:trPr>
        <w:tc>
          <w:tcPr>
            <w:tcW w:w="1680" w:type="dxa"/>
            <w:tcBorders>
              <w:top w:val="nil"/>
              <w:left w:val="single" w:sz="4" w:space="0" w:color="FFFFFF"/>
              <w:bottom w:val="single" w:sz="4" w:space="0" w:color="FFFFFF"/>
              <w:right w:val="single" w:sz="4" w:space="0" w:color="FFFFFF"/>
            </w:tcBorders>
            <w:shd w:val="clear" w:color="000000" w:fill="CCC0DA"/>
            <w:vAlign w:val="center"/>
            <w:hideMark/>
          </w:tcPr>
          <w:p w14:paraId="3D326B6D" w14:textId="44F6DC8C" w:rsidR="00D45B53" w:rsidRPr="00D45B53" w:rsidRDefault="00AA5389" w:rsidP="00D45B53">
            <w:pPr>
              <w:jc w:val="right"/>
              <w:rPr>
                <w:rFonts w:ascii="Calibri" w:hAnsi="Calibri"/>
                <w:b/>
                <w:bCs/>
                <w:color w:val="000000"/>
                <w:lang w:eastAsia="en-GB"/>
              </w:rPr>
            </w:pPr>
            <w:r>
              <w:rPr>
                <w:rFonts w:ascii="Calibri" w:hAnsi="Calibri"/>
                <w:b/>
                <w:bCs/>
                <w:color w:val="000000"/>
                <w:lang w:eastAsia="en-GB"/>
              </w:rPr>
              <w:t>-</w:t>
            </w:r>
            <w:r w:rsidR="007C3629">
              <w:rPr>
                <w:rFonts w:ascii="Calibri" w:hAnsi="Calibri"/>
                <w:b/>
                <w:bCs/>
                <w:color w:val="000000"/>
                <w:lang w:eastAsia="en-GB"/>
              </w:rPr>
              <w:t>2</w:t>
            </w:r>
            <w:r w:rsidR="007B3980">
              <w:rPr>
                <w:rFonts w:ascii="Calibri" w:hAnsi="Calibri"/>
                <w:b/>
                <w:bCs/>
                <w:color w:val="000000"/>
                <w:lang w:eastAsia="en-GB"/>
              </w:rPr>
              <w:t>,909</w:t>
            </w:r>
          </w:p>
        </w:tc>
        <w:tc>
          <w:tcPr>
            <w:tcW w:w="5840" w:type="dxa"/>
            <w:tcBorders>
              <w:top w:val="nil"/>
              <w:left w:val="nil"/>
              <w:bottom w:val="single" w:sz="4" w:space="0" w:color="FFFFFF"/>
              <w:right w:val="single" w:sz="4" w:space="0" w:color="FFFFFF"/>
            </w:tcBorders>
            <w:shd w:val="clear" w:color="000000" w:fill="CCC0DA"/>
            <w:vAlign w:val="center"/>
            <w:hideMark/>
          </w:tcPr>
          <w:p w14:paraId="52500824" w14:textId="77777777" w:rsidR="00D45B53" w:rsidRPr="00D45B53" w:rsidRDefault="00D45B53" w:rsidP="00D45B53">
            <w:pPr>
              <w:ind w:firstLineChars="100" w:firstLine="201"/>
              <w:rPr>
                <w:rFonts w:ascii="Calibri" w:hAnsi="Calibri"/>
                <w:b/>
                <w:bCs/>
                <w:color w:val="000000"/>
                <w:lang w:eastAsia="en-GB"/>
              </w:rPr>
            </w:pPr>
            <w:r w:rsidRPr="00D45B53">
              <w:rPr>
                <w:rFonts w:ascii="Calibri" w:hAnsi="Calibri"/>
                <w:b/>
                <w:bCs/>
                <w:color w:val="000000"/>
                <w:lang w:eastAsia="en-GB"/>
              </w:rPr>
              <w:t xml:space="preserve">Balance </w:t>
            </w:r>
            <w:proofErr w:type="gramStart"/>
            <w:r w:rsidRPr="00D45B53">
              <w:rPr>
                <w:rFonts w:ascii="Calibri" w:hAnsi="Calibri"/>
                <w:b/>
                <w:bCs/>
                <w:color w:val="000000"/>
                <w:lang w:eastAsia="en-GB"/>
              </w:rPr>
              <w:t>at</w:t>
            </w:r>
            <w:proofErr w:type="gramEnd"/>
            <w:r w:rsidRPr="00D45B53">
              <w:rPr>
                <w:rFonts w:ascii="Calibri" w:hAnsi="Calibri"/>
                <w:b/>
                <w:bCs/>
                <w:color w:val="000000"/>
                <w:lang w:eastAsia="en-GB"/>
              </w:rPr>
              <w:t xml:space="preserve"> 1 April</w:t>
            </w:r>
          </w:p>
        </w:tc>
        <w:tc>
          <w:tcPr>
            <w:tcW w:w="1720" w:type="dxa"/>
            <w:tcBorders>
              <w:top w:val="nil"/>
              <w:left w:val="nil"/>
              <w:bottom w:val="single" w:sz="4" w:space="0" w:color="FFFFFF"/>
              <w:right w:val="single" w:sz="4" w:space="0" w:color="FFFFFF"/>
            </w:tcBorders>
            <w:shd w:val="clear" w:color="000000" w:fill="CCC0DA"/>
            <w:vAlign w:val="center"/>
            <w:hideMark/>
          </w:tcPr>
          <w:p w14:paraId="63553B39" w14:textId="7839A129" w:rsidR="00D45B53" w:rsidRPr="00D45B53" w:rsidRDefault="0058145B" w:rsidP="007C3629">
            <w:pPr>
              <w:jc w:val="right"/>
              <w:rPr>
                <w:rFonts w:ascii="Calibri" w:hAnsi="Calibri"/>
                <w:b/>
                <w:bCs/>
                <w:color w:val="000000"/>
                <w:lang w:eastAsia="en-GB"/>
              </w:rPr>
            </w:pPr>
            <w:r>
              <w:rPr>
                <w:rFonts w:ascii="Calibri" w:hAnsi="Calibri"/>
                <w:b/>
                <w:bCs/>
                <w:color w:val="000000"/>
                <w:lang w:eastAsia="en-GB"/>
              </w:rPr>
              <w:t>-</w:t>
            </w:r>
            <w:r w:rsidR="007B3980">
              <w:rPr>
                <w:rFonts w:ascii="Calibri" w:hAnsi="Calibri"/>
                <w:b/>
                <w:bCs/>
                <w:color w:val="000000"/>
                <w:lang w:eastAsia="en-GB"/>
              </w:rPr>
              <w:t>317</w:t>
            </w:r>
          </w:p>
        </w:tc>
      </w:tr>
      <w:tr w:rsidR="00D45B53" w:rsidRPr="00D45B53" w14:paraId="1EC06436" w14:textId="77777777" w:rsidTr="00DE0E04">
        <w:trPr>
          <w:trHeight w:val="705"/>
        </w:trPr>
        <w:tc>
          <w:tcPr>
            <w:tcW w:w="1680" w:type="dxa"/>
            <w:vMerge w:val="restart"/>
            <w:tcBorders>
              <w:top w:val="nil"/>
              <w:left w:val="single" w:sz="4" w:space="0" w:color="FFFFFF"/>
              <w:bottom w:val="single" w:sz="4" w:space="0" w:color="FFFFFF"/>
              <w:right w:val="single" w:sz="4" w:space="0" w:color="FFFFFF"/>
            </w:tcBorders>
            <w:shd w:val="clear" w:color="000000" w:fill="E4DFEC"/>
            <w:vAlign w:val="center"/>
            <w:hideMark/>
          </w:tcPr>
          <w:p w14:paraId="0E4AB2C2" w14:textId="2E5E7B88" w:rsidR="00D45B53" w:rsidRPr="00D45B53" w:rsidRDefault="007B3980" w:rsidP="00D45B53">
            <w:pPr>
              <w:jc w:val="right"/>
              <w:rPr>
                <w:rFonts w:ascii="Calibri" w:hAnsi="Calibri"/>
                <w:color w:val="000000"/>
                <w:lang w:eastAsia="en-GB"/>
              </w:rPr>
            </w:pPr>
            <w:r>
              <w:rPr>
                <w:rFonts w:ascii="Calibri" w:hAnsi="Calibri"/>
                <w:color w:val="000000"/>
                <w:lang w:eastAsia="en-GB"/>
              </w:rPr>
              <w:t>2,592</w:t>
            </w:r>
          </w:p>
        </w:tc>
        <w:tc>
          <w:tcPr>
            <w:tcW w:w="5840" w:type="dxa"/>
            <w:vMerge w:val="restart"/>
            <w:tcBorders>
              <w:top w:val="nil"/>
              <w:left w:val="single" w:sz="4" w:space="0" w:color="FFFFFF"/>
              <w:bottom w:val="single" w:sz="4" w:space="0" w:color="FFFFFF"/>
              <w:right w:val="single" w:sz="4" w:space="0" w:color="FFFFFF"/>
            </w:tcBorders>
            <w:shd w:val="clear" w:color="000000" w:fill="E4DFEC"/>
            <w:vAlign w:val="center"/>
            <w:hideMark/>
          </w:tcPr>
          <w:p w14:paraId="62B87D23" w14:textId="57777EE2" w:rsidR="00D45B53" w:rsidRPr="00D45B53" w:rsidRDefault="00D45B53" w:rsidP="00FE0DC2">
            <w:pPr>
              <w:rPr>
                <w:rFonts w:ascii="Calibri" w:hAnsi="Calibri"/>
                <w:color w:val="000000"/>
                <w:lang w:eastAsia="en-GB"/>
              </w:rPr>
            </w:pPr>
            <w:r w:rsidRPr="00D45B53">
              <w:rPr>
                <w:rFonts w:ascii="Calibri" w:hAnsi="Calibri"/>
                <w:color w:val="000000"/>
                <w:lang w:eastAsia="en-GB"/>
              </w:rPr>
              <w:t xml:space="preserve">Amount by which Council Tax and Non-Domestic Rates income credited to the Comprehensive Income </w:t>
            </w:r>
            <w:r w:rsidR="00704A70">
              <w:rPr>
                <w:rFonts w:ascii="Calibri" w:hAnsi="Calibri"/>
                <w:color w:val="000000"/>
                <w:lang w:eastAsia="en-GB"/>
              </w:rPr>
              <w:t>and</w:t>
            </w:r>
            <w:r w:rsidRPr="00D45B53">
              <w:rPr>
                <w:rFonts w:ascii="Calibri" w:hAnsi="Calibri"/>
                <w:color w:val="000000"/>
                <w:lang w:eastAsia="en-GB"/>
              </w:rPr>
              <w:t xml:space="preserve"> Expenditure Statement differs from Council Tax and Non-Domestic </w:t>
            </w:r>
            <w:proofErr w:type="gramStart"/>
            <w:r w:rsidRPr="00D45B53">
              <w:rPr>
                <w:rFonts w:ascii="Calibri" w:hAnsi="Calibri"/>
                <w:color w:val="000000"/>
                <w:lang w:eastAsia="en-GB"/>
              </w:rPr>
              <w:t>Rate  income</w:t>
            </w:r>
            <w:proofErr w:type="gramEnd"/>
            <w:r w:rsidRPr="00D45B53">
              <w:rPr>
                <w:rFonts w:ascii="Calibri" w:hAnsi="Calibri"/>
                <w:color w:val="000000"/>
                <w:lang w:eastAsia="en-GB"/>
              </w:rPr>
              <w:t xml:space="preserve"> calculated for the year in accordance with statutory  requirements</w:t>
            </w:r>
          </w:p>
        </w:tc>
        <w:tc>
          <w:tcPr>
            <w:tcW w:w="1720" w:type="dxa"/>
            <w:vMerge w:val="restart"/>
            <w:tcBorders>
              <w:top w:val="nil"/>
              <w:left w:val="single" w:sz="4" w:space="0" w:color="FFFFFF"/>
              <w:bottom w:val="single" w:sz="4" w:space="0" w:color="FFFFFF"/>
              <w:right w:val="single" w:sz="4" w:space="0" w:color="FFFFFF"/>
            </w:tcBorders>
            <w:shd w:val="clear" w:color="000000" w:fill="E4DFEC"/>
            <w:vAlign w:val="center"/>
          </w:tcPr>
          <w:p w14:paraId="5AA59E8D" w14:textId="08ED067B" w:rsidR="00D45B53" w:rsidRPr="00D45B53" w:rsidRDefault="00274A22" w:rsidP="00D45B53">
            <w:pPr>
              <w:jc w:val="right"/>
              <w:rPr>
                <w:rFonts w:ascii="Calibri" w:hAnsi="Calibri"/>
                <w:color w:val="000000"/>
                <w:lang w:eastAsia="en-GB"/>
              </w:rPr>
            </w:pPr>
            <w:r>
              <w:rPr>
                <w:rFonts w:ascii="Calibri" w:hAnsi="Calibri"/>
                <w:color w:val="000000"/>
                <w:lang w:eastAsia="en-GB"/>
              </w:rPr>
              <w:t>-871</w:t>
            </w:r>
          </w:p>
        </w:tc>
      </w:tr>
      <w:tr w:rsidR="00D45B53" w:rsidRPr="00D45B53" w14:paraId="62D45242" w14:textId="77777777" w:rsidTr="00DE0E04">
        <w:trPr>
          <w:trHeight w:val="300"/>
        </w:trPr>
        <w:tc>
          <w:tcPr>
            <w:tcW w:w="1680" w:type="dxa"/>
            <w:vMerge/>
            <w:tcBorders>
              <w:top w:val="nil"/>
              <w:left w:val="single" w:sz="4" w:space="0" w:color="FFFFFF"/>
              <w:bottom w:val="single" w:sz="4" w:space="0" w:color="FFFFFF"/>
              <w:right w:val="single" w:sz="4" w:space="0" w:color="FFFFFF"/>
            </w:tcBorders>
            <w:vAlign w:val="center"/>
            <w:hideMark/>
          </w:tcPr>
          <w:p w14:paraId="55D12F0D" w14:textId="77777777" w:rsidR="00D45B53" w:rsidRPr="00D45B53" w:rsidRDefault="00D45B53" w:rsidP="00D45B53">
            <w:pPr>
              <w:rPr>
                <w:rFonts w:ascii="Calibri" w:hAnsi="Calibri"/>
                <w:color w:val="000000"/>
                <w:lang w:eastAsia="en-GB"/>
              </w:rPr>
            </w:pPr>
          </w:p>
        </w:tc>
        <w:tc>
          <w:tcPr>
            <w:tcW w:w="5840" w:type="dxa"/>
            <w:vMerge/>
            <w:tcBorders>
              <w:top w:val="nil"/>
              <w:left w:val="single" w:sz="4" w:space="0" w:color="FFFFFF"/>
              <w:bottom w:val="single" w:sz="4" w:space="0" w:color="FFFFFF"/>
              <w:right w:val="single" w:sz="4" w:space="0" w:color="FFFFFF"/>
            </w:tcBorders>
            <w:vAlign w:val="center"/>
            <w:hideMark/>
          </w:tcPr>
          <w:p w14:paraId="5506F1D8" w14:textId="77777777" w:rsidR="00D45B53" w:rsidRPr="00D45B53" w:rsidRDefault="00D45B53" w:rsidP="00D45B53">
            <w:pPr>
              <w:rPr>
                <w:rFonts w:ascii="Calibri" w:hAnsi="Calibri"/>
                <w:color w:val="000000"/>
                <w:lang w:eastAsia="en-GB"/>
              </w:rPr>
            </w:pPr>
          </w:p>
        </w:tc>
        <w:tc>
          <w:tcPr>
            <w:tcW w:w="1720" w:type="dxa"/>
            <w:vMerge/>
            <w:tcBorders>
              <w:top w:val="nil"/>
              <w:left w:val="single" w:sz="4" w:space="0" w:color="FFFFFF"/>
              <w:bottom w:val="single" w:sz="4" w:space="0" w:color="FFFFFF"/>
              <w:right w:val="single" w:sz="4" w:space="0" w:color="FFFFFF"/>
            </w:tcBorders>
            <w:vAlign w:val="center"/>
          </w:tcPr>
          <w:p w14:paraId="0678C96F" w14:textId="77777777" w:rsidR="00D45B53" w:rsidRPr="00D45B53" w:rsidRDefault="00D45B53" w:rsidP="00D45B53">
            <w:pPr>
              <w:rPr>
                <w:rFonts w:ascii="Calibri" w:hAnsi="Calibri"/>
                <w:color w:val="000000"/>
                <w:lang w:eastAsia="en-GB"/>
              </w:rPr>
            </w:pPr>
          </w:p>
        </w:tc>
      </w:tr>
      <w:tr w:rsidR="00D45B53" w:rsidRPr="00D45B53" w14:paraId="44BB02FF"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vAlign w:val="center"/>
            <w:hideMark/>
          </w:tcPr>
          <w:p w14:paraId="06648AE4" w14:textId="00E6DCC9" w:rsidR="00D45B53" w:rsidRPr="00D45B53" w:rsidRDefault="0058145B" w:rsidP="007C3629">
            <w:pPr>
              <w:jc w:val="right"/>
              <w:rPr>
                <w:rFonts w:ascii="Calibri" w:hAnsi="Calibri"/>
                <w:b/>
                <w:bCs/>
                <w:color w:val="000000"/>
                <w:lang w:eastAsia="en-GB"/>
              </w:rPr>
            </w:pPr>
            <w:r>
              <w:rPr>
                <w:rFonts w:ascii="Calibri" w:hAnsi="Calibri"/>
                <w:b/>
                <w:bCs/>
                <w:color w:val="000000"/>
                <w:lang w:eastAsia="en-GB"/>
              </w:rPr>
              <w:t>-</w:t>
            </w:r>
            <w:r w:rsidR="007B3980">
              <w:rPr>
                <w:rFonts w:ascii="Calibri" w:hAnsi="Calibri"/>
                <w:b/>
                <w:bCs/>
                <w:color w:val="000000"/>
                <w:lang w:eastAsia="en-GB"/>
              </w:rPr>
              <w:t>317</w:t>
            </w:r>
          </w:p>
        </w:tc>
        <w:tc>
          <w:tcPr>
            <w:tcW w:w="5840" w:type="dxa"/>
            <w:tcBorders>
              <w:top w:val="nil"/>
              <w:left w:val="nil"/>
              <w:bottom w:val="single" w:sz="4" w:space="0" w:color="FFFFFF"/>
              <w:right w:val="single" w:sz="4" w:space="0" w:color="FFFFFF"/>
            </w:tcBorders>
            <w:shd w:val="clear" w:color="000000" w:fill="CCC0DA"/>
            <w:vAlign w:val="center"/>
            <w:hideMark/>
          </w:tcPr>
          <w:p w14:paraId="5A31094B" w14:textId="77777777" w:rsidR="00D45B53" w:rsidRPr="00D45B53" w:rsidRDefault="00D45B53" w:rsidP="00D45B53">
            <w:pPr>
              <w:ind w:firstLineChars="100" w:firstLine="201"/>
              <w:rPr>
                <w:rFonts w:ascii="Calibri" w:hAnsi="Calibri"/>
                <w:b/>
                <w:bCs/>
                <w:color w:val="000000"/>
                <w:lang w:eastAsia="en-GB"/>
              </w:rPr>
            </w:pPr>
            <w:r w:rsidRPr="00D45B53">
              <w:rPr>
                <w:rFonts w:ascii="Calibri" w:hAnsi="Calibri"/>
                <w:b/>
                <w:bCs/>
                <w:color w:val="000000"/>
                <w:lang w:eastAsia="en-GB"/>
              </w:rPr>
              <w:t xml:space="preserve">Balance </w:t>
            </w:r>
            <w:proofErr w:type="gramStart"/>
            <w:r w:rsidRPr="00D45B53">
              <w:rPr>
                <w:rFonts w:ascii="Calibri" w:hAnsi="Calibri"/>
                <w:b/>
                <w:bCs/>
                <w:color w:val="000000"/>
                <w:lang w:eastAsia="en-GB"/>
              </w:rPr>
              <w:t>at</w:t>
            </w:r>
            <w:proofErr w:type="gramEnd"/>
            <w:r w:rsidRPr="00D45B53">
              <w:rPr>
                <w:rFonts w:ascii="Calibri" w:hAnsi="Calibri"/>
                <w:b/>
                <w:bCs/>
                <w:color w:val="000000"/>
                <w:lang w:eastAsia="en-GB"/>
              </w:rPr>
              <w:t xml:space="preserve"> 31 March</w:t>
            </w:r>
          </w:p>
        </w:tc>
        <w:tc>
          <w:tcPr>
            <w:tcW w:w="1720" w:type="dxa"/>
            <w:tcBorders>
              <w:top w:val="nil"/>
              <w:left w:val="nil"/>
              <w:bottom w:val="single" w:sz="4" w:space="0" w:color="FFFFFF"/>
              <w:right w:val="single" w:sz="4" w:space="0" w:color="FFFFFF"/>
            </w:tcBorders>
            <w:shd w:val="clear" w:color="000000" w:fill="CCC0DA"/>
            <w:vAlign w:val="center"/>
          </w:tcPr>
          <w:p w14:paraId="263E727E" w14:textId="105B38CE" w:rsidR="00D45B53" w:rsidRPr="00D45B53" w:rsidRDefault="00BC561B">
            <w:pPr>
              <w:jc w:val="right"/>
              <w:rPr>
                <w:rFonts w:ascii="Calibri" w:hAnsi="Calibri"/>
                <w:b/>
                <w:bCs/>
                <w:color w:val="000000"/>
                <w:lang w:eastAsia="en-GB"/>
              </w:rPr>
            </w:pPr>
            <w:r>
              <w:rPr>
                <w:rFonts w:ascii="Calibri" w:hAnsi="Calibri"/>
                <w:b/>
                <w:bCs/>
                <w:color w:val="000000"/>
                <w:lang w:eastAsia="en-GB"/>
              </w:rPr>
              <w:t>-1,188</w:t>
            </w:r>
          </w:p>
        </w:tc>
      </w:tr>
    </w:tbl>
    <w:p w14:paraId="4D1B8266" w14:textId="6A02B840" w:rsidR="007C3629" w:rsidRDefault="007C3629" w:rsidP="00D14540">
      <w:pPr>
        <w:widowControl w:val="0"/>
        <w:tabs>
          <w:tab w:val="left" w:pos="2520"/>
          <w:tab w:val="left" w:pos="7200"/>
          <w:tab w:val="left" w:pos="8460"/>
        </w:tabs>
        <w:rPr>
          <w:rFonts w:asciiTheme="minorHAnsi" w:hAnsiTheme="minorHAnsi" w:cs="Arial"/>
          <w:b/>
          <w:sz w:val="24"/>
          <w:szCs w:val="24"/>
        </w:rPr>
      </w:pPr>
    </w:p>
    <w:p w14:paraId="33665494" w14:textId="77777777" w:rsidR="003A7B2D" w:rsidRPr="00D45B53" w:rsidRDefault="003A7B2D" w:rsidP="00D14540">
      <w:pPr>
        <w:widowControl w:val="0"/>
        <w:tabs>
          <w:tab w:val="left" w:pos="2520"/>
          <w:tab w:val="left" w:pos="7200"/>
          <w:tab w:val="left" w:pos="8460"/>
        </w:tabs>
        <w:rPr>
          <w:rFonts w:asciiTheme="minorHAnsi" w:hAnsiTheme="minorHAnsi" w:cs="Arial"/>
          <w:b/>
          <w:sz w:val="24"/>
          <w:szCs w:val="24"/>
        </w:rPr>
      </w:pPr>
      <w:r w:rsidRPr="00D45B53">
        <w:rPr>
          <w:rFonts w:asciiTheme="minorHAnsi" w:hAnsiTheme="minorHAnsi" w:cs="Arial"/>
          <w:b/>
          <w:sz w:val="24"/>
          <w:szCs w:val="24"/>
        </w:rPr>
        <w:t>Accumulated Absences Account</w:t>
      </w:r>
    </w:p>
    <w:p w14:paraId="77C77D37" w14:textId="77777777" w:rsidR="003A7B2D" w:rsidRDefault="003A7B2D" w:rsidP="00D14540">
      <w:pPr>
        <w:widowControl w:val="0"/>
        <w:tabs>
          <w:tab w:val="left" w:pos="2520"/>
          <w:tab w:val="left" w:pos="7200"/>
          <w:tab w:val="left" w:pos="8460"/>
        </w:tabs>
        <w:rPr>
          <w:rFonts w:ascii="Arial" w:hAnsi="Arial" w:cs="Arial"/>
          <w:b/>
        </w:rPr>
      </w:pPr>
    </w:p>
    <w:p w14:paraId="3B1BA3D0" w14:textId="77777777" w:rsidR="003A7B2D" w:rsidRDefault="003A7B2D" w:rsidP="00811EDC">
      <w:pPr>
        <w:widowControl w:val="0"/>
        <w:tabs>
          <w:tab w:val="left" w:pos="2520"/>
          <w:tab w:val="left" w:pos="7200"/>
          <w:tab w:val="left" w:pos="8460"/>
        </w:tabs>
        <w:jc w:val="both"/>
        <w:rPr>
          <w:rFonts w:asciiTheme="minorHAnsi" w:hAnsiTheme="minorHAnsi" w:cs="Arial"/>
          <w:sz w:val="22"/>
          <w:szCs w:val="22"/>
        </w:rPr>
      </w:pPr>
      <w:r w:rsidRPr="00D45B53">
        <w:rPr>
          <w:rFonts w:asciiTheme="minorHAnsi" w:hAnsiTheme="minorHAnsi" w:cs="Arial"/>
          <w:sz w:val="22"/>
          <w:szCs w:val="22"/>
        </w:rPr>
        <w:t>The Accumulated Absences Account absorbs the difference that would otherwise arise on the General Fund balance from accruing for compensated absences earned but not taken in the year</w:t>
      </w:r>
      <w:r w:rsidR="005E0696" w:rsidRPr="00D45B53">
        <w:rPr>
          <w:rFonts w:asciiTheme="minorHAnsi" w:hAnsiTheme="minorHAnsi" w:cs="Arial"/>
          <w:sz w:val="22"/>
          <w:szCs w:val="22"/>
        </w:rPr>
        <w:t xml:space="preserve">, </w:t>
      </w:r>
      <w:proofErr w:type="gramStart"/>
      <w:r w:rsidR="005E0696" w:rsidRPr="00D45B53">
        <w:rPr>
          <w:rFonts w:asciiTheme="minorHAnsi" w:hAnsiTheme="minorHAnsi" w:cs="Arial"/>
          <w:sz w:val="22"/>
          <w:szCs w:val="22"/>
        </w:rPr>
        <w:t>e</w:t>
      </w:r>
      <w:r w:rsidR="00A32D01">
        <w:rPr>
          <w:rFonts w:asciiTheme="minorHAnsi" w:hAnsiTheme="minorHAnsi" w:cs="Arial"/>
          <w:sz w:val="22"/>
          <w:szCs w:val="22"/>
        </w:rPr>
        <w:t>.</w:t>
      </w:r>
      <w:r w:rsidR="005E0696" w:rsidRPr="00D45B53">
        <w:rPr>
          <w:rFonts w:asciiTheme="minorHAnsi" w:hAnsiTheme="minorHAnsi" w:cs="Arial"/>
          <w:sz w:val="22"/>
          <w:szCs w:val="22"/>
        </w:rPr>
        <w:t>g</w:t>
      </w:r>
      <w:r w:rsidR="00A32D01">
        <w:rPr>
          <w:rFonts w:asciiTheme="minorHAnsi" w:hAnsiTheme="minorHAnsi" w:cs="Arial"/>
          <w:sz w:val="22"/>
          <w:szCs w:val="22"/>
        </w:rPr>
        <w:t>.</w:t>
      </w:r>
      <w:proofErr w:type="gramEnd"/>
      <w:r w:rsidR="005E0696" w:rsidRPr="00D45B53">
        <w:rPr>
          <w:rFonts w:asciiTheme="minorHAnsi" w:hAnsiTheme="minorHAnsi" w:cs="Arial"/>
          <w:sz w:val="22"/>
          <w:szCs w:val="22"/>
        </w:rPr>
        <w:t xml:space="preserve"> annual leave entitlement carried forward at 31 March</w:t>
      </w:r>
      <w:r w:rsidRPr="00D45B53">
        <w:rPr>
          <w:rFonts w:asciiTheme="minorHAnsi" w:hAnsiTheme="minorHAnsi" w:cs="Arial"/>
          <w:sz w:val="22"/>
          <w:szCs w:val="22"/>
        </w:rPr>
        <w:t>.  Statutory arrangements require that the impact on the General Fund balance is neutralised by transfers to or from the account.</w:t>
      </w:r>
    </w:p>
    <w:p w14:paraId="2E682DB8" w14:textId="77777777" w:rsidR="008A48A4" w:rsidRDefault="008A48A4" w:rsidP="00811EDC">
      <w:pPr>
        <w:widowControl w:val="0"/>
        <w:tabs>
          <w:tab w:val="left" w:pos="2520"/>
          <w:tab w:val="left" w:pos="7200"/>
          <w:tab w:val="left" w:pos="846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Accumulated Absenses Account"/>
        <w:tblDescription w:val="Accumulated Absenses Account as at 31 March 2023 with 31 March 2022 comparables"/>
      </w:tblPr>
      <w:tblGrid>
        <w:gridCol w:w="1680"/>
        <w:gridCol w:w="5840"/>
        <w:gridCol w:w="1720"/>
      </w:tblGrid>
      <w:tr w:rsidR="00C81541" w:rsidRPr="00C81541" w14:paraId="48F90B56" w14:textId="77777777" w:rsidTr="00F367A2">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B1A0C7"/>
            <w:noWrap/>
            <w:vAlign w:val="center"/>
            <w:hideMark/>
          </w:tcPr>
          <w:p w14:paraId="6DAEA66F" w14:textId="33523D20" w:rsidR="00C81541" w:rsidRPr="00C81541" w:rsidRDefault="00C81541" w:rsidP="007C3629">
            <w:pPr>
              <w:jc w:val="right"/>
              <w:rPr>
                <w:rFonts w:ascii="Calibri" w:hAnsi="Calibri"/>
                <w:color w:val="000000"/>
                <w:lang w:eastAsia="en-GB"/>
              </w:rPr>
            </w:pPr>
            <w:r w:rsidRPr="00C81541">
              <w:rPr>
                <w:rFonts w:ascii="Calibri" w:hAnsi="Calibri"/>
                <w:color w:val="000000"/>
                <w:lang w:eastAsia="en-GB"/>
              </w:rPr>
              <w:t>20</w:t>
            </w:r>
            <w:r w:rsidR="004957BB">
              <w:rPr>
                <w:rFonts w:ascii="Calibri" w:hAnsi="Calibri"/>
                <w:color w:val="000000"/>
                <w:lang w:eastAsia="en-GB"/>
              </w:rPr>
              <w:t>2</w:t>
            </w:r>
            <w:r w:rsidR="007B3980">
              <w:rPr>
                <w:rFonts w:ascii="Calibri" w:hAnsi="Calibri"/>
                <w:color w:val="000000"/>
                <w:lang w:eastAsia="en-GB"/>
              </w:rPr>
              <w:t>1</w:t>
            </w:r>
            <w:r w:rsidRPr="00C81541">
              <w:rPr>
                <w:rFonts w:ascii="Calibri" w:hAnsi="Calibri"/>
                <w:color w:val="000000"/>
                <w:lang w:eastAsia="en-GB"/>
              </w:rPr>
              <w:t>-</w:t>
            </w:r>
            <w:r w:rsidR="007C3629">
              <w:rPr>
                <w:rFonts w:ascii="Calibri" w:hAnsi="Calibri"/>
                <w:color w:val="000000"/>
                <w:lang w:eastAsia="en-GB"/>
              </w:rPr>
              <w:t>2</w:t>
            </w:r>
            <w:r w:rsidR="007B3980">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B1A0C7"/>
            <w:noWrap/>
            <w:vAlign w:val="center"/>
            <w:hideMark/>
          </w:tcPr>
          <w:p w14:paraId="6033F22C" w14:textId="77777777" w:rsidR="00C81541" w:rsidRPr="00C81541" w:rsidRDefault="00C81541" w:rsidP="00C81541">
            <w:pPr>
              <w:jc w:val="right"/>
              <w:rPr>
                <w:rFonts w:ascii="Calibri" w:hAnsi="Calibri"/>
                <w:color w:val="000000"/>
                <w:lang w:eastAsia="en-GB"/>
              </w:rPr>
            </w:pPr>
            <w:r w:rsidRPr="00C81541">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B1A0C7"/>
            <w:noWrap/>
            <w:vAlign w:val="center"/>
            <w:hideMark/>
          </w:tcPr>
          <w:p w14:paraId="43DE79F2" w14:textId="7A12609A" w:rsidR="00C81541" w:rsidRPr="00C81541" w:rsidRDefault="00C81541" w:rsidP="007C3629">
            <w:pPr>
              <w:jc w:val="right"/>
              <w:rPr>
                <w:rFonts w:ascii="Calibri" w:hAnsi="Calibri"/>
                <w:color w:val="000000"/>
                <w:lang w:eastAsia="en-GB"/>
              </w:rPr>
            </w:pPr>
            <w:r w:rsidRPr="00C81541">
              <w:rPr>
                <w:rFonts w:ascii="Calibri" w:hAnsi="Calibri"/>
                <w:color w:val="000000"/>
                <w:lang w:eastAsia="en-GB"/>
              </w:rPr>
              <w:t>20</w:t>
            </w:r>
            <w:r w:rsidR="007C3629">
              <w:rPr>
                <w:rFonts w:ascii="Calibri" w:hAnsi="Calibri"/>
                <w:color w:val="000000"/>
                <w:lang w:eastAsia="en-GB"/>
              </w:rPr>
              <w:t>2</w:t>
            </w:r>
            <w:r w:rsidR="007B3980">
              <w:rPr>
                <w:rFonts w:ascii="Calibri" w:hAnsi="Calibri"/>
                <w:color w:val="000000"/>
                <w:lang w:eastAsia="en-GB"/>
              </w:rPr>
              <w:t>2</w:t>
            </w:r>
            <w:r w:rsidRPr="00C81541">
              <w:rPr>
                <w:rFonts w:ascii="Calibri" w:hAnsi="Calibri"/>
                <w:color w:val="000000"/>
                <w:lang w:eastAsia="en-GB"/>
              </w:rPr>
              <w:t>-</w:t>
            </w:r>
            <w:r w:rsidR="00AA5389">
              <w:rPr>
                <w:rFonts w:ascii="Calibri" w:hAnsi="Calibri"/>
                <w:color w:val="000000"/>
                <w:lang w:eastAsia="en-GB"/>
              </w:rPr>
              <w:t>2</w:t>
            </w:r>
            <w:r w:rsidR="007B3980">
              <w:rPr>
                <w:rFonts w:ascii="Calibri" w:hAnsi="Calibri"/>
                <w:color w:val="000000"/>
                <w:lang w:eastAsia="en-GB"/>
              </w:rPr>
              <w:t>3</w:t>
            </w:r>
          </w:p>
        </w:tc>
      </w:tr>
      <w:tr w:rsidR="00C81541" w:rsidRPr="00C81541" w14:paraId="2AA4FBBC" w14:textId="77777777" w:rsidTr="007A388C">
        <w:trPr>
          <w:trHeight w:val="300"/>
        </w:trPr>
        <w:tc>
          <w:tcPr>
            <w:tcW w:w="1680" w:type="dxa"/>
            <w:tcBorders>
              <w:top w:val="nil"/>
              <w:left w:val="single" w:sz="4" w:space="0" w:color="FFFFFF"/>
              <w:bottom w:val="single" w:sz="4" w:space="0" w:color="FFFFFF"/>
              <w:right w:val="single" w:sz="4" w:space="0" w:color="FFFFFF"/>
            </w:tcBorders>
            <w:shd w:val="clear" w:color="000000" w:fill="B1A0C7"/>
            <w:noWrap/>
            <w:vAlign w:val="center"/>
            <w:hideMark/>
          </w:tcPr>
          <w:p w14:paraId="1534B497" w14:textId="77777777" w:rsidR="00C81541" w:rsidRPr="00C81541" w:rsidRDefault="00C81541" w:rsidP="00C81541">
            <w:pPr>
              <w:jc w:val="right"/>
              <w:rPr>
                <w:rFonts w:ascii="Calibri" w:hAnsi="Calibri"/>
                <w:color w:val="000000"/>
                <w:lang w:eastAsia="en-GB"/>
              </w:rPr>
            </w:pPr>
            <w:r w:rsidRPr="00C81541">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B1A0C7"/>
            <w:noWrap/>
            <w:vAlign w:val="center"/>
            <w:hideMark/>
          </w:tcPr>
          <w:p w14:paraId="2200D03C" w14:textId="77777777" w:rsidR="00C81541" w:rsidRPr="00C81541" w:rsidRDefault="00C81541" w:rsidP="00C81541">
            <w:pPr>
              <w:jc w:val="right"/>
              <w:rPr>
                <w:rFonts w:ascii="Calibri" w:hAnsi="Calibri"/>
                <w:color w:val="000000"/>
                <w:lang w:eastAsia="en-GB"/>
              </w:rPr>
            </w:pPr>
            <w:r w:rsidRPr="00C81541">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B1A0C7"/>
            <w:noWrap/>
            <w:vAlign w:val="center"/>
            <w:hideMark/>
          </w:tcPr>
          <w:p w14:paraId="14415D4C" w14:textId="77777777" w:rsidR="00C81541" w:rsidRPr="00C81541" w:rsidRDefault="00C81541" w:rsidP="00C81541">
            <w:pPr>
              <w:jc w:val="right"/>
              <w:rPr>
                <w:rFonts w:ascii="Calibri" w:hAnsi="Calibri"/>
                <w:color w:val="000000"/>
                <w:lang w:eastAsia="en-GB"/>
              </w:rPr>
            </w:pPr>
            <w:r w:rsidRPr="00C81541">
              <w:rPr>
                <w:rFonts w:ascii="Calibri" w:hAnsi="Calibri"/>
                <w:color w:val="000000"/>
                <w:lang w:eastAsia="en-GB"/>
              </w:rPr>
              <w:t>£’000</w:t>
            </w:r>
          </w:p>
        </w:tc>
      </w:tr>
      <w:tr w:rsidR="00C81541" w:rsidRPr="00C81541" w14:paraId="72AE89D1" w14:textId="77777777" w:rsidTr="007A388C">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165A2DF2" w14:textId="64C92FCF" w:rsidR="00C81541" w:rsidRPr="00C81541" w:rsidRDefault="00C81541" w:rsidP="007C3629">
            <w:pPr>
              <w:jc w:val="right"/>
              <w:rPr>
                <w:rFonts w:ascii="Calibri" w:hAnsi="Calibri"/>
                <w:b/>
                <w:bCs/>
                <w:color w:val="000000"/>
                <w:lang w:eastAsia="en-GB"/>
              </w:rPr>
            </w:pPr>
            <w:r w:rsidRPr="00C81541">
              <w:rPr>
                <w:rFonts w:ascii="Calibri" w:hAnsi="Calibri"/>
                <w:b/>
                <w:bCs/>
                <w:color w:val="000000"/>
                <w:lang w:eastAsia="en-GB"/>
              </w:rPr>
              <w:t>-</w:t>
            </w:r>
            <w:r w:rsidR="007B3980">
              <w:rPr>
                <w:rFonts w:ascii="Calibri" w:hAnsi="Calibri"/>
                <w:b/>
                <w:bCs/>
                <w:color w:val="000000"/>
                <w:lang w:eastAsia="en-GB"/>
              </w:rPr>
              <w:t>232</w:t>
            </w:r>
          </w:p>
        </w:tc>
        <w:tc>
          <w:tcPr>
            <w:tcW w:w="5840" w:type="dxa"/>
            <w:tcBorders>
              <w:top w:val="nil"/>
              <w:left w:val="nil"/>
              <w:bottom w:val="single" w:sz="4" w:space="0" w:color="FFFFFF"/>
              <w:right w:val="single" w:sz="4" w:space="0" w:color="FFFFFF"/>
            </w:tcBorders>
            <w:shd w:val="clear" w:color="000000" w:fill="CCC0DA"/>
            <w:noWrap/>
            <w:vAlign w:val="center"/>
            <w:hideMark/>
          </w:tcPr>
          <w:p w14:paraId="1CA15DCE" w14:textId="77777777" w:rsidR="00C81541" w:rsidRPr="00C81541" w:rsidRDefault="00C81541" w:rsidP="00C81541">
            <w:pPr>
              <w:rPr>
                <w:rFonts w:ascii="Calibri" w:hAnsi="Calibri"/>
                <w:b/>
                <w:bCs/>
                <w:color w:val="000000"/>
                <w:lang w:eastAsia="en-GB"/>
              </w:rPr>
            </w:pPr>
            <w:r w:rsidRPr="00C81541">
              <w:rPr>
                <w:rFonts w:ascii="Calibri" w:hAnsi="Calibri"/>
                <w:b/>
                <w:bCs/>
                <w:color w:val="000000"/>
                <w:lang w:eastAsia="en-GB"/>
              </w:rPr>
              <w:t xml:space="preserve">Balance </w:t>
            </w:r>
            <w:proofErr w:type="gramStart"/>
            <w:r w:rsidRPr="00C81541">
              <w:rPr>
                <w:rFonts w:ascii="Calibri" w:hAnsi="Calibri"/>
                <w:b/>
                <w:bCs/>
                <w:color w:val="000000"/>
                <w:lang w:eastAsia="en-GB"/>
              </w:rPr>
              <w:t>at</w:t>
            </w:r>
            <w:proofErr w:type="gramEnd"/>
            <w:r w:rsidRPr="00C81541">
              <w:rPr>
                <w:rFonts w:ascii="Calibri" w:hAnsi="Calibri"/>
                <w:b/>
                <w:bCs/>
                <w:color w:val="000000"/>
                <w:lang w:eastAsia="en-GB"/>
              </w:rPr>
              <w:t xml:space="preserve"> 1 April</w:t>
            </w:r>
          </w:p>
        </w:tc>
        <w:tc>
          <w:tcPr>
            <w:tcW w:w="1720" w:type="dxa"/>
            <w:tcBorders>
              <w:top w:val="nil"/>
              <w:left w:val="nil"/>
              <w:bottom w:val="single" w:sz="4" w:space="0" w:color="FFFFFF"/>
              <w:right w:val="single" w:sz="4" w:space="0" w:color="FFFFFF"/>
            </w:tcBorders>
            <w:shd w:val="clear" w:color="000000" w:fill="CCC0DA"/>
            <w:noWrap/>
            <w:vAlign w:val="center"/>
            <w:hideMark/>
          </w:tcPr>
          <w:p w14:paraId="759866D9" w14:textId="7FD769FF" w:rsidR="00C81541" w:rsidRPr="00C81541" w:rsidRDefault="00C81541" w:rsidP="00114386">
            <w:pPr>
              <w:jc w:val="right"/>
              <w:rPr>
                <w:rFonts w:ascii="Calibri" w:hAnsi="Calibri"/>
                <w:b/>
                <w:bCs/>
                <w:color w:val="000000"/>
                <w:lang w:eastAsia="en-GB"/>
              </w:rPr>
            </w:pPr>
            <w:r w:rsidRPr="00C81541">
              <w:rPr>
                <w:rFonts w:ascii="Calibri" w:hAnsi="Calibri"/>
                <w:b/>
                <w:bCs/>
                <w:color w:val="000000"/>
                <w:lang w:eastAsia="en-GB"/>
              </w:rPr>
              <w:t>-</w:t>
            </w:r>
            <w:r w:rsidR="007B3980">
              <w:rPr>
                <w:rFonts w:ascii="Calibri" w:hAnsi="Calibri"/>
                <w:b/>
                <w:bCs/>
                <w:color w:val="000000"/>
                <w:lang w:eastAsia="en-GB"/>
              </w:rPr>
              <w:t>161</w:t>
            </w:r>
          </w:p>
        </w:tc>
      </w:tr>
      <w:tr w:rsidR="00C81541" w:rsidRPr="00C81541" w14:paraId="7AA1E78C" w14:textId="77777777" w:rsidTr="00DE0E04">
        <w:trPr>
          <w:trHeight w:val="51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2CEA01DA" w14:textId="6B089C8A" w:rsidR="00C81541" w:rsidRPr="00C81541" w:rsidRDefault="007B3980" w:rsidP="00C81541">
            <w:pPr>
              <w:jc w:val="right"/>
              <w:rPr>
                <w:rFonts w:ascii="Calibri" w:hAnsi="Calibri"/>
                <w:color w:val="000000"/>
                <w:lang w:eastAsia="en-GB"/>
              </w:rPr>
            </w:pPr>
            <w:r>
              <w:rPr>
                <w:rFonts w:ascii="Calibri" w:hAnsi="Calibri"/>
                <w:color w:val="000000"/>
                <w:lang w:eastAsia="en-GB"/>
              </w:rPr>
              <w:t>232</w:t>
            </w:r>
          </w:p>
        </w:tc>
        <w:tc>
          <w:tcPr>
            <w:tcW w:w="5840" w:type="dxa"/>
            <w:tcBorders>
              <w:top w:val="nil"/>
              <w:left w:val="nil"/>
              <w:bottom w:val="single" w:sz="4" w:space="0" w:color="FFFFFF"/>
              <w:right w:val="single" w:sz="4" w:space="0" w:color="FFFFFF"/>
            </w:tcBorders>
            <w:shd w:val="clear" w:color="000000" w:fill="E4DFEC"/>
            <w:vAlign w:val="center"/>
            <w:hideMark/>
          </w:tcPr>
          <w:p w14:paraId="2855C377" w14:textId="77777777" w:rsidR="00C81541" w:rsidRPr="00C81541" w:rsidRDefault="00C81541" w:rsidP="00C81541">
            <w:pPr>
              <w:rPr>
                <w:rFonts w:ascii="Calibri" w:hAnsi="Calibri"/>
                <w:color w:val="000000"/>
                <w:lang w:eastAsia="en-GB"/>
              </w:rPr>
            </w:pPr>
            <w:r w:rsidRPr="00C81541">
              <w:rPr>
                <w:rFonts w:ascii="Calibri" w:hAnsi="Calibri"/>
                <w:color w:val="000000"/>
                <w:lang w:eastAsia="en-GB"/>
              </w:rPr>
              <w:t>Settlement or cancellation of accrual made at the end of the preceding year</w:t>
            </w:r>
          </w:p>
        </w:tc>
        <w:tc>
          <w:tcPr>
            <w:tcW w:w="1720" w:type="dxa"/>
            <w:tcBorders>
              <w:top w:val="nil"/>
              <w:left w:val="nil"/>
              <w:bottom w:val="single" w:sz="4" w:space="0" w:color="FFFFFF"/>
              <w:right w:val="single" w:sz="4" w:space="0" w:color="FFFFFF"/>
            </w:tcBorders>
            <w:shd w:val="clear" w:color="000000" w:fill="E4DFEC"/>
            <w:noWrap/>
            <w:vAlign w:val="center"/>
          </w:tcPr>
          <w:p w14:paraId="7D3879B4" w14:textId="19216CAC" w:rsidR="00C81541" w:rsidRPr="00C81541" w:rsidRDefault="00D5717B" w:rsidP="00C81541">
            <w:pPr>
              <w:jc w:val="right"/>
              <w:rPr>
                <w:rFonts w:ascii="Calibri" w:hAnsi="Calibri"/>
                <w:color w:val="000000"/>
                <w:lang w:eastAsia="en-GB"/>
              </w:rPr>
            </w:pPr>
            <w:r>
              <w:rPr>
                <w:rFonts w:ascii="Calibri" w:hAnsi="Calibri"/>
                <w:color w:val="000000"/>
                <w:lang w:eastAsia="en-GB"/>
              </w:rPr>
              <w:t>161</w:t>
            </w:r>
          </w:p>
        </w:tc>
      </w:tr>
      <w:tr w:rsidR="00C81541" w:rsidRPr="00C81541" w14:paraId="470AE633"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303CDB20" w14:textId="36565F3C" w:rsidR="00C81541" w:rsidRPr="00C81541" w:rsidRDefault="00C81541" w:rsidP="007C3629">
            <w:pPr>
              <w:jc w:val="right"/>
              <w:rPr>
                <w:rFonts w:ascii="Calibri" w:hAnsi="Calibri"/>
                <w:color w:val="000000"/>
                <w:lang w:eastAsia="en-GB"/>
              </w:rPr>
            </w:pPr>
            <w:r w:rsidRPr="00C81541">
              <w:rPr>
                <w:rFonts w:ascii="Calibri" w:hAnsi="Calibri"/>
                <w:color w:val="000000"/>
                <w:lang w:eastAsia="en-GB"/>
              </w:rPr>
              <w:t>-</w:t>
            </w:r>
            <w:r w:rsidR="007B3980">
              <w:rPr>
                <w:rFonts w:ascii="Calibri" w:hAnsi="Calibri"/>
                <w:color w:val="000000"/>
                <w:lang w:eastAsia="en-GB"/>
              </w:rPr>
              <w:t>161</w:t>
            </w:r>
          </w:p>
        </w:tc>
        <w:tc>
          <w:tcPr>
            <w:tcW w:w="5840" w:type="dxa"/>
            <w:tcBorders>
              <w:top w:val="nil"/>
              <w:left w:val="nil"/>
              <w:bottom w:val="single" w:sz="4" w:space="0" w:color="FFFFFF"/>
              <w:right w:val="single" w:sz="4" w:space="0" w:color="FFFFFF"/>
            </w:tcBorders>
            <w:shd w:val="clear" w:color="000000" w:fill="CCC0DA"/>
            <w:vAlign w:val="center"/>
            <w:hideMark/>
          </w:tcPr>
          <w:p w14:paraId="29AF1871" w14:textId="77777777" w:rsidR="00C81541" w:rsidRPr="00C81541" w:rsidRDefault="00C81541" w:rsidP="00C81541">
            <w:pPr>
              <w:rPr>
                <w:rFonts w:ascii="Calibri" w:hAnsi="Calibri"/>
                <w:color w:val="000000"/>
                <w:lang w:eastAsia="en-GB"/>
              </w:rPr>
            </w:pPr>
            <w:r w:rsidRPr="00C81541">
              <w:rPr>
                <w:rFonts w:ascii="Calibri" w:hAnsi="Calibri"/>
                <w:color w:val="000000"/>
                <w:lang w:eastAsia="en-GB"/>
              </w:rPr>
              <w:t xml:space="preserve">Amounts accrued at the end of the current year                              </w:t>
            </w:r>
          </w:p>
        </w:tc>
        <w:tc>
          <w:tcPr>
            <w:tcW w:w="1720" w:type="dxa"/>
            <w:tcBorders>
              <w:top w:val="nil"/>
              <w:left w:val="nil"/>
              <w:bottom w:val="single" w:sz="4" w:space="0" w:color="FFFFFF"/>
              <w:right w:val="single" w:sz="4" w:space="0" w:color="FFFFFF"/>
            </w:tcBorders>
            <w:shd w:val="clear" w:color="000000" w:fill="CCC0DA"/>
            <w:noWrap/>
            <w:vAlign w:val="center"/>
          </w:tcPr>
          <w:p w14:paraId="3D497B45" w14:textId="0366B78F" w:rsidR="00C81541" w:rsidRPr="00C81541" w:rsidRDefault="00D5717B" w:rsidP="00C81541">
            <w:pPr>
              <w:jc w:val="right"/>
              <w:rPr>
                <w:rFonts w:ascii="Calibri" w:hAnsi="Calibri"/>
                <w:color w:val="000000"/>
                <w:lang w:eastAsia="en-GB"/>
              </w:rPr>
            </w:pPr>
            <w:r>
              <w:rPr>
                <w:rFonts w:ascii="Calibri" w:hAnsi="Calibri"/>
                <w:color w:val="000000"/>
                <w:lang w:eastAsia="en-GB"/>
              </w:rPr>
              <w:t>-81</w:t>
            </w:r>
          </w:p>
        </w:tc>
      </w:tr>
      <w:tr w:rsidR="00C81541" w:rsidRPr="00C81541" w14:paraId="5E121E19" w14:textId="77777777" w:rsidTr="00DE0E04">
        <w:trPr>
          <w:trHeight w:val="1020"/>
        </w:trPr>
        <w:tc>
          <w:tcPr>
            <w:tcW w:w="1680" w:type="dxa"/>
            <w:tcBorders>
              <w:top w:val="nil"/>
              <w:left w:val="single" w:sz="4" w:space="0" w:color="FFFFFF"/>
              <w:bottom w:val="single" w:sz="4" w:space="0" w:color="FFFFFF"/>
              <w:right w:val="single" w:sz="4" w:space="0" w:color="FFFFFF"/>
            </w:tcBorders>
            <w:shd w:val="clear" w:color="000000" w:fill="E4DFEC"/>
            <w:noWrap/>
            <w:vAlign w:val="center"/>
            <w:hideMark/>
          </w:tcPr>
          <w:p w14:paraId="082E0E18" w14:textId="69C6C37D" w:rsidR="00C81541" w:rsidRPr="00C81541" w:rsidRDefault="007B3980" w:rsidP="00C81541">
            <w:pPr>
              <w:jc w:val="right"/>
              <w:rPr>
                <w:rFonts w:ascii="Calibri" w:hAnsi="Calibri"/>
                <w:color w:val="000000"/>
                <w:lang w:eastAsia="en-GB"/>
              </w:rPr>
            </w:pPr>
            <w:r>
              <w:rPr>
                <w:rFonts w:ascii="Calibri" w:hAnsi="Calibri"/>
                <w:color w:val="000000"/>
                <w:lang w:eastAsia="en-GB"/>
              </w:rPr>
              <w:t>71</w:t>
            </w:r>
          </w:p>
        </w:tc>
        <w:tc>
          <w:tcPr>
            <w:tcW w:w="5840" w:type="dxa"/>
            <w:tcBorders>
              <w:top w:val="nil"/>
              <w:left w:val="nil"/>
              <w:bottom w:val="single" w:sz="4" w:space="0" w:color="FFFFFF"/>
              <w:right w:val="single" w:sz="4" w:space="0" w:color="FFFFFF"/>
            </w:tcBorders>
            <w:shd w:val="clear" w:color="000000" w:fill="E4DFEC"/>
            <w:vAlign w:val="center"/>
            <w:hideMark/>
          </w:tcPr>
          <w:p w14:paraId="69DF60D8" w14:textId="5122B89C" w:rsidR="00C81541" w:rsidRPr="00C81541" w:rsidRDefault="00C81541" w:rsidP="00C81541">
            <w:pPr>
              <w:rPr>
                <w:rFonts w:ascii="Calibri" w:hAnsi="Calibri"/>
                <w:color w:val="000000"/>
                <w:lang w:eastAsia="en-GB"/>
              </w:rPr>
            </w:pPr>
            <w:r w:rsidRPr="00C81541">
              <w:rPr>
                <w:rFonts w:ascii="Calibri" w:hAnsi="Calibri"/>
                <w:color w:val="000000"/>
                <w:lang w:eastAsia="en-GB"/>
              </w:rPr>
              <w:t xml:space="preserve">Amount by which officer remuneration charged to the comprehensive income </w:t>
            </w:r>
            <w:r w:rsidR="00704A70">
              <w:rPr>
                <w:rFonts w:ascii="Calibri" w:hAnsi="Calibri"/>
                <w:color w:val="000000"/>
                <w:lang w:eastAsia="en-GB"/>
              </w:rPr>
              <w:t>and</w:t>
            </w:r>
            <w:r w:rsidRPr="00C81541">
              <w:rPr>
                <w:rFonts w:ascii="Calibri" w:hAnsi="Calibri"/>
                <w:color w:val="000000"/>
                <w:lang w:eastAsia="en-GB"/>
              </w:rPr>
              <w:t xml:space="preserve"> expenditure statement on an accruals basis differs from remuneration chargeable in the year in accordance with statutory requirements</w:t>
            </w:r>
          </w:p>
        </w:tc>
        <w:tc>
          <w:tcPr>
            <w:tcW w:w="1720" w:type="dxa"/>
            <w:tcBorders>
              <w:top w:val="nil"/>
              <w:left w:val="nil"/>
              <w:bottom w:val="single" w:sz="4" w:space="0" w:color="FFFFFF"/>
              <w:right w:val="single" w:sz="4" w:space="0" w:color="FFFFFF"/>
            </w:tcBorders>
            <w:shd w:val="clear" w:color="000000" w:fill="E4DFEC"/>
            <w:noWrap/>
            <w:vAlign w:val="center"/>
          </w:tcPr>
          <w:p w14:paraId="39932C2A" w14:textId="123AE6FD" w:rsidR="00C81541" w:rsidRPr="00C81541" w:rsidRDefault="00D5717B" w:rsidP="00C81541">
            <w:pPr>
              <w:jc w:val="right"/>
              <w:rPr>
                <w:rFonts w:ascii="Calibri" w:hAnsi="Calibri"/>
                <w:color w:val="000000"/>
                <w:lang w:eastAsia="en-GB"/>
              </w:rPr>
            </w:pPr>
            <w:r>
              <w:rPr>
                <w:rFonts w:ascii="Calibri" w:hAnsi="Calibri"/>
                <w:color w:val="000000"/>
                <w:lang w:eastAsia="en-GB"/>
              </w:rPr>
              <w:t>80</w:t>
            </w:r>
          </w:p>
        </w:tc>
      </w:tr>
      <w:tr w:rsidR="00C81541" w:rsidRPr="00C81541" w14:paraId="36F39C38" w14:textId="77777777" w:rsidTr="00DE0E04">
        <w:trPr>
          <w:trHeight w:val="300"/>
        </w:trPr>
        <w:tc>
          <w:tcPr>
            <w:tcW w:w="1680" w:type="dxa"/>
            <w:tcBorders>
              <w:top w:val="nil"/>
              <w:left w:val="single" w:sz="4" w:space="0" w:color="FFFFFF"/>
              <w:bottom w:val="single" w:sz="4" w:space="0" w:color="FFFFFF"/>
              <w:right w:val="single" w:sz="4" w:space="0" w:color="FFFFFF"/>
            </w:tcBorders>
            <w:shd w:val="clear" w:color="000000" w:fill="CCC0DA"/>
            <w:noWrap/>
            <w:vAlign w:val="center"/>
            <w:hideMark/>
          </w:tcPr>
          <w:p w14:paraId="781992EC" w14:textId="64E1D94B" w:rsidR="00C81541" w:rsidRPr="00C81541" w:rsidRDefault="00C81541" w:rsidP="00AA5389">
            <w:pPr>
              <w:jc w:val="right"/>
              <w:rPr>
                <w:rFonts w:ascii="Calibri" w:hAnsi="Calibri"/>
                <w:b/>
                <w:bCs/>
                <w:color w:val="000000"/>
                <w:lang w:eastAsia="en-GB"/>
              </w:rPr>
            </w:pPr>
            <w:r w:rsidRPr="00C81541">
              <w:rPr>
                <w:rFonts w:ascii="Calibri" w:hAnsi="Calibri"/>
                <w:b/>
                <w:bCs/>
                <w:color w:val="000000"/>
                <w:lang w:eastAsia="en-GB"/>
              </w:rPr>
              <w:t>-</w:t>
            </w:r>
            <w:r w:rsidR="007B3980">
              <w:rPr>
                <w:rFonts w:ascii="Calibri" w:hAnsi="Calibri"/>
                <w:b/>
                <w:bCs/>
                <w:color w:val="000000"/>
                <w:lang w:eastAsia="en-GB"/>
              </w:rPr>
              <w:t>161</w:t>
            </w:r>
          </w:p>
        </w:tc>
        <w:tc>
          <w:tcPr>
            <w:tcW w:w="5840" w:type="dxa"/>
            <w:tcBorders>
              <w:top w:val="nil"/>
              <w:left w:val="nil"/>
              <w:bottom w:val="single" w:sz="4" w:space="0" w:color="FFFFFF"/>
              <w:right w:val="single" w:sz="4" w:space="0" w:color="FFFFFF"/>
            </w:tcBorders>
            <w:shd w:val="clear" w:color="000000" w:fill="CCC0DA"/>
            <w:vAlign w:val="center"/>
            <w:hideMark/>
          </w:tcPr>
          <w:p w14:paraId="082672E1" w14:textId="77777777" w:rsidR="00C81541" w:rsidRPr="00C81541" w:rsidRDefault="00C81541" w:rsidP="00C81541">
            <w:pPr>
              <w:rPr>
                <w:rFonts w:ascii="Calibri" w:hAnsi="Calibri"/>
                <w:b/>
                <w:bCs/>
                <w:color w:val="000000"/>
                <w:lang w:eastAsia="en-GB"/>
              </w:rPr>
            </w:pPr>
            <w:r w:rsidRPr="00C81541">
              <w:rPr>
                <w:rFonts w:ascii="Calibri" w:hAnsi="Calibri"/>
                <w:b/>
                <w:bCs/>
                <w:color w:val="000000"/>
                <w:lang w:eastAsia="en-GB"/>
              </w:rPr>
              <w:t xml:space="preserve">Balance </w:t>
            </w:r>
            <w:proofErr w:type="gramStart"/>
            <w:r w:rsidRPr="00C81541">
              <w:rPr>
                <w:rFonts w:ascii="Calibri" w:hAnsi="Calibri"/>
                <w:b/>
                <w:bCs/>
                <w:color w:val="000000"/>
                <w:lang w:eastAsia="en-GB"/>
              </w:rPr>
              <w:t>at</w:t>
            </w:r>
            <w:proofErr w:type="gramEnd"/>
            <w:r w:rsidRPr="00C81541">
              <w:rPr>
                <w:rFonts w:ascii="Calibri" w:hAnsi="Calibri"/>
                <w:b/>
                <w:bCs/>
                <w:color w:val="000000"/>
                <w:lang w:eastAsia="en-GB"/>
              </w:rPr>
              <w:t xml:space="preserve"> 31 March</w:t>
            </w:r>
          </w:p>
        </w:tc>
        <w:tc>
          <w:tcPr>
            <w:tcW w:w="1720" w:type="dxa"/>
            <w:tcBorders>
              <w:top w:val="nil"/>
              <w:left w:val="nil"/>
              <w:bottom w:val="single" w:sz="4" w:space="0" w:color="FFFFFF"/>
              <w:right w:val="single" w:sz="4" w:space="0" w:color="FFFFFF"/>
            </w:tcBorders>
            <w:shd w:val="clear" w:color="000000" w:fill="CCC0DA"/>
            <w:noWrap/>
            <w:vAlign w:val="center"/>
          </w:tcPr>
          <w:p w14:paraId="4611E10D" w14:textId="0AEFCAD2" w:rsidR="00C81541" w:rsidRPr="00C81541" w:rsidRDefault="00D5717B" w:rsidP="00C81541">
            <w:pPr>
              <w:jc w:val="right"/>
              <w:rPr>
                <w:rFonts w:ascii="Calibri" w:hAnsi="Calibri"/>
                <w:b/>
                <w:bCs/>
                <w:color w:val="000000"/>
                <w:lang w:eastAsia="en-GB"/>
              </w:rPr>
            </w:pPr>
            <w:r>
              <w:rPr>
                <w:rFonts w:ascii="Calibri" w:hAnsi="Calibri"/>
                <w:b/>
                <w:bCs/>
                <w:color w:val="000000"/>
                <w:lang w:eastAsia="en-GB"/>
              </w:rPr>
              <w:t>-81</w:t>
            </w:r>
          </w:p>
        </w:tc>
      </w:tr>
    </w:tbl>
    <w:p w14:paraId="3ABCEAC8" w14:textId="77777777" w:rsidR="00A43D07" w:rsidRDefault="00A43D07"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7C87DDB5"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03516DE8"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65F20837"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113202E6" w14:textId="00EBAFB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6CC0BEF1" w14:textId="3891C058" w:rsidR="00D3279C" w:rsidRDefault="00D3279C"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4A8CD1D3" w14:textId="77777777" w:rsidR="00D3279C" w:rsidRDefault="00D3279C"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46A5DEA9"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645BE092"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33C31F73"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5F9A5385"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3E82FFDD"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429EA65D"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5B6118E6"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37050499"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568E41A4"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2A79052C" w14:textId="77777777" w:rsidR="003A7348" w:rsidRDefault="003A7348"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7FC84598" w14:textId="77777777" w:rsidR="002A77D0" w:rsidRDefault="002A77D0"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4122C58A" w14:textId="1A301932" w:rsidR="002A77D0" w:rsidRDefault="002A77D0"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644948FC" w14:textId="054283BC" w:rsidR="005B22CB" w:rsidRDefault="005B22CB" w:rsidP="00707761">
      <w:pPr>
        <w:widowControl w:val="0"/>
        <w:tabs>
          <w:tab w:val="left" w:pos="720"/>
          <w:tab w:val="left" w:pos="1800"/>
          <w:tab w:val="left" w:pos="2520"/>
          <w:tab w:val="left" w:pos="2592"/>
          <w:tab w:val="left" w:pos="6768"/>
          <w:tab w:val="left" w:pos="8640"/>
        </w:tabs>
        <w:ind w:right="-57"/>
        <w:rPr>
          <w:rFonts w:asciiTheme="minorHAnsi" w:hAnsiTheme="minorHAnsi" w:cs="Arial"/>
          <w:b/>
          <w:sz w:val="28"/>
          <w:szCs w:val="28"/>
        </w:rPr>
      </w:pPr>
    </w:p>
    <w:p w14:paraId="4AC0FF52" w14:textId="50AAC814" w:rsidR="00707761" w:rsidRPr="00EB1FC3" w:rsidRDefault="00E77AFE" w:rsidP="00704A70">
      <w:pPr>
        <w:pStyle w:val="Heading2"/>
      </w:pPr>
      <w:r>
        <w:lastRenderedPageBreak/>
        <w:t>1</w:t>
      </w:r>
      <w:r w:rsidR="00D3279C">
        <w:t>8</w:t>
      </w:r>
      <w:r w:rsidR="00C81541">
        <w:tab/>
      </w:r>
      <w:r w:rsidR="00707761" w:rsidRPr="00EB1FC3">
        <w:t>Property, Plant and Equipment</w:t>
      </w:r>
    </w:p>
    <w:p w14:paraId="690FCBA5" w14:textId="77777777" w:rsidR="00707761" w:rsidRDefault="00707761" w:rsidP="00707761">
      <w:pPr>
        <w:widowControl w:val="0"/>
        <w:tabs>
          <w:tab w:val="left" w:pos="720"/>
          <w:tab w:val="left" w:pos="1800"/>
          <w:tab w:val="left" w:pos="2520"/>
          <w:tab w:val="left" w:pos="2592"/>
          <w:tab w:val="left" w:pos="6768"/>
          <w:tab w:val="left" w:pos="8640"/>
        </w:tabs>
        <w:ind w:right="-57"/>
        <w:rPr>
          <w:rFonts w:ascii="Arial" w:hAnsi="Arial" w:cs="Arial"/>
        </w:rPr>
      </w:pPr>
    </w:p>
    <w:p w14:paraId="1E04777F" w14:textId="586AB087" w:rsidR="00707761" w:rsidRDefault="00707761" w:rsidP="00707761">
      <w:pPr>
        <w:widowControl w:val="0"/>
        <w:tabs>
          <w:tab w:val="left" w:pos="720"/>
          <w:tab w:val="left" w:pos="1800"/>
          <w:tab w:val="left" w:pos="2520"/>
          <w:tab w:val="left" w:pos="2592"/>
          <w:tab w:val="left" w:pos="6768"/>
          <w:tab w:val="left" w:pos="8640"/>
        </w:tabs>
        <w:ind w:right="-57"/>
        <w:rPr>
          <w:rFonts w:asciiTheme="minorHAnsi" w:hAnsiTheme="minorHAnsi" w:cs="Arial"/>
          <w:sz w:val="22"/>
          <w:szCs w:val="22"/>
        </w:rPr>
      </w:pPr>
      <w:r w:rsidRPr="00EB1FC3">
        <w:rPr>
          <w:rFonts w:asciiTheme="minorHAnsi" w:hAnsiTheme="minorHAnsi" w:cs="Arial"/>
          <w:sz w:val="22"/>
          <w:szCs w:val="22"/>
        </w:rPr>
        <w:t>Movement on Balances</w:t>
      </w:r>
    </w:p>
    <w:tbl>
      <w:tblPr>
        <w:tblW w:w="9790" w:type="dxa"/>
        <w:tblInd w:w="93" w:type="dxa"/>
        <w:tblLook w:val="04A0" w:firstRow="1" w:lastRow="0" w:firstColumn="1" w:lastColumn="0" w:noHBand="0" w:noVBand="1"/>
        <w:tblCaption w:val="Property, Plant and Equipment comparables"/>
        <w:tblDescription w:val="Movement on Property, PLant and Equipment in 2022-2023"/>
      </w:tblPr>
      <w:tblGrid>
        <w:gridCol w:w="2855"/>
        <w:gridCol w:w="954"/>
        <w:gridCol w:w="954"/>
        <w:gridCol w:w="975"/>
        <w:gridCol w:w="724"/>
        <w:gridCol w:w="724"/>
        <w:gridCol w:w="696"/>
        <w:gridCol w:w="954"/>
        <w:gridCol w:w="954"/>
      </w:tblGrid>
      <w:tr w:rsidR="007B3980" w:rsidRPr="00EB1FC3" w14:paraId="68EB7E53" w14:textId="77777777" w:rsidTr="00C17C9E">
        <w:trPr>
          <w:trHeight w:val="2010"/>
          <w:tblHeader/>
        </w:trPr>
        <w:tc>
          <w:tcPr>
            <w:tcW w:w="2855" w:type="dxa"/>
            <w:tcBorders>
              <w:top w:val="nil"/>
              <w:left w:val="nil"/>
              <w:bottom w:val="nil"/>
              <w:right w:val="nil"/>
            </w:tcBorders>
            <w:shd w:val="clear" w:color="auto" w:fill="FABF8F" w:themeFill="accent6" w:themeFillTint="99"/>
            <w:noWrap/>
            <w:vAlign w:val="bottom"/>
            <w:hideMark/>
          </w:tcPr>
          <w:p w14:paraId="3F16ECFE" w14:textId="77777777" w:rsidR="007B3980" w:rsidRDefault="007B3980" w:rsidP="00EF3B80">
            <w:pPr>
              <w:rPr>
                <w:rFonts w:ascii="Arial" w:hAnsi="Arial" w:cs="Arial"/>
                <w:b/>
              </w:rPr>
            </w:pPr>
          </w:p>
          <w:p w14:paraId="6D8E9FE4" w14:textId="77777777" w:rsidR="007B3980" w:rsidRDefault="007B3980" w:rsidP="00EF3B80">
            <w:pPr>
              <w:rPr>
                <w:rFonts w:ascii="Arial" w:hAnsi="Arial" w:cs="Arial"/>
                <w:b/>
              </w:rPr>
            </w:pPr>
          </w:p>
          <w:p w14:paraId="1398E2F2" w14:textId="08A5EBF4" w:rsidR="007B3980" w:rsidRPr="00EB1FC3" w:rsidRDefault="007B3980" w:rsidP="00EF3B80">
            <w:pPr>
              <w:rPr>
                <w:rFonts w:ascii="Calibri" w:hAnsi="Calibri"/>
                <w:color w:val="000000"/>
                <w:lang w:eastAsia="en-GB"/>
              </w:rPr>
            </w:pPr>
            <w:r>
              <w:rPr>
                <w:rFonts w:ascii="Arial" w:hAnsi="Arial" w:cs="Arial"/>
                <w:b/>
              </w:rPr>
              <w:tab/>
            </w:r>
            <w:r>
              <w:rPr>
                <w:rFonts w:ascii="Calibri" w:hAnsi="Calibri"/>
                <w:color w:val="000000"/>
                <w:lang w:eastAsia="en-GB"/>
              </w:rPr>
              <w:t>202</w:t>
            </w:r>
            <w:r w:rsidR="00F64E05">
              <w:rPr>
                <w:rFonts w:ascii="Calibri" w:hAnsi="Calibri"/>
                <w:color w:val="000000"/>
                <w:lang w:eastAsia="en-GB"/>
              </w:rPr>
              <w:t>2</w:t>
            </w:r>
            <w:r w:rsidRPr="00EB1FC3">
              <w:rPr>
                <w:rFonts w:ascii="Calibri" w:hAnsi="Calibri"/>
                <w:color w:val="000000"/>
                <w:lang w:eastAsia="en-GB"/>
              </w:rPr>
              <w:t>-</w:t>
            </w:r>
            <w:r>
              <w:rPr>
                <w:rFonts w:ascii="Calibri" w:hAnsi="Calibri"/>
                <w:color w:val="000000"/>
                <w:lang w:eastAsia="en-GB"/>
              </w:rPr>
              <w:t>2</w:t>
            </w:r>
            <w:r w:rsidR="00F64E05">
              <w:rPr>
                <w:rFonts w:ascii="Calibri" w:hAnsi="Calibri"/>
                <w:color w:val="000000"/>
                <w:lang w:eastAsia="en-GB"/>
              </w:rPr>
              <w:t>3</w:t>
            </w:r>
          </w:p>
        </w:tc>
        <w:tc>
          <w:tcPr>
            <w:tcW w:w="954"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extDirection w:val="btLr"/>
            <w:vAlign w:val="bottom"/>
            <w:hideMark/>
          </w:tcPr>
          <w:p w14:paraId="6B470DCA"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Council</w:t>
            </w:r>
            <w:r w:rsidRPr="00EB1FC3">
              <w:rPr>
                <w:rFonts w:ascii="Calibri" w:hAnsi="Calibri"/>
                <w:color w:val="000000"/>
                <w:lang w:eastAsia="en-GB"/>
              </w:rPr>
              <w:br/>
              <w:t>Dwellings</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1FE90136"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 xml:space="preserve">Other Land </w:t>
            </w:r>
            <w:r>
              <w:rPr>
                <w:rFonts w:ascii="Calibri" w:hAnsi="Calibri"/>
                <w:color w:val="000000"/>
                <w:lang w:eastAsia="en-GB"/>
              </w:rPr>
              <w:t>and</w:t>
            </w:r>
            <w:r w:rsidRPr="00EB1FC3">
              <w:rPr>
                <w:rFonts w:ascii="Calibri" w:hAnsi="Calibri"/>
                <w:color w:val="000000"/>
                <w:lang w:eastAsia="en-GB"/>
              </w:rPr>
              <w:br/>
              <w:t>Buildings</w:t>
            </w:r>
          </w:p>
        </w:tc>
        <w:tc>
          <w:tcPr>
            <w:tcW w:w="975"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48E02DCA"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Vehicles, Plant,</w:t>
            </w:r>
            <w:r w:rsidRPr="00EB1FC3">
              <w:rPr>
                <w:rFonts w:ascii="Calibri" w:hAnsi="Calibri"/>
                <w:color w:val="000000"/>
                <w:lang w:eastAsia="en-GB"/>
              </w:rPr>
              <w:br/>
              <w:t xml:space="preserve">Furniture </w:t>
            </w:r>
            <w:r>
              <w:rPr>
                <w:rFonts w:ascii="Calibri" w:hAnsi="Calibri"/>
                <w:color w:val="000000"/>
                <w:lang w:eastAsia="en-GB"/>
              </w:rPr>
              <w:t>and</w:t>
            </w:r>
            <w:r w:rsidRPr="00EB1FC3">
              <w:rPr>
                <w:rFonts w:ascii="Calibri" w:hAnsi="Calibri"/>
                <w:color w:val="000000"/>
                <w:lang w:eastAsia="en-GB"/>
              </w:rPr>
              <w:br/>
              <w:t>Equipment</w:t>
            </w:r>
          </w:p>
        </w:tc>
        <w:tc>
          <w:tcPr>
            <w:tcW w:w="72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5B49688F"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Infrastructure</w:t>
            </w:r>
            <w:r w:rsidRPr="00EB1FC3">
              <w:rPr>
                <w:rFonts w:ascii="Calibri" w:hAnsi="Calibri"/>
                <w:color w:val="000000"/>
                <w:lang w:eastAsia="en-GB"/>
              </w:rPr>
              <w:br/>
              <w:t>Assets</w:t>
            </w:r>
          </w:p>
        </w:tc>
        <w:tc>
          <w:tcPr>
            <w:tcW w:w="72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2A3D2F69"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Community</w:t>
            </w:r>
            <w:r w:rsidRPr="00EB1FC3">
              <w:rPr>
                <w:rFonts w:ascii="Calibri" w:hAnsi="Calibri"/>
                <w:color w:val="000000"/>
                <w:lang w:eastAsia="en-GB"/>
              </w:rPr>
              <w:br/>
              <w:t>Assets</w:t>
            </w:r>
          </w:p>
        </w:tc>
        <w:tc>
          <w:tcPr>
            <w:tcW w:w="696"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0850937C"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Surplus Assets</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1636A257"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Assets Under</w:t>
            </w:r>
            <w:r w:rsidRPr="00EB1FC3">
              <w:rPr>
                <w:rFonts w:ascii="Calibri" w:hAnsi="Calibri"/>
                <w:color w:val="000000"/>
                <w:lang w:eastAsia="en-GB"/>
              </w:rPr>
              <w:br/>
              <w:t>Construction</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48FE901D"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 xml:space="preserve">Total Property, Plant </w:t>
            </w:r>
            <w:r>
              <w:rPr>
                <w:rFonts w:ascii="Calibri" w:hAnsi="Calibri"/>
                <w:color w:val="000000"/>
                <w:lang w:eastAsia="en-GB"/>
              </w:rPr>
              <w:t>and</w:t>
            </w:r>
            <w:r w:rsidRPr="00EB1FC3">
              <w:rPr>
                <w:rFonts w:ascii="Calibri" w:hAnsi="Calibri"/>
                <w:color w:val="000000"/>
                <w:lang w:eastAsia="en-GB"/>
              </w:rPr>
              <w:br/>
              <w:t>Equipment</w:t>
            </w:r>
          </w:p>
        </w:tc>
      </w:tr>
      <w:tr w:rsidR="007B3980" w:rsidRPr="00EB1FC3" w14:paraId="2C519E57" w14:textId="77777777" w:rsidTr="00C17C9E">
        <w:trPr>
          <w:trHeight w:val="300"/>
        </w:trPr>
        <w:tc>
          <w:tcPr>
            <w:tcW w:w="2855" w:type="dxa"/>
            <w:tcBorders>
              <w:top w:val="nil"/>
              <w:left w:val="nil"/>
              <w:bottom w:val="nil"/>
              <w:right w:val="nil"/>
            </w:tcBorders>
            <w:shd w:val="clear" w:color="auto" w:fill="FABF8F" w:themeFill="accent6" w:themeFillTint="99"/>
            <w:noWrap/>
            <w:vAlign w:val="bottom"/>
            <w:hideMark/>
          </w:tcPr>
          <w:p w14:paraId="2D5A3588" w14:textId="77777777" w:rsidR="007B3980" w:rsidRPr="00EB1FC3" w:rsidRDefault="007B3980" w:rsidP="00EF3B80">
            <w:pPr>
              <w:rPr>
                <w:rFonts w:ascii="Calibri" w:hAnsi="Calibri"/>
                <w:color w:val="000000"/>
                <w:lang w:eastAsia="en-GB"/>
              </w:rPr>
            </w:pPr>
          </w:p>
        </w:tc>
        <w:tc>
          <w:tcPr>
            <w:tcW w:w="954" w:type="dxa"/>
            <w:tcBorders>
              <w:top w:val="nil"/>
              <w:left w:val="single" w:sz="4" w:space="0" w:color="FFFFFF"/>
              <w:bottom w:val="nil"/>
              <w:right w:val="single" w:sz="4" w:space="0" w:color="FFFFFF"/>
            </w:tcBorders>
            <w:shd w:val="clear" w:color="auto" w:fill="FABF8F" w:themeFill="accent6" w:themeFillTint="99"/>
            <w:noWrap/>
            <w:vAlign w:val="bottom"/>
            <w:hideMark/>
          </w:tcPr>
          <w:p w14:paraId="78C47426"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23A8DC87"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975" w:type="dxa"/>
            <w:tcBorders>
              <w:top w:val="nil"/>
              <w:left w:val="nil"/>
              <w:bottom w:val="nil"/>
              <w:right w:val="single" w:sz="4" w:space="0" w:color="FFFFFF"/>
            </w:tcBorders>
            <w:shd w:val="clear" w:color="auto" w:fill="FABF8F" w:themeFill="accent6" w:themeFillTint="99"/>
            <w:noWrap/>
            <w:vAlign w:val="bottom"/>
            <w:hideMark/>
          </w:tcPr>
          <w:p w14:paraId="2020F14D"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724" w:type="dxa"/>
            <w:tcBorders>
              <w:top w:val="nil"/>
              <w:left w:val="nil"/>
              <w:bottom w:val="nil"/>
              <w:right w:val="single" w:sz="4" w:space="0" w:color="FFFFFF"/>
            </w:tcBorders>
            <w:shd w:val="clear" w:color="auto" w:fill="FABF8F" w:themeFill="accent6" w:themeFillTint="99"/>
            <w:noWrap/>
            <w:vAlign w:val="bottom"/>
            <w:hideMark/>
          </w:tcPr>
          <w:p w14:paraId="2AD5CAAD"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724" w:type="dxa"/>
            <w:tcBorders>
              <w:top w:val="nil"/>
              <w:left w:val="nil"/>
              <w:bottom w:val="nil"/>
              <w:right w:val="single" w:sz="4" w:space="0" w:color="FFFFFF"/>
            </w:tcBorders>
            <w:shd w:val="clear" w:color="auto" w:fill="FABF8F" w:themeFill="accent6" w:themeFillTint="99"/>
            <w:noWrap/>
            <w:vAlign w:val="bottom"/>
            <w:hideMark/>
          </w:tcPr>
          <w:p w14:paraId="66CD0F0F"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696" w:type="dxa"/>
            <w:tcBorders>
              <w:top w:val="nil"/>
              <w:left w:val="nil"/>
              <w:bottom w:val="nil"/>
              <w:right w:val="single" w:sz="4" w:space="0" w:color="FFFFFF"/>
            </w:tcBorders>
            <w:shd w:val="clear" w:color="auto" w:fill="FABF8F" w:themeFill="accent6" w:themeFillTint="99"/>
            <w:noWrap/>
            <w:vAlign w:val="bottom"/>
            <w:hideMark/>
          </w:tcPr>
          <w:p w14:paraId="63C7A5D6"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7D31F873"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011561B2" w14:textId="77777777" w:rsidR="007B3980" w:rsidRPr="00EB1FC3" w:rsidRDefault="007B3980" w:rsidP="00EF3B80">
            <w:pPr>
              <w:jc w:val="right"/>
              <w:rPr>
                <w:rFonts w:ascii="Calibri" w:hAnsi="Calibri"/>
                <w:color w:val="000000"/>
                <w:lang w:eastAsia="en-GB"/>
              </w:rPr>
            </w:pPr>
            <w:r w:rsidRPr="00EB1FC3">
              <w:rPr>
                <w:rFonts w:ascii="Calibri" w:hAnsi="Calibri"/>
                <w:color w:val="000000"/>
                <w:lang w:eastAsia="en-GB"/>
              </w:rPr>
              <w:t>£'000</w:t>
            </w:r>
          </w:p>
        </w:tc>
      </w:tr>
      <w:tr w:rsidR="007B3980" w:rsidRPr="00EB1FC3" w14:paraId="00171B22" w14:textId="77777777" w:rsidTr="00C17C9E">
        <w:trPr>
          <w:trHeight w:val="300"/>
        </w:trPr>
        <w:tc>
          <w:tcPr>
            <w:tcW w:w="2855"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noWrap/>
            <w:vAlign w:val="bottom"/>
            <w:hideMark/>
          </w:tcPr>
          <w:p w14:paraId="52343DAE"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Cost or Valuation</w:t>
            </w:r>
          </w:p>
        </w:tc>
        <w:tc>
          <w:tcPr>
            <w:tcW w:w="954"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392F2BE4"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61B3ACBB"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975"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44F67925"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724"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3E9259E8"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724"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0F8FEE7A"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696"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1FBC85F4"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DE9D9" w:themeFill="accent6" w:themeFillTint="33"/>
            <w:noWrap/>
            <w:vAlign w:val="bottom"/>
            <w:hideMark/>
          </w:tcPr>
          <w:p w14:paraId="1E6BADFF"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BD4B4" w:themeFill="accent6" w:themeFillTint="66"/>
            <w:noWrap/>
            <w:vAlign w:val="bottom"/>
            <w:hideMark/>
          </w:tcPr>
          <w:p w14:paraId="23FEC6A3"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w:t>
            </w:r>
          </w:p>
        </w:tc>
      </w:tr>
      <w:tr w:rsidR="007B3980" w:rsidRPr="00EB1FC3" w14:paraId="2591B6A7"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noWrap/>
            <w:vAlign w:val="bottom"/>
            <w:hideMark/>
          </w:tcPr>
          <w:p w14:paraId="11789882" w14:textId="6CDBA4A6"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1 April 20</w:t>
            </w:r>
            <w:r>
              <w:rPr>
                <w:rFonts w:ascii="Calibri" w:hAnsi="Calibri"/>
                <w:b/>
                <w:bCs/>
                <w:color w:val="000000"/>
                <w:lang w:eastAsia="en-GB"/>
              </w:rPr>
              <w:t>2</w:t>
            </w:r>
            <w:r w:rsidR="00F64E05">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5A7F6CB2" w14:textId="342372B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r w:rsidR="00F64E05">
              <w:rPr>
                <w:rFonts w:ascii="Calibri" w:hAnsi="Calibri"/>
                <w:b/>
                <w:bCs/>
                <w:color w:val="000000"/>
                <w:lang w:eastAsia="en-GB"/>
              </w:rPr>
              <w:t>105</w:t>
            </w:r>
            <w:r>
              <w:rPr>
                <w:rFonts w:ascii="Calibri" w:hAnsi="Calibri"/>
                <w:b/>
                <w:bCs/>
                <w:color w:val="000000"/>
                <w:lang w:eastAsia="en-GB"/>
              </w:rPr>
              <w:t>,</w:t>
            </w:r>
            <w:r w:rsidR="00F64E05">
              <w:rPr>
                <w:rFonts w:ascii="Calibri" w:hAnsi="Calibri"/>
                <w:b/>
                <w:bCs/>
                <w:color w:val="000000"/>
                <w:lang w:eastAsia="en-GB"/>
              </w:rPr>
              <w:t>722</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6579DC5F" w14:textId="4CE40F0E"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3</w:t>
            </w:r>
            <w:r w:rsidR="00F64E05">
              <w:rPr>
                <w:rFonts w:ascii="Calibri" w:hAnsi="Calibri"/>
                <w:b/>
                <w:bCs/>
                <w:color w:val="000000"/>
                <w:lang w:eastAsia="en-GB"/>
              </w:rPr>
              <w:t>7</w:t>
            </w:r>
            <w:r>
              <w:rPr>
                <w:rFonts w:ascii="Calibri" w:hAnsi="Calibri"/>
                <w:b/>
                <w:bCs/>
                <w:color w:val="000000"/>
                <w:lang w:eastAsia="en-GB"/>
              </w:rPr>
              <w:t>,</w:t>
            </w:r>
            <w:r w:rsidR="00F64E05">
              <w:rPr>
                <w:rFonts w:ascii="Calibri" w:hAnsi="Calibri"/>
                <w:b/>
                <w:bCs/>
                <w:color w:val="000000"/>
                <w:lang w:eastAsia="en-GB"/>
              </w:rPr>
              <w:t>169</w:t>
            </w:r>
            <w:r w:rsidRPr="00EB1FC3">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hideMark/>
          </w:tcPr>
          <w:p w14:paraId="0F080BDF" w14:textId="062528F6"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1,</w:t>
            </w:r>
            <w:r w:rsidR="00F64E05">
              <w:rPr>
                <w:rFonts w:ascii="Calibri" w:hAnsi="Calibri"/>
                <w:b/>
                <w:bCs/>
                <w:color w:val="000000"/>
                <w:lang w:eastAsia="en-GB"/>
              </w:rPr>
              <w:t>276</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42BC17F1"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41</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44EF5FA7" w14:textId="0045E6CF"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3</w:t>
            </w:r>
            <w:r w:rsidR="00F64E05">
              <w:rPr>
                <w:rFonts w:ascii="Calibri" w:hAnsi="Calibri"/>
                <w:b/>
                <w:bCs/>
                <w:color w:val="000000"/>
                <w:lang w:eastAsia="en-GB"/>
              </w:rPr>
              <w:t>52</w:t>
            </w:r>
            <w:r w:rsidRPr="00EB1FC3">
              <w:rPr>
                <w:rFonts w:ascii="Calibri" w:hAnsi="Calibri"/>
                <w:b/>
                <w:bCs/>
                <w:color w:val="000000"/>
                <w:lang w:eastAsia="en-GB"/>
              </w:rPr>
              <w:t> </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hideMark/>
          </w:tcPr>
          <w:p w14:paraId="2E35611C" w14:textId="0A8E42F0" w:rsidR="007B3980" w:rsidRPr="00EB1FC3" w:rsidRDefault="00F64E05" w:rsidP="003F0DE5">
            <w:pPr>
              <w:jc w:val="right"/>
              <w:rPr>
                <w:rFonts w:ascii="Calibri" w:hAnsi="Calibri"/>
                <w:b/>
                <w:bCs/>
                <w:color w:val="000000"/>
                <w:lang w:eastAsia="en-GB"/>
              </w:rPr>
            </w:pPr>
            <w:r>
              <w:rPr>
                <w:rFonts w:ascii="Calibri" w:hAnsi="Calibri"/>
                <w:b/>
                <w:bCs/>
                <w:color w:val="000000"/>
                <w:lang w:eastAsia="en-GB"/>
              </w:rPr>
              <w:t>2</w:t>
            </w:r>
            <w:r w:rsidR="007B3980"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50DB4809"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07676B72" w14:textId="08EA3115"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1</w:t>
            </w:r>
            <w:r w:rsidR="00F64E05">
              <w:rPr>
                <w:rFonts w:ascii="Calibri" w:hAnsi="Calibri"/>
                <w:b/>
                <w:bCs/>
                <w:color w:val="000000"/>
                <w:lang w:eastAsia="en-GB"/>
              </w:rPr>
              <w:t>44</w:t>
            </w:r>
            <w:r>
              <w:rPr>
                <w:rFonts w:ascii="Calibri" w:hAnsi="Calibri"/>
                <w:b/>
                <w:bCs/>
                <w:color w:val="000000"/>
                <w:lang w:eastAsia="en-GB"/>
              </w:rPr>
              <w:t>,</w:t>
            </w:r>
            <w:r w:rsidR="00F64E05">
              <w:rPr>
                <w:rFonts w:ascii="Calibri" w:hAnsi="Calibri"/>
                <w:b/>
                <w:bCs/>
                <w:color w:val="000000"/>
                <w:lang w:eastAsia="en-GB"/>
              </w:rPr>
              <w:t>562</w:t>
            </w:r>
            <w:r w:rsidRPr="00EB1FC3">
              <w:rPr>
                <w:rFonts w:ascii="Calibri" w:hAnsi="Calibri"/>
                <w:b/>
                <w:bCs/>
                <w:color w:val="000000"/>
                <w:lang w:eastAsia="en-GB"/>
              </w:rPr>
              <w:t> </w:t>
            </w:r>
          </w:p>
        </w:tc>
      </w:tr>
      <w:tr w:rsidR="007B3980" w:rsidRPr="00EB1FC3" w14:paraId="211D14A0"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218EE05"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Additions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1702F59" w14:textId="04C73FA7" w:rsidR="007B3980" w:rsidRPr="00EB1FC3" w:rsidRDefault="00A822BA" w:rsidP="003F0DE5">
            <w:pPr>
              <w:jc w:val="right"/>
              <w:rPr>
                <w:rFonts w:ascii="Calibri" w:hAnsi="Calibri"/>
                <w:color w:val="000000"/>
                <w:lang w:eastAsia="en-GB"/>
              </w:rPr>
            </w:pPr>
            <w:r>
              <w:rPr>
                <w:rFonts w:ascii="Calibri" w:hAnsi="Calibri"/>
                <w:color w:val="000000"/>
                <w:lang w:eastAsia="en-GB"/>
              </w:rPr>
              <w:t>3,24</w:t>
            </w:r>
            <w:r w:rsidR="00615E12">
              <w:rPr>
                <w:rFonts w:ascii="Calibri" w:hAnsi="Calibri"/>
                <w:color w:val="000000"/>
                <w:lang w:eastAsia="en-GB"/>
              </w:rPr>
              <w:t>8</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7D55AFF" w14:textId="58D308EE" w:rsidR="007B3980" w:rsidRPr="00EB1FC3" w:rsidRDefault="00A822BA" w:rsidP="003F0DE5">
            <w:pPr>
              <w:jc w:val="right"/>
              <w:rPr>
                <w:rFonts w:ascii="Calibri" w:hAnsi="Calibri"/>
                <w:color w:val="000000"/>
                <w:lang w:eastAsia="en-GB"/>
              </w:rPr>
            </w:pPr>
            <w:r>
              <w:rPr>
                <w:rFonts w:ascii="Calibri" w:hAnsi="Calibri"/>
                <w:color w:val="000000"/>
                <w:lang w:eastAsia="en-GB"/>
              </w:rPr>
              <w:t>347</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F10D79B" w14:textId="3259B29A" w:rsidR="007B3980" w:rsidRPr="00EB1FC3" w:rsidRDefault="00A822BA" w:rsidP="003F0DE5">
            <w:pPr>
              <w:jc w:val="right"/>
              <w:rPr>
                <w:rFonts w:ascii="Calibri" w:hAnsi="Calibri"/>
                <w:color w:val="000000"/>
                <w:lang w:eastAsia="en-GB"/>
              </w:rPr>
            </w:pPr>
            <w:r>
              <w:rPr>
                <w:rFonts w:ascii="Calibri" w:hAnsi="Calibri"/>
                <w:color w:val="000000"/>
                <w:lang w:eastAsia="en-GB"/>
              </w:rPr>
              <w:t>85</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42C2F99" w14:textId="36259011"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E2AD5B3" w14:textId="680A83F3" w:rsidR="007B3980" w:rsidRPr="00EB1FC3" w:rsidRDefault="00A822BA" w:rsidP="003F0DE5">
            <w:pPr>
              <w:jc w:val="right"/>
              <w:rPr>
                <w:rFonts w:ascii="Calibri" w:hAnsi="Calibri"/>
                <w:color w:val="000000"/>
                <w:lang w:eastAsia="en-GB"/>
              </w:rPr>
            </w:pPr>
            <w:r>
              <w:rPr>
                <w:rFonts w:ascii="Calibri" w:hAnsi="Calibri"/>
                <w:color w:val="000000"/>
                <w:lang w:eastAsia="en-GB"/>
              </w:rPr>
              <w:t>40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0C551B0F" w14:textId="7674F5A3"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7FBB88F" w14:textId="000071CB"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EE422EF" w14:textId="69769597" w:rsidR="007B3980" w:rsidRPr="00A822BA" w:rsidRDefault="00A822BA" w:rsidP="003F0DE5">
            <w:pPr>
              <w:jc w:val="right"/>
              <w:rPr>
                <w:rFonts w:ascii="Calibri" w:hAnsi="Calibri"/>
                <w:b/>
                <w:bCs/>
                <w:color w:val="000000"/>
                <w:lang w:eastAsia="en-GB"/>
              </w:rPr>
            </w:pPr>
            <w:r w:rsidRPr="00A822BA">
              <w:rPr>
                <w:rFonts w:ascii="Calibri" w:hAnsi="Calibri"/>
                <w:b/>
                <w:bCs/>
                <w:color w:val="000000"/>
                <w:lang w:eastAsia="en-GB"/>
              </w:rPr>
              <w:t>3,72</w:t>
            </w:r>
            <w:r w:rsidR="00615E12">
              <w:rPr>
                <w:rFonts w:ascii="Calibri" w:hAnsi="Calibri"/>
                <w:b/>
                <w:bCs/>
                <w:color w:val="000000"/>
                <w:lang w:eastAsia="en-GB"/>
              </w:rPr>
              <w:t>0</w:t>
            </w:r>
          </w:p>
        </w:tc>
      </w:tr>
      <w:tr w:rsidR="007B3980" w:rsidRPr="00EB1FC3" w14:paraId="7BBFFAB7" w14:textId="77777777" w:rsidTr="00C17C9E">
        <w:trPr>
          <w:trHeight w:val="525"/>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73AD03E1"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Revaluations recognised in revaluation reserve</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F7AD310" w14:textId="7DDC7C31" w:rsidR="00350811" w:rsidRPr="00EB1FC3" w:rsidRDefault="00C15DAE" w:rsidP="003F0DE5">
            <w:pPr>
              <w:jc w:val="right"/>
              <w:rPr>
                <w:rFonts w:ascii="Calibri" w:hAnsi="Calibri"/>
                <w:color w:val="000000"/>
                <w:lang w:eastAsia="en-GB"/>
              </w:rPr>
            </w:pPr>
            <w:r>
              <w:rPr>
                <w:rFonts w:ascii="Calibri" w:hAnsi="Calibri"/>
                <w:color w:val="000000"/>
                <w:lang w:eastAsia="en-GB"/>
              </w:rPr>
              <w:t>3,346</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5FFDE43" w14:textId="361325FF" w:rsidR="007B3980" w:rsidRPr="00EB1FC3" w:rsidRDefault="00C15DAE" w:rsidP="003F0DE5">
            <w:pPr>
              <w:jc w:val="right"/>
              <w:rPr>
                <w:rFonts w:ascii="Calibri" w:hAnsi="Calibri"/>
                <w:color w:val="000000"/>
                <w:lang w:eastAsia="en-GB"/>
              </w:rPr>
            </w:pPr>
            <w:r>
              <w:rPr>
                <w:rFonts w:ascii="Calibri" w:hAnsi="Calibri"/>
                <w:color w:val="000000"/>
                <w:lang w:eastAsia="en-GB"/>
              </w:rPr>
              <w:t>6,114</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33FE74D3" w14:textId="529EAB30" w:rsidR="007B3980" w:rsidRPr="00EB1FC3" w:rsidRDefault="00A822BA" w:rsidP="003F0DE5">
            <w:pPr>
              <w:jc w:val="right"/>
              <w:rPr>
                <w:rFonts w:ascii="Calibri" w:hAnsi="Calibri"/>
                <w:color w:val="000000"/>
                <w:lang w:eastAsia="en-GB"/>
              </w:rPr>
            </w:pPr>
            <w:r>
              <w:rPr>
                <w:rFonts w:ascii="Calibri" w:hAnsi="Calibri"/>
                <w:color w:val="000000"/>
                <w:lang w:eastAsia="en-GB"/>
              </w:rPr>
              <w:t>2</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43D49D3E" w14:textId="2C1A3DE9"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4EA11E27" w14:textId="702739D6" w:rsidR="007B3980" w:rsidRPr="00EB1FC3" w:rsidRDefault="00A822BA" w:rsidP="003F0DE5">
            <w:pPr>
              <w:jc w:val="right"/>
              <w:rPr>
                <w:rFonts w:ascii="Calibri" w:hAnsi="Calibri"/>
                <w:color w:val="000000"/>
                <w:lang w:eastAsia="en-GB"/>
              </w:rPr>
            </w:pPr>
            <w:r>
              <w:rPr>
                <w:rFonts w:ascii="Calibri" w:hAnsi="Calibri"/>
                <w:color w:val="000000"/>
                <w:lang w:eastAsia="en-GB"/>
              </w:rPr>
              <w:t>-</w:t>
            </w:r>
            <w:r w:rsidR="00C15DAE">
              <w:rPr>
                <w:rFonts w:ascii="Calibri" w:hAnsi="Calibri"/>
                <w:color w:val="000000"/>
                <w:lang w:eastAsia="en-GB"/>
              </w:rPr>
              <w:t>32</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160E94B7" w14:textId="372719D7" w:rsidR="007B3980" w:rsidRPr="00EB1FC3" w:rsidRDefault="00C15DAE" w:rsidP="003F0DE5">
            <w:pPr>
              <w:jc w:val="right"/>
              <w:rPr>
                <w:rFonts w:ascii="Calibri" w:hAnsi="Calibri"/>
                <w:color w:val="000000"/>
                <w:lang w:eastAsia="en-GB"/>
              </w:rPr>
            </w:pPr>
            <w:r>
              <w:rPr>
                <w:rFonts w:ascii="Calibri" w:hAnsi="Calibri"/>
                <w:color w:val="000000"/>
                <w:lang w:eastAsia="en-GB"/>
              </w:rPr>
              <w:t>916</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86BDC17" w14:textId="448BB639"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CE72D41" w14:textId="0EAD2CB0" w:rsidR="007B3980" w:rsidRPr="00A822BA" w:rsidRDefault="00A822BA" w:rsidP="003F0DE5">
            <w:pPr>
              <w:jc w:val="right"/>
              <w:rPr>
                <w:rFonts w:ascii="Calibri" w:hAnsi="Calibri"/>
                <w:b/>
                <w:bCs/>
                <w:color w:val="000000"/>
                <w:lang w:eastAsia="en-GB"/>
              </w:rPr>
            </w:pPr>
            <w:r w:rsidRPr="00A822BA">
              <w:rPr>
                <w:rFonts w:ascii="Calibri" w:hAnsi="Calibri"/>
                <w:b/>
                <w:bCs/>
                <w:color w:val="000000"/>
                <w:lang w:eastAsia="en-GB"/>
              </w:rPr>
              <w:t>10,</w:t>
            </w:r>
            <w:r w:rsidR="00C15DAE">
              <w:rPr>
                <w:rFonts w:ascii="Calibri" w:hAnsi="Calibri"/>
                <w:b/>
                <w:bCs/>
                <w:color w:val="000000"/>
                <w:lang w:eastAsia="en-GB"/>
              </w:rPr>
              <w:t>346</w:t>
            </w:r>
          </w:p>
        </w:tc>
      </w:tr>
      <w:tr w:rsidR="007B3980" w:rsidRPr="00EB1FC3" w14:paraId="6FE241B4" w14:textId="77777777" w:rsidTr="00C17C9E">
        <w:trPr>
          <w:trHeight w:val="78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F023219"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Revaluations recognised in surplus/</w:t>
            </w:r>
            <w:proofErr w:type="gramStart"/>
            <w:r w:rsidRPr="00EB1FC3">
              <w:rPr>
                <w:rFonts w:ascii="Calibri" w:hAnsi="Calibri"/>
                <w:color w:val="000000"/>
                <w:lang w:eastAsia="en-GB"/>
              </w:rPr>
              <w:t>deficit(</w:t>
            </w:r>
            <w:proofErr w:type="gramEnd"/>
            <w:r w:rsidRPr="00EB1FC3">
              <w:rPr>
                <w:rFonts w:ascii="Calibri" w:hAnsi="Calibri"/>
                <w:color w:val="000000"/>
                <w:lang w:eastAsia="en-GB"/>
              </w:rPr>
              <w:t>-) on provision of services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248A70C" w14:textId="6840CEFF" w:rsidR="007B3980" w:rsidRPr="00EB1FC3" w:rsidRDefault="00C15DAE" w:rsidP="003F0DE5">
            <w:pPr>
              <w:jc w:val="right"/>
              <w:rPr>
                <w:rFonts w:ascii="Calibri" w:hAnsi="Calibri"/>
                <w:color w:val="000000"/>
                <w:lang w:eastAsia="en-GB"/>
              </w:rPr>
            </w:pPr>
            <w:r>
              <w:rPr>
                <w:rFonts w:ascii="Calibri" w:hAnsi="Calibri"/>
                <w:color w:val="000000"/>
                <w:lang w:eastAsia="en-GB"/>
              </w:rPr>
              <w:t>-98</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83D5985" w14:textId="787EF6DF" w:rsidR="007B3980" w:rsidRPr="00EB1FC3" w:rsidRDefault="00A822BA" w:rsidP="003F0DE5">
            <w:pPr>
              <w:jc w:val="right"/>
              <w:rPr>
                <w:rFonts w:ascii="Calibri" w:hAnsi="Calibri"/>
                <w:color w:val="000000"/>
                <w:lang w:eastAsia="en-GB"/>
              </w:rPr>
            </w:pPr>
            <w:r>
              <w:rPr>
                <w:rFonts w:ascii="Calibri" w:hAnsi="Calibri"/>
                <w:color w:val="000000"/>
                <w:lang w:eastAsia="en-GB"/>
              </w:rPr>
              <w:t>12</w:t>
            </w:r>
            <w:r w:rsidR="00C15DAE">
              <w:rPr>
                <w:rFonts w:ascii="Calibri" w:hAnsi="Calibri"/>
                <w:color w:val="000000"/>
                <w:lang w:eastAsia="en-GB"/>
              </w:rPr>
              <w:t>9</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049FF4D9" w14:textId="405A9224" w:rsidR="007B3980" w:rsidRPr="00EB1FC3" w:rsidRDefault="00A822BA" w:rsidP="003F0DE5">
            <w:pPr>
              <w:jc w:val="right"/>
              <w:rPr>
                <w:rFonts w:ascii="Calibri" w:hAnsi="Calibri"/>
                <w:color w:val="000000"/>
                <w:lang w:eastAsia="en-GB"/>
              </w:rPr>
            </w:pPr>
            <w:r>
              <w:rPr>
                <w:rFonts w:ascii="Calibri" w:hAnsi="Calibri"/>
                <w:color w:val="000000"/>
                <w:lang w:eastAsia="en-GB"/>
              </w:rPr>
              <w:t>1</w:t>
            </w:r>
            <w:r w:rsidR="00C15DAE">
              <w:rPr>
                <w:rFonts w:ascii="Calibri" w:hAnsi="Calibri"/>
                <w:color w:val="000000"/>
                <w:lang w:eastAsia="en-GB"/>
              </w:rPr>
              <w:t>3</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780DEC9" w14:textId="7109DF92"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5EF701A" w14:textId="22D2CA3E"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7DAC804A" w14:textId="0BA57D13"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DC297FC" w14:textId="4F9A8D71"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0D4D7731" w14:textId="76ADEE5F" w:rsidR="007B3980" w:rsidRPr="00A822BA" w:rsidRDefault="00C15DAE" w:rsidP="003F0DE5">
            <w:pPr>
              <w:jc w:val="right"/>
              <w:rPr>
                <w:rFonts w:ascii="Calibri" w:hAnsi="Calibri"/>
                <w:b/>
                <w:bCs/>
                <w:color w:val="000000"/>
                <w:lang w:eastAsia="en-GB"/>
              </w:rPr>
            </w:pPr>
            <w:r>
              <w:rPr>
                <w:rFonts w:ascii="Calibri" w:hAnsi="Calibri"/>
                <w:b/>
                <w:bCs/>
                <w:color w:val="000000"/>
                <w:lang w:eastAsia="en-GB"/>
              </w:rPr>
              <w:t>44</w:t>
            </w:r>
          </w:p>
        </w:tc>
      </w:tr>
      <w:tr w:rsidR="007B3980" w:rsidRPr="00EB1FC3" w14:paraId="52B1E21E"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55FF8B5A"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Derecognition - Disposals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791EA5D" w14:textId="261E808B" w:rsidR="007B3980" w:rsidRPr="00EB1FC3" w:rsidRDefault="00A822BA" w:rsidP="003F0DE5">
            <w:pPr>
              <w:jc w:val="right"/>
              <w:rPr>
                <w:rFonts w:ascii="Calibri" w:hAnsi="Calibri"/>
                <w:color w:val="000000"/>
                <w:lang w:eastAsia="en-GB"/>
              </w:rPr>
            </w:pPr>
            <w:r>
              <w:rPr>
                <w:rFonts w:ascii="Calibri" w:hAnsi="Calibri"/>
                <w:color w:val="000000"/>
                <w:lang w:eastAsia="en-GB"/>
              </w:rPr>
              <w:t>-7</w:t>
            </w:r>
            <w:r w:rsidR="00C15DAE">
              <w:rPr>
                <w:rFonts w:ascii="Calibri" w:hAnsi="Calibri"/>
                <w:color w:val="000000"/>
                <w:lang w:eastAsia="en-GB"/>
              </w:rPr>
              <w:t>5</w:t>
            </w:r>
            <w:r>
              <w:rPr>
                <w:rFonts w:ascii="Calibri" w:hAnsi="Calibri"/>
                <w:color w:val="000000"/>
                <w:lang w:eastAsia="en-GB"/>
              </w:rPr>
              <w:t>3</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3D8D67D" w14:textId="16D86DFC"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70A9580B" w14:textId="4468D43B" w:rsidR="00350811" w:rsidRPr="00EB1FC3" w:rsidRDefault="00A822BA" w:rsidP="003F0DE5">
            <w:pPr>
              <w:jc w:val="right"/>
              <w:rPr>
                <w:rFonts w:ascii="Calibri" w:hAnsi="Calibri"/>
                <w:color w:val="000000"/>
                <w:lang w:eastAsia="en-GB"/>
              </w:rPr>
            </w:pPr>
            <w:r>
              <w:rPr>
                <w:rFonts w:ascii="Calibri" w:hAnsi="Calibri"/>
                <w:color w:val="000000"/>
                <w:lang w:eastAsia="en-GB"/>
              </w:rPr>
              <w:t>-1</w:t>
            </w:r>
            <w:r w:rsidR="00350811">
              <w:rPr>
                <w:rFonts w:ascii="Calibri" w:hAnsi="Calibri"/>
                <w:color w:val="000000"/>
                <w:lang w:eastAsia="en-GB"/>
              </w:rPr>
              <w:t>42</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BA387A6" w14:textId="4A87072C"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B97A347" w14:textId="392AEF30"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35FA892" w14:textId="3F26D3DD"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7D2B158" w14:textId="7730FED1"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8EA61AB" w14:textId="598A8D76" w:rsidR="007B3980" w:rsidRPr="00A822BA" w:rsidRDefault="00A822BA" w:rsidP="003F0DE5">
            <w:pPr>
              <w:jc w:val="right"/>
              <w:rPr>
                <w:rFonts w:ascii="Calibri" w:hAnsi="Calibri"/>
                <w:b/>
                <w:bCs/>
                <w:color w:val="000000"/>
                <w:lang w:eastAsia="en-GB"/>
              </w:rPr>
            </w:pPr>
            <w:r w:rsidRPr="00A822BA">
              <w:rPr>
                <w:rFonts w:ascii="Calibri" w:hAnsi="Calibri"/>
                <w:b/>
                <w:bCs/>
                <w:color w:val="000000"/>
                <w:lang w:eastAsia="en-GB"/>
              </w:rPr>
              <w:t>-8</w:t>
            </w:r>
            <w:r w:rsidR="00350811">
              <w:rPr>
                <w:rFonts w:ascii="Calibri" w:hAnsi="Calibri"/>
                <w:b/>
                <w:bCs/>
                <w:color w:val="000000"/>
                <w:lang w:eastAsia="en-GB"/>
              </w:rPr>
              <w:t>95</w:t>
            </w:r>
          </w:p>
        </w:tc>
      </w:tr>
      <w:tr w:rsidR="007B3980" w:rsidRPr="00EB1FC3" w14:paraId="2ED492E6" w14:textId="77777777" w:rsidTr="00C17C9E">
        <w:trPr>
          <w:trHeight w:val="525"/>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D3C82A0"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Assets reclassified to held for sale</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56BF2EA" w14:textId="68C70EE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A13333C" w14:textId="1B726141" w:rsidR="007B3980" w:rsidRDefault="007B3980" w:rsidP="003F0DE5">
            <w:pPr>
              <w:jc w:val="right"/>
              <w:rPr>
                <w:rFonts w:ascii="Calibri" w:hAnsi="Calibri"/>
                <w:color w:val="000000"/>
                <w:lang w:eastAsia="en-GB"/>
              </w:rPr>
            </w:pPr>
          </w:p>
          <w:p w14:paraId="7952DD16" w14:textId="66259006" w:rsidR="00350811" w:rsidRPr="00EB1FC3" w:rsidRDefault="00350811" w:rsidP="003F0DE5">
            <w:pPr>
              <w:jc w:val="right"/>
              <w:rPr>
                <w:rFonts w:ascii="Calibri" w:hAnsi="Calibri"/>
                <w:color w:val="000000"/>
                <w:lang w:eastAsia="en-GB"/>
              </w:rPr>
            </w:pP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7AF88C46" w14:textId="1A1CFF18" w:rsidR="007B3980" w:rsidRPr="00EB1FC3" w:rsidRDefault="00A822BA"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C2A603A" w14:textId="7FD112D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0BA6237" w14:textId="12CC8FA9"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3956CD52" w14:textId="4CAFF9DF"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20F87A6" w14:textId="1611B1B0"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8D3C25F" w14:textId="35417C5F" w:rsidR="007B3980" w:rsidRPr="00C17C9E" w:rsidRDefault="00C15DAE" w:rsidP="003F0DE5">
            <w:pPr>
              <w:jc w:val="right"/>
              <w:rPr>
                <w:rFonts w:ascii="Calibri" w:hAnsi="Calibri"/>
                <w:b/>
                <w:bCs/>
                <w:color w:val="000000"/>
                <w:lang w:eastAsia="en-GB"/>
              </w:rPr>
            </w:pPr>
            <w:r>
              <w:rPr>
                <w:rFonts w:ascii="Calibri" w:hAnsi="Calibri"/>
                <w:b/>
                <w:bCs/>
                <w:color w:val="000000"/>
                <w:lang w:eastAsia="en-GB"/>
              </w:rPr>
              <w:t>0</w:t>
            </w:r>
          </w:p>
        </w:tc>
      </w:tr>
      <w:tr w:rsidR="007B3980" w:rsidRPr="00EB1FC3" w14:paraId="6620DA62"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2C1459F9"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Other reclassifications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3CC65D3" w14:textId="28E29F0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36B0440" w14:textId="396DF562" w:rsidR="007B3980" w:rsidRPr="00EB1FC3" w:rsidRDefault="00C15DAE" w:rsidP="003F0DE5">
            <w:pPr>
              <w:jc w:val="right"/>
              <w:rPr>
                <w:rFonts w:ascii="Calibri" w:hAnsi="Calibri"/>
                <w:color w:val="000000"/>
                <w:lang w:eastAsia="en-GB"/>
              </w:rPr>
            </w:pPr>
            <w:r>
              <w:rPr>
                <w:rFonts w:ascii="Calibri" w:hAnsi="Calibri"/>
                <w:color w:val="000000"/>
                <w:lang w:eastAsia="en-GB"/>
              </w:rPr>
              <w:t>-534</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6B8EF8B8" w14:textId="697C1B08" w:rsidR="007B3980" w:rsidRPr="00EB1FC3" w:rsidRDefault="00350811" w:rsidP="003F0DE5">
            <w:pPr>
              <w:jc w:val="right"/>
              <w:rPr>
                <w:rFonts w:ascii="Calibri" w:hAnsi="Calibri"/>
                <w:color w:val="000000"/>
                <w:lang w:eastAsia="en-GB"/>
              </w:rPr>
            </w:pPr>
            <w:r>
              <w:rPr>
                <w:rFonts w:ascii="Calibri" w:hAnsi="Calibri"/>
                <w:color w:val="000000"/>
                <w:lang w:eastAsia="en-GB"/>
              </w:rPr>
              <w:t>-5</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66E89338" w14:textId="673CBE8F"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364A63C" w14:textId="2067744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74A0BEF" w14:textId="7BA03CA2" w:rsidR="007B3980" w:rsidRPr="00EB1FC3" w:rsidRDefault="00C15DAE" w:rsidP="003F0DE5">
            <w:pPr>
              <w:jc w:val="right"/>
              <w:rPr>
                <w:rFonts w:ascii="Calibri" w:hAnsi="Calibri"/>
                <w:color w:val="000000"/>
                <w:lang w:eastAsia="en-GB"/>
              </w:rPr>
            </w:pPr>
            <w:r>
              <w:rPr>
                <w:rFonts w:ascii="Calibri" w:hAnsi="Calibri"/>
                <w:color w:val="000000"/>
                <w:lang w:eastAsia="en-GB"/>
              </w:rPr>
              <w:t>673</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EB8BC3E" w14:textId="73E7D69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01A905C" w14:textId="18B2E386" w:rsidR="007B3980" w:rsidRPr="00EB1FC3" w:rsidRDefault="00C15DAE" w:rsidP="003F0DE5">
            <w:pPr>
              <w:jc w:val="right"/>
              <w:rPr>
                <w:rFonts w:ascii="Calibri" w:hAnsi="Calibri"/>
                <w:color w:val="000000"/>
                <w:lang w:eastAsia="en-GB"/>
              </w:rPr>
            </w:pPr>
            <w:r>
              <w:rPr>
                <w:rFonts w:ascii="Calibri" w:hAnsi="Calibri"/>
                <w:color w:val="000000"/>
                <w:lang w:eastAsia="en-GB"/>
              </w:rPr>
              <w:t>134</w:t>
            </w:r>
          </w:p>
        </w:tc>
      </w:tr>
      <w:tr w:rsidR="007B3980" w:rsidRPr="00EB1FC3" w14:paraId="5447568D"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1566CDF3"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Other movements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3F7AFC8" w14:textId="2B2C9A1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01F5096" w14:textId="69213A1A"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7C638EE3" w14:textId="3ABEE30B"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26D992C" w14:textId="4818F08A"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199E675" w14:textId="7FD0CC4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582AD631" w14:textId="08399A1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E67FEC6" w14:textId="24D8ECD3"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6A5DE20" w14:textId="31022249"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0</w:t>
            </w:r>
          </w:p>
        </w:tc>
      </w:tr>
      <w:tr w:rsidR="007B3980" w:rsidRPr="00EB1FC3" w14:paraId="47B67508"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BD4B4" w:themeFill="accent6" w:themeFillTint="66"/>
            <w:vAlign w:val="bottom"/>
            <w:hideMark/>
          </w:tcPr>
          <w:p w14:paraId="4FD052D6" w14:textId="13937203"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F64E05">
              <w:rPr>
                <w:rFonts w:ascii="Calibri" w:hAnsi="Calibri"/>
                <w:b/>
                <w:bCs/>
                <w:color w:val="000000"/>
                <w:lang w:eastAsia="en-GB"/>
              </w:rPr>
              <w:t>3</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0606C000" w14:textId="11A5C5F8"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11</w:t>
            </w:r>
            <w:r w:rsidR="00C15DAE">
              <w:rPr>
                <w:rFonts w:ascii="Calibri" w:hAnsi="Calibri"/>
                <w:b/>
                <w:bCs/>
                <w:color w:val="000000"/>
                <w:lang w:eastAsia="en-GB"/>
              </w:rPr>
              <w:t>1,46</w:t>
            </w:r>
            <w:r w:rsidR="00615E12">
              <w:rPr>
                <w:rFonts w:ascii="Calibri" w:hAnsi="Calibri"/>
                <w:b/>
                <w:bCs/>
                <w:color w:val="000000"/>
                <w:lang w:eastAsia="en-GB"/>
              </w:rPr>
              <w:t>5</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C0074D3" w14:textId="23E05012" w:rsidR="00350811" w:rsidRPr="00EB1FC3" w:rsidRDefault="00350811" w:rsidP="003F0DE5">
            <w:pPr>
              <w:jc w:val="right"/>
              <w:rPr>
                <w:rFonts w:ascii="Calibri" w:hAnsi="Calibri"/>
                <w:b/>
                <w:bCs/>
                <w:color w:val="000000"/>
                <w:lang w:eastAsia="en-GB"/>
              </w:rPr>
            </w:pPr>
            <w:r>
              <w:rPr>
                <w:rFonts w:ascii="Calibri" w:hAnsi="Calibri"/>
                <w:b/>
                <w:bCs/>
                <w:color w:val="000000"/>
                <w:lang w:eastAsia="en-GB"/>
              </w:rPr>
              <w:t>4</w:t>
            </w:r>
            <w:r w:rsidR="00F665D7">
              <w:rPr>
                <w:rFonts w:ascii="Calibri" w:hAnsi="Calibri"/>
                <w:b/>
                <w:bCs/>
                <w:color w:val="000000"/>
                <w:lang w:eastAsia="en-GB"/>
              </w:rPr>
              <w:t>3</w:t>
            </w:r>
            <w:r>
              <w:rPr>
                <w:rFonts w:ascii="Calibri" w:hAnsi="Calibri"/>
                <w:b/>
                <w:bCs/>
                <w:color w:val="000000"/>
                <w:lang w:eastAsia="en-GB"/>
              </w:rPr>
              <w:t>,</w:t>
            </w:r>
            <w:r w:rsidR="00C15DAE">
              <w:rPr>
                <w:rFonts w:ascii="Calibri" w:hAnsi="Calibri"/>
                <w:b/>
                <w:bCs/>
                <w:color w:val="000000"/>
                <w:lang w:eastAsia="en-GB"/>
              </w:rPr>
              <w:t>22</w:t>
            </w:r>
            <w:r>
              <w:rPr>
                <w:rFonts w:ascii="Calibri" w:hAnsi="Calibri"/>
                <w:b/>
                <w:bCs/>
                <w:color w:val="000000"/>
                <w:lang w:eastAsia="en-GB"/>
              </w:rPr>
              <w:t>5</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488E9EAA" w14:textId="41F424BD"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1,2</w:t>
            </w:r>
            <w:r w:rsidR="00350811">
              <w:rPr>
                <w:rFonts w:ascii="Calibri" w:hAnsi="Calibri"/>
                <w:b/>
                <w:bCs/>
                <w:color w:val="000000"/>
                <w:lang w:eastAsia="en-GB"/>
              </w:rPr>
              <w:t>2</w:t>
            </w:r>
            <w:r w:rsidR="00C15DAE">
              <w:rPr>
                <w:rFonts w:ascii="Calibri" w:hAnsi="Calibri"/>
                <w:b/>
                <w:bCs/>
                <w:color w:val="000000"/>
                <w:lang w:eastAsia="en-GB"/>
              </w:rPr>
              <w:t>9</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2269BBB2" w14:textId="3128FB8D"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41</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4D5270A2" w14:textId="77B65A75"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3</w:t>
            </w:r>
            <w:r w:rsidR="00C15DAE">
              <w:rPr>
                <w:rFonts w:ascii="Calibri" w:hAnsi="Calibri"/>
                <w:b/>
                <w:bCs/>
                <w:color w:val="000000"/>
                <w:lang w:eastAsia="en-GB"/>
              </w:rPr>
              <w:t>60</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6EB7CFF0" w14:textId="0F69DB6E" w:rsidR="007B3980" w:rsidRPr="00EB1FC3" w:rsidRDefault="00C15DAE" w:rsidP="003F0DE5">
            <w:pPr>
              <w:jc w:val="right"/>
              <w:rPr>
                <w:rFonts w:ascii="Calibri" w:hAnsi="Calibri"/>
                <w:b/>
                <w:bCs/>
                <w:color w:val="000000"/>
                <w:lang w:eastAsia="en-GB"/>
              </w:rPr>
            </w:pPr>
            <w:r>
              <w:rPr>
                <w:rFonts w:ascii="Calibri" w:hAnsi="Calibri"/>
                <w:b/>
                <w:bCs/>
                <w:color w:val="000000"/>
                <w:lang w:eastAsia="en-GB"/>
              </w:rPr>
              <w:t>1,591</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CB12945" w14:textId="63BCEAD9"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388F1F0" w14:textId="44AF5A62" w:rsidR="007B3980" w:rsidRPr="00EB1FC3" w:rsidRDefault="00C17C9E" w:rsidP="003F0DE5">
            <w:pPr>
              <w:jc w:val="right"/>
              <w:rPr>
                <w:rFonts w:ascii="Calibri" w:hAnsi="Calibri"/>
                <w:b/>
                <w:bCs/>
                <w:color w:val="000000"/>
                <w:lang w:eastAsia="en-GB"/>
              </w:rPr>
            </w:pPr>
            <w:r>
              <w:rPr>
                <w:rFonts w:ascii="Calibri" w:hAnsi="Calibri"/>
                <w:b/>
                <w:bCs/>
                <w:color w:val="000000"/>
                <w:lang w:eastAsia="en-GB"/>
              </w:rPr>
              <w:t>157,</w:t>
            </w:r>
            <w:r w:rsidR="00C15DAE">
              <w:rPr>
                <w:rFonts w:ascii="Calibri" w:hAnsi="Calibri"/>
                <w:b/>
                <w:bCs/>
                <w:color w:val="000000"/>
                <w:lang w:eastAsia="en-GB"/>
              </w:rPr>
              <w:t>91</w:t>
            </w:r>
            <w:r w:rsidR="00615E12">
              <w:rPr>
                <w:rFonts w:ascii="Calibri" w:hAnsi="Calibri"/>
                <w:b/>
                <w:bCs/>
                <w:color w:val="000000"/>
                <w:lang w:eastAsia="en-GB"/>
              </w:rPr>
              <w:t>1</w:t>
            </w:r>
          </w:p>
        </w:tc>
      </w:tr>
      <w:tr w:rsidR="007B3980" w:rsidRPr="00EB1FC3" w14:paraId="50D99AC6" w14:textId="77777777" w:rsidTr="00C17C9E">
        <w:trPr>
          <w:trHeight w:val="525"/>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3DB47C83"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 xml:space="preserve">Accumulated Depreciation </w:t>
            </w:r>
            <w:r>
              <w:rPr>
                <w:rFonts w:ascii="Calibri" w:hAnsi="Calibri"/>
                <w:b/>
                <w:bCs/>
                <w:color w:val="000000"/>
                <w:lang w:eastAsia="en-GB"/>
              </w:rPr>
              <w:t>and</w:t>
            </w:r>
            <w:r w:rsidRPr="00EB1FC3">
              <w:rPr>
                <w:rFonts w:ascii="Calibri" w:hAnsi="Calibri"/>
                <w:b/>
                <w:bCs/>
                <w:color w:val="000000"/>
                <w:lang w:eastAsia="en-GB"/>
              </w:rPr>
              <w:t xml:space="preserve"> Impairment</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501987CE"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7E7BB7FC"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hideMark/>
          </w:tcPr>
          <w:p w14:paraId="6B4E29B1"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30A261EA"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60931629"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hideMark/>
          </w:tcPr>
          <w:p w14:paraId="05C62007"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1CC76D0F"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29AF9AFD" w14:textId="77777777" w:rsidR="007B3980" w:rsidRPr="00EB1FC3" w:rsidRDefault="007B3980" w:rsidP="003F0DE5">
            <w:pPr>
              <w:jc w:val="right"/>
              <w:rPr>
                <w:rFonts w:ascii="Calibri" w:hAnsi="Calibri"/>
                <w:b/>
                <w:bCs/>
                <w:color w:val="000000"/>
                <w:lang w:eastAsia="en-GB"/>
              </w:rPr>
            </w:pPr>
            <w:r w:rsidRPr="00EB1FC3">
              <w:rPr>
                <w:rFonts w:ascii="Calibri" w:hAnsi="Calibri"/>
                <w:b/>
                <w:bCs/>
                <w:color w:val="000000"/>
                <w:lang w:eastAsia="en-GB"/>
              </w:rPr>
              <w:t> </w:t>
            </w:r>
          </w:p>
        </w:tc>
      </w:tr>
      <w:tr w:rsidR="007B3980" w:rsidRPr="00EB1FC3" w14:paraId="0EE1EEBC"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471386FB" w14:textId="2AA6FA69"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1 April 20</w:t>
            </w:r>
            <w:r>
              <w:rPr>
                <w:rFonts w:ascii="Calibri" w:hAnsi="Calibri"/>
                <w:b/>
                <w:bCs/>
                <w:color w:val="000000"/>
                <w:lang w:eastAsia="en-GB"/>
              </w:rPr>
              <w:t>2</w:t>
            </w:r>
            <w:r w:rsidR="00F64E05">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532E17FC"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2A5AFF5B"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hideMark/>
          </w:tcPr>
          <w:p w14:paraId="0003139D" w14:textId="1BDD6026"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w:t>
            </w:r>
            <w:r w:rsidR="00F64E05">
              <w:rPr>
                <w:rFonts w:ascii="Calibri" w:hAnsi="Calibri"/>
                <w:b/>
                <w:bCs/>
                <w:color w:val="000000"/>
                <w:lang w:eastAsia="en-GB"/>
              </w:rPr>
              <w:t>423</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11142170" w14:textId="1FB92732"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-2</w:t>
            </w:r>
            <w:r w:rsidR="00F64E05">
              <w:rPr>
                <w:rFonts w:ascii="Calibri" w:hAnsi="Calibri"/>
                <w:b/>
                <w:bCs/>
                <w:color w:val="000000"/>
                <w:lang w:eastAsia="en-GB"/>
              </w:rPr>
              <w:t>9</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hideMark/>
          </w:tcPr>
          <w:p w14:paraId="4C539064"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-91</w:t>
            </w:r>
            <w:r w:rsidRPr="00EB1FC3">
              <w:rPr>
                <w:rFonts w:ascii="Calibri" w:hAnsi="Calibri"/>
                <w:b/>
                <w:bCs/>
                <w:color w:val="000000"/>
                <w:lang w:eastAsia="en-GB"/>
              </w:rPr>
              <w:t> </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hideMark/>
          </w:tcPr>
          <w:p w14:paraId="3CD737AA"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hideMark/>
          </w:tcPr>
          <w:p w14:paraId="277F4322"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583F490A" w14:textId="45CA4DE0"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w:t>
            </w:r>
            <w:r w:rsidR="00F64E05">
              <w:rPr>
                <w:rFonts w:ascii="Calibri" w:hAnsi="Calibri"/>
                <w:b/>
                <w:bCs/>
                <w:color w:val="000000"/>
                <w:lang w:eastAsia="en-GB"/>
              </w:rPr>
              <w:t>543</w:t>
            </w:r>
          </w:p>
        </w:tc>
      </w:tr>
      <w:tr w:rsidR="007B3980" w:rsidRPr="00EB1FC3" w14:paraId="1D1941B1"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C905D92"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Depreciation Charge</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9625128" w14:textId="090379D4" w:rsidR="007B3980" w:rsidRPr="00EB1FC3" w:rsidRDefault="00C17C9E" w:rsidP="003F0DE5">
            <w:pPr>
              <w:jc w:val="right"/>
              <w:rPr>
                <w:rFonts w:ascii="Calibri" w:hAnsi="Calibri"/>
                <w:color w:val="000000"/>
                <w:lang w:eastAsia="en-GB"/>
              </w:rPr>
            </w:pPr>
            <w:r>
              <w:rPr>
                <w:rFonts w:ascii="Calibri" w:hAnsi="Calibri"/>
                <w:color w:val="000000"/>
                <w:lang w:eastAsia="en-GB"/>
              </w:rPr>
              <w:t>-1,480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BD017F6" w14:textId="56CCAF77" w:rsidR="007B3980" w:rsidRPr="00EB1FC3" w:rsidRDefault="00C17C9E" w:rsidP="003F0DE5">
            <w:pPr>
              <w:jc w:val="right"/>
              <w:rPr>
                <w:rFonts w:ascii="Calibri" w:hAnsi="Calibri"/>
                <w:color w:val="000000"/>
                <w:lang w:eastAsia="en-GB"/>
              </w:rPr>
            </w:pPr>
            <w:r>
              <w:rPr>
                <w:rFonts w:ascii="Calibri" w:hAnsi="Calibri"/>
                <w:color w:val="000000"/>
                <w:lang w:eastAsia="en-GB"/>
              </w:rPr>
              <w:t>-1,460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29342D8F" w14:textId="1E779EDB" w:rsidR="007B3980" w:rsidRPr="00EB1FC3" w:rsidRDefault="00C17C9E" w:rsidP="003F0DE5">
            <w:pPr>
              <w:jc w:val="right"/>
              <w:rPr>
                <w:rFonts w:ascii="Calibri" w:hAnsi="Calibri"/>
                <w:color w:val="000000"/>
                <w:lang w:eastAsia="en-GB"/>
              </w:rPr>
            </w:pPr>
            <w:r>
              <w:rPr>
                <w:rFonts w:ascii="Calibri" w:hAnsi="Calibri"/>
                <w:color w:val="000000"/>
                <w:lang w:eastAsia="en-GB"/>
              </w:rPr>
              <w:t>-128</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1C47DB9" w14:textId="5EC331F1" w:rsidR="007B3980" w:rsidRPr="00EB1FC3" w:rsidRDefault="00C17C9E" w:rsidP="003F0DE5">
            <w:pPr>
              <w:jc w:val="right"/>
              <w:rPr>
                <w:rFonts w:ascii="Calibri" w:hAnsi="Calibri"/>
                <w:color w:val="000000"/>
                <w:lang w:eastAsia="en-GB"/>
              </w:rPr>
            </w:pPr>
            <w:r>
              <w:rPr>
                <w:rFonts w:ascii="Calibri" w:hAnsi="Calibri"/>
                <w:color w:val="000000"/>
                <w:lang w:eastAsia="en-GB"/>
              </w:rPr>
              <w:t>-1</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A17F393" w14:textId="015FD6A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03E858A6" w14:textId="54BB627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39D90BB" w14:textId="33BC80B7"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EC600CB" w14:textId="7966AAAB"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-3,069</w:t>
            </w:r>
          </w:p>
        </w:tc>
      </w:tr>
      <w:tr w:rsidR="007B3980" w:rsidRPr="00EB1FC3" w14:paraId="2F58705F" w14:textId="77777777" w:rsidTr="00C17C9E">
        <w:trPr>
          <w:trHeight w:val="525"/>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CF9E3E3"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Depreciation written out to revaluation reserve</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9A86B55" w14:textId="7EB0D830" w:rsidR="007B3980" w:rsidRPr="00EB1FC3" w:rsidRDefault="00C17C9E" w:rsidP="003F0DE5">
            <w:pPr>
              <w:jc w:val="right"/>
              <w:rPr>
                <w:rFonts w:ascii="Calibri" w:hAnsi="Calibri"/>
                <w:color w:val="000000"/>
                <w:lang w:eastAsia="en-GB"/>
              </w:rPr>
            </w:pPr>
            <w:r>
              <w:rPr>
                <w:rFonts w:ascii="Calibri" w:hAnsi="Calibri"/>
                <w:color w:val="000000"/>
                <w:lang w:eastAsia="en-GB"/>
              </w:rPr>
              <w:t>1,211</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D2A7D0F" w14:textId="637F2CFF" w:rsidR="007B3980" w:rsidRPr="00EB1FC3" w:rsidRDefault="00C17C9E" w:rsidP="003F0DE5">
            <w:pPr>
              <w:jc w:val="right"/>
              <w:rPr>
                <w:rFonts w:ascii="Calibri" w:hAnsi="Calibri"/>
                <w:color w:val="000000"/>
                <w:lang w:eastAsia="en-GB"/>
              </w:rPr>
            </w:pPr>
            <w:r>
              <w:rPr>
                <w:rFonts w:ascii="Calibri" w:hAnsi="Calibri"/>
                <w:color w:val="000000"/>
                <w:lang w:eastAsia="en-GB"/>
              </w:rPr>
              <w:t>1,340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20C98D8" w14:textId="67DFF04D" w:rsidR="007B3980" w:rsidRPr="00EB1FC3" w:rsidRDefault="00C17C9E" w:rsidP="003F0DE5">
            <w:pPr>
              <w:jc w:val="right"/>
              <w:rPr>
                <w:rFonts w:ascii="Calibri" w:hAnsi="Calibri"/>
                <w:color w:val="000000"/>
                <w:lang w:eastAsia="en-GB"/>
              </w:rPr>
            </w:pPr>
            <w:r>
              <w:rPr>
                <w:rFonts w:ascii="Calibri" w:hAnsi="Calibri"/>
                <w:color w:val="000000"/>
                <w:lang w:eastAsia="en-GB"/>
              </w:rPr>
              <w:t>43</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8505BA0" w14:textId="15129DDB"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DD7FC11" w14:textId="063E92E9"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21EDE43B" w14:textId="29969889"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E596CEC" w14:textId="116699D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07B46A23" w14:textId="2F618326"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2,594</w:t>
            </w:r>
          </w:p>
        </w:tc>
      </w:tr>
      <w:tr w:rsidR="007B3980" w:rsidRPr="00EB1FC3" w14:paraId="3BD39869" w14:textId="77777777" w:rsidTr="00C17C9E">
        <w:trPr>
          <w:trHeight w:val="78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EDBB411"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 xml:space="preserve">Depreciation written out to </w:t>
            </w:r>
            <w:proofErr w:type="gramStart"/>
            <w:r w:rsidRPr="00EB1FC3">
              <w:rPr>
                <w:rFonts w:ascii="Calibri" w:hAnsi="Calibri"/>
                <w:color w:val="000000"/>
                <w:lang w:eastAsia="en-GB"/>
              </w:rPr>
              <w:t>surplus(</w:t>
            </w:r>
            <w:proofErr w:type="gramEnd"/>
            <w:r w:rsidRPr="00EB1FC3">
              <w:rPr>
                <w:rFonts w:ascii="Calibri" w:hAnsi="Calibri"/>
                <w:color w:val="000000"/>
                <w:lang w:eastAsia="en-GB"/>
              </w:rPr>
              <w:t>-)/Deficit on provision of services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D97DBEB" w14:textId="057FB0EE" w:rsidR="007B3980" w:rsidRPr="00EB1FC3" w:rsidRDefault="00C17C9E" w:rsidP="003F0DE5">
            <w:pPr>
              <w:jc w:val="right"/>
              <w:rPr>
                <w:rFonts w:ascii="Calibri" w:hAnsi="Calibri"/>
                <w:color w:val="000000"/>
                <w:lang w:eastAsia="en-GB"/>
              </w:rPr>
            </w:pPr>
            <w:r>
              <w:rPr>
                <w:rFonts w:ascii="Calibri" w:hAnsi="Calibri"/>
                <w:color w:val="000000"/>
                <w:lang w:eastAsia="en-GB"/>
              </w:rPr>
              <w:t>269</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5DCCE5E" w14:textId="442C8ED9" w:rsidR="007B3980" w:rsidRPr="00EB1FC3" w:rsidRDefault="00C17C9E" w:rsidP="003F0DE5">
            <w:pPr>
              <w:jc w:val="right"/>
              <w:rPr>
                <w:rFonts w:ascii="Calibri" w:hAnsi="Calibri"/>
                <w:color w:val="000000"/>
                <w:lang w:eastAsia="en-GB"/>
              </w:rPr>
            </w:pPr>
            <w:r>
              <w:rPr>
                <w:rFonts w:ascii="Calibri" w:hAnsi="Calibri"/>
                <w:color w:val="000000"/>
                <w:lang w:eastAsia="en-GB"/>
              </w:rPr>
              <w:t>120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2E5B9B3" w14:textId="16E83F52" w:rsidR="007B3980" w:rsidRPr="00EB1FC3" w:rsidRDefault="00C17C9E" w:rsidP="003F0DE5">
            <w:pPr>
              <w:jc w:val="right"/>
              <w:rPr>
                <w:rFonts w:ascii="Calibri" w:hAnsi="Calibri"/>
                <w:color w:val="000000"/>
                <w:lang w:eastAsia="en-GB"/>
              </w:rPr>
            </w:pPr>
            <w:r>
              <w:rPr>
                <w:rFonts w:ascii="Calibri" w:hAnsi="Calibri"/>
                <w:color w:val="000000"/>
                <w:lang w:eastAsia="en-GB"/>
              </w:rPr>
              <w:t>28</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211E1CC" w14:textId="66D1E19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30FF374" w14:textId="1CC9200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15FB604B" w14:textId="6ADF484B"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7A9DBBB" w14:textId="12E56095"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A5F79E1" w14:textId="73DF8572"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417</w:t>
            </w:r>
          </w:p>
        </w:tc>
      </w:tr>
      <w:tr w:rsidR="007B3980" w:rsidRPr="00EB1FC3" w14:paraId="66E2EF5E" w14:textId="77777777" w:rsidTr="00C17C9E">
        <w:trPr>
          <w:trHeight w:val="525"/>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3F8ACEBC"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Impairment losses recognised in revaluation reserve</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B29CCED" w14:textId="610F5814"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DA776A4" w14:textId="24B2E63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3C7F438D" w14:textId="7E37660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94F471E" w14:textId="2E514F3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168545D" w14:textId="0059C263"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A796766" w14:textId="0E8300AC"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E809863" w14:textId="52BD7C8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662C9C3" w14:textId="4A5E6E02"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0</w:t>
            </w:r>
          </w:p>
        </w:tc>
      </w:tr>
      <w:tr w:rsidR="007B3980" w:rsidRPr="00EB1FC3" w14:paraId="58C2CC4C" w14:textId="77777777" w:rsidTr="00C17C9E">
        <w:trPr>
          <w:trHeight w:val="78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2B05C576"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 xml:space="preserve">Impairment losses recognised </w:t>
            </w:r>
            <w:proofErr w:type="gramStart"/>
            <w:r w:rsidRPr="00EB1FC3">
              <w:rPr>
                <w:rFonts w:ascii="Calibri" w:hAnsi="Calibri"/>
                <w:color w:val="000000"/>
                <w:lang w:eastAsia="en-GB"/>
              </w:rPr>
              <w:t>surplus(</w:t>
            </w:r>
            <w:proofErr w:type="gramEnd"/>
            <w:r w:rsidRPr="00EB1FC3">
              <w:rPr>
                <w:rFonts w:ascii="Calibri" w:hAnsi="Calibri"/>
                <w:color w:val="000000"/>
                <w:lang w:eastAsia="en-GB"/>
              </w:rPr>
              <w:t>-)/deficit on provision of services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7751151" w14:textId="082E2270"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12614EA" w14:textId="6CEBCD9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2CFD093C" w14:textId="2D3C29A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2580D6E" w14:textId="78178E50"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707F0A5" w14:textId="3ABB834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56A7A433" w14:textId="46A9251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8531ED4" w14:textId="6200064B"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7D2B051" w14:textId="35FE5485" w:rsidR="007B3980" w:rsidRPr="00C17C9E" w:rsidRDefault="00C17C9E" w:rsidP="003F0DE5">
            <w:pPr>
              <w:jc w:val="right"/>
              <w:rPr>
                <w:rFonts w:ascii="Calibri" w:hAnsi="Calibri"/>
                <w:b/>
                <w:bCs/>
                <w:color w:val="000000"/>
                <w:lang w:eastAsia="en-GB"/>
              </w:rPr>
            </w:pPr>
            <w:r w:rsidRPr="00C17C9E">
              <w:rPr>
                <w:rFonts w:ascii="Calibri" w:hAnsi="Calibri"/>
                <w:b/>
                <w:bCs/>
                <w:color w:val="000000"/>
                <w:lang w:eastAsia="en-GB"/>
              </w:rPr>
              <w:t>0</w:t>
            </w:r>
          </w:p>
        </w:tc>
      </w:tr>
      <w:tr w:rsidR="007B3980" w:rsidRPr="00EB1FC3" w14:paraId="30536FEF"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44245447"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Derecognition - Disposals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0C20B5F" w14:textId="02A3F49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F3B24B5" w14:textId="66EBF211"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AFC34DB" w14:textId="79E76EF2" w:rsidR="007B3980" w:rsidRPr="00EB1FC3" w:rsidRDefault="00C17C9E" w:rsidP="003F0DE5">
            <w:pPr>
              <w:jc w:val="right"/>
              <w:rPr>
                <w:rFonts w:ascii="Calibri" w:hAnsi="Calibri"/>
                <w:color w:val="000000"/>
                <w:lang w:eastAsia="en-GB"/>
              </w:rPr>
            </w:pPr>
            <w:r>
              <w:rPr>
                <w:rFonts w:ascii="Calibri" w:hAnsi="Calibri"/>
                <w:color w:val="000000"/>
                <w:lang w:eastAsia="en-GB"/>
              </w:rPr>
              <w:t>1</w:t>
            </w:r>
            <w:r w:rsidR="00350811">
              <w:rPr>
                <w:rFonts w:ascii="Calibri" w:hAnsi="Calibri"/>
                <w:color w:val="000000"/>
                <w:lang w:eastAsia="en-GB"/>
              </w:rPr>
              <w:t>29</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48848E33" w14:textId="67B83C63"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0500FCC" w14:textId="21F18D1D"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3A7AD3B6" w14:textId="4ABF61A2"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518B55A" w14:textId="2B11645C"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FF1F511" w14:textId="1AE4A2A2" w:rsidR="007B3980" w:rsidRPr="00C17C9E" w:rsidRDefault="00350811" w:rsidP="003F0DE5">
            <w:pPr>
              <w:jc w:val="right"/>
              <w:rPr>
                <w:rFonts w:ascii="Calibri" w:hAnsi="Calibri"/>
                <w:b/>
                <w:bCs/>
                <w:color w:val="000000"/>
                <w:lang w:eastAsia="en-GB"/>
              </w:rPr>
            </w:pPr>
            <w:r>
              <w:rPr>
                <w:rFonts w:ascii="Calibri" w:hAnsi="Calibri"/>
                <w:b/>
                <w:bCs/>
                <w:color w:val="000000"/>
                <w:lang w:eastAsia="en-GB"/>
              </w:rPr>
              <w:t>129</w:t>
            </w:r>
          </w:p>
        </w:tc>
      </w:tr>
      <w:tr w:rsidR="007B3980" w:rsidRPr="00EB1FC3" w14:paraId="1AD96753"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BF9E6E3" w14:textId="77777777" w:rsidR="007B3980" w:rsidRPr="00EB1FC3" w:rsidRDefault="007B3980" w:rsidP="00EF3B80">
            <w:pPr>
              <w:rPr>
                <w:rFonts w:ascii="Calibri" w:hAnsi="Calibri"/>
                <w:color w:val="000000"/>
                <w:lang w:eastAsia="en-GB"/>
              </w:rPr>
            </w:pPr>
            <w:r w:rsidRPr="00EB1FC3">
              <w:rPr>
                <w:rFonts w:ascii="Calibri" w:hAnsi="Calibri"/>
                <w:color w:val="000000"/>
                <w:lang w:eastAsia="en-GB"/>
              </w:rPr>
              <w:t>Other movements</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D1B5BC0" w14:textId="39EA16DF"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D9B7A96" w14:textId="647C465F"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00BAC249" w14:textId="0EA490CB"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7BC0C51" w14:textId="5A536CE6"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4312FD5" w14:textId="4D859363"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0E04CA66" w14:textId="18742305"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8D555E0" w14:textId="3A70396E" w:rsidR="007B3980" w:rsidRPr="00EB1FC3" w:rsidRDefault="00C17C9E" w:rsidP="003F0DE5">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B4C5804" w14:textId="7E57F6CA" w:rsidR="007B3980" w:rsidRPr="00C62BAF" w:rsidRDefault="00C17C9E" w:rsidP="003F0DE5">
            <w:pPr>
              <w:jc w:val="right"/>
              <w:rPr>
                <w:rFonts w:ascii="Calibri" w:hAnsi="Calibri"/>
                <w:b/>
                <w:bCs/>
                <w:color w:val="000000"/>
                <w:lang w:eastAsia="en-GB"/>
              </w:rPr>
            </w:pPr>
            <w:r w:rsidRPr="00C62BAF">
              <w:rPr>
                <w:rFonts w:ascii="Calibri" w:hAnsi="Calibri"/>
                <w:b/>
                <w:bCs/>
                <w:color w:val="000000"/>
                <w:lang w:eastAsia="en-GB"/>
              </w:rPr>
              <w:t>0</w:t>
            </w:r>
          </w:p>
        </w:tc>
      </w:tr>
      <w:tr w:rsidR="007B3980" w:rsidRPr="00EB1FC3" w14:paraId="73A1FFF9"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215D94C6" w14:textId="78CA0978"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F64E05">
              <w:rPr>
                <w:rFonts w:ascii="Calibri" w:hAnsi="Calibri"/>
                <w:b/>
                <w:bCs/>
                <w:color w:val="000000"/>
                <w:lang w:eastAsia="en-GB"/>
              </w:rPr>
              <w:t>3</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E213D8F" w14:textId="1D0B3BAA"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C435151" w14:textId="52FC9B7C"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0</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3D937D5F" w14:textId="650E82C5"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-3</w:t>
            </w:r>
            <w:r w:rsidR="00350811">
              <w:rPr>
                <w:rFonts w:ascii="Calibri" w:hAnsi="Calibri"/>
                <w:b/>
                <w:bCs/>
                <w:color w:val="000000"/>
                <w:lang w:eastAsia="en-GB"/>
              </w:rPr>
              <w:t>51</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5E3D838C" w14:textId="6EDB6180"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-30</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78EC6A1F" w14:textId="445739A4"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-91</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20B0266B" w14:textId="614B1275"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0BE93CA" w14:textId="180FF018"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A3879B5" w14:textId="5814E864" w:rsidR="00350811" w:rsidRPr="00EB1FC3" w:rsidRDefault="00C62BAF" w:rsidP="003F0DE5">
            <w:pPr>
              <w:jc w:val="right"/>
              <w:rPr>
                <w:rFonts w:ascii="Calibri" w:hAnsi="Calibri"/>
                <w:b/>
                <w:bCs/>
                <w:color w:val="000000"/>
                <w:lang w:eastAsia="en-GB"/>
              </w:rPr>
            </w:pPr>
            <w:r>
              <w:rPr>
                <w:rFonts w:ascii="Calibri" w:hAnsi="Calibri"/>
                <w:b/>
                <w:bCs/>
                <w:color w:val="000000"/>
                <w:lang w:eastAsia="en-GB"/>
              </w:rPr>
              <w:t>-4</w:t>
            </w:r>
            <w:r w:rsidR="00350811">
              <w:rPr>
                <w:rFonts w:ascii="Calibri" w:hAnsi="Calibri"/>
                <w:b/>
                <w:bCs/>
                <w:color w:val="000000"/>
                <w:lang w:eastAsia="en-GB"/>
              </w:rPr>
              <w:t>72</w:t>
            </w:r>
          </w:p>
        </w:tc>
      </w:tr>
      <w:tr w:rsidR="007B3980" w:rsidRPr="00EB1FC3" w14:paraId="090AE434" w14:textId="77777777" w:rsidTr="00C62BAF">
        <w:trPr>
          <w:trHeight w:val="300"/>
        </w:trPr>
        <w:tc>
          <w:tcPr>
            <w:tcW w:w="2855"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28E5F0E4" w14:textId="77777777" w:rsidR="007B3980" w:rsidRPr="00EB1FC3" w:rsidRDefault="007B3980" w:rsidP="00EF3B80">
            <w:pPr>
              <w:rPr>
                <w:rFonts w:ascii="Calibri" w:hAnsi="Calibri"/>
                <w:b/>
                <w:bCs/>
                <w:color w:val="000000"/>
                <w:lang w:eastAsia="en-GB"/>
              </w:rPr>
            </w:pPr>
            <w:r w:rsidRPr="00EB1FC3">
              <w:rPr>
                <w:rFonts w:ascii="Calibri" w:hAnsi="Calibri"/>
                <w:b/>
                <w:bCs/>
                <w:color w:val="000000"/>
                <w:lang w:eastAsia="en-GB"/>
              </w:rPr>
              <w:t>Net Book Value</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8571101" w14:textId="2E334893" w:rsidR="007B3980" w:rsidRPr="00EB1FC3" w:rsidRDefault="007B3980" w:rsidP="003F0DE5">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F34135A" w14:textId="0AF68404" w:rsidR="007B3980" w:rsidRPr="00EB1FC3" w:rsidRDefault="007B3980" w:rsidP="003F0DE5">
            <w:pPr>
              <w:jc w:val="right"/>
              <w:rPr>
                <w:rFonts w:ascii="Calibri" w:hAnsi="Calibri"/>
                <w:b/>
                <w:bCs/>
                <w:color w:val="000000"/>
                <w:lang w:eastAsia="en-GB"/>
              </w:rPr>
            </w:pP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6BD7422D" w14:textId="7F9B7C25" w:rsidR="007B3980" w:rsidRPr="00EB1FC3" w:rsidRDefault="007B3980" w:rsidP="003F0DE5">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3C12BA6C" w14:textId="7BD398D7" w:rsidR="007B3980" w:rsidRPr="00EB1FC3" w:rsidRDefault="007B3980" w:rsidP="003F0DE5">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3586A7AA" w14:textId="10B7F235" w:rsidR="007B3980" w:rsidRPr="00EB1FC3" w:rsidRDefault="007B3980" w:rsidP="003F0DE5">
            <w:pPr>
              <w:jc w:val="right"/>
              <w:rPr>
                <w:rFonts w:ascii="Calibri" w:hAnsi="Calibri"/>
                <w:b/>
                <w:bCs/>
                <w:color w:val="000000"/>
                <w:lang w:eastAsia="en-GB"/>
              </w:rPr>
            </w:pP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09DAE3DA" w14:textId="657D3DC7" w:rsidR="007B3980" w:rsidRPr="00EB1FC3" w:rsidRDefault="007B3980" w:rsidP="003F0DE5">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D63D36D" w14:textId="2E3294A5" w:rsidR="007B3980" w:rsidRPr="00EB1FC3" w:rsidRDefault="007B3980" w:rsidP="003F0DE5">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9B2BD09" w14:textId="2D6F9EF9" w:rsidR="007B3980" w:rsidRPr="00EB1FC3" w:rsidRDefault="007B3980" w:rsidP="003F0DE5">
            <w:pPr>
              <w:jc w:val="right"/>
              <w:rPr>
                <w:rFonts w:ascii="Calibri" w:hAnsi="Calibri"/>
                <w:b/>
                <w:bCs/>
                <w:color w:val="000000"/>
                <w:lang w:eastAsia="en-GB"/>
              </w:rPr>
            </w:pPr>
          </w:p>
        </w:tc>
      </w:tr>
      <w:tr w:rsidR="007B3980" w:rsidRPr="00EB1FC3" w14:paraId="3932227A"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01E161E1" w14:textId="466D32FD"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F64E05">
              <w:rPr>
                <w:rFonts w:ascii="Calibri" w:hAnsi="Calibri"/>
                <w:b/>
                <w:bCs/>
                <w:color w:val="000000"/>
                <w:lang w:eastAsia="en-GB"/>
              </w:rPr>
              <w:t>3</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E74B70D" w14:textId="1E52C9EF"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11</w:t>
            </w:r>
            <w:r w:rsidR="00C15DAE">
              <w:rPr>
                <w:rFonts w:ascii="Calibri" w:hAnsi="Calibri"/>
                <w:b/>
                <w:bCs/>
                <w:color w:val="000000"/>
                <w:lang w:eastAsia="en-GB"/>
              </w:rPr>
              <w:t>1,46</w:t>
            </w:r>
            <w:r w:rsidR="00615E12">
              <w:rPr>
                <w:rFonts w:ascii="Calibri" w:hAnsi="Calibri"/>
                <w:b/>
                <w:bCs/>
                <w:color w:val="000000"/>
                <w:lang w:eastAsia="en-GB"/>
              </w:rPr>
              <w:t>5</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E9F3E0D" w14:textId="3B31709B"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4</w:t>
            </w:r>
            <w:r w:rsidR="00C15DAE">
              <w:rPr>
                <w:rFonts w:ascii="Calibri" w:hAnsi="Calibri"/>
                <w:b/>
                <w:bCs/>
                <w:color w:val="000000"/>
                <w:lang w:eastAsia="en-GB"/>
              </w:rPr>
              <w:t>3,225</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5E1C3869" w14:textId="5A56669B"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8</w:t>
            </w:r>
            <w:r w:rsidR="00350811">
              <w:rPr>
                <w:rFonts w:ascii="Calibri" w:hAnsi="Calibri"/>
                <w:b/>
                <w:bCs/>
                <w:color w:val="000000"/>
                <w:lang w:eastAsia="en-GB"/>
              </w:rPr>
              <w:t>7</w:t>
            </w:r>
            <w:r w:rsidR="00C15DAE">
              <w:rPr>
                <w:rFonts w:ascii="Calibri" w:hAnsi="Calibri"/>
                <w:b/>
                <w:bCs/>
                <w:color w:val="000000"/>
                <w:lang w:eastAsia="en-GB"/>
              </w:rPr>
              <w:t>8</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7BACFD1E" w14:textId="6C123634"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11</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36775419" w14:textId="267FF87E"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26</w:t>
            </w:r>
            <w:r w:rsidR="00C15DAE">
              <w:rPr>
                <w:rFonts w:ascii="Calibri" w:hAnsi="Calibri"/>
                <w:b/>
                <w:bCs/>
                <w:color w:val="000000"/>
                <w:lang w:eastAsia="en-GB"/>
              </w:rPr>
              <w:t>9</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1AE201A6" w14:textId="6706E487" w:rsidR="007B3980" w:rsidRPr="00EB1FC3" w:rsidRDefault="00C15DAE" w:rsidP="003F0DE5">
            <w:pPr>
              <w:jc w:val="right"/>
              <w:rPr>
                <w:rFonts w:ascii="Calibri" w:hAnsi="Calibri"/>
                <w:b/>
                <w:bCs/>
                <w:color w:val="000000"/>
                <w:lang w:eastAsia="en-GB"/>
              </w:rPr>
            </w:pPr>
            <w:r>
              <w:rPr>
                <w:rFonts w:ascii="Calibri" w:hAnsi="Calibri"/>
                <w:b/>
                <w:bCs/>
                <w:color w:val="000000"/>
                <w:lang w:eastAsia="en-GB"/>
              </w:rPr>
              <w:t>1,591</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B660A7A" w14:textId="1CDA2FAB"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4ACEDF8" w14:textId="65CBBDE6" w:rsidR="007B3980" w:rsidRPr="00EB1FC3" w:rsidRDefault="00C62BAF" w:rsidP="003F0DE5">
            <w:pPr>
              <w:jc w:val="right"/>
              <w:rPr>
                <w:rFonts w:ascii="Calibri" w:hAnsi="Calibri"/>
                <w:b/>
                <w:bCs/>
                <w:color w:val="000000"/>
                <w:lang w:eastAsia="en-GB"/>
              </w:rPr>
            </w:pPr>
            <w:r>
              <w:rPr>
                <w:rFonts w:ascii="Calibri" w:hAnsi="Calibri"/>
                <w:b/>
                <w:bCs/>
                <w:color w:val="000000"/>
                <w:lang w:eastAsia="en-GB"/>
              </w:rPr>
              <w:t>157,</w:t>
            </w:r>
            <w:r w:rsidR="00C15DAE">
              <w:rPr>
                <w:rFonts w:ascii="Calibri" w:hAnsi="Calibri"/>
                <w:b/>
                <w:bCs/>
                <w:color w:val="000000"/>
                <w:lang w:eastAsia="en-GB"/>
              </w:rPr>
              <w:t>4</w:t>
            </w:r>
            <w:r w:rsidR="00615E12">
              <w:rPr>
                <w:rFonts w:ascii="Calibri" w:hAnsi="Calibri"/>
                <w:b/>
                <w:bCs/>
                <w:color w:val="000000"/>
                <w:lang w:eastAsia="en-GB"/>
              </w:rPr>
              <w:t>39</w:t>
            </w:r>
          </w:p>
        </w:tc>
      </w:tr>
      <w:tr w:rsidR="007B3980" w:rsidRPr="00EB1FC3" w14:paraId="3F6AA030" w14:textId="77777777" w:rsidTr="00C17C9E">
        <w:trPr>
          <w:trHeight w:val="300"/>
        </w:trPr>
        <w:tc>
          <w:tcPr>
            <w:tcW w:w="2855"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536184ED" w14:textId="3ED09DCD" w:rsidR="007B3980" w:rsidRPr="00EB1FC3" w:rsidRDefault="007B3980" w:rsidP="00EF3B80">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F64E05">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5F35536F" w14:textId="5AE971F5" w:rsidR="007B3980" w:rsidRPr="00EB1FC3" w:rsidRDefault="00CD7824" w:rsidP="003F0DE5">
            <w:pPr>
              <w:jc w:val="right"/>
              <w:rPr>
                <w:rFonts w:ascii="Calibri" w:hAnsi="Calibri"/>
                <w:b/>
                <w:bCs/>
                <w:color w:val="000000"/>
                <w:lang w:eastAsia="en-GB"/>
              </w:rPr>
            </w:pPr>
            <w:r>
              <w:rPr>
                <w:rFonts w:ascii="Calibri" w:hAnsi="Calibri"/>
                <w:b/>
                <w:bCs/>
                <w:color w:val="000000"/>
                <w:lang w:eastAsia="en-GB"/>
              </w:rPr>
              <w:t>105,722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1BCEB346" w14:textId="1B612762"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3</w:t>
            </w:r>
            <w:r w:rsidR="00CD7824">
              <w:rPr>
                <w:rFonts w:ascii="Calibri" w:hAnsi="Calibri"/>
                <w:b/>
                <w:bCs/>
                <w:color w:val="000000"/>
                <w:lang w:eastAsia="en-GB"/>
              </w:rPr>
              <w:t>7</w:t>
            </w:r>
            <w:r>
              <w:rPr>
                <w:rFonts w:ascii="Calibri" w:hAnsi="Calibri"/>
                <w:b/>
                <w:bCs/>
                <w:color w:val="000000"/>
                <w:lang w:eastAsia="en-GB"/>
              </w:rPr>
              <w:t>,</w:t>
            </w:r>
            <w:r w:rsidR="00CD7824">
              <w:rPr>
                <w:rFonts w:ascii="Calibri" w:hAnsi="Calibri"/>
                <w:b/>
                <w:bCs/>
                <w:color w:val="000000"/>
                <w:lang w:eastAsia="en-GB"/>
              </w:rPr>
              <w:t>169</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hideMark/>
          </w:tcPr>
          <w:p w14:paraId="63C0581F" w14:textId="7927E465" w:rsidR="007B3980" w:rsidRPr="00EB1FC3" w:rsidRDefault="00CD7824" w:rsidP="003F0DE5">
            <w:pPr>
              <w:jc w:val="right"/>
              <w:rPr>
                <w:rFonts w:ascii="Calibri" w:hAnsi="Calibri"/>
                <w:b/>
                <w:bCs/>
                <w:color w:val="000000"/>
                <w:lang w:eastAsia="en-GB"/>
              </w:rPr>
            </w:pPr>
            <w:r>
              <w:rPr>
                <w:rFonts w:ascii="Calibri" w:hAnsi="Calibri"/>
                <w:b/>
                <w:bCs/>
                <w:color w:val="000000"/>
                <w:lang w:eastAsia="en-GB"/>
              </w:rPr>
              <w:t>853</w:t>
            </w:r>
            <w:r w:rsidR="007B3980"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hideMark/>
          </w:tcPr>
          <w:p w14:paraId="65019957" w14:textId="4D596C22"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1</w:t>
            </w:r>
            <w:r w:rsidR="00CD7824">
              <w:rPr>
                <w:rFonts w:ascii="Calibri" w:hAnsi="Calibri"/>
                <w:b/>
                <w:bCs/>
                <w:color w:val="000000"/>
                <w:lang w:eastAsia="en-GB"/>
              </w:rPr>
              <w:t>2</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hideMark/>
          </w:tcPr>
          <w:p w14:paraId="09649705" w14:textId="400C1F92"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2</w:t>
            </w:r>
            <w:r w:rsidR="00CD7824">
              <w:rPr>
                <w:rFonts w:ascii="Calibri" w:hAnsi="Calibri"/>
                <w:b/>
                <w:bCs/>
                <w:color w:val="000000"/>
                <w:lang w:eastAsia="en-GB"/>
              </w:rPr>
              <w:t>61</w:t>
            </w:r>
            <w:r w:rsidRPr="00EB1FC3">
              <w:rPr>
                <w:rFonts w:ascii="Calibri" w:hAnsi="Calibri"/>
                <w:b/>
                <w:bCs/>
                <w:color w:val="000000"/>
                <w:lang w:eastAsia="en-GB"/>
              </w:rPr>
              <w:t> </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hideMark/>
          </w:tcPr>
          <w:p w14:paraId="73024A51" w14:textId="446E4677" w:rsidR="007B3980" w:rsidRPr="00EB1FC3" w:rsidRDefault="00CD7824" w:rsidP="003F0DE5">
            <w:pPr>
              <w:jc w:val="right"/>
              <w:rPr>
                <w:rFonts w:ascii="Calibri" w:hAnsi="Calibri"/>
                <w:b/>
                <w:bCs/>
                <w:color w:val="000000"/>
                <w:lang w:eastAsia="en-GB"/>
              </w:rPr>
            </w:pPr>
            <w:r>
              <w:rPr>
                <w:rFonts w:ascii="Calibri" w:hAnsi="Calibri"/>
                <w:b/>
                <w:bCs/>
                <w:color w:val="000000"/>
                <w:lang w:eastAsia="en-GB"/>
              </w:rPr>
              <w:t>2</w:t>
            </w:r>
            <w:r w:rsidR="007B3980"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39EA0BC6" w14:textId="77777777"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hideMark/>
          </w:tcPr>
          <w:p w14:paraId="62D278A1" w14:textId="6F20CBEB" w:rsidR="007B3980" w:rsidRPr="00EB1FC3" w:rsidRDefault="007B3980" w:rsidP="003F0DE5">
            <w:pPr>
              <w:jc w:val="right"/>
              <w:rPr>
                <w:rFonts w:ascii="Calibri" w:hAnsi="Calibri"/>
                <w:b/>
                <w:bCs/>
                <w:color w:val="000000"/>
                <w:lang w:eastAsia="en-GB"/>
              </w:rPr>
            </w:pPr>
            <w:r>
              <w:rPr>
                <w:rFonts w:ascii="Calibri" w:hAnsi="Calibri"/>
                <w:b/>
                <w:bCs/>
                <w:color w:val="000000"/>
                <w:lang w:eastAsia="en-GB"/>
              </w:rPr>
              <w:t>1</w:t>
            </w:r>
            <w:r w:rsidR="00CD7824">
              <w:rPr>
                <w:rFonts w:ascii="Calibri" w:hAnsi="Calibri"/>
                <w:b/>
                <w:bCs/>
                <w:color w:val="000000"/>
                <w:lang w:eastAsia="en-GB"/>
              </w:rPr>
              <w:t>44</w:t>
            </w:r>
            <w:r>
              <w:rPr>
                <w:rFonts w:ascii="Calibri" w:hAnsi="Calibri"/>
                <w:b/>
                <w:bCs/>
                <w:color w:val="000000"/>
                <w:lang w:eastAsia="en-GB"/>
              </w:rPr>
              <w:t>,</w:t>
            </w:r>
            <w:r w:rsidR="00CD7824">
              <w:rPr>
                <w:rFonts w:ascii="Calibri" w:hAnsi="Calibri"/>
                <w:b/>
                <w:bCs/>
                <w:color w:val="000000"/>
                <w:lang w:eastAsia="en-GB"/>
              </w:rPr>
              <w:t>019</w:t>
            </w:r>
            <w:r w:rsidRPr="00EB1FC3">
              <w:rPr>
                <w:rFonts w:ascii="Calibri" w:hAnsi="Calibri"/>
                <w:b/>
                <w:bCs/>
                <w:color w:val="000000"/>
                <w:lang w:eastAsia="en-GB"/>
              </w:rPr>
              <w:t> </w:t>
            </w:r>
          </w:p>
        </w:tc>
      </w:tr>
    </w:tbl>
    <w:p w14:paraId="78903A42" w14:textId="77777777" w:rsidR="007B3980" w:rsidRDefault="007B3980" w:rsidP="007B3980">
      <w:pPr>
        <w:widowControl w:val="0"/>
        <w:tabs>
          <w:tab w:val="left" w:pos="2520"/>
          <w:tab w:val="left" w:pos="7200"/>
          <w:tab w:val="left" w:pos="8460"/>
        </w:tabs>
        <w:ind w:left="567" w:hanging="567"/>
        <w:rPr>
          <w:rFonts w:ascii="Arial" w:hAnsi="Arial" w:cs="Arial"/>
          <w:b/>
        </w:rPr>
      </w:pPr>
    </w:p>
    <w:p w14:paraId="100319F1" w14:textId="6206DF6E" w:rsidR="007B3980" w:rsidRDefault="007B3980" w:rsidP="00707761">
      <w:pPr>
        <w:widowControl w:val="0"/>
        <w:tabs>
          <w:tab w:val="left" w:pos="720"/>
          <w:tab w:val="left" w:pos="1800"/>
          <w:tab w:val="left" w:pos="2520"/>
          <w:tab w:val="left" w:pos="2592"/>
          <w:tab w:val="left" w:pos="6768"/>
          <w:tab w:val="left" w:pos="8640"/>
        </w:tabs>
        <w:ind w:right="-57"/>
        <w:rPr>
          <w:rFonts w:asciiTheme="minorHAnsi" w:hAnsiTheme="minorHAnsi" w:cs="Arial"/>
          <w:sz w:val="22"/>
          <w:szCs w:val="22"/>
        </w:rPr>
      </w:pPr>
    </w:p>
    <w:p w14:paraId="3CB67799" w14:textId="77777777" w:rsidR="007B3980" w:rsidRPr="00EB1FC3" w:rsidRDefault="007B3980" w:rsidP="00707761">
      <w:pPr>
        <w:widowControl w:val="0"/>
        <w:tabs>
          <w:tab w:val="left" w:pos="720"/>
          <w:tab w:val="left" w:pos="1800"/>
          <w:tab w:val="left" w:pos="2520"/>
          <w:tab w:val="left" w:pos="2592"/>
          <w:tab w:val="left" w:pos="6768"/>
          <w:tab w:val="left" w:pos="8640"/>
        </w:tabs>
        <w:ind w:right="-57"/>
        <w:rPr>
          <w:rFonts w:asciiTheme="minorHAnsi" w:hAnsiTheme="minorHAnsi" w:cs="Arial"/>
          <w:sz w:val="22"/>
          <w:szCs w:val="22"/>
        </w:rPr>
      </w:pPr>
    </w:p>
    <w:tbl>
      <w:tblPr>
        <w:tblW w:w="9787" w:type="dxa"/>
        <w:tblInd w:w="93" w:type="dxa"/>
        <w:tblLook w:val="04A0" w:firstRow="1" w:lastRow="0" w:firstColumn="1" w:lastColumn="0" w:noHBand="0" w:noVBand="1"/>
        <w:tblCaption w:val="Property, Plant and Equipment"/>
        <w:tblDescription w:val="Movement on property, plant and equipment in 2021-22"/>
      </w:tblPr>
      <w:tblGrid>
        <w:gridCol w:w="2853"/>
        <w:gridCol w:w="953"/>
        <w:gridCol w:w="954"/>
        <w:gridCol w:w="975"/>
        <w:gridCol w:w="724"/>
        <w:gridCol w:w="724"/>
        <w:gridCol w:w="696"/>
        <w:gridCol w:w="954"/>
        <w:gridCol w:w="954"/>
      </w:tblGrid>
      <w:tr w:rsidR="00707761" w:rsidRPr="00EB1FC3" w14:paraId="5FA17784" w14:textId="77777777" w:rsidTr="00F367A2">
        <w:trPr>
          <w:trHeight w:val="2010"/>
          <w:tblHeader/>
        </w:trPr>
        <w:tc>
          <w:tcPr>
            <w:tcW w:w="2853" w:type="dxa"/>
            <w:tcBorders>
              <w:top w:val="nil"/>
              <w:left w:val="nil"/>
              <w:bottom w:val="nil"/>
              <w:right w:val="nil"/>
            </w:tcBorders>
            <w:shd w:val="clear" w:color="auto" w:fill="FABF8F" w:themeFill="accent6" w:themeFillTint="99"/>
            <w:noWrap/>
            <w:vAlign w:val="bottom"/>
            <w:hideMark/>
          </w:tcPr>
          <w:p w14:paraId="2C6914F6" w14:textId="77777777" w:rsidR="00707761" w:rsidRDefault="00707761" w:rsidP="00ED6507">
            <w:pPr>
              <w:rPr>
                <w:rFonts w:ascii="Arial" w:hAnsi="Arial" w:cs="Arial"/>
                <w:b/>
              </w:rPr>
            </w:pPr>
          </w:p>
          <w:p w14:paraId="5655E254" w14:textId="77777777" w:rsidR="00707761" w:rsidRDefault="00707761" w:rsidP="00ED6507">
            <w:pPr>
              <w:rPr>
                <w:rFonts w:ascii="Arial" w:hAnsi="Arial" w:cs="Arial"/>
                <w:b/>
              </w:rPr>
            </w:pPr>
          </w:p>
          <w:p w14:paraId="37D89CDD" w14:textId="29103495" w:rsidR="003E08B9" w:rsidRPr="00EB1FC3" w:rsidRDefault="00707761" w:rsidP="00114386">
            <w:pPr>
              <w:rPr>
                <w:rFonts w:ascii="Calibri" w:hAnsi="Calibri"/>
                <w:color w:val="000000"/>
                <w:lang w:eastAsia="en-GB"/>
              </w:rPr>
            </w:pPr>
            <w:r>
              <w:rPr>
                <w:rFonts w:ascii="Arial" w:hAnsi="Arial" w:cs="Arial"/>
                <w:b/>
              </w:rPr>
              <w:tab/>
            </w:r>
            <w:r w:rsidRPr="00EB1FC3">
              <w:rPr>
                <w:rFonts w:ascii="Calibri" w:hAnsi="Calibri"/>
                <w:color w:val="000000"/>
                <w:lang w:eastAsia="en-GB"/>
              </w:rPr>
              <w:t>20</w:t>
            </w:r>
            <w:r w:rsidR="00114386">
              <w:rPr>
                <w:rFonts w:ascii="Calibri" w:hAnsi="Calibri"/>
                <w:color w:val="000000"/>
                <w:lang w:eastAsia="en-GB"/>
              </w:rPr>
              <w:t>2</w:t>
            </w:r>
            <w:r w:rsidR="001476EC">
              <w:rPr>
                <w:rFonts w:ascii="Calibri" w:hAnsi="Calibri"/>
                <w:color w:val="000000"/>
                <w:lang w:eastAsia="en-GB"/>
              </w:rPr>
              <w:t>1</w:t>
            </w:r>
            <w:r w:rsidRPr="00EB1FC3">
              <w:rPr>
                <w:rFonts w:ascii="Calibri" w:hAnsi="Calibri"/>
                <w:color w:val="000000"/>
                <w:lang w:eastAsia="en-GB"/>
              </w:rPr>
              <w:t>-</w:t>
            </w:r>
            <w:r w:rsidR="00AA5389">
              <w:rPr>
                <w:rFonts w:ascii="Calibri" w:hAnsi="Calibri"/>
                <w:color w:val="000000"/>
                <w:lang w:eastAsia="en-GB"/>
              </w:rPr>
              <w:t>2</w:t>
            </w:r>
            <w:r w:rsidR="001476EC">
              <w:rPr>
                <w:rFonts w:ascii="Calibri" w:hAnsi="Calibri"/>
                <w:color w:val="000000"/>
                <w:lang w:eastAsia="en-GB"/>
              </w:rPr>
              <w:t>2</w:t>
            </w:r>
          </w:p>
        </w:tc>
        <w:tc>
          <w:tcPr>
            <w:tcW w:w="953" w:type="dxa"/>
            <w:tcBorders>
              <w:top w:val="single" w:sz="4" w:space="0" w:color="FFFFFF"/>
              <w:left w:val="single" w:sz="4" w:space="0" w:color="FFFFFF"/>
              <w:bottom w:val="single" w:sz="4" w:space="0" w:color="FFFFFF"/>
              <w:right w:val="single" w:sz="4" w:space="0" w:color="FFFFFF"/>
            </w:tcBorders>
            <w:shd w:val="clear" w:color="auto" w:fill="FABF8F" w:themeFill="accent6" w:themeFillTint="99"/>
            <w:textDirection w:val="btLr"/>
            <w:vAlign w:val="bottom"/>
            <w:hideMark/>
          </w:tcPr>
          <w:p w14:paraId="0C0696CA" w14:textId="77777777" w:rsidR="00707761" w:rsidRPr="00EB1FC3" w:rsidRDefault="00707761" w:rsidP="00ED6507">
            <w:pPr>
              <w:rPr>
                <w:rFonts w:ascii="Calibri" w:hAnsi="Calibri"/>
                <w:color w:val="000000"/>
                <w:lang w:eastAsia="en-GB"/>
              </w:rPr>
            </w:pPr>
            <w:r w:rsidRPr="00EB1FC3">
              <w:rPr>
                <w:rFonts w:ascii="Calibri" w:hAnsi="Calibri"/>
                <w:color w:val="000000"/>
                <w:lang w:eastAsia="en-GB"/>
              </w:rPr>
              <w:t>Council</w:t>
            </w:r>
            <w:r w:rsidRPr="00EB1FC3">
              <w:rPr>
                <w:rFonts w:ascii="Calibri" w:hAnsi="Calibri"/>
                <w:color w:val="000000"/>
                <w:lang w:eastAsia="en-GB"/>
              </w:rPr>
              <w:br/>
              <w:t>Dwellings</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73D38850" w14:textId="77C908B2" w:rsidR="00707761" w:rsidRPr="00EB1FC3" w:rsidRDefault="00707761" w:rsidP="00ED6507">
            <w:pPr>
              <w:rPr>
                <w:rFonts w:ascii="Calibri" w:hAnsi="Calibri"/>
                <w:color w:val="000000"/>
                <w:lang w:eastAsia="en-GB"/>
              </w:rPr>
            </w:pPr>
            <w:r w:rsidRPr="00EB1FC3">
              <w:rPr>
                <w:rFonts w:ascii="Calibri" w:hAnsi="Calibri"/>
                <w:color w:val="000000"/>
                <w:lang w:eastAsia="en-GB"/>
              </w:rPr>
              <w:t xml:space="preserve">Other Land </w:t>
            </w:r>
            <w:r w:rsidR="00704A70">
              <w:rPr>
                <w:rFonts w:ascii="Calibri" w:hAnsi="Calibri"/>
                <w:color w:val="000000"/>
                <w:lang w:eastAsia="en-GB"/>
              </w:rPr>
              <w:t>and</w:t>
            </w:r>
            <w:r w:rsidRPr="00EB1FC3">
              <w:rPr>
                <w:rFonts w:ascii="Calibri" w:hAnsi="Calibri"/>
                <w:color w:val="000000"/>
                <w:lang w:eastAsia="en-GB"/>
              </w:rPr>
              <w:br/>
              <w:t>Buildings</w:t>
            </w:r>
          </w:p>
        </w:tc>
        <w:tc>
          <w:tcPr>
            <w:tcW w:w="975"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15216977" w14:textId="4B57C066" w:rsidR="00707761" w:rsidRPr="00EB1FC3" w:rsidRDefault="00707761" w:rsidP="00ED6507">
            <w:pPr>
              <w:rPr>
                <w:rFonts w:ascii="Calibri" w:hAnsi="Calibri"/>
                <w:color w:val="000000"/>
                <w:lang w:eastAsia="en-GB"/>
              </w:rPr>
            </w:pPr>
            <w:r w:rsidRPr="00EB1FC3">
              <w:rPr>
                <w:rFonts w:ascii="Calibri" w:hAnsi="Calibri"/>
                <w:color w:val="000000"/>
                <w:lang w:eastAsia="en-GB"/>
              </w:rPr>
              <w:t>Vehicles, Plant,</w:t>
            </w:r>
            <w:r w:rsidRPr="00EB1FC3">
              <w:rPr>
                <w:rFonts w:ascii="Calibri" w:hAnsi="Calibri"/>
                <w:color w:val="000000"/>
                <w:lang w:eastAsia="en-GB"/>
              </w:rPr>
              <w:br/>
              <w:t xml:space="preserve">Furniture </w:t>
            </w:r>
            <w:r w:rsidR="00704A70">
              <w:rPr>
                <w:rFonts w:ascii="Calibri" w:hAnsi="Calibri"/>
                <w:color w:val="000000"/>
                <w:lang w:eastAsia="en-GB"/>
              </w:rPr>
              <w:t>and</w:t>
            </w:r>
            <w:r w:rsidRPr="00EB1FC3">
              <w:rPr>
                <w:rFonts w:ascii="Calibri" w:hAnsi="Calibri"/>
                <w:color w:val="000000"/>
                <w:lang w:eastAsia="en-GB"/>
              </w:rPr>
              <w:br/>
              <w:t>Equipment</w:t>
            </w:r>
          </w:p>
        </w:tc>
        <w:tc>
          <w:tcPr>
            <w:tcW w:w="72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3DD7AC35" w14:textId="77777777" w:rsidR="00707761" w:rsidRPr="00EB1FC3" w:rsidRDefault="00707761" w:rsidP="00ED6507">
            <w:pPr>
              <w:rPr>
                <w:rFonts w:ascii="Calibri" w:hAnsi="Calibri"/>
                <w:color w:val="000000"/>
                <w:lang w:eastAsia="en-GB"/>
              </w:rPr>
            </w:pPr>
            <w:r w:rsidRPr="00EB1FC3">
              <w:rPr>
                <w:rFonts w:ascii="Calibri" w:hAnsi="Calibri"/>
                <w:color w:val="000000"/>
                <w:lang w:eastAsia="en-GB"/>
              </w:rPr>
              <w:t>Infrastructure</w:t>
            </w:r>
            <w:r w:rsidRPr="00EB1FC3">
              <w:rPr>
                <w:rFonts w:ascii="Calibri" w:hAnsi="Calibri"/>
                <w:color w:val="000000"/>
                <w:lang w:eastAsia="en-GB"/>
              </w:rPr>
              <w:br/>
              <w:t>Assets</w:t>
            </w:r>
          </w:p>
        </w:tc>
        <w:tc>
          <w:tcPr>
            <w:tcW w:w="72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15F64D04" w14:textId="77777777" w:rsidR="00707761" w:rsidRPr="00EB1FC3" w:rsidRDefault="00707761" w:rsidP="00ED6507">
            <w:pPr>
              <w:rPr>
                <w:rFonts w:ascii="Calibri" w:hAnsi="Calibri"/>
                <w:color w:val="000000"/>
                <w:lang w:eastAsia="en-GB"/>
              </w:rPr>
            </w:pPr>
            <w:r w:rsidRPr="00EB1FC3">
              <w:rPr>
                <w:rFonts w:ascii="Calibri" w:hAnsi="Calibri"/>
                <w:color w:val="000000"/>
                <w:lang w:eastAsia="en-GB"/>
              </w:rPr>
              <w:t>Community</w:t>
            </w:r>
            <w:r w:rsidRPr="00EB1FC3">
              <w:rPr>
                <w:rFonts w:ascii="Calibri" w:hAnsi="Calibri"/>
                <w:color w:val="000000"/>
                <w:lang w:eastAsia="en-GB"/>
              </w:rPr>
              <w:br/>
              <w:t>Assets</w:t>
            </w:r>
          </w:p>
        </w:tc>
        <w:tc>
          <w:tcPr>
            <w:tcW w:w="696"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24F54B2D" w14:textId="77777777" w:rsidR="00707761" w:rsidRPr="00EB1FC3" w:rsidRDefault="00707761" w:rsidP="00ED6507">
            <w:pPr>
              <w:rPr>
                <w:rFonts w:ascii="Calibri" w:hAnsi="Calibri"/>
                <w:color w:val="000000"/>
                <w:lang w:eastAsia="en-GB"/>
              </w:rPr>
            </w:pPr>
            <w:r w:rsidRPr="00EB1FC3">
              <w:rPr>
                <w:rFonts w:ascii="Calibri" w:hAnsi="Calibri"/>
                <w:color w:val="000000"/>
                <w:lang w:eastAsia="en-GB"/>
              </w:rPr>
              <w:t>Surplus Assets</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7151C414" w14:textId="77777777" w:rsidR="00707761" w:rsidRPr="00EB1FC3" w:rsidRDefault="00707761" w:rsidP="00ED6507">
            <w:pPr>
              <w:rPr>
                <w:rFonts w:ascii="Calibri" w:hAnsi="Calibri"/>
                <w:color w:val="000000"/>
                <w:lang w:eastAsia="en-GB"/>
              </w:rPr>
            </w:pPr>
            <w:r w:rsidRPr="00EB1FC3">
              <w:rPr>
                <w:rFonts w:ascii="Calibri" w:hAnsi="Calibri"/>
                <w:color w:val="000000"/>
                <w:lang w:eastAsia="en-GB"/>
              </w:rPr>
              <w:t>Assets Under</w:t>
            </w:r>
            <w:r w:rsidRPr="00EB1FC3">
              <w:rPr>
                <w:rFonts w:ascii="Calibri" w:hAnsi="Calibri"/>
                <w:color w:val="000000"/>
                <w:lang w:eastAsia="en-GB"/>
              </w:rPr>
              <w:br/>
              <w:t>Construction</w:t>
            </w:r>
          </w:p>
        </w:tc>
        <w:tc>
          <w:tcPr>
            <w:tcW w:w="954" w:type="dxa"/>
            <w:tcBorders>
              <w:top w:val="single" w:sz="4" w:space="0" w:color="FFFFFF"/>
              <w:left w:val="nil"/>
              <w:bottom w:val="single" w:sz="4" w:space="0" w:color="FFFFFF"/>
              <w:right w:val="single" w:sz="4" w:space="0" w:color="FFFFFF"/>
            </w:tcBorders>
            <w:shd w:val="clear" w:color="auto" w:fill="FABF8F" w:themeFill="accent6" w:themeFillTint="99"/>
            <w:textDirection w:val="btLr"/>
            <w:vAlign w:val="bottom"/>
            <w:hideMark/>
          </w:tcPr>
          <w:p w14:paraId="68DC1F16" w14:textId="5252BA47" w:rsidR="00707761" w:rsidRPr="00EB1FC3" w:rsidRDefault="00707761" w:rsidP="00ED6507">
            <w:pPr>
              <w:rPr>
                <w:rFonts w:ascii="Calibri" w:hAnsi="Calibri"/>
                <w:color w:val="000000"/>
                <w:lang w:eastAsia="en-GB"/>
              </w:rPr>
            </w:pPr>
            <w:r w:rsidRPr="00EB1FC3">
              <w:rPr>
                <w:rFonts w:ascii="Calibri" w:hAnsi="Calibri"/>
                <w:color w:val="000000"/>
                <w:lang w:eastAsia="en-GB"/>
              </w:rPr>
              <w:t xml:space="preserve">Total Property, Plant </w:t>
            </w:r>
            <w:r w:rsidR="00704A70">
              <w:rPr>
                <w:rFonts w:ascii="Calibri" w:hAnsi="Calibri"/>
                <w:color w:val="000000"/>
                <w:lang w:eastAsia="en-GB"/>
              </w:rPr>
              <w:t>and</w:t>
            </w:r>
            <w:r w:rsidRPr="00EB1FC3">
              <w:rPr>
                <w:rFonts w:ascii="Calibri" w:hAnsi="Calibri"/>
                <w:color w:val="000000"/>
                <w:lang w:eastAsia="en-GB"/>
              </w:rPr>
              <w:br/>
              <w:t>Equipment</w:t>
            </w:r>
          </w:p>
        </w:tc>
      </w:tr>
      <w:tr w:rsidR="00707761" w:rsidRPr="00EB1FC3" w14:paraId="5121A9E8" w14:textId="77777777" w:rsidTr="00ED56BB">
        <w:trPr>
          <w:trHeight w:val="300"/>
        </w:trPr>
        <w:tc>
          <w:tcPr>
            <w:tcW w:w="2853" w:type="dxa"/>
            <w:tcBorders>
              <w:top w:val="nil"/>
              <w:left w:val="nil"/>
              <w:bottom w:val="nil"/>
              <w:right w:val="nil"/>
            </w:tcBorders>
            <w:shd w:val="clear" w:color="auto" w:fill="FABF8F" w:themeFill="accent6" w:themeFillTint="99"/>
            <w:noWrap/>
            <w:vAlign w:val="bottom"/>
            <w:hideMark/>
          </w:tcPr>
          <w:p w14:paraId="5072EBB4" w14:textId="77777777" w:rsidR="00707761" w:rsidRPr="00EB1FC3" w:rsidRDefault="00707761" w:rsidP="00ED6507">
            <w:pPr>
              <w:rPr>
                <w:rFonts w:ascii="Calibri" w:hAnsi="Calibri"/>
                <w:color w:val="000000"/>
                <w:lang w:eastAsia="en-GB"/>
              </w:rPr>
            </w:pPr>
          </w:p>
        </w:tc>
        <w:tc>
          <w:tcPr>
            <w:tcW w:w="953" w:type="dxa"/>
            <w:tcBorders>
              <w:top w:val="nil"/>
              <w:left w:val="single" w:sz="4" w:space="0" w:color="FFFFFF"/>
              <w:bottom w:val="nil"/>
              <w:right w:val="single" w:sz="4" w:space="0" w:color="FFFFFF"/>
            </w:tcBorders>
            <w:shd w:val="clear" w:color="auto" w:fill="FABF8F" w:themeFill="accent6" w:themeFillTint="99"/>
            <w:noWrap/>
            <w:vAlign w:val="bottom"/>
            <w:hideMark/>
          </w:tcPr>
          <w:p w14:paraId="63C92FAE"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38371781"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975" w:type="dxa"/>
            <w:tcBorders>
              <w:top w:val="nil"/>
              <w:left w:val="nil"/>
              <w:bottom w:val="nil"/>
              <w:right w:val="single" w:sz="4" w:space="0" w:color="FFFFFF"/>
            </w:tcBorders>
            <w:shd w:val="clear" w:color="auto" w:fill="FABF8F" w:themeFill="accent6" w:themeFillTint="99"/>
            <w:noWrap/>
            <w:vAlign w:val="bottom"/>
            <w:hideMark/>
          </w:tcPr>
          <w:p w14:paraId="348D7BEB"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724" w:type="dxa"/>
            <w:tcBorders>
              <w:top w:val="nil"/>
              <w:left w:val="nil"/>
              <w:bottom w:val="nil"/>
              <w:right w:val="single" w:sz="4" w:space="0" w:color="FFFFFF"/>
            </w:tcBorders>
            <w:shd w:val="clear" w:color="auto" w:fill="FABF8F" w:themeFill="accent6" w:themeFillTint="99"/>
            <w:noWrap/>
            <w:vAlign w:val="bottom"/>
            <w:hideMark/>
          </w:tcPr>
          <w:p w14:paraId="32D7A7DC"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724" w:type="dxa"/>
            <w:tcBorders>
              <w:top w:val="nil"/>
              <w:left w:val="nil"/>
              <w:bottom w:val="nil"/>
              <w:right w:val="single" w:sz="4" w:space="0" w:color="FFFFFF"/>
            </w:tcBorders>
            <w:shd w:val="clear" w:color="auto" w:fill="FABF8F" w:themeFill="accent6" w:themeFillTint="99"/>
            <w:noWrap/>
            <w:vAlign w:val="bottom"/>
            <w:hideMark/>
          </w:tcPr>
          <w:p w14:paraId="164F7353"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696" w:type="dxa"/>
            <w:tcBorders>
              <w:top w:val="nil"/>
              <w:left w:val="nil"/>
              <w:bottom w:val="nil"/>
              <w:right w:val="single" w:sz="4" w:space="0" w:color="FFFFFF"/>
            </w:tcBorders>
            <w:shd w:val="clear" w:color="auto" w:fill="FABF8F" w:themeFill="accent6" w:themeFillTint="99"/>
            <w:noWrap/>
            <w:vAlign w:val="bottom"/>
            <w:hideMark/>
          </w:tcPr>
          <w:p w14:paraId="0107E6D0"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272E5AC2"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c>
          <w:tcPr>
            <w:tcW w:w="954" w:type="dxa"/>
            <w:tcBorders>
              <w:top w:val="nil"/>
              <w:left w:val="nil"/>
              <w:bottom w:val="nil"/>
              <w:right w:val="single" w:sz="4" w:space="0" w:color="FFFFFF"/>
            </w:tcBorders>
            <w:shd w:val="clear" w:color="auto" w:fill="FABF8F" w:themeFill="accent6" w:themeFillTint="99"/>
            <w:noWrap/>
            <w:vAlign w:val="bottom"/>
            <w:hideMark/>
          </w:tcPr>
          <w:p w14:paraId="385C89DD" w14:textId="77777777" w:rsidR="00707761" w:rsidRPr="00EB1FC3" w:rsidRDefault="00707761" w:rsidP="00ED6507">
            <w:pPr>
              <w:jc w:val="right"/>
              <w:rPr>
                <w:rFonts w:ascii="Calibri" w:hAnsi="Calibri"/>
                <w:color w:val="000000"/>
                <w:lang w:eastAsia="en-GB"/>
              </w:rPr>
            </w:pPr>
            <w:r w:rsidRPr="00EB1FC3">
              <w:rPr>
                <w:rFonts w:ascii="Calibri" w:hAnsi="Calibri"/>
                <w:color w:val="000000"/>
                <w:lang w:eastAsia="en-GB"/>
              </w:rPr>
              <w:t>£'000</w:t>
            </w:r>
          </w:p>
        </w:tc>
      </w:tr>
      <w:tr w:rsidR="00707761" w:rsidRPr="00EB1FC3" w14:paraId="5FFA751F" w14:textId="77777777" w:rsidTr="00ED56BB">
        <w:trPr>
          <w:trHeight w:val="300"/>
        </w:trPr>
        <w:tc>
          <w:tcPr>
            <w:tcW w:w="2853" w:type="dxa"/>
            <w:tcBorders>
              <w:top w:val="single" w:sz="4" w:space="0" w:color="FFFFFF"/>
              <w:left w:val="single" w:sz="4" w:space="0" w:color="FFFFFF"/>
              <w:bottom w:val="single" w:sz="4" w:space="0" w:color="FFFFFF"/>
              <w:right w:val="single" w:sz="4" w:space="0" w:color="FFFFFF"/>
            </w:tcBorders>
            <w:shd w:val="clear" w:color="auto" w:fill="FDE9D9" w:themeFill="accent6" w:themeFillTint="33"/>
            <w:noWrap/>
            <w:vAlign w:val="bottom"/>
            <w:hideMark/>
          </w:tcPr>
          <w:p w14:paraId="137FF782" w14:textId="77777777" w:rsidR="00707761" w:rsidRPr="00EB1FC3" w:rsidRDefault="00707761" w:rsidP="00ED6507">
            <w:pPr>
              <w:rPr>
                <w:rFonts w:ascii="Calibri" w:hAnsi="Calibri"/>
                <w:b/>
                <w:bCs/>
                <w:color w:val="000000"/>
                <w:lang w:eastAsia="en-GB"/>
              </w:rPr>
            </w:pPr>
            <w:r w:rsidRPr="00EB1FC3">
              <w:rPr>
                <w:rFonts w:ascii="Calibri" w:hAnsi="Calibri"/>
                <w:b/>
                <w:bCs/>
                <w:color w:val="000000"/>
                <w:lang w:eastAsia="en-GB"/>
              </w:rPr>
              <w:t>Cost or Valuation</w:t>
            </w:r>
          </w:p>
        </w:tc>
        <w:tc>
          <w:tcPr>
            <w:tcW w:w="953"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2F4701FB"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5223C629"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975"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4175F3C7"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724"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6515EDCF"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724"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15511A35"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696"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63672E55"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DE9D9" w:themeFill="accent6" w:themeFillTint="33"/>
            <w:noWrap/>
            <w:vAlign w:val="center"/>
            <w:hideMark/>
          </w:tcPr>
          <w:p w14:paraId="08694CDF"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c>
          <w:tcPr>
            <w:tcW w:w="954" w:type="dxa"/>
            <w:tcBorders>
              <w:top w:val="single" w:sz="4" w:space="0" w:color="FFFFFF"/>
              <w:left w:val="nil"/>
              <w:bottom w:val="single" w:sz="4" w:space="0" w:color="FFFFFF"/>
              <w:right w:val="single" w:sz="4" w:space="0" w:color="FFFFFF"/>
            </w:tcBorders>
            <w:shd w:val="clear" w:color="auto" w:fill="FBD4B4" w:themeFill="accent6" w:themeFillTint="66"/>
            <w:noWrap/>
            <w:vAlign w:val="center"/>
            <w:hideMark/>
          </w:tcPr>
          <w:p w14:paraId="4AB6C042" w14:textId="77777777" w:rsidR="00707761" w:rsidRPr="00EB1FC3" w:rsidRDefault="00707761" w:rsidP="00ED6507">
            <w:pPr>
              <w:jc w:val="right"/>
              <w:rPr>
                <w:rFonts w:ascii="Calibri" w:hAnsi="Calibri"/>
                <w:b/>
                <w:bCs/>
                <w:color w:val="000000"/>
                <w:lang w:eastAsia="en-GB"/>
              </w:rPr>
            </w:pPr>
            <w:r w:rsidRPr="00EB1FC3">
              <w:rPr>
                <w:rFonts w:ascii="Calibri" w:hAnsi="Calibri"/>
                <w:b/>
                <w:bCs/>
                <w:color w:val="000000"/>
                <w:lang w:eastAsia="en-GB"/>
              </w:rPr>
              <w:t> </w:t>
            </w:r>
          </w:p>
        </w:tc>
      </w:tr>
      <w:tr w:rsidR="00E60D59" w:rsidRPr="00EB1FC3" w14:paraId="682FF2C9"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noWrap/>
            <w:vAlign w:val="bottom"/>
            <w:hideMark/>
          </w:tcPr>
          <w:p w14:paraId="266C1B9A" w14:textId="2C3AB181" w:rsidR="00E60D59" w:rsidRPr="00EB1FC3" w:rsidRDefault="00E60D59" w:rsidP="0058145B">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1 April 20</w:t>
            </w:r>
            <w:r w:rsidR="009641FA">
              <w:rPr>
                <w:rFonts w:ascii="Calibri" w:hAnsi="Calibri"/>
                <w:b/>
                <w:bCs/>
                <w:color w:val="000000"/>
                <w:lang w:eastAsia="en-GB"/>
              </w:rPr>
              <w:t>2</w:t>
            </w:r>
            <w:r w:rsidR="001476EC">
              <w:rPr>
                <w:rFonts w:ascii="Calibri" w:hAnsi="Calibri"/>
                <w:b/>
                <w:bCs/>
                <w:color w:val="000000"/>
                <w:lang w:eastAsia="en-GB"/>
              </w:rPr>
              <w:t>1</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C6BA7A8" w14:textId="0CBC004A" w:rsidR="00E60D59" w:rsidRPr="00EB1FC3" w:rsidRDefault="009641FA" w:rsidP="00B3336C">
            <w:pPr>
              <w:jc w:val="right"/>
              <w:rPr>
                <w:rFonts w:ascii="Calibri" w:hAnsi="Calibri"/>
                <w:b/>
                <w:bCs/>
                <w:color w:val="000000"/>
                <w:lang w:eastAsia="en-GB"/>
              </w:rPr>
            </w:pPr>
            <w:r>
              <w:rPr>
                <w:rFonts w:ascii="Calibri" w:hAnsi="Calibri"/>
                <w:b/>
                <w:bCs/>
                <w:color w:val="000000"/>
                <w:lang w:eastAsia="en-GB"/>
              </w:rPr>
              <w:t>9</w:t>
            </w:r>
            <w:r w:rsidR="00C10FB0">
              <w:rPr>
                <w:rFonts w:ascii="Calibri" w:hAnsi="Calibri"/>
                <w:b/>
                <w:bCs/>
                <w:color w:val="000000"/>
                <w:lang w:eastAsia="en-GB"/>
              </w:rPr>
              <w:t>7</w:t>
            </w:r>
            <w:r w:rsidR="00E60D59">
              <w:rPr>
                <w:rFonts w:ascii="Calibri" w:hAnsi="Calibri"/>
                <w:b/>
                <w:bCs/>
                <w:color w:val="000000"/>
                <w:lang w:eastAsia="en-GB"/>
              </w:rPr>
              <w:t>,</w:t>
            </w:r>
            <w:r w:rsidR="00C10FB0">
              <w:rPr>
                <w:rFonts w:ascii="Calibri" w:hAnsi="Calibri"/>
                <w:b/>
                <w:bCs/>
                <w:color w:val="000000"/>
                <w:lang w:eastAsia="en-GB"/>
              </w:rPr>
              <w:t>768</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90BA129" w14:textId="4F2424CB" w:rsidR="00E60D59" w:rsidRPr="00EB1FC3" w:rsidRDefault="009641FA" w:rsidP="009641FA">
            <w:pPr>
              <w:jc w:val="right"/>
              <w:rPr>
                <w:rFonts w:ascii="Calibri" w:hAnsi="Calibri"/>
                <w:b/>
                <w:bCs/>
                <w:color w:val="000000"/>
                <w:lang w:eastAsia="en-GB"/>
              </w:rPr>
            </w:pPr>
            <w:r>
              <w:rPr>
                <w:rFonts w:ascii="Calibri" w:hAnsi="Calibri"/>
                <w:b/>
                <w:bCs/>
                <w:color w:val="000000"/>
                <w:lang w:eastAsia="en-GB"/>
              </w:rPr>
              <w:t>3</w:t>
            </w:r>
            <w:r w:rsidR="00C10FB0">
              <w:rPr>
                <w:rFonts w:ascii="Calibri" w:hAnsi="Calibri"/>
                <w:b/>
                <w:bCs/>
                <w:color w:val="000000"/>
                <w:lang w:eastAsia="en-GB"/>
              </w:rPr>
              <w:t>7</w:t>
            </w:r>
            <w:r w:rsidR="00E60D59">
              <w:rPr>
                <w:rFonts w:ascii="Calibri" w:hAnsi="Calibri"/>
                <w:b/>
                <w:bCs/>
                <w:color w:val="000000"/>
                <w:lang w:eastAsia="en-GB"/>
              </w:rPr>
              <w:t>,</w:t>
            </w:r>
            <w:r w:rsidR="00C10FB0">
              <w:rPr>
                <w:rFonts w:ascii="Calibri" w:hAnsi="Calibri"/>
                <w:b/>
                <w:bCs/>
                <w:color w:val="000000"/>
                <w:lang w:eastAsia="en-GB"/>
              </w:rPr>
              <w:t>514</w:t>
            </w:r>
            <w:r w:rsidR="00E60D59" w:rsidRPr="00EB1FC3">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7E328685" w14:textId="48590059" w:rsidR="00E60D59" w:rsidRPr="00EB1FC3" w:rsidRDefault="00E60D59" w:rsidP="00B3336C">
            <w:pPr>
              <w:jc w:val="right"/>
              <w:rPr>
                <w:rFonts w:ascii="Calibri" w:hAnsi="Calibri"/>
                <w:b/>
                <w:bCs/>
                <w:color w:val="000000"/>
                <w:lang w:eastAsia="en-GB"/>
              </w:rPr>
            </w:pPr>
            <w:r>
              <w:rPr>
                <w:rFonts w:ascii="Calibri" w:hAnsi="Calibri"/>
                <w:b/>
                <w:bCs/>
                <w:color w:val="000000"/>
                <w:lang w:eastAsia="en-GB"/>
              </w:rPr>
              <w:t>1,</w:t>
            </w:r>
            <w:r w:rsidR="00C10FB0">
              <w:rPr>
                <w:rFonts w:ascii="Calibri" w:hAnsi="Calibri"/>
                <w:b/>
                <w:bCs/>
                <w:color w:val="000000"/>
                <w:lang w:eastAsia="en-GB"/>
              </w:rPr>
              <w:t>434</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35F9A58" w14:textId="77777777" w:rsidR="00E60D59" w:rsidRPr="00EB1FC3" w:rsidRDefault="00B3336C" w:rsidP="008003D6">
            <w:pPr>
              <w:jc w:val="right"/>
              <w:rPr>
                <w:rFonts w:ascii="Calibri" w:hAnsi="Calibri"/>
                <w:b/>
                <w:bCs/>
                <w:color w:val="000000"/>
                <w:lang w:eastAsia="en-GB"/>
              </w:rPr>
            </w:pPr>
            <w:r>
              <w:rPr>
                <w:rFonts w:ascii="Calibri" w:hAnsi="Calibri"/>
                <w:b/>
                <w:bCs/>
                <w:color w:val="000000"/>
                <w:lang w:eastAsia="en-GB"/>
              </w:rPr>
              <w:t>41</w:t>
            </w:r>
            <w:r w:rsidR="00E60D59"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5B10FE4" w14:textId="42A5C1E1" w:rsidR="00E60D59" w:rsidRPr="00EB1FC3" w:rsidRDefault="00B3336C" w:rsidP="008003D6">
            <w:pPr>
              <w:jc w:val="right"/>
              <w:rPr>
                <w:rFonts w:ascii="Calibri" w:hAnsi="Calibri"/>
                <w:b/>
                <w:bCs/>
                <w:color w:val="000000"/>
                <w:lang w:eastAsia="en-GB"/>
              </w:rPr>
            </w:pPr>
            <w:r>
              <w:rPr>
                <w:rFonts w:ascii="Calibri" w:hAnsi="Calibri"/>
                <w:b/>
                <w:bCs/>
                <w:color w:val="000000"/>
                <w:lang w:eastAsia="en-GB"/>
              </w:rPr>
              <w:t>3</w:t>
            </w:r>
            <w:r w:rsidR="00C10FB0">
              <w:rPr>
                <w:rFonts w:ascii="Calibri" w:hAnsi="Calibri"/>
                <w:b/>
                <w:bCs/>
                <w:color w:val="000000"/>
                <w:lang w:eastAsia="en-GB"/>
              </w:rPr>
              <w:t>52</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64BB6349" w14:textId="4F10DB2A" w:rsidR="00E60D59" w:rsidRPr="00EB1FC3" w:rsidRDefault="00C10FB0" w:rsidP="009641FA">
            <w:pPr>
              <w:jc w:val="right"/>
              <w:rPr>
                <w:rFonts w:ascii="Calibri" w:hAnsi="Calibri"/>
                <w:b/>
                <w:bCs/>
                <w:color w:val="000000"/>
                <w:lang w:eastAsia="en-GB"/>
              </w:rPr>
            </w:pPr>
            <w:r>
              <w:rPr>
                <w:rFonts w:ascii="Calibri" w:hAnsi="Calibri"/>
                <w:b/>
                <w:bCs/>
                <w:color w:val="000000"/>
                <w:lang w:eastAsia="en-GB"/>
              </w:rPr>
              <w:t>94</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3DCCFF9" w14:textId="77777777" w:rsidR="00E60D59" w:rsidRPr="00EB1FC3" w:rsidRDefault="00E60D59" w:rsidP="009641FA">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9233EE0" w14:textId="589301C7" w:rsidR="00E60D59" w:rsidRPr="00EB1FC3" w:rsidRDefault="00E60D59" w:rsidP="00B3336C">
            <w:pPr>
              <w:jc w:val="right"/>
              <w:rPr>
                <w:rFonts w:ascii="Calibri" w:hAnsi="Calibri"/>
                <w:b/>
                <w:bCs/>
                <w:color w:val="000000"/>
                <w:lang w:eastAsia="en-GB"/>
              </w:rPr>
            </w:pPr>
            <w:r>
              <w:rPr>
                <w:rFonts w:ascii="Calibri" w:hAnsi="Calibri"/>
                <w:b/>
                <w:bCs/>
                <w:color w:val="000000"/>
                <w:lang w:eastAsia="en-GB"/>
              </w:rPr>
              <w:t>1</w:t>
            </w:r>
            <w:r w:rsidR="00C10FB0">
              <w:rPr>
                <w:rFonts w:ascii="Calibri" w:hAnsi="Calibri"/>
                <w:b/>
                <w:bCs/>
                <w:color w:val="000000"/>
                <w:lang w:eastAsia="en-GB"/>
              </w:rPr>
              <w:t>37</w:t>
            </w:r>
            <w:r>
              <w:rPr>
                <w:rFonts w:ascii="Calibri" w:hAnsi="Calibri"/>
                <w:b/>
                <w:bCs/>
                <w:color w:val="000000"/>
                <w:lang w:eastAsia="en-GB"/>
              </w:rPr>
              <w:t>,</w:t>
            </w:r>
            <w:r w:rsidR="00C10FB0">
              <w:rPr>
                <w:rFonts w:ascii="Calibri" w:hAnsi="Calibri"/>
                <w:b/>
                <w:bCs/>
                <w:color w:val="000000"/>
                <w:lang w:eastAsia="en-GB"/>
              </w:rPr>
              <w:t>203</w:t>
            </w:r>
          </w:p>
        </w:tc>
      </w:tr>
      <w:tr w:rsidR="00E60D59" w:rsidRPr="00EB1FC3" w14:paraId="61C393E4" w14:textId="77777777" w:rsidTr="00F347C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1281F9F1"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Additions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F5E3BC3" w14:textId="72ABDBE8" w:rsidR="00BA6DE3" w:rsidRPr="00EB1FC3" w:rsidRDefault="00BA6DE3" w:rsidP="00BA6DE3">
            <w:pPr>
              <w:jc w:val="right"/>
              <w:rPr>
                <w:rFonts w:ascii="Calibri" w:hAnsi="Calibri"/>
                <w:color w:val="000000"/>
                <w:lang w:eastAsia="en-GB"/>
              </w:rPr>
            </w:pPr>
            <w:r>
              <w:rPr>
                <w:rFonts w:ascii="Calibri" w:hAnsi="Calibri"/>
                <w:color w:val="000000"/>
                <w:lang w:eastAsia="en-GB"/>
              </w:rPr>
              <w:t>1,</w:t>
            </w:r>
            <w:r w:rsidR="001D2F69">
              <w:rPr>
                <w:rFonts w:ascii="Calibri" w:hAnsi="Calibri"/>
                <w:color w:val="000000"/>
                <w:lang w:eastAsia="en-GB"/>
              </w:rPr>
              <w:t>913</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D277DEE" w14:textId="0D5A0E90" w:rsidR="00E60D59" w:rsidRPr="00EB1FC3" w:rsidRDefault="00BA6DE3" w:rsidP="00EE2C4F">
            <w:pPr>
              <w:jc w:val="right"/>
              <w:rPr>
                <w:rFonts w:ascii="Calibri" w:hAnsi="Calibri"/>
                <w:color w:val="000000"/>
                <w:lang w:eastAsia="en-GB"/>
              </w:rPr>
            </w:pPr>
            <w:r>
              <w:rPr>
                <w:rFonts w:ascii="Calibri" w:hAnsi="Calibri"/>
                <w:color w:val="000000"/>
                <w:lang w:eastAsia="en-GB"/>
              </w:rPr>
              <w:t>119</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6F170859" w14:textId="79CEC20C" w:rsidR="00E60D59" w:rsidRPr="00EB1FC3" w:rsidRDefault="00BA6DE3" w:rsidP="00FB6A13">
            <w:pPr>
              <w:jc w:val="right"/>
              <w:rPr>
                <w:rFonts w:ascii="Calibri" w:hAnsi="Calibri"/>
                <w:color w:val="000000"/>
                <w:lang w:eastAsia="en-GB"/>
              </w:rPr>
            </w:pPr>
            <w:r>
              <w:rPr>
                <w:rFonts w:ascii="Calibri" w:hAnsi="Calibri"/>
                <w:color w:val="000000"/>
                <w:lang w:eastAsia="en-GB"/>
              </w:rPr>
              <w:t>69</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61A825F5" w14:textId="40AF5E5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AC509F0" w14:textId="28BC8FAA" w:rsidR="00E60D59" w:rsidRPr="00EB1FC3" w:rsidRDefault="00BA6DE3" w:rsidP="0001711E">
            <w:pPr>
              <w:jc w:val="right"/>
              <w:rPr>
                <w:rFonts w:ascii="Calibri" w:hAnsi="Calibri"/>
                <w:color w:val="000000"/>
                <w:lang w:eastAsia="en-GB"/>
              </w:rPr>
            </w:pPr>
            <w:r>
              <w:rPr>
                <w:rFonts w:ascii="Calibri" w:hAnsi="Calibri"/>
                <w:color w:val="000000"/>
                <w:lang w:eastAsia="en-GB"/>
              </w:rPr>
              <w:t>45</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41AFF2C" w14:textId="4B909C46"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ABC23A8" w14:textId="66E23F25"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EB0DAB7" w14:textId="741BBB2B" w:rsidR="00E60D59" w:rsidRPr="00EB1FC3" w:rsidRDefault="00095F9E" w:rsidP="00FB6A13">
            <w:pPr>
              <w:jc w:val="right"/>
              <w:rPr>
                <w:rFonts w:ascii="Calibri" w:hAnsi="Calibri"/>
                <w:color w:val="000000"/>
                <w:lang w:eastAsia="en-GB"/>
              </w:rPr>
            </w:pPr>
            <w:r>
              <w:rPr>
                <w:rFonts w:ascii="Calibri" w:hAnsi="Calibri"/>
                <w:color w:val="000000"/>
                <w:lang w:eastAsia="en-GB"/>
              </w:rPr>
              <w:t>2,146</w:t>
            </w:r>
          </w:p>
        </w:tc>
      </w:tr>
      <w:tr w:rsidR="00E60D59" w:rsidRPr="00EB1FC3" w14:paraId="0D613935" w14:textId="77777777" w:rsidTr="00DE0E04">
        <w:trPr>
          <w:trHeight w:val="525"/>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270D83F2"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Revaluations recognised in revaluation reserve</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4C8BA6E4" w14:textId="69592FBC" w:rsidR="00E60D59" w:rsidRPr="00EB1FC3" w:rsidRDefault="00BA6DE3" w:rsidP="00FB6A13">
            <w:pPr>
              <w:jc w:val="right"/>
              <w:rPr>
                <w:rFonts w:ascii="Calibri" w:hAnsi="Calibri"/>
                <w:color w:val="000000"/>
                <w:lang w:eastAsia="en-GB"/>
              </w:rPr>
            </w:pPr>
            <w:r>
              <w:rPr>
                <w:rFonts w:ascii="Calibri" w:hAnsi="Calibri"/>
                <w:color w:val="000000"/>
                <w:lang w:eastAsia="en-GB"/>
              </w:rPr>
              <w:t>5,505</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48E59B6" w14:textId="3578B349" w:rsidR="00E60D59" w:rsidRPr="00EB1FC3" w:rsidRDefault="00972368" w:rsidP="00560434">
            <w:pPr>
              <w:jc w:val="right"/>
              <w:rPr>
                <w:rFonts w:ascii="Calibri" w:hAnsi="Calibri"/>
                <w:color w:val="000000"/>
                <w:lang w:eastAsia="en-GB"/>
              </w:rPr>
            </w:pPr>
            <w:r>
              <w:rPr>
                <w:rFonts w:ascii="Calibri" w:hAnsi="Calibri"/>
                <w:color w:val="000000"/>
                <w:lang w:eastAsia="en-GB"/>
              </w:rPr>
              <w:t>-</w:t>
            </w:r>
            <w:r w:rsidR="00BA6DE3">
              <w:rPr>
                <w:rFonts w:ascii="Calibri" w:hAnsi="Calibri"/>
                <w:color w:val="000000"/>
                <w:lang w:eastAsia="en-GB"/>
              </w:rPr>
              <w:t>40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04146FA4" w14:textId="2E015B70" w:rsidR="00E60D59" w:rsidRPr="00EB1FC3" w:rsidRDefault="00972368" w:rsidP="005234CB">
            <w:pPr>
              <w:jc w:val="right"/>
              <w:rPr>
                <w:rFonts w:ascii="Calibri" w:hAnsi="Calibri"/>
                <w:color w:val="000000"/>
                <w:lang w:eastAsia="en-GB"/>
              </w:rPr>
            </w:pPr>
            <w:r>
              <w:rPr>
                <w:rFonts w:ascii="Calibri" w:hAnsi="Calibri"/>
                <w:color w:val="000000"/>
                <w:lang w:eastAsia="en-GB"/>
              </w:rPr>
              <w:t>-</w:t>
            </w:r>
            <w:r w:rsidR="00BA6DE3">
              <w:rPr>
                <w:rFonts w:ascii="Calibri" w:hAnsi="Calibri"/>
                <w:color w:val="000000"/>
                <w:lang w:eastAsia="en-GB"/>
              </w:rPr>
              <w:t>5</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F0B95DC" w14:textId="325F651A"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A80E401" w14:textId="16A3D3F8" w:rsidR="00E60D59" w:rsidRPr="00EB1FC3" w:rsidRDefault="00972368" w:rsidP="0001711E">
            <w:pPr>
              <w:jc w:val="right"/>
              <w:rPr>
                <w:rFonts w:ascii="Calibri" w:hAnsi="Calibri"/>
                <w:color w:val="000000"/>
                <w:lang w:eastAsia="en-GB"/>
              </w:rPr>
            </w:pPr>
            <w:r>
              <w:rPr>
                <w:rFonts w:ascii="Calibri" w:hAnsi="Calibri"/>
                <w:color w:val="000000"/>
                <w:lang w:eastAsia="en-GB"/>
              </w:rPr>
              <w:t>-</w:t>
            </w:r>
            <w:r w:rsidR="00BA6DE3">
              <w:rPr>
                <w:rFonts w:ascii="Calibri" w:hAnsi="Calibri"/>
                <w:color w:val="000000"/>
                <w:lang w:eastAsia="en-GB"/>
              </w:rPr>
              <w:t>45</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5DB7ADFD" w14:textId="3391DF3A" w:rsidR="00E60D59" w:rsidRPr="00EB1FC3" w:rsidRDefault="001D2F69" w:rsidP="0001711E">
            <w:pPr>
              <w:jc w:val="right"/>
              <w:rPr>
                <w:rFonts w:ascii="Calibri" w:hAnsi="Calibri"/>
                <w:color w:val="000000"/>
                <w:lang w:eastAsia="en-GB"/>
              </w:rPr>
            </w:pPr>
            <w:r>
              <w:rPr>
                <w:rFonts w:ascii="Calibri" w:hAnsi="Calibri"/>
                <w:color w:val="000000"/>
                <w:lang w:eastAsia="en-GB"/>
              </w:rPr>
              <w:t>200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A9AA284" w14:textId="109D67E7"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9599977" w14:textId="7A9132E8" w:rsidR="00BA6DE3" w:rsidRPr="00EB1FC3" w:rsidRDefault="00BA6DE3" w:rsidP="00BA6DE3">
            <w:pPr>
              <w:jc w:val="right"/>
              <w:rPr>
                <w:rFonts w:ascii="Calibri" w:hAnsi="Calibri"/>
                <w:color w:val="000000"/>
                <w:lang w:eastAsia="en-GB"/>
              </w:rPr>
            </w:pPr>
            <w:r>
              <w:rPr>
                <w:rFonts w:ascii="Calibri" w:hAnsi="Calibri"/>
                <w:color w:val="000000"/>
                <w:lang w:eastAsia="en-GB"/>
              </w:rPr>
              <w:t>5,615</w:t>
            </w:r>
          </w:p>
        </w:tc>
      </w:tr>
      <w:tr w:rsidR="00E60D59" w:rsidRPr="00EB1FC3" w14:paraId="78015D1D" w14:textId="77777777" w:rsidTr="00DE0E04">
        <w:trPr>
          <w:trHeight w:val="78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5DC6AF6"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Revaluations recognised in surplus/</w:t>
            </w:r>
            <w:proofErr w:type="gramStart"/>
            <w:r w:rsidRPr="00EB1FC3">
              <w:rPr>
                <w:rFonts w:ascii="Calibri" w:hAnsi="Calibri"/>
                <w:color w:val="000000"/>
                <w:lang w:eastAsia="en-GB"/>
              </w:rPr>
              <w:t>deficit(</w:t>
            </w:r>
            <w:proofErr w:type="gramEnd"/>
            <w:r w:rsidRPr="00EB1FC3">
              <w:rPr>
                <w:rFonts w:ascii="Calibri" w:hAnsi="Calibri"/>
                <w:color w:val="000000"/>
                <w:lang w:eastAsia="en-GB"/>
              </w:rPr>
              <w:t>-) on provision of services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44A5FF48" w14:textId="63F5CABA" w:rsidR="00BA6DE3" w:rsidRDefault="00BA6DE3" w:rsidP="00BA6DE3">
            <w:pPr>
              <w:jc w:val="right"/>
              <w:rPr>
                <w:rFonts w:ascii="Calibri" w:hAnsi="Calibri" w:cs="Calibri"/>
                <w:lang w:eastAsia="en-GB"/>
              </w:rPr>
            </w:pPr>
            <w:r>
              <w:rPr>
                <w:rFonts w:ascii="Calibri" w:hAnsi="Calibri" w:cs="Calibri"/>
              </w:rPr>
              <w:t xml:space="preserve">                         733 </w:t>
            </w:r>
          </w:p>
          <w:p w14:paraId="54004EDC" w14:textId="4E439D49" w:rsidR="00E60D59" w:rsidRPr="00EB1FC3" w:rsidRDefault="00E60D59" w:rsidP="004672BF">
            <w:pPr>
              <w:jc w:val="right"/>
              <w:rPr>
                <w:rFonts w:ascii="Calibri" w:hAnsi="Calibri"/>
                <w:color w:val="000000"/>
                <w:lang w:eastAsia="en-GB"/>
              </w:rPr>
            </w:pP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2237673" w14:textId="10C08E05" w:rsidR="00BA6DE3" w:rsidRDefault="00BA6DE3" w:rsidP="00BA6DE3">
            <w:pPr>
              <w:jc w:val="right"/>
              <w:rPr>
                <w:rFonts w:ascii="Calibri" w:hAnsi="Calibri" w:cs="Calibri"/>
                <w:lang w:eastAsia="en-GB"/>
              </w:rPr>
            </w:pPr>
            <w:r>
              <w:rPr>
                <w:rFonts w:ascii="Calibri" w:hAnsi="Calibri" w:cs="Calibri"/>
              </w:rPr>
              <w:t xml:space="preserve">                          </w:t>
            </w:r>
            <w:r w:rsidR="00972368">
              <w:rPr>
                <w:rFonts w:ascii="Calibri" w:hAnsi="Calibri" w:cs="Calibri"/>
              </w:rPr>
              <w:t>-</w:t>
            </w:r>
            <w:r>
              <w:rPr>
                <w:rFonts w:ascii="Calibri" w:hAnsi="Calibri" w:cs="Calibri"/>
              </w:rPr>
              <w:t xml:space="preserve">268 </w:t>
            </w:r>
          </w:p>
          <w:p w14:paraId="2ADE328D" w14:textId="2923676E" w:rsidR="00E60D59" w:rsidRPr="00EB1FC3" w:rsidRDefault="00E60D59" w:rsidP="00835831">
            <w:pPr>
              <w:jc w:val="right"/>
              <w:rPr>
                <w:rFonts w:ascii="Calibri" w:hAnsi="Calibri"/>
                <w:color w:val="000000"/>
                <w:lang w:eastAsia="en-GB"/>
              </w:rPr>
            </w:pP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294622E4" w14:textId="37F42D39" w:rsidR="00E60D59" w:rsidRPr="00BA6DE3" w:rsidRDefault="00972368" w:rsidP="00BA6DE3">
            <w:pPr>
              <w:jc w:val="right"/>
              <w:rPr>
                <w:rFonts w:ascii="Calibri" w:hAnsi="Calibri" w:cs="Calibri"/>
              </w:rPr>
            </w:pPr>
            <w:r>
              <w:rPr>
                <w:rFonts w:ascii="Calibri" w:hAnsi="Calibri" w:cs="Calibri"/>
              </w:rPr>
              <w:t>-</w:t>
            </w:r>
            <w:r w:rsidR="00BA6DE3">
              <w:rPr>
                <w:rFonts w:ascii="Calibri" w:hAnsi="Calibri" w:cs="Calibri"/>
              </w:rPr>
              <w:t>9</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2B54C3D" w14:textId="10B6559D"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03A779C" w14:textId="7D2079E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5E0B5F09" w14:textId="05C804E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549B20E" w14:textId="01A7CD42"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740B235" w14:textId="0CEF4F1D" w:rsidR="00E60D59" w:rsidRPr="00EB1FC3" w:rsidRDefault="001D2F69" w:rsidP="007F06B7">
            <w:pPr>
              <w:jc w:val="right"/>
              <w:rPr>
                <w:rFonts w:ascii="Calibri" w:hAnsi="Calibri"/>
                <w:color w:val="000000"/>
                <w:lang w:eastAsia="en-GB"/>
              </w:rPr>
            </w:pPr>
            <w:r>
              <w:rPr>
                <w:rFonts w:ascii="Calibri" w:hAnsi="Calibri"/>
                <w:color w:val="000000"/>
                <w:lang w:eastAsia="en-GB"/>
              </w:rPr>
              <w:t>456</w:t>
            </w:r>
          </w:p>
        </w:tc>
      </w:tr>
      <w:tr w:rsidR="00E60D59" w:rsidRPr="00EB1FC3" w14:paraId="562CA34F"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75E14C6"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Derecognition - Disposals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F4FD7DC" w14:textId="51DF3722" w:rsidR="00E60D59" w:rsidRPr="00EB1FC3" w:rsidRDefault="00114166" w:rsidP="00114166">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197</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518C3ED" w14:textId="1D7ECF86"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32212CFF" w14:textId="3A34B45E" w:rsidR="00E60D59" w:rsidRPr="00EB1FC3" w:rsidRDefault="00114166" w:rsidP="0001711E">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213</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DC7FA91" w14:textId="3DFF203B"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BE474E7" w14:textId="61F11889"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6658ECB" w14:textId="27E49C80" w:rsidR="00E60D59" w:rsidRPr="00EB1FC3" w:rsidRDefault="00114166" w:rsidP="0001711E">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292</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123E986" w14:textId="1D7A034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9C2831D" w14:textId="2F53143D" w:rsidR="00E60D59" w:rsidRPr="00EB1FC3" w:rsidRDefault="00114166" w:rsidP="00EE2C4F">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702</w:t>
            </w:r>
          </w:p>
        </w:tc>
      </w:tr>
      <w:tr w:rsidR="00E60D59" w:rsidRPr="00EB1FC3" w14:paraId="67A9A6FF" w14:textId="77777777" w:rsidTr="00DE0E04">
        <w:trPr>
          <w:trHeight w:val="525"/>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981FB3F"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Assets reclassified to held for sale</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5A9068CA" w14:textId="7ADF5F97" w:rsidR="00E60D59" w:rsidRPr="00EB1FC3" w:rsidRDefault="00E47687" w:rsidP="0083583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1110378" w14:textId="5F2BB40B" w:rsidR="00E60D59" w:rsidRPr="00EB1FC3" w:rsidRDefault="00114166" w:rsidP="0001711E">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156</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34BEF6A0" w14:textId="3C62202B"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1D081E7C" w14:textId="7F845A1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B864407" w14:textId="79473195"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8EC973C" w14:textId="65717CE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772B8B5" w14:textId="6CDC1A93"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724BE69" w14:textId="27B22974" w:rsidR="00E60D59" w:rsidRPr="00EB1FC3" w:rsidRDefault="00114166" w:rsidP="00835831">
            <w:pPr>
              <w:jc w:val="right"/>
              <w:rPr>
                <w:rFonts w:ascii="Calibri" w:hAnsi="Calibri"/>
                <w:color w:val="000000"/>
                <w:lang w:eastAsia="en-GB"/>
              </w:rPr>
            </w:pPr>
            <w:r>
              <w:rPr>
                <w:rFonts w:ascii="Calibri" w:hAnsi="Calibri"/>
                <w:color w:val="000000"/>
                <w:lang w:eastAsia="en-GB"/>
              </w:rPr>
              <w:t>-</w:t>
            </w:r>
            <w:r w:rsidR="001D2F69">
              <w:rPr>
                <w:rFonts w:ascii="Calibri" w:hAnsi="Calibri"/>
                <w:color w:val="000000"/>
                <w:lang w:eastAsia="en-GB"/>
              </w:rPr>
              <w:t>156</w:t>
            </w:r>
          </w:p>
        </w:tc>
      </w:tr>
      <w:tr w:rsidR="00E60D59" w:rsidRPr="00EB1FC3" w14:paraId="2E4DBCAC"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72787134"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Other reclassifications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19BDFAA" w14:textId="6663240E" w:rsidR="00E60D59" w:rsidRPr="00EB1FC3" w:rsidRDefault="00E47687" w:rsidP="00A955BD">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3E03555" w14:textId="266E64E4" w:rsidR="00E60D59" w:rsidRPr="00EB1FC3" w:rsidRDefault="00E47687" w:rsidP="00A955BD">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6B6AB6AC" w14:textId="1B78DB21"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7EED88C" w14:textId="1381ECD8"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0F65AA3" w14:textId="3B461DF6"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25FFE8B9" w14:textId="4DD128A5"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58FBBF3" w14:textId="52F45AB2"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62A42B3" w14:textId="06C3267C" w:rsidR="00E60D59" w:rsidRPr="00EB1FC3" w:rsidRDefault="00E47687" w:rsidP="00835831">
            <w:pPr>
              <w:jc w:val="right"/>
              <w:rPr>
                <w:rFonts w:ascii="Calibri" w:hAnsi="Calibri"/>
                <w:color w:val="000000"/>
                <w:lang w:eastAsia="en-GB"/>
              </w:rPr>
            </w:pPr>
            <w:r>
              <w:rPr>
                <w:rFonts w:ascii="Calibri" w:hAnsi="Calibri"/>
                <w:color w:val="000000"/>
                <w:lang w:eastAsia="en-GB"/>
              </w:rPr>
              <w:t>0</w:t>
            </w:r>
          </w:p>
        </w:tc>
      </w:tr>
      <w:tr w:rsidR="00E60D59" w:rsidRPr="00EB1FC3" w14:paraId="6515626B"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774BDEAF"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Other movements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34AAD55D" w14:textId="046B2533"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8C818F2" w14:textId="74214BB4" w:rsidR="00E60D59" w:rsidRPr="001A28B0" w:rsidRDefault="00E47687" w:rsidP="0001711E">
            <w:pPr>
              <w:jc w:val="right"/>
              <w:rPr>
                <w:rFonts w:ascii="Calibri" w:hAnsi="Calibri"/>
                <w:lang w:eastAsia="en-GB"/>
              </w:rPr>
            </w:pPr>
            <w:r>
              <w:rPr>
                <w:rFonts w:ascii="Calibri" w:hAnsi="Calibri"/>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F71AC51" w14:textId="067B3BB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6EC864D" w14:textId="7A67D9EE"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4AE920DF" w14:textId="0BF83186"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6C9EF03D" w14:textId="6C111868"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8733D36" w14:textId="03484672"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8000D91" w14:textId="07A816D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r>
      <w:tr w:rsidR="00E60D59" w:rsidRPr="00EB1FC3" w14:paraId="51478D87"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BD4B4" w:themeFill="accent6" w:themeFillTint="66"/>
            <w:vAlign w:val="bottom"/>
            <w:hideMark/>
          </w:tcPr>
          <w:p w14:paraId="006D8E8C" w14:textId="59718571" w:rsidR="00E60D59" w:rsidRPr="00EB1FC3" w:rsidRDefault="00E60D59" w:rsidP="00AA5389">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1476EC">
              <w:rPr>
                <w:rFonts w:ascii="Calibri" w:hAnsi="Calibri"/>
                <w:b/>
                <w:bCs/>
                <w:color w:val="000000"/>
                <w:lang w:eastAsia="en-GB"/>
              </w:rPr>
              <w:t>2</w:t>
            </w:r>
          </w:p>
        </w:tc>
        <w:tc>
          <w:tcPr>
            <w:tcW w:w="953" w:type="dxa"/>
            <w:tcBorders>
              <w:top w:val="nil"/>
              <w:left w:val="nil"/>
              <w:bottom w:val="single" w:sz="4" w:space="0" w:color="FFFFFF"/>
              <w:right w:val="single" w:sz="4" w:space="0" w:color="FFFFFF"/>
            </w:tcBorders>
            <w:shd w:val="clear" w:color="auto" w:fill="FBD4B4" w:themeFill="accent6" w:themeFillTint="66"/>
            <w:noWrap/>
            <w:vAlign w:val="center"/>
          </w:tcPr>
          <w:p w14:paraId="06024503" w14:textId="1D79C448" w:rsidR="00E60D59" w:rsidRPr="00A955BD" w:rsidRDefault="001D2F69" w:rsidP="007F06B7">
            <w:pPr>
              <w:jc w:val="right"/>
              <w:rPr>
                <w:rFonts w:ascii="Calibri" w:hAnsi="Calibri"/>
                <w:b/>
                <w:bCs/>
                <w:color w:val="000000"/>
                <w:lang w:eastAsia="en-GB"/>
              </w:rPr>
            </w:pPr>
            <w:r>
              <w:rPr>
                <w:rFonts w:ascii="Calibri" w:hAnsi="Calibri"/>
                <w:b/>
                <w:bCs/>
                <w:color w:val="000000"/>
                <w:lang w:eastAsia="en-GB"/>
              </w:rPr>
              <w:t>105,72</w:t>
            </w:r>
            <w:r w:rsidR="00134102">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01E47C1" w14:textId="726D53FC" w:rsidR="00E60D59" w:rsidRPr="00A955BD" w:rsidRDefault="001D2F69" w:rsidP="00772322">
            <w:pPr>
              <w:jc w:val="right"/>
              <w:rPr>
                <w:rFonts w:ascii="Calibri" w:hAnsi="Calibri"/>
                <w:b/>
                <w:bCs/>
                <w:color w:val="000000"/>
                <w:lang w:eastAsia="en-GB"/>
              </w:rPr>
            </w:pPr>
            <w:r>
              <w:rPr>
                <w:rFonts w:ascii="Calibri" w:hAnsi="Calibri"/>
                <w:b/>
                <w:bCs/>
                <w:color w:val="000000"/>
                <w:lang w:eastAsia="en-GB"/>
              </w:rPr>
              <w:t>37,1</w:t>
            </w:r>
            <w:r w:rsidR="00134102">
              <w:rPr>
                <w:rFonts w:ascii="Calibri" w:hAnsi="Calibri"/>
                <w:b/>
                <w:bCs/>
                <w:color w:val="000000"/>
                <w:lang w:eastAsia="en-GB"/>
              </w:rPr>
              <w:t>69</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44B376E9" w14:textId="7C934891" w:rsidR="00E60D59" w:rsidRPr="00EB1FC3" w:rsidRDefault="001D2F69" w:rsidP="00560434">
            <w:pPr>
              <w:jc w:val="right"/>
              <w:rPr>
                <w:rFonts w:ascii="Calibri" w:hAnsi="Calibri"/>
                <w:b/>
                <w:bCs/>
                <w:color w:val="000000"/>
                <w:lang w:eastAsia="en-GB"/>
              </w:rPr>
            </w:pPr>
            <w:r>
              <w:rPr>
                <w:rFonts w:ascii="Calibri" w:hAnsi="Calibri"/>
                <w:b/>
                <w:bCs/>
                <w:color w:val="000000"/>
                <w:lang w:eastAsia="en-GB"/>
              </w:rPr>
              <w:t>1,27</w:t>
            </w:r>
            <w:r w:rsidR="00134102">
              <w:rPr>
                <w:rFonts w:ascii="Calibri" w:hAnsi="Calibri"/>
                <w:b/>
                <w:bCs/>
                <w:color w:val="000000"/>
                <w:lang w:eastAsia="en-GB"/>
              </w:rPr>
              <w:t>6</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33E5A140" w14:textId="18BC5D3E" w:rsidR="00E60D59" w:rsidRPr="00EB1FC3" w:rsidRDefault="001D2F69" w:rsidP="008003D6">
            <w:pPr>
              <w:jc w:val="right"/>
              <w:rPr>
                <w:rFonts w:ascii="Calibri" w:hAnsi="Calibri"/>
                <w:b/>
                <w:bCs/>
                <w:color w:val="000000"/>
                <w:lang w:eastAsia="en-GB"/>
              </w:rPr>
            </w:pPr>
            <w:r>
              <w:rPr>
                <w:rFonts w:ascii="Calibri" w:hAnsi="Calibri"/>
                <w:b/>
                <w:bCs/>
                <w:color w:val="000000"/>
                <w:lang w:eastAsia="en-GB"/>
              </w:rPr>
              <w:t>41</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0B67D2E5" w14:textId="747CB5BC" w:rsidR="00E60D59" w:rsidRPr="00EB1FC3" w:rsidRDefault="001D2F69" w:rsidP="00560434">
            <w:pPr>
              <w:jc w:val="right"/>
              <w:rPr>
                <w:rFonts w:ascii="Calibri" w:hAnsi="Calibri"/>
                <w:b/>
                <w:bCs/>
                <w:color w:val="000000"/>
                <w:lang w:eastAsia="en-GB"/>
              </w:rPr>
            </w:pPr>
            <w:r>
              <w:rPr>
                <w:rFonts w:ascii="Calibri" w:hAnsi="Calibri"/>
                <w:b/>
                <w:bCs/>
                <w:color w:val="000000"/>
                <w:lang w:eastAsia="en-GB"/>
              </w:rPr>
              <w:t>352</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291248F9" w14:textId="6F54E51B" w:rsidR="00E60D59" w:rsidRPr="00EB1FC3" w:rsidRDefault="001D2F69" w:rsidP="008003D6">
            <w:pPr>
              <w:jc w:val="right"/>
              <w:rPr>
                <w:rFonts w:ascii="Calibri" w:hAnsi="Calibri"/>
                <w:b/>
                <w:bCs/>
                <w:color w:val="000000"/>
                <w:lang w:eastAsia="en-GB"/>
              </w:rPr>
            </w:pPr>
            <w:r>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D86519F" w14:textId="004781E6" w:rsidR="00E60D59" w:rsidRPr="00EB1FC3" w:rsidRDefault="004A1858" w:rsidP="008003D6">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64F62071" w14:textId="63C33195" w:rsidR="00E60D59" w:rsidRPr="00EB1FC3" w:rsidRDefault="001D2F69" w:rsidP="007F06B7">
            <w:pPr>
              <w:jc w:val="right"/>
              <w:rPr>
                <w:rFonts w:ascii="Calibri" w:hAnsi="Calibri"/>
                <w:b/>
                <w:bCs/>
                <w:color w:val="000000"/>
                <w:lang w:eastAsia="en-GB"/>
              </w:rPr>
            </w:pPr>
            <w:r>
              <w:rPr>
                <w:rFonts w:ascii="Calibri" w:hAnsi="Calibri"/>
                <w:b/>
                <w:bCs/>
                <w:color w:val="000000"/>
                <w:lang w:eastAsia="en-GB"/>
              </w:rPr>
              <w:t>144,</w:t>
            </w:r>
            <w:r w:rsidR="005C3DAA">
              <w:rPr>
                <w:rFonts w:ascii="Calibri" w:hAnsi="Calibri"/>
                <w:b/>
                <w:bCs/>
                <w:color w:val="000000"/>
                <w:lang w:eastAsia="en-GB"/>
              </w:rPr>
              <w:t>56</w:t>
            </w:r>
            <w:r w:rsidR="00134102">
              <w:rPr>
                <w:rFonts w:ascii="Calibri" w:hAnsi="Calibri"/>
                <w:b/>
                <w:bCs/>
                <w:color w:val="000000"/>
                <w:lang w:eastAsia="en-GB"/>
              </w:rPr>
              <w:t>2</w:t>
            </w:r>
          </w:p>
        </w:tc>
      </w:tr>
      <w:tr w:rsidR="00E60D59" w:rsidRPr="00EB1FC3" w14:paraId="1FF2C05C" w14:textId="77777777" w:rsidTr="00DE0E04">
        <w:trPr>
          <w:trHeight w:val="525"/>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410D6543" w14:textId="6A95E197" w:rsidR="00E60D59" w:rsidRPr="00EB1FC3" w:rsidRDefault="00E60D59" w:rsidP="00ED6507">
            <w:pPr>
              <w:rPr>
                <w:rFonts w:ascii="Calibri" w:hAnsi="Calibri"/>
                <w:b/>
                <w:bCs/>
                <w:color w:val="000000"/>
                <w:lang w:eastAsia="en-GB"/>
              </w:rPr>
            </w:pPr>
            <w:r w:rsidRPr="00EB1FC3">
              <w:rPr>
                <w:rFonts w:ascii="Calibri" w:hAnsi="Calibri"/>
                <w:b/>
                <w:bCs/>
                <w:color w:val="000000"/>
                <w:lang w:eastAsia="en-GB"/>
              </w:rPr>
              <w:t xml:space="preserve">Accumulated Depreciation </w:t>
            </w:r>
            <w:r w:rsidR="00704A70">
              <w:rPr>
                <w:rFonts w:ascii="Calibri" w:hAnsi="Calibri"/>
                <w:b/>
                <w:bCs/>
                <w:color w:val="000000"/>
                <w:lang w:eastAsia="en-GB"/>
              </w:rPr>
              <w:t>and</w:t>
            </w:r>
            <w:r w:rsidRPr="00EB1FC3">
              <w:rPr>
                <w:rFonts w:ascii="Calibri" w:hAnsi="Calibri"/>
                <w:b/>
                <w:bCs/>
                <w:color w:val="000000"/>
                <w:lang w:eastAsia="en-GB"/>
              </w:rPr>
              <w:t xml:space="preserve"> Impairment</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39F2806D" w14:textId="77777777" w:rsidR="00E60D59" w:rsidRPr="00EB1FC3" w:rsidRDefault="00E60D59" w:rsidP="0001711E">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7359B35" w14:textId="77777777" w:rsidR="00E60D59" w:rsidRPr="00EB1FC3" w:rsidRDefault="00E60D59" w:rsidP="0001711E">
            <w:pPr>
              <w:jc w:val="right"/>
              <w:rPr>
                <w:rFonts w:ascii="Calibri" w:hAnsi="Calibri"/>
                <w:b/>
                <w:bCs/>
                <w:color w:val="000000"/>
                <w:lang w:eastAsia="en-GB"/>
              </w:rPr>
            </w:pP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E901047" w14:textId="77777777" w:rsidR="00E60D59" w:rsidRPr="00EB1FC3" w:rsidRDefault="00E60D59" w:rsidP="0001711E">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7CD4D56" w14:textId="77777777" w:rsidR="00E60D59" w:rsidRPr="00EB1FC3" w:rsidRDefault="00E60D59" w:rsidP="0001711E">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6A1C920A" w14:textId="77777777" w:rsidR="00E60D59" w:rsidRPr="00EB1FC3" w:rsidRDefault="00E60D59" w:rsidP="0001711E">
            <w:pPr>
              <w:jc w:val="right"/>
              <w:rPr>
                <w:rFonts w:ascii="Calibri" w:hAnsi="Calibri"/>
                <w:b/>
                <w:bCs/>
                <w:color w:val="000000"/>
                <w:lang w:eastAsia="en-GB"/>
              </w:rPr>
            </w:pP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651B7381" w14:textId="77777777" w:rsidR="00E60D59" w:rsidRPr="00EB1FC3" w:rsidRDefault="00E60D59" w:rsidP="0001711E">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92B0EF3" w14:textId="77777777" w:rsidR="00E60D59" w:rsidRPr="00EB1FC3" w:rsidRDefault="00E60D59" w:rsidP="0001711E">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3E9807B" w14:textId="77777777" w:rsidR="00E60D59" w:rsidRPr="00EB1FC3" w:rsidRDefault="00E60D59" w:rsidP="0001711E">
            <w:pPr>
              <w:jc w:val="right"/>
              <w:rPr>
                <w:rFonts w:ascii="Calibri" w:hAnsi="Calibri"/>
                <w:b/>
                <w:bCs/>
                <w:color w:val="000000"/>
                <w:lang w:eastAsia="en-GB"/>
              </w:rPr>
            </w:pPr>
          </w:p>
        </w:tc>
      </w:tr>
      <w:tr w:rsidR="00E60D59" w:rsidRPr="00EB1FC3" w14:paraId="1C984506"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3ECA3C73" w14:textId="278CB446" w:rsidR="00E60D59" w:rsidRPr="00EB1FC3" w:rsidRDefault="00E60D59" w:rsidP="00ED6507">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1 April 20</w:t>
            </w:r>
            <w:r w:rsidR="009641FA">
              <w:rPr>
                <w:rFonts w:ascii="Calibri" w:hAnsi="Calibri"/>
                <w:b/>
                <w:bCs/>
                <w:color w:val="000000"/>
                <w:lang w:eastAsia="en-GB"/>
              </w:rPr>
              <w:t>2</w:t>
            </w:r>
            <w:r w:rsidR="001476EC">
              <w:rPr>
                <w:rFonts w:ascii="Calibri" w:hAnsi="Calibri"/>
                <w:b/>
                <w:bCs/>
                <w:color w:val="000000"/>
                <w:lang w:eastAsia="en-GB"/>
              </w:rPr>
              <w:t>1</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6F7DD600" w14:textId="77777777" w:rsidR="00E60D59" w:rsidRPr="00EB1FC3" w:rsidRDefault="00E60D59" w:rsidP="008003D6">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987B01E" w14:textId="77777777" w:rsidR="00E60D59" w:rsidRPr="00EB1FC3" w:rsidRDefault="00E60D59" w:rsidP="008003D6">
            <w:pPr>
              <w:jc w:val="right"/>
              <w:rPr>
                <w:rFonts w:ascii="Calibri" w:hAnsi="Calibri"/>
                <w:b/>
                <w:bCs/>
                <w:color w:val="000000"/>
                <w:lang w:eastAsia="en-GB"/>
              </w:rPr>
            </w:pPr>
            <w:r>
              <w:rPr>
                <w:rFonts w:ascii="Calibri" w:hAnsi="Calibri"/>
                <w:b/>
                <w:bCs/>
                <w:color w:val="000000"/>
                <w:lang w:eastAsia="en-GB"/>
              </w:rPr>
              <w:t>0</w:t>
            </w:r>
            <w:r w:rsidRPr="00EB1FC3">
              <w:rPr>
                <w:rFonts w:ascii="Calibri" w:hAnsi="Calibri"/>
                <w:b/>
                <w:bCs/>
                <w:color w:val="000000"/>
                <w:lang w:eastAsia="en-GB"/>
              </w:rPr>
              <w:t> </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757C3AF3" w14:textId="137DB03D" w:rsidR="00E60D59" w:rsidRPr="00EB1FC3" w:rsidRDefault="00E60D59" w:rsidP="009641FA">
            <w:pPr>
              <w:jc w:val="right"/>
              <w:rPr>
                <w:rFonts w:ascii="Calibri" w:hAnsi="Calibri"/>
                <w:b/>
                <w:bCs/>
                <w:color w:val="000000"/>
                <w:lang w:eastAsia="en-GB"/>
              </w:rPr>
            </w:pPr>
            <w:r>
              <w:rPr>
                <w:rFonts w:ascii="Calibri" w:hAnsi="Calibri"/>
                <w:b/>
                <w:bCs/>
                <w:color w:val="000000"/>
                <w:lang w:eastAsia="en-GB"/>
              </w:rPr>
              <w:t>-5</w:t>
            </w:r>
            <w:r w:rsidR="00D91337">
              <w:rPr>
                <w:rFonts w:ascii="Calibri" w:hAnsi="Calibri"/>
                <w:b/>
                <w:bCs/>
                <w:color w:val="000000"/>
                <w:lang w:eastAsia="en-GB"/>
              </w:rPr>
              <w:t>68</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9EE6421" w14:textId="1C88BCC1" w:rsidR="00E60D59" w:rsidRPr="00EB1FC3" w:rsidRDefault="00E60D59" w:rsidP="009641FA">
            <w:pPr>
              <w:jc w:val="right"/>
              <w:rPr>
                <w:rFonts w:ascii="Calibri" w:hAnsi="Calibri"/>
                <w:b/>
                <w:bCs/>
                <w:color w:val="000000"/>
                <w:lang w:eastAsia="en-GB"/>
              </w:rPr>
            </w:pPr>
            <w:r>
              <w:rPr>
                <w:rFonts w:ascii="Calibri" w:hAnsi="Calibri"/>
                <w:b/>
                <w:bCs/>
                <w:color w:val="000000"/>
                <w:lang w:eastAsia="en-GB"/>
              </w:rPr>
              <w:t>-2</w:t>
            </w:r>
            <w:r w:rsidR="00D91337">
              <w:rPr>
                <w:rFonts w:ascii="Calibri" w:hAnsi="Calibri"/>
                <w:b/>
                <w:bCs/>
                <w:color w:val="000000"/>
                <w:lang w:eastAsia="en-GB"/>
              </w:rPr>
              <w:t>8</w:t>
            </w:r>
            <w:r w:rsidRPr="00EB1FC3">
              <w:rPr>
                <w:rFonts w:ascii="Calibri" w:hAnsi="Calibri"/>
                <w:b/>
                <w:bCs/>
                <w:color w:val="000000"/>
                <w:lang w:eastAsia="en-GB"/>
              </w:rPr>
              <w:t> </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984168A" w14:textId="77777777" w:rsidR="00E60D59" w:rsidRPr="00EB1FC3" w:rsidRDefault="00E60D59" w:rsidP="008003D6">
            <w:pPr>
              <w:jc w:val="right"/>
              <w:rPr>
                <w:rFonts w:ascii="Calibri" w:hAnsi="Calibri"/>
                <w:b/>
                <w:bCs/>
                <w:color w:val="000000"/>
                <w:lang w:eastAsia="en-GB"/>
              </w:rPr>
            </w:pPr>
            <w:r>
              <w:rPr>
                <w:rFonts w:ascii="Calibri" w:hAnsi="Calibri"/>
                <w:b/>
                <w:bCs/>
                <w:color w:val="000000"/>
                <w:lang w:eastAsia="en-GB"/>
              </w:rPr>
              <w:t>-91</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2B6169BA" w14:textId="77777777" w:rsidR="00E60D59" w:rsidRPr="00EB1FC3" w:rsidRDefault="00E60D59" w:rsidP="008003D6">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321C3E2" w14:textId="77777777" w:rsidR="00E60D59" w:rsidRPr="00EB1FC3" w:rsidRDefault="00E60D59" w:rsidP="008003D6">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164A199" w14:textId="2A69B2A3" w:rsidR="00E60D59" w:rsidRPr="00EB1FC3" w:rsidRDefault="00E60D59" w:rsidP="009641FA">
            <w:pPr>
              <w:jc w:val="right"/>
              <w:rPr>
                <w:rFonts w:ascii="Calibri" w:hAnsi="Calibri"/>
                <w:b/>
                <w:bCs/>
                <w:color w:val="000000"/>
                <w:lang w:eastAsia="en-GB"/>
              </w:rPr>
            </w:pPr>
            <w:r>
              <w:rPr>
                <w:rFonts w:ascii="Calibri" w:hAnsi="Calibri"/>
                <w:b/>
                <w:bCs/>
                <w:color w:val="000000"/>
                <w:lang w:eastAsia="en-GB"/>
              </w:rPr>
              <w:t>-6</w:t>
            </w:r>
            <w:r w:rsidR="00C10FB0">
              <w:rPr>
                <w:rFonts w:ascii="Calibri" w:hAnsi="Calibri"/>
                <w:b/>
                <w:bCs/>
                <w:color w:val="000000"/>
                <w:lang w:eastAsia="en-GB"/>
              </w:rPr>
              <w:t>87</w:t>
            </w:r>
            <w:r w:rsidRPr="00EB1FC3">
              <w:rPr>
                <w:rFonts w:ascii="Calibri" w:hAnsi="Calibri"/>
                <w:b/>
                <w:bCs/>
                <w:color w:val="000000"/>
                <w:lang w:eastAsia="en-GB"/>
              </w:rPr>
              <w:t> </w:t>
            </w:r>
          </w:p>
        </w:tc>
      </w:tr>
      <w:tr w:rsidR="00E60D59" w:rsidRPr="00EB1FC3" w14:paraId="2DC4A72F"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189CB3E0"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Depreciation Charge</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4EAD50CC" w14:textId="4471B8F0" w:rsidR="00E60D59" w:rsidRPr="00EB1FC3" w:rsidRDefault="00114166" w:rsidP="004672BF">
            <w:pPr>
              <w:jc w:val="right"/>
              <w:rPr>
                <w:rFonts w:ascii="Calibri" w:hAnsi="Calibri"/>
                <w:color w:val="000000"/>
                <w:lang w:eastAsia="en-GB"/>
              </w:rPr>
            </w:pPr>
            <w:r>
              <w:rPr>
                <w:rFonts w:ascii="Calibri" w:hAnsi="Calibri"/>
                <w:color w:val="000000"/>
                <w:lang w:eastAsia="en-GB"/>
              </w:rPr>
              <w:t>-</w:t>
            </w:r>
            <w:r w:rsidR="00134102">
              <w:rPr>
                <w:rFonts w:ascii="Calibri" w:hAnsi="Calibri"/>
                <w:color w:val="000000"/>
                <w:lang w:eastAsia="en-GB"/>
              </w:rPr>
              <w:t>1,369</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A017354" w14:textId="175630C1" w:rsidR="00E60D59" w:rsidRPr="00EB1FC3" w:rsidRDefault="00114166" w:rsidP="0001711E">
            <w:pPr>
              <w:jc w:val="right"/>
              <w:rPr>
                <w:rFonts w:ascii="Calibri" w:hAnsi="Calibri"/>
                <w:color w:val="000000"/>
                <w:lang w:eastAsia="en-GB"/>
              </w:rPr>
            </w:pPr>
            <w:r>
              <w:rPr>
                <w:rFonts w:ascii="Calibri" w:hAnsi="Calibri"/>
                <w:color w:val="000000"/>
                <w:lang w:eastAsia="en-GB"/>
              </w:rPr>
              <w:t>-</w:t>
            </w:r>
            <w:r w:rsidR="00885990">
              <w:rPr>
                <w:rFonts w:ascii="Calibri" w:hAnsi="Calibri"/>
                <w:color w:val="000000"/>
                <w:lang w:eastAsia="en-GB"/>
              </w:rPr>
              <w:t>1,353</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54B259D2" w14:textId="58574C59" w:rsidR="00E60D59" w:rsidRPr="00EB1FC3" w:rsidRDefault="00114166" w:rsidP="00A955BD">
            <w:pPr>
              <w:jc w:val="right"/>
              <w:rPr>
                <w:rFonts w:ascii="Calibri" w:hAnsi="Calibri"/>
                <w:color w:val="000000"/>
                <w:lang w:eastAsia="en-GB"/>
              </w:rPr>
            </w:pPr>
            <w:r>
              <w:rPr>
                <w:rFonts w:ascii="Calibri" w:hAnsi="Calibri"/>
                <w:color w:val="000000"/>
                <w:lang w:eastAsia="en-GB"/>
              </w:rPr>
              <w:t>-</w:t>
            </w:r>
            <w:r w:rsidR="00885990">
              <w:rPr>
                <w:rFonts w:ascii="Calibri" w:hAnsi="Calibri"/>
                <w:color w:val="000000"/>
                <w:lang w:eastAsia="en-GB"/>
              </w:rPr>
              <w:t>123</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92CB43D" w14:textId="4AAC36CD" w:rsidR="00E60D59" w:rsidRPr="00EB1FC3" w:rsidRDefault="00114166" w:rsidP="0001711E">
            <w:pPr>
              <w:jc w:val="right"/>
              <w:rPr>
                <w:rFonts w:ascii="Calibri" w:hAnsi="Calibri"/>
                <w:color w:val="000000"/>
                <w:lang w:eastAsia="en-GB"/>
              </w:rPr>
            </w:pPr>
            <w:r>
              <w:rPr>
                <w:rFonts w:ascii="Calibri" w:hAnsi="Calibri"/>
                <w:color w:val="000000"/>
                <w:lang w:eastAsia="en-GB"/>
              </w:rPr>
              <w:t>-</w:t>
            </w:r>
            <w:r w:rsidR="00885990">
              <w:rPr>
                <w:rFonts w:ascii="Calibri" w:hAnsi="Calibri"/>
                <w:color w:val="000000"/>
                <w:lang w:eastAsia="en-GB"/>
              </w:rPr>
              <w:t>1</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30B7808" w14:textId="3BD2B12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0A0885A7" w14:textId="1DF5F985"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3FC1ABC" w14:textId="3C593EAD"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799A4136" w14:textId="20E10385" w:rsidR="00E60D59" w:rsidRPr="00EB1FC3" w:rsidRDefault="00114166" w:rsidP="007F06B7">
            <w:pPr>
              <w:jc w:val="right"/>
              <w:rPr>
                <w:rFonts w:ascii="Calibri" w:hAnsi="Calibri"/>
                <w:color w:val="000000"/>
                <w:lang w:eastAsia="en-GB"/>
              </w:rPr>
            </w:pPr>
            <w:r>
              <w:rPr>
                <w:rFonts w:ascii="Calibri" w:hAnsi="Calibri"/>
                <w:color w:val="000000"/>
                <w:lang w:eastAsia="en-GB"/>
              </w:rPr>
              <w:t>-</w:t>
            </w:r>
            <w:r w:rsidR="00134102">
              <w:rPr>
                <w:rFonts w:ascii="Calibri" w:hAnsi="Calibri"/>
                <w:color w:val="000000"/>
                <w:lang w:eastAsia="en-GB"/>
              </w:rPr>
              <w:t>2,851</w:t>
            </w:r>
          </w:p>
        </w:tc>
      </w:tr>
      <w:tr w:rsidR="00E60D59" w:rsidRPr="00EB1FC3" w14:paraId="1A051025" w14:textId="77777777" w:rsidTr="00DE0E04">
        <w:trPr>
          <w:trHeight w:val="525"/>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C4E8592"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Depreciation written out to revaluation reserve</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B672787" w14:textId="1C0A4E86" w:rsidR="00E60D59" w:rsidRPr="00EB1FC3" w:rsidRDefault="00134102" w:rsidP="003D7CB4">
            <w:pPr>
              <w:jc w:val="right"/>
              <w:rPr>
                <w:rFonts w:ascii="Calibri" w:hAnsi="Calibri"/>
                <w:color w:val="000000"/>
                <w:lang w:eastAsia="en-GB"/>
              </w:rPr>
            </w:pPr>
            <w:r>
              <w:rPr>
                <w:rFonts w:ascii="Calibri" w:hAnsi="Calibri"/>
                <w:color w:val="000000"/>
                <w:lang w:eastAsia="en-GB"/>
              </w:rPr>
              <w:t>1</w:t>
            </w:r>
            <w:r w:rsidR="00885990">
              <w:rPr>
                <w:rFonts w:ascii="Calibri" w:hAnsi="Calibri"/>
                <w:color w:val="000000"/>
                <w:lang w:eastAsia="en-GB"/>
              </w:rPr>
              <w:t>,</w:t>
            </w:r>
            <w:r>
              <w:rPr>
                <w:rFonts w:ascii="Calibri" w:hAnsi="Calibri"/>
                <w:color w:val="000000"/>
                <w:lang w:eastAsia="en-GB"/>
              </w:rPr>
              <w:t>092</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5F6438B0" w14:textId="2527225C" w:rsidR="00E60D59" w:rsidRPr="00EB1FC3" w:rsidRDefault="00885990" w:rsidP="0001711E">
            <w:pPr>
              <w:jc w:val="right"/>
              <w:rPr>
                <w:rFonts w:ascii="Calibri" w:hAnsi="Calibri"/>
                <w:color w:val="000000"/>
                <w:lang w:eastAsia="en-GB"/>
              </w:rPr>
            </w:pPr>
            <w:r>
              <w:rPr>
                <w:rFonts w:ascii="Calibri" w:hAnsi="Calibri"/>
                <w:color w:val="000000"/>
                <w:lang w:eastAsia="en-GB"/>
              </w:rPr>
              <w:t>1,237</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22DF9F31" w14:textId="468BC1ED" w:rsidR="00E60D59" w:rsidRPr="00EB1FC3" w:rsidRDefault="00885990" w:rsidP="0001711E">
            <w:pPr>
              <w:jc w:val="right"/>
              <w:rPr>
                <w:rFonts w:ascii="Calibri" w:hAnsi="Calibri"/>
                <w:color w:val="000000"/>
                <w:lang w:eastAsia="en-GB"/>
              </w:rPr>
            </w:pPr>
            <w:r>
              <w:rPr>
                <w:rFonts w:ascii="Calibri" w:hAnsi="Calibri"/>
                <w:color w:val="000000"/>
                <w:lang w:eastAsia="en-GB"/>
              </w:rPr>
              <w:t>34</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7EAD9D0" w14:textId="4484644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07B2F78D" w14:textId="1CE2973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77CFA0C7" w14:textId="00722C13"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357FA36" w14:textId="46C64D5C"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126D6A4" w14:textId="72304F50" w:rsidR="00E60D59" w:rsidRPr="00EB1FC3" w:rsidRDefault="00134102" w:rsidP="00DA530F">
            <w:pPr>
              <w:jc w:val="right"/>
              <w:rPr>
                <w:rFonts w:ascii="Calibri" w:hAnsi="Calibri"/>
                <w:color w:val="000000"/>
                <w:lang w:eastAsia="en-GB"/>
              </w:rPr>
            </w:pPr>
            <w:r>
              <w:rPr>
                <w:rFonts w:ascii="Calibri" w:hAnsi="Calibri"/>
                <w:color w:val="000000"/>
                <w:lang w:eastAsia="en-GB"/>
              </w:rPr>
              <w:t>2,363</w:t>
            </w:r>
          </w:p>
        </w:tc>
      </w:tr>
      <w:tr w:rsidR="00E60D59" w:rsidRPr="00EB1FC3" w14:paraId="477CFFCD" w14:textId="77777777" w:rsidTr="00DE0E04">
        <w:trPr>
          <w:trHeight w:val="78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4F49289E"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 xml:space="preserve">Depreciation written out to </w:t>
            </w:r>
            <w:proofErr w:type="gramStart"/>
            <w:r w:rsidRPr="00EB1FC3">
              <w:rPr>
                <w:rFonts w:ascii="Calibri" w:hAnsi="Calibri"/>
                <w:color w:val="000000"/>
                <w:lang w:eastAsia="en-GB"/>
              </w:rPr>
              <w:t>surplus(</w:t>
            </w:r>
            <w:proofErr w:type="gramEnd"/>
            <w:r w:rsidRPr="00EB1FC3">
              <w:rPr>
                <w:rFonts w:ascii="Calibri" w:hAnsi="Calibri"/>
                <w:color w:val="000000"/>
                <w:lang w:eastAsia="en-GB"/>
              </w:rPr>
              <w:t>-)/Deficit on provision of services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44A812AF" w14:textId="7DB1B41D" w:rsidR="00E60D59" w:rsidRPr="00EB1FC3" w:rsidRDefault="00134102" w:rsidP="007F06B7">
            <w:pPr>
              <w:jc w:val="right"/>
              <w:rPr>
                <w:rFonts w:ascii="Calibri" w:hAnsi="Calibri"/>
                <w:color w:val="000000"/>
                <w:lang w:eastAsia="en-GB"/>
              </w:rPr>
            </w:pPr>
            <w:r>
              <w:rPr>
                <w:rFonts w:ascii="Calibri" w:hAnsi="Calibri"/>
                <w:color w:val="000000"/>
                <w:lang w:eastAsia="en-GB"/>
              </w:rPr>
              <w:t>277</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EE1A2E1" w14:textId="1B36B4C7" w:rsidR="00E60D59" w:rsidRPr="00EB1FC3" w:rsidRDefault="00885990" w:rsidP="00560434">
            <w:pPr>
              <w:jc w:val="right"/>
              <w:rPr>
                <w:rFonts w:ascii="Calibri" w:hAnsi="Calibri"/>
                <w:color w:val="000000"/>
                <w:lang w:eastAsia="en-GB"/>
              </w:rPr>
            </w:pPr>
            <w:r>
              <w:rPr>
                <w:rFonts w:ascii="Calibri" w:hAnsi="Calibri"/>
                <w:color w:val="000000"/>
                <w:lang w:eastAsia="en-GB"/>
              </w:rPr>
              <w:t>116</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313293BD" w14:textId="3A9FB129" w:rsidR="00E60D59" w:rsidRPr="00EB1FC3" w:rsidRDefault="00885990" w:rsidP="00170BF4">
            <w:pPr>
              <w:jc w:val="right"/>
              <w:rPr>
                <w:rFonts w:ascii="Calibri" w:hAnsi="Calibri"/>
                <w:color w:val="000000"/>
                <w:lang w:eastAsia="en-GB"/>
              </w:rPr>
            </w:pPr>
            <w:r>
              <w:rPr>
                <w:rFonts w:ascii="Calibri" w:hAnsi="Calibri"/>
                <w:color w:val="000000"/>
                <w:lang w:eastAsia="en-GB"/>
              </w:rPr>
              <w:t>25</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C5A9931" w14:textId="26075268"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AB3DD58" w14:textId="3BD0948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213F4C37" w14:textId="371196B1"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45BAC41" w14:textId="4092AC72"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BEBFE06" w14:textId="308526CF" w:rsidR="00E60D59" w:rsidRPr="00EB1FC3" w:rsidRDefault="00134102" w:rsidP="0001711E">
            <w:pPr>
              <w:jc w:val="right"/>
              <w:rPr>
                <w:rFonts w:ascii="Calibri" w:hAnsi="Calibri"/>
                <w:color w:val="000000"/>
                <w:lang w:eastAsia="en-GB"/>
              </w:rPr>
            </w:pPr>
            <w:r>
              <w:rPr>
                <w:rFonts w:ascii="Calibri" w:hAnsi="Calibri"/>
                <w:color w:val="000000"/>
                <w:lang w:eastAsia="en-GB"/>
              </w:rPr>
              <w:t>418</w:t>
            </w:r>
          </w:p>
        </w:tc>
      </w:tr>
      <w:tr w:rsidR="00E60D59" w:rsidRPr="00EB1FC3" w14:paraId="3A3A1045" w14:textId="77777777" w:rsidTr="00DE0E04">
        <w:trPr>
          <w:trHeight w:val="525"/>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216E2A39"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Impairment losses recognised in revaluation reserve</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1A56A2E1" w14:textId="56807AD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08B340DF" w14:textId="7B073B47"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5FCC6827" w14:textId="4C470F20"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3FC48266" w14:textId="01F1211F"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70CB61E9" w14:textId="4BDE5CE0"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45782633" w14:textId="38CECA36"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2D5E446D" w14:textId="55EE6C1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473D188" w14:textId="3CC476E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r>
      <w:tr w:rsidR="00E60D59" w:rsidRPr="00EB1FC3" w14:paraId="60ED3794" w14:textId="77777777" w:rsidTr="00DE0E04">
        <w:trPr>
          <w:trHeight w:val="78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608EF3F1" w14:textId="77777777" w:rsidR="00E60D59" w:rsidRPr="00EB1FC3" w:rsidRDefault="00E60D59" w:rsidP="00ED6507">
            <w:pPr>
              <w:rPr>
                <w:rFonts w:ascii="Calibri" w:hAnsi="Calibri"/>
                <w:color w:val="000000"/>
                <w:lang w:eastAsia="en-GB"/>
              </w:rPr>
            </w:pPr>
            <w:r w:rsidRPr="00EB1FC3">
              <w:rPr>
                <w:rFonts w:ascii="Calibri" w:hAnsi="Calibri"/>
                <w:color w:val="000000"/>
                <w:lang w:eastAsia="en-GB"/>
              </w:rPr>
              <w:t xml:space="preserve">Impairment losses recognised </w:t>
            </w:r>
            <w:proofErr w:type="gramStart"/>
            <w:r w:rsidRPr="00EB1FC3">
              <w:rPr>
                <w:rFonts w:ascii="Calibri" w:hAnsi="Calibri"/>
                <w:color w:val="000000"/>
                <w:lang w:eastAsia="en-GB"/>
              </w:rPr>
              <w:t>surplus(</w:t>
            </w:r>
            <w:proofErr w:type="gramEnd"/>
            <w:r w:rsidRPr="00EB1FC3">
              <w:rPr>
                <w:rFonts w:ascii="Calibri" w:hAnsi="Calibri"/>
                <w:color w:val="000000"/>
                <w:lang w:eastAsia="en-GB"/>
              </w:rPr>
              <w:t>-)/deficit on provision of services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67314C53" w14:textId="19F4EDF7"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6949FBF1" w14:textId="5F7A19E3"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56534D0D" w14:textId="5D1C2008"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4BFD944" w14:textId="1A9064BA"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EFEF4F8" w14:textId="2C9DDDCF"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7608C42E" w14:textId="70304A9D"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495AFCBD" w14:textId="36B50CDD"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29ECB62" w14:textId="5811F014" w:rsidR="00E60D59" w:rsidRPr="00EB1FC3" w:rsidRDefault="00E47687" w:rsidP="0001711E">
            <w:pPr>
              <w:jc w:val="right"/>
              <w:rPr>
                <w:rFonts w:ascii="Calibri" w:hAnsi="Calibri"/>
                <w:color w:val="000000"/>
                <w:lang w:eastAsia="en-GB"/>
              </w:rPr>
            </w:pPr>
            <w:r>
              <w:rPr>
                <w:rFonts w:ascii="Calibri" w:hAnsi="Calibri"/>
                <w:color w:val="000000"/>
                <w:lang w:eastAsia="en-GB"/>
              </w:rPr>
              <w:t>0</w:t>
            </w:r>
          </w:p>
        </w:tc>
      </w:tr>
      <w:tr w:rsidR="00166FB1" w:rsidRPr="00EB1FC3" w14:paraId="2AC4C9F5"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077A25D3" w14:textId="77777777" w:rsidR="00166FB1" w:rsidRPr="00EB1FC3" w:rsidRDefault="00166FB1" w:rsidP="00166FB1">
            <w:pPr>
              <w:rPr>
                <w:rFonts w:ascii="Calibri" w:hAnsi="Calibri"/>
                <w:color w:val="000000"/>
                <w:lang w:eastAsia="en-GB"/>
              </w:rPr>
            </w:pPr>
            <w:r w:rsidRPr="00EB1FC3">
              <w:rPr>
                <w:rFonts w:ascii="Calibri" w:hAnsi="Calibri"/>
                <w:color w:val="000000"/>
                <w:lang w:eastAsia="en-GB"/>
              </w:rPr>
              <w:t>Derecognition - Disposals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7409C932" w14:textId="6459CC3C"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6787030" w14:textId="6A40067C"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4574A001" w14:textId="7D1FBF32" w:rsidR="00166FB1" w:rsidRPr="00EB1FC3" w:rsidRDefault="00885990" w:rsidP="00166FB1">
            <w:pPr>
              <w:jc w:val="right"/>
              <w:rPr>
                <w:rFonts w:ascii="Calibri" w:hAnsi="Calibri"/>
                <w:color w:val="000000"/>
                <w:lang w:eastAsia="en-GB"/>
              </w:rPr>
            </w:pPr>
            <w:r>
              <w:rPr>
                <w:rFonts w:ascii="Calibri" w:hAnsi="Calibri"/>
                <w:color w:val="000000"/>
                <w:lang w:eastAsia="en-GB"/>
              </w:rPr>
              <w:t>209</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262B138B" w14:textId="3074EB78"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D99726B" w14:textId="3F531F46"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62C7522E" w14:textId="07AB5071"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13A88A5A" w14:textId="5ABB4CB4"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3D057CA" w14:textId="79A3B221" w:rsidR="00166FB1" w:rsidRPr="00EB1FC3" w:rsidRDefault="00134102" w:rsidP="00166FB1">
            <w:pPr>
              <w:jc w:val="right"/>
              <w:rPr>
                <w:rFonts w:ascii="Calibri" w:hAnsi="Calibri"/>
                <w:color w:val="000000"/>
                <w:lang w:eastAsia="en-GB"/>
              </w:rPr>
            </w:pPr>
            <w:r>
              <w:rPr>
                <w:rFonts w:ascii="Calibri" w:hAnsi="Calibri"/>
                <w:color w:val="000000"/>
                <w:lang w:eastAsia="en-GB"/>
              </w:rPr>
              <w:t>214</w:t>
            </w:r>
          </w:p>
        </w:tc>
      </w:tr>
      <w:tr w:rsidR="00166FB1" w:rsidRPr="00EB1FC3" w14:paraId="1D0ECA82"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DE9D9" w:themeFill="accent6" w:themeFillTint="33"/>
            <w:vAlign w:val="bottom"/>
            <w:hideMark/>
          </w:tcPr>
          <w:p w14:paraId="5A849338" w14:textId="77777777" w:rsidR="00166FB1" w:rsidRPr="00EB1FC3" w:rsidRDefault="00166FB1" w:rsidP="00166FB1">
            <w:pPr>
              <w:rPr>
                <w:rFonts w:ascii="Calibri" w:hAnsi="Calibri"/>
                <w:color w:val="000000"/>
                <w:lang w:eastAsia="en-GB"/>
              </w:rPr>
            </w:pPr>
            <w:r w:rsidRPr="00EB1FC3">
              <w:rPr>
                <w:rFonts w:ascii="Calibri" w:hAnsi="Calibri"/>
                <w:color w:val="000000"/>
                <w:lang w:eastAsia="en-GB"/>
              </w:rPr>
              <w:t>Other movements</w:t>
            </w:r>
          </w:p>
        </w:tc>
        <w:tc>
          <w:tcPr>
            <w:tcW w:w="953" w:type="dxa"/>
            <w:tcBorders>
              <w:top w:val="nil"/>
              <w:left w:val="nil"/>
              <w:bottom w:val="single" w:sz="4" w:space="0" w:color="FFFFFF"/>
              <w:right w:val="single" w:sz="4" w:space="0" w:color="FFFFFF"/>
            </w:tcBorders>
            <w:shd w:val="clear" w:color="auto" w:fill="FDE9D9" w:themeFill="accent6" w:themeFillTint="33"/>
            <w:noWrap/>
            <w:vAlign w:val="center"/>
          </w:tcPr>
          <w:p w14:paraId="2B10B5AB" w14:textId="63FCF9C7"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3B16314C" w14:textId="3545A7E7"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75" w:type="dxa"/>
            <w:tcBorders>
              <w:top w:val="nil"/>
              <w:left w:val="nil"/>
              <w:bottom w:val="single" w:sz="4" w:space="0" w:color="FFFFFF"/>
              <w:right w:val="single" w:sz="4" w:space="0" w:color="FFFFFF"/>
            </w:tcBorders>
            <w:shd w:val="clear" w:color="auto" w:fill="FDE9D9" w:themeFill="accent6" w:themeFillTint="33"/>
            <w:noWrap/>
            <w:vAlign w:val="center"/>
          </w:tcPr>
          <w:p w14:paraId="5D6DF1B8" w14:textId="1B05B1D8"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DDF1A20" w14:textId="107A3868"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724" w:type="dxa"/>
            <w:tcBorders>
              <w:top w:val="nil"/>
              <w:left w:val="nil"/>
              <w:bottom w:val="single" w:sz="4" w:space="0" w:color="FFFFFF"/>
              <w:right w:val="single" w:sz="4" w:space="0" w:color="FFFFFF"/>
            </w:tcBorders>
            <w:shd w:val="clear" w:color="auto" w:fill="FDE9D9" w:themeFill="accent6" w:themeFillTint="33"/>
            <w:noWrap/>
            <w:vAlign w:val="center"/>
          </w:tcPr>
          <w:p w14:paraId="52FA283F" w14:textId="72E3886F"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696" w:type="dxa"/>
            <w:tcBorders>
              <w:top w:val="nil"/>
              <w:left w:val="nil"/>
              <w:bottom w:val="single" w:sz="4" w:space="0" w:color="FFFFFF"/>
              <w:right w:val="single" w:sz="4" w:space="0" w:color="FFFFFF"/>
            </w:tcBorders>
            <w:shd w:val="clear" w:color="auto" w:fill="FDE9D9" w:themeFill="accent6" w:themeFillTint="33"/>
            <w:noWrap/>
            <w:vAlign w:val="center"/>
          </w:tcPr>
          <w:p w14:paraId="61E6E4EE" w14:textId="5239A5A3"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DE9D9" w:themeFill="accent6" w:themeFillTint="33"/>
            <w:noWrap/>
            <w:vAlign w:val="center"/>
          </w:tcPr>
          <w:p w14:paraId="71E97BD0" w14:textId="056BDC28" w:rsidR="00166FB1" w:rsidRPr="00EB1FC3" w:rsidRDefault="00E47687" w:rsidP="00166FB1">
            <w:pPr>
              <w:jc w:val="right"/>
              <w:rPr>
                <w:rFonts w:ascii="Calibri" w:hAnsi="Calibri"/>
                <w:color w:val="000000"/>
                <w:lang w:eastAsia="en-GB"/>
              </w:rPr>
            </w:pPr>
            <w:r>
              <w:rPr>
                <w:rFonts w:ascii="Calibri" w:hAnsi="Calibri"/>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53FD659" w14:textId="4CD073AB" w:rsidR="00166FB1" w:rsidRPr="00EB1FC3" w:rsidRDefault="001A6415" w:rsidP="00166FB1">
            <w:pPr>
              <w:jc w:val="right"/>
              <w:rPr>
                <w:rFonts w:ascii="Calibri" w:hAnsi="Calibri"/>
                <w:color w:val="000000"/>
                <w:lang w:eastAsia="en-GB"/>
              </w:rPr>
            </w:pPr>
            <w:r>
              <w:rPr>
                <w:rFonts w:ascii="Calibri" w:hAnsi="Calibri"/>
                <w:color w:val="000000"/>
                <w:lang w:eastAsia="en-GB"/>
              </w:rPr>
              <w:t>0</w:t>
            </w:r>
          </w:p>
        </w:tc>
      </w:tr>
      <w:tr w:rsidR="00166FB1" w:rsidRPr="00EB1FC3" w14:paraId="6E7D3FF5"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5B7B9D37" w14:textId="222FAAE1" w:rsidR="00166FB1" w:rsidRPr="00EB1FC3" w:rsidRDefault="00166FB1" w:rsidP="00166FB1">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1476EC">
              <w:rPr>
                <w:rFonts w:ascii="Calibri" w:hAnsi="Calibri"/>
                <w:b/>
                <w:bCs/>
                <w:color w:val="000000"/>
                <w:lang w:eastAsia="en-GB"/>
              </w:rPr>
              <w:t>2</w:t>
            </w:r>
          </w:p>
        </w:tc>
        <w:tc>
          <w:tcPr>
            <w:tcW w:w="953" w:type="dxa"/>
            <w:tcBorders>
              <w:top w:val="nil"/>
              <w:left w:val="nil"/>
              <w:bottom w:val="single" w:sz="4" w:space="0" w:color="FFFFFF"/>
              <w:right w:val="single" w:sz="4" w:space="0" w:color="FFFFFF"/>
            </w:tcBorders>
            <w:shd w:val="clear" w:color="auto" w:fill="FBD4B4" w:themeFill="accent6" w:themeFillTint="66"/>
            <w:noWrap/>
            <w:vAlign w:val="center"/>
          </w:tcPr>
          <w:p w14:paraId="304B2577" w14:textId="527330F6" w:rsidR="00166FB1" w:rsidRPr="00EB1FC3" w:rsidRDefault="00885990" w:rsidP="00166FB1">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DE921F1" w14:textId="3C1C92CE"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0</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03C800FB" w14:textId="5BCF35BD" w:rsidR="00166FB1" w:rsidRPr="00A955BD" w:rsidRDefault="00114166" w:rsidP="00166FB1">
            <w:pPr>
              <w:jc w:val="right"/>
              <w:rPr>
                <w:rFonts w:ascii="Calibri" w:hAnsi="Calibri"/>
                <w:b/>
                <w:bCs/>
                <w:color w:val="000000"/>
                <w:lang w:eastAsia="en-GB"/>
              </w:rPr>
            </w:pPr>
            <w:r>
              <w:rPr>
                <w:rFonts w:ascii="Calibri" w:hAnsi="Calibri"/>
                <w:b/>
                <w:bCs/>
                <w:color w:val="000000"/>
                <w:lang w:eastAsia="en-GB"/>
              </w:rPr>
              <w:t>-</w:t>
            </w:r>
            <w:r w:rsidR="00885990">
              <w:rPr>
                <w:rFonts w:ascii="Calibri" w:hAnsi="Calibri"/>
                <w:b/>
                <w:bCs/>
                <w:color w:val="000000"/>
                <w:lang w:eastAsia="en-GB"/>
              </w:rPr>
              <w:t>423</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2ADA5C46" w14:textId="1C102250" w:rsidR="00166FB1" w:rsidRPr="00EB1FC3" w:rsidRDefault="00114166" w:rsidP="00166FB1">
            <w:pPr>
              <w:jc w:val="right"/>
              <w:rPr>
                <w:rFonts w:ascii="Calibri" w:hAnsi="Calibri"/>
                <w:b/>
                <w:bCs/>
                <w:color w:val="000000"/>
                <w:lang w:eastAsia="en-GB"/>
              </w:rPr>
            </w:pPr>
            <w:r>
              <w:rPr>
                <w:rFonts w:ascii="Calibri" w:hAnsi="Calibri"/>
                <w:b/>
                <w:bCs/>
                <w:color w:val="000000"/>
                <w:lang w:eastAsia="en-GB"/>
              </w:rPr>
              <w:t>-</w:t>
            </w:r>
            <w:r w:rsidR="00885990">
              <w:rPr>
                <w:rFonts w:ascii="Calibri" w:hAnsi="Calibri"/>
                <w:b/>
                <w:bCs/>
                <w:color w:val="000000"/>
                <w:lang w:eastAsia="en-GB"/>
              </w:rPr>
              <w:t>29</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1612C106" w14:textId="2B12EBE0" w:rsidR="00166FB1" w:rsidRPr="00EB1FC3" w:rsidRDefault="00114166" w:rsidP="00166FB1">
            <w:pPr>
              <w:jc w:val="right"/>
              <w:rPr>
                <w:rFonts w:ascii="Calibri" w:hAnsi="Calibri"/>
                <w:b/>
                <w:bCs/>
                <w:color w:val="000000"/>
                <w:lang w:eastAsia="en-GB"/>
              </w:rPr>
            </w:pPr>
            <w:r>
              <w:rPr>
                <w:rFonts w:ascii="Calibri" w:hAnsi="Calibri"/>
                <w:b/>
                <w:bCs/>
                <w:color w:val="000000"/>
                <w:lang w:eastAsia="en-GB"/>
              </w:rPr>
              <w:t>-</w:t>
            </w:r>
            <w:r w:rsidR="00885990">
              <w:rPr>
                <w:rFonts w:ascii="Calibri" w:hAnsi="Calibri"/>
                <w:b/>
                <w:bCs/>
                <w:color w:val="000000"/>
                <w:lang w:eastAsia="en-GB"/>
              </w:rPr>
              <w:t>91</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6883C39E" w14:textId="08944CF6" w:rsidR="00166FB1" w:rsidRPr="00EB1FC3" w:rsidRDefault="00E47687" w:rsidP="00166FB1">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21F46655" w14:textId="15E9934C" w:rsidR="00166FB1" w:rsidRPr="00EB1FC3" w:rsidRDefault="00E47687" w:rsidP="00166FB1">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8068DDE" w14:textId="0B1D24FD" w:rsidR="00166FB1" w:rsidRPr="00EB1FC3" w:rsidRDefault="00114166" w:rsidP="00166FB1">
            <w:pPr>
              <w:jc w:val="right"/>
              <w:rPr>
                <w:rFonts w:ascii="Calibri" w:hAnsi="Calibri"/>
                <w:b/>
                <w:bCs/>
                <w:color w:val="000000"/>
                <w:lang w:eastAsia="en-GB"/>
              </w:rPr>
            </w:pPr>
            <w:r>
              <w:rPr>
                <w:rFonts w:ascii="Calibri" w:hAnsi="Calibri"/>
                <w:b/>
                <w:bCs/>
                <w:color w:val="000000"/>
                <w:lang w:eastAsia="en-GB"/>
              </w:rPr>
              <w:t>-</w:t>
            </w:r>
            <w:r w:rsidR="00134102">
              <w:rPr>
                <w:rFonts w:ascii="Calibri" w:hAnsi="Calibri"/>
                <w:b/>
                <w:bCs/>
                <w:color w:val="000000"/>
                <w:lang w:eastAsia="en-GB"/>
              </w:rPr>
              <w:t>543</w:t>
            </w:r>
          </w:p>
        </w:tc>
      </w:tr>
      <w:tr w:rsidR="00166FB1" w:rsidRPr="00EB1FC3" w14:paraId="6054A82D"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560B90B0" w14:textId="77777777" w:rsidR="00166FB1" w:rsidRPr="00EB1FC3" w:rsidRDefault="00166FB1" w:rsidP="00166FB1">
            <w:pPr>
              <w:rPr>
                <w:rFonts w:ascii="Calibri" w:hAnsi="Calibri"/>
                <w:b/>
                <w:bCs/>
                <w:color w:val="000000"/>
                <w:lang w:eastAsia="en-GB"/>
              </w:rPr>
            </w:pPr>
            <w:r w:rsidRPr="00EB1FC3">
              <w:rPr>
                <w:rFonts w:ascii="Calibri" w:hAnsi="Calibri"/>
                <w:b/>
                <w:bCs/>
                <w:color w:val="000000"/>
                <w:lang w:eastAsia="en-GB"/>
              </w:rPr>
              <w:t>Net Book Value</w:t>
            </w:r>
          </w:p>
        </w:tc>
        <w:tc>
          <w:tcPr>
            <w:tcW w:w="953" w:type="dxa"/>
            <w:tcBorders>
              <w:top w:val="nil"/>
              <w:left w:val="nil"/>
              <w:bottom w:val="single" w:sz="4" w:space="0" w:color="FFFFFF"/>
              <w:right w:val="single" w:sz="4" w:space="0" w:color="FFFFFF"/>
            </w:tcBorders>
            <w:shd w:val="clear" w:color="auto" w:fill="FBD4B4" w:themeFill="accent6" w:themeFillTint="66"/>
            <w:noWrap/>
            <w:vAlign w:val="center"/>
          </w:tcPr>
          <w:p w14:paraId="14BAA55A" w14:textId="77777777" w:rsidR="00166FB1" w:rsidRPr="00EB1FC3" w:rsidRDefault="00166FB1" w:rsidP="00166FB1">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766395F" w14:textId="77777777" w:rsidR="00166FB1" w:rsidRPr="00EB1FC3" w:rsidRDefault="00166FB1" w:rsidP="00166FB1">
            <w:pPr>
              <w:jc w:val="right"/>
              <w:rPr>
                <w:rFonts w:ascii="Calibri" w:hAnsi="Calibri"/>
                <w:b/>
                <w:bCs/>
                <w:color w:val="000000"/>
                <w:lang w:eastAsia="en-GB"/>
              </w:rPr>
            </w:pP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07B3DCE3" w14:textId="77777777" w:rsidR="00166FB1" w:rsidRPr="00EB1FC3" w:rsidRDefault="00166FB1" w:rsidP="00166FB1">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1A2DAF1C" w14:textId="77777777" w:rsidR="00166FB1" w:rsidRPr="00EB1FC3" w:rsidRDefault="00166FB1" w:rsidP="00166FB1">
            <w:pPr>
              <w:jc w:val="right"/>
              <w:rPr>
                <w:rFonts w:ascii="Calibri" w:hAnsi="Calibri"/>
                <w:b/>
                <w:bCs/>
                <w:color w:val="000000"/>
                <w:lang w:eastAsia="en-GB"/>
              </w:rPr>
            </w:pP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65A372F3" w14:textId="77777777" w:rsidR="00166FB1" w:rsidRPr="00EB1FC3" w:rsidRDefault="00166FB1" w:rsidP="00166FB1">
            <w:pPr>
              <w:jc w:val="right"/>
              <w:rPr>
                <w:rFonts w:ascii="Calibri" w:hAnsi="Calibri"/>
                <w:b/>
                <w:bCs/>
                <w:color w:val="000000"/>
                <w:lang w:eastAsia="en-GB"/>
              </w:rPr>
            </w:pP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4A7DD3CE" w14:textId="77777777" w:rsidR="00166FB1" w:rsidRPr="00EB1FC3" w:rsidRDefault="00166FB1" w:rsidP="00166FB1">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58336585" w14:textId="77777777" w:rsidR="00166FB1" w:rsidRPr="00EB1FC3" w:rsidRDefault="00166FB1" w:rsidP="00166FB1">
            <w:pPr>
              <w:jc w:val="right"/>
              <w:rPr>
                <w:rFonts w:ascii="Calibri" w:hAnsi="Calibri"/>
                <w:b/>
                <w:bCs/>
                <w:color w:val="000000"/>
                <w:lang w:eastAsia="en-GB"/>
              </w:rPr>
            </w:pP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6CA776F" w14:textId="77777777" w:rsidR="00166FB1" w:rsidRPr="00EB1FC3" w:rsidRDefault="00166FB1" w:rsidP="00166FB1">
            <w:pPr>
              <w:jc w:val="right"/>
              <w:rPr>
                <w:rFonts w:ascii="Calibri" w:hAnsi="Calibri"/>
                <w:b/>
                <w:bCs/>
                <w:color w:val="000000"/>
                <w:lang w:eastAsia="en-GB"/>
              </w:rPr>
            </w:pPr>
          </w:p>
        </w:tc>
      </w:tr>
      <w:tr w:rsidR="00166FB1" w:rsidRPr="00EB1FC3" w14:paraId="7011BFD5"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2AC4B1CC" w14:textId="41DB6DF0" w:rsidR="00166FB1" w:rsidRPr="00EB1FC3" w:rsidRDefault="00166FB1" w:rsidP="00166FB1">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1476EC">
              <w:rPr>
                <w:rFonts w:ascii="Calibri" w:hAnsi="Calibri"/>
                <w:b/>
                <w:bCs/>
                <w:color w:val="000000"/>
                <w:lang w:eastAsia="en-GB"/>
              </w:rPr>
              <w:t>2</w:t>
            </w:r>
          </w:p>
        </w:tc>
        <w:tc>
          <w:tcPr>
            <w:tcW w:w="953" w:type="dxa"/>
            <w:tcBorders>
              <w:top w:val="nil"/>
              <w:left w:val="nil"/>
              <w:bottom w:val="single" w:sz="4" w:space="0" w:color="FFFFFF"/>
              <w:right w:val="single" w:sz="4" w:space="0" w:color="FFFFFF"/>
            </w:tcBorders>
            <w:shd w:val="clear" w:color="auto" w:fill="FBD4B4" w:themeFill="accent6" w:themeFillTint="66"/>
            <w:noWrap/>
            <w:vAlign w:val="center"/>
          </w:tcPr>
          <w:p w14:paraId="56E5A4B7" w14:textId="733B1188"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105,722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2ECF6DE" w14:textId="5A780109"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37,169</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17C77C31" w14:textId="3EE23745"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853</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5AF41999" w14:textId="4D6D468A"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12</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6186EC74" w14:textId="184F14EC"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261</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102A113C" w14:textId="2CE26F83"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2</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8E3DE46" w14:textId="05DCBCE6" w:rsidR="00166FB1" w:rsidRPr="00EB1FC3" w:rsidRDefault="004A1858" w:rsidP="00166FB1">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18D2F51B" w14:textId="577A1B46" w:rsidR="00166FB1" w:rsidRPr="00ED2EAD" w:rsidRDefault="00134102" w:rsidP="00166FB1">
            <w:pPr>
              <w:jc w:val="right"/>
              <w:rPr>
                <w:rFonts w:ascii="Calibri" w:hAnsi="Calibri"/>
                <w:b/>
                <w:bCs/>
                <w:color w:val="000000"/>
                <w:lang w:eastAsia="en-GB"/>
              </w:rPr>
            </w:pPr>
            <w:r>
              <w:rPr>
                <w:rFonts w:ascii="Calibri" w:hAnsi="Calibri"/>
                <w:b/>
                <w:bCs/>
                <w:color w:val="000000"/>
                <w:lang w:eastAsia="en-GB"/>
              </w:rPr>
              <w:t>144,019</w:t>
            </w:r>
          </w:p>
        </w:tc>
      </w:tr>
      <w:tr w:rsidR="00166FB1" w:rsidRPr="00EB1FC3" w14:paraId="67A40AA9" w14:textId="77777777" w:rsidTr="00DE0E04">
        <w:trPr>
          <w:trHeight w:val="300"/>
        </w:trPr>
        <w:tc>
          <w:tcPr>
            <w:tcW w:w="2853" w:type="dxa"/>
            <w:tcBorders>
              <w:top w:val="nil"/>
              <w:left w:val="single" w:sz="4" w:space="0" w:color="FFFFFF"/>
              <w:bottom w:val="single" w:sz="4" w:space="0" w:color="FFFFFF"/>
              <w:right w:val="single" w:sz="4" w:space="0" w:color="FFFFFF"/>
            </w:tcBorders>
            <w:shd w:val="clear" w:color="auto" w:fill="FBD4B4" w:themeFill="accent6" w:themeFillTint="66"/>
            <w:noWrap/>
            <w:vAlign w:val="bottom"/>
            <w:hideMark/>
          </w:tcPr>
          <w:p w14:paraId="73F942F7" w14:textId="43D351BB" w:rsidR="00166FB1" w:rsidRPr="00EB1FC3" w:rsidRDefault="00166FB1" w:rsidP="00166FB1">
            <w:pPr>
              <w:rPr>
                <w:rFonts w:ascii="Calibri" w:hAnsi="Calibri"/>
                <w:b/>
                <w:bCs/>
                <w:color w:val="000000"/>
                <w:lang w:eastAsia="en-GB"/>
              </w:rPr>
            </w:pPr>
            <w:proofErr w:type="gramStart"/>
            <w:r w:rsidRPr="00EB1FC3">
              <w:rPr>
                <w:rFonts w:ascii="Calibri" w:hAnsi="Calibri"/>
                <w:b/>
                <w:bCs/>
                <w:color w:val="000000"/>
                <w:lang w:eastAsia="en-GB"/>
              </w:rPr>
              <w:t>At</w:t>
            </w:r>
            <w:proofErr w:type="gramEnd"/>
            <w:r w:rsidRPr="00EB1FC3">
              <w:rPr>
                <w:rFonts w:ascii="Calibri" w:hAnsi="Calibri"/>
                <w:b/>
                <w:bCs/>
                <w:color w:val="000000"/>
                <w:lang w:eastAsia="en-GB"/>
              </w:rPr>
              <w:t xml:space="preserve"> 31 March 20</w:t>
            </w:r>
            <w:r>
              <w:rPr>
                <w:rFonts w:ascii="Calibri" w:hAnsi="Calibri"/>
                <w:b/>
                <w:bCs/>
                <w:color w:val="000000"/>
                <w:lang w:eastAsia="en-GB"/>
              </w:rPr>
              <w:t>2</w:t>
            </w:r>
            <w:r w:rsidR="001476EC">
              <w:rPr>
                <w:rFonts w:ascii="Calibri" w:hAnsi="Calibri"/>
                <w:b/>
                <w:bCs/>
                <w:color w:val="000000"/>
                <w:lang w:eastAsia="en-GB"/>
              </w:rPr>
              <w:t>1</w:t>
            </w:r>
          </w:p>
        </w:tc>
        <w:tc>
          <w:tcPr>
            <w:tcW w:w="953" w:type="dxa"/>
            <w:tcBorders>
              <w:top w:val="nil"/>
              <w:left w:val="nil"/>
              <w:bottom w:val="single" w:sz="4" w:space="0" w:color="FFFFFF"/>
              <w:right w:val="single" w:sz="4" w:space="0" w:color="FFFFFF"/>
            </w:tcBorders>
            <w:shd w:val="clear" w:color="auto" w:fill="FBD4B4" w:themeFill="accent6" w:themeFillTint="66"/>
            <w:noWrap/>
            <w:vAlign w:val="center"/>
          </w:tcPr>
          <w:p w14:paraId="3C8AEFD9" w14:textId="52F22E53"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9</w:t>
            </w:r>
            <w:r w:rsidR="00D91337">
              <w:rPr>
                <w:rFonts w:ascii="Calibri" w:hAnsi="Calibri"/>
                <w:b/>
                <w:bCs/>
                <w:color w:val="000000"/>
                <w:lang w:eastAsia="en-GB"/>
              </w:rPr>
              <w:t>7</w:t>
            </w:r>
            <w:r>
              <w:rPr>
                <w:rFonts w:ascii="Calibri" w:hAnsi="Calibri"/>
                <w:b/>
                <w:bCs/>
                <w:color w:val="000000"/>
                <w:lang w:eastAsia="en-GB"/>
              </w:rPr>
              <w:t>,</w:t>
            </w:r>
            <w:r w:rsidR="00D91337">
              <w:rPr>
                <w:rFonts w:ascii="Calibri" w:hAnsi="Calibri"/>
                <w:b/>
                <w:bCs/>
                <w:color w:val="000000"/>
                <w:lang w:eastAsia="en-GB"/>
              </w:rPr>
              <w:t>768</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392023E3" w14:textId="310A9C24"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3</w:t>
            </w:r>
            <w:r w:rsidR="00D91337">
              <w:rPr>
                <w:rFonts w:ascii="Calibri" w:hAnsi="Calibri"/>
                <w:b/>
                <w:bCs/>
                <w:color w:val="000000"/>
                <w:lang w:eastAsia="en-GB"/>
              </w:rPr>
              <w:t>7</w:t>
            </w:r>
            <w:r>
              <w:rPr>
                <w:rFonts w:ascii="Calibri" w:hAnsi="Calibri"/>
                <w:b/>
                <w:bCs/>
                <w:color w:val="000000"/>
                <w:lang w:eastAsia="en-GB"/>
              </w:rPr>
              <w:t>,</w:t>
            </w:r>
            <w:r w:rsidR="00D91337">
              <w:rPr>
                <w:rFonts w:ascii="Calibri" w:hAnsi="Calibri"/>
                <w:b/>
                <w:bCs/>
                <w:color w:val="000000"/>
                <w:lang w:eastAsia="en-GB"/>
              </w:rPr>
              <w:t>514</w:t>
            </w:r>
          </w:p>
        </w:tc>
        <w:tc>
          <w:tcPr>
            <w:tcW w:w="975" w:type="dxa"/>
            <w:tcBorders>
              <w:top w:val="nil"/>
              <w:left w:val="nil"/>
              <w:bottom w:val="single" w:sz="4" w:space="0" w:color="FFFFFF"/>
              <w:right w:val="single" w:sz="4" w:space="0" w:color="FFFFFF"/>
            </w:tcBorders>
            <w:shd w:val="clear" w:color="auto" w:fill="FBD4B4" w:themeFill="accent6" w:themeFillTint="66"/>
            <w:noWrap/>
            <w:vAlign w:val="center"/>
          </w:tcPr>
          <w:p w14:paraId="210D7CF4" w14:textId="6D8E550B" w:rsidR="00166FB1" w:rsidRPr="00EB1FC3" w:rsidRDefault="00D91337" w:rsidP="00166FB1">
            <w:pPr>
              <w:jc w:val="right"/>
              <w:rPr>
                <w:rFonts w:ascii="Calibri" w:hAnsi="Calibri"/>
                <w:b/>
                <w:bCs/>
                <w:color w:val="000000"/>
                <w:lang w:eastAsia="en-GB"/>
              </w:rPr>
            </w:pPr>
            <w:r>
              <w:rPr>
                <w:rFonts w:ascii="Calibri" w:hAnsi="Calibri"/>
                <w:b/>
                <w:bCs/>
                <w:color w:val="000000"/>
                <w:lang w:eastAsia="en-GB"/>
              </w:rPr>
              <w:t>866</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1D7F6D0B" w14:textId="1D002A25"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1</w:t>
            </w:r>
            <w:r w:rsidR="00D91337">
              <w:rPr>
                <w:rFonts w:ascii="Calibri" w:hAnsi="Calibri"/>
                <w:b/>
                <w:bCs/>
                <w:color w:val="000000"/>
                <w:lang w:eastAsia="en-GB"/>
              </w:rPr>
              <w:t>3</w:t>
            </w:r>
          </w:p>
        </w:tc>
        <w:tc>
          <w:tcPr>
            <w:tcW w:w="724" w:type="dxa"/>
            <w:tcBorders>
              <w:top w:val="nil"/>
              <w:left w:val="nil"/>
              <w:bottom w:val="single" w:sz="4" w:space="0" w:color="FFFFFF"/>
              <w:right w:val="single" w:sz="4" w:space="0" w:color="FFFFFF"/>
            </w:tcBorders>
            <w:shd w:val="clear" w:color="auto" w:fill="FBD4B4" w:themeFill="accent6" w:themeFillTint="66"/>
            <w:noWrap/>
            <w:vAlign w:val="center"/>
          </w:tcPr>
          <w:p w14:paraId="3C86EEA7" w14:textId="3EFFD427"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2</w:t>
            </w:r>
            <w:r w:rsidR="00D91337">
              <w:rPr>
                <w:rFonts w:ascii="Calibri" w:hAnsi="Calibri"/>
                <w:b/>
                <w:bCs/>
                <w:color w:val="000000"/>
                <w:lang w:eastAsia="en-GB"/>
              </w:rPr>
              <w:t>61</w:t>
            </w:r>
          </w:p>
        </w:tc>
        <w:tc>
          <w:tcPr>
            <w:tcW w:w="696" w:type="dxa"/>
            <w:tcBorders>
              <w:top w:val="nil"/>
              <w:left w:val="nil"/>
              <w:bottom w:val="single" w:sz="4" w:space="0" w:color="FFFFFF"/>
              <w:right w:val="single" w:sz="4" w:space="0" w:color="FFFFFF"/>
            </w:tcBorders>
            <w:shd w:val="clear" w:color="auto" w:fill="FBD4B4" w:themeFill="accent6" w:themeFillTint="66"/>
            <w:noWrap/>
            <w:vAlign w:val="center"/>
          </w:tcPr>
          <w:p w14:paraId="1F7E443A" w14:textId="13840005" w:rsidR="00166FB1" w:rsidRPr="00EB1FC3" w:rsidRDefault="00D91337" w:rsidP="00166FB1">
            <w:pPr>
              <w:jc w:val="right"/>
              <w:rPr>
                <w:rFonts w:ascii="Calibri" w:hAnsi="Calibri"/>
                <w:b/>
                <w:bCs/>
                <w:color w:val="000000"/>
                <w:lang w:eastAsia="en-GB"/>
              </w:rPr>
            </w:pPr>
            <w:r>
              <w:rPr>
                <w:rFonts w:ascii="Calibri" w:hAnsi="Calibri"/>
                <w:b/>
                <w:bCs/>
                <w:color w:val="000000"/>
                <w:lang w:eastAsia="en-GB"/>
              </w:rPr>
              <w:t>94</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A0C2A74" w14:textId="77777777"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0</w:t>
            </w:r>
          </w:p>
        </w:tc>
        <w:tc>
          <w:tcPr>
            <w:tcW w:w="954" w:type="dxa"/>
            <w:tcBorders>
              <w:top w:val="nil"/>
              <w:left w:val="nil"/>
              <w:bottom w:val="single" w:sz="4" w:space="0" w:color="FFFFFF"/>
              <w:right w:val="single" w:sz="4" w:space="0" w:color="FFFFFF"/>
            </w:tcBorders>
            <w:shd w:val="clear" w:color="auto" w:fill="FBD4B4" w:themeFill="accent6" w:themeFillTint="66"/>
            <w:noWrap/>
            <w:vAlign w:val="center"/>
          </w:tcPr>
          <w:p w14:paraId="4FC5859F" w14:textId="75AAF667" w:rsidR="00166FB1" w:rsidRPr="00EB1FC3" w:rsidRDefault="00166FB1" w:rsidP="00166FB1">
            <w:pPr>
              <w:jc w:val="right"/>
              <w:rPr>
                <w:rFonts w:ascii="Calibri" w:hAnsi="Calibri"/>
                <w:b/>
                <w:bCs/>
                <w:color w:val="000000"/>
                <w:lang w:eastAsia="en-GB"/>
              </w:rPr>
            </w:pPr>
            <w:r>
              <w:rPr>
                <w:rFonts w:ascii="Calibri" w:hAnsi="Calibri"/>
                <w:b/>
                <w:bCs/>
                <w:color w:val="000000"/>
                <w:lang w:eastAsia="en-GB"/>
              </w:rPr>
              <w:t>1</w:t>
            </w:r>
            <w:r w:rsidR="00D91337">
              <w:rPr>
                <w:rFonts w:ascii="Calibri" w:hAnsi="Calibri"/>
                <w:b/>
                <w:bCs/>
                <w:color w:val="000000"/>
                <w:lang w:eastAsia="en-GB"/>
              </w:rPr>
              <w:t>3</w:t>
            </w:r>
            <w:r>
              <w:rPr>
                <w:rFonts w:ascii="Calibri" w:hAnsi="Calibri"/>
                <w:b/>
                <w:bCs/>
                <w:color w:val="000000"/>
                <w:lang w:eastAsia="en-GB"/>
              </w:rPr>
              <w:t>6,</w:t>
            </w:r>
            <w:r w:rsidR="00D91337">
              <w:rPr>
                <w:rFonts w:ascii="Calibri" w:hAnsi="Calibri"/>
                <w:b/>
                <w:bCs/>
                <w:color w:val="000000"/>
                <w:lang w:eastAsia="en-GB"/>
              </w:rPr>
              <w:t>516</w:t>
            </w:r>
          </w:p>
        </w:tc>
      </w:tr>
    </w:tbl>
    <w:p w14:paraId="1B39F6CC" w14:textId="77777777" w:rsidR="00707761" w:rsidRDefault="00707761" w:rsidP="00707761">
      <w:pPr>
        <w:widowControl w:val="0"/>
        <w:tabs>
          <w:tab w:val="left" w:pos="2520"/>
          <w:tab w:val="left" w:pos="7200"/>
          <w:tab w:val="left" w:pos="8460"/>
        </w:tabs>
        <w:ind w:left="567" w:hanging="567"/>
        <w:rPr>
          <w:rFonts w:ascii="Arial" w:hAnsi="Arial" w:cs="Arial"/>
          <w:b/>
        </w:rPr>
      </w:pPr>
    </w:p>
    <w:p w14:paraId="1F35F541" w14:textId="77777777" w:rsidR="00707761" w:rsidRPr="00EB1FC3" w:rsidRDefault="00707761" w:rsidP="00707761">
      <w:pPr>
        <w:widowControl w:val="0"/>
        <w:tabs>
          <w:tab w:val="left" w:pos="720"/>
          <w:tab w:val="left" w:pos="1800"/>
          <w:tab w:val="left" w:pos="2520"/>
          <w:tab w:val="left" w:pos="2592"/>
          <w:tab w:val="left" w:pos="6768"/>
          <w:tab w:val="left" w:pos="8640"/>
        </w:tabs>
        <w:ind w:right="-57"/>
        <w:rPr>
          <w:rFonts w:asciiTheme="minorHAnsi" w:hAnsiTheme="minorHAnsi" w:cs="Arial"/>
          <w:sz w:val="22"/>
          <w:szCs w:val="22"/>
        </w:rPr>
      </w:pPr>
    </w:p>
    <w:p w14:paraId="11FE6A8A" w14:textId="77777777" w:rsidR="00707761" w:rsidRPr="00C81541" w:rsidRDefault="00707761" w:rsidP="00707761">
      <w:pPr>
        <w:widowControl w:val="0"/>
        <w:tabs>
          <w:tab w:val="left" w:pos="2520"/>
          <w:tab w:val="left" w:pos="7200"/>
          <w:tab w:val="left" w:pos="8460"/>
        </w:tabs>
        <w:ind w:left="567" w:hanging="567"/>
        <w:rPr>
          <w:rFonts w:asciiTheme="minorHAnsi" w:hAnsiTheme="minorHAnsi" w:cs="Arial"/>
          <w:b/>
          <w:sz w:val="24"/>
          <w:szCs w:val="24"/>
        </w:rPr>
      </w:pPr>
      <w:r w:rsidRPr="00C81541">
        <w:rPr>
          <w:rFonts w:asciiTheme="minorHAnsi" w:hAnsiTheme="minorHAnsi" w:cs="Arial"/>
          <w:b/>
          <w:sz w:val="24"/>
          <w:szCs w:val="24"/>
        </w:rPr>
        <w:t>Depreciation</w:t>
      </w:r>
    </w:p>
    <w:p w14:paraId="6849DC90" w14:textId="77777777" w:rsidR="00707761" w:rsidRPr="00C81541" w:rsidRDefault="00707761" w:rsidP="00707761">
      <w:pPr>
        <w:widowControl w:val="0"/>
        <w:tabs>
          <w:tab w:val="left" w:pos="2520"/>
          <w:tab w:val="left" w:pos="7200"/>
          <w:tab w:val="left" w:pos="8460"/>
        </w:tabs>
        <w:rPr>
          <w:rFonts w:asciiTheme="minorHAnsi" w:hAnsiTheme="minorHAnsi" w:cs="Arial"/>
          <w:b/>
          <w:sz w:val="22"/>
          <w:szCs w:val="22"/>
        </w:rPr>
      </w:pPr>
    </w:p>
    <w:p w14:paraId="749F757F" w14:textId="77777777" w:rsidR="00707761" w:rsidRPr="00C81541" w:rsidRDefault="00707761" w:rsidP="00707761">
      <w:pPr>
        <w:widowControl w:val="0"/>
        <w:tabs>
          <w:tab w:val="left" w:pos="2520"/>
          <w:tab w:val="left" w:pos="7200"/>
          <w:tab w:val="left" w:pos="8460"/>
        </w:tabs>
        <w:ind w:left="567" w:hanging="567"/>
        <w:jc w:val="both"/>
        <w:rPr>
          <w:rFonts w:asciiTheme="minorHAnsi" w:hAnsiTheme="minorHAnsi" w:cs="Arial"/>
          <w:sz w:val="22"/>
          <w:szCs w:val="22"/>
        </w:rPr>
      </w:pPr>
      <w:r w:rsidRPr="00C81541">
        <w:rPr>
          <w:rFonts w:asciiTheme="minorHAnsi" w:hAnsiTheme="minorHAnsi" w:cs="Arial"/>
          <w:sz w:val="22"/>
          <w:szCs w:val="22"/>
        </w:rPr>
        <w:t>The following useful lives have been used in the calculation of depreciation:</w:t>
      </w:r>
    </w:p>
    <w:p w14:paraId="246B8CA3" w14:textId="77777777" w:rsidR="00707761" w:rsidRPr="00C81541" w:rsidRDefault="00707761" w:rsidP="00707761">
      <w:pPr>
        <w:widowControl w:val="0"/>
        <w:tabs>
          <w:tab w:val="left" w:pos="2520"/>
          <w:tab w:val="left" w:pos="7200"/>
          <w:tab w:val="left" w:pos="8460"/>
        </w:tabs>
        <w:ind w:left="567" w:hanging="567"/>
        <w:jc w:val="both"/>
        <w:rPr>
          <w:rFonts w:asciiTheme="minorHAnsi" w:hAnsiTheme="minorHAnsi" w:cs="Arial"/>
          <w:sz w:val="22"/>
          <w:szCs w:val="22"/>
        </w:rPr>
      </w:pPr>
    </w:p>
    <w:p w14:paraId="4CFF1AA9" w14:textId="2820064F" w:rsidR="00707761" w:rsidRPr="008B5E28" w:rsidRDefault="00707761" w:rsidP="00C76AD3">
      <w:pPr>
        <w:widowControl w:val="0"/>
        <w:numPr>
          <w:ilvl w:val="0"/>
          <w:numId w:val="5"/>
        </w:numPr>
        <w:tabs>
          <w:tab w:val="left" w:pos="2520"/>
          <w:tab w:val="left" w:pos="7200"/>
          <w:tab w:val="left" w:pos="8460"/>
        </w:tabs>
        <w:jc w:val="both"/>
        <w:rPr>
          <w:rFonts w:asciiTheme="minorHAnsi" w:hAnsiTheme="minorHAnsi" w:cs="Arial"/>
          <w:sz w:val="22"/>
          <w:szCs w:val="22"/>
        </w:rPr>
      </w:pPr>
      <w:r w:rsidRPr="008B5E28">
        <w:rPr>
          <w:rFonts w:asciiTheme="minorHAnsi" w:hAnsiTheme="minorHAnsi" w:cs="Arial"/>
          <w:sz w:val="22"/>
          <w:szCs w:val="22"/>
        </w:rPr>
        <w:t>Council Dwellings – 50 years</w:t>
      </w:r>
    </w:p>
    <w:p w14:paraId="6F9EC6EF" w14:textId="146264A1" w:rsidR="00D12110" w:rsidRPr="008B5E28" w:rsidRDefault="00D12110" w:rsidP="00C76AD3">
      <w:pPr>
        <w:widowControl w:val="0"/>
        <w:numPr>
          <w:ilvl w:val="0"/>
          <w:numId w:val="5"/>
        </w:numPr>
        <w:tabs>
          <w:tab w:val="left" w:pos="2520"/>
          <w:tab w:val="left" w:pos="7200"/>
          <w:tab w:val="left" w:pos="8460"/>
        </w:tabs>
        <w:jc w:val="both"/>
        <w:rPr>
          <w:rFonts w:asciiTheme="minorHAnsi" w:hAnsiTheme="minorHAnsi" w:cs="Arial"/>
          <w:sz w:val="22"/>
          <w:szCs w:val="22"/>
        </w:rPr>
      </w:pPr>
      <w:r w:rsidRPr="008B5E28">
        <w:rPr>
          <w:rFonts w:asciiTheme="minorHAnsi" w:hAnsiTheme="minorHAnsi" w:cs="Arial"/>
          <w:sz w:val="22"/>
          <w:szCs w:val="22"/>
        </w:rPr>
        <w:t>Garages – 15 years</w:t>
      </w:r>
    </w:p>
    <w:p w14:paraId="71AEB03D" w14:textId="620DD7DA" w:rsidR="00707761" w:rsidRPr="008B5E28" w:rsidRDefault="00707761" w:rsidP="00C76AD3">
      <w:pPr>
        <w:widowControl w:val="0"/>
        <w:numPr>
          <w:ilvl w:val="0"/>
          <w:numId w:val="5"/>
        </w:numPr>
        <w:tabs>
          <w:tab w:val="left" w:pos="2520"/>
          <w:tab w:val="left" w:pos="7200"/>
          <w:tab w:val="left" w:pos="8460"/>
        </w:tabs>
        <w:jc w:val="both"/>
        <w:rPr>
          <w:rFonts w:asciiTheme="minorHAnsi" w:hAnsiTheme="minorHAnsi" w:cs="Arial"/>
          <w:sz w:val="22"/>
          <w:szCs w:val="22"/>
        </w:rPr>
      </w:pPr>
      <w:r w:rsidRPr="008B5E28">
        <w:rPr>
          <w:rFonts w:asciiTheme="minorHAnsi" w:hAnsiTheme="minorHAnsi" w:cs="Arial"/>
          <w:sz w:val="22"/>
          <w:szCs w:val="22"/>
        </w:rPr>
        <w:t>Other Land and buildings</w:t>
      </w:r>
      <w:r w:rsidR="00425E97" w:rsidRPr="008B5E28">
        <w:rPr>
          <w:rFonts w:asciiTheme="minorHAnsi" w:hAnsiTheme="minorHAnsi" w:cs="Arial"/>
          <w:sz w:val="22"/>
          <w:szCs w:val="22"/>
        </w:rPr>
        <w:t xml:space="preserve"> -</w:t>
      </w:r>
      <w:r w:rsidRPr="008B5E28">
        <w:rPr>
          <w:rFonts w:asciiTheme="minorHAnsi" w:hAnsiTheme="minorHAnsi" w:cs="Arial"/>
          <w:sz w:val="22"/>
          <w:szCs w:val="22"/>
        </w:rPr>
        <w:t xml:space="preserve"> </w:t>
      </w:r>
      <w:r w:rsidR="00C62BAF">
        <w:rPr>
          <w:rFonts w:asciiTheme="minorHAnsi" w:hAnsiTheme="minorHAnsi" w:cs="Arial"/>
          <w:sz w:val="22"/>
          <w:szCs w:val="22"/>
        </w:rPr>
        <w:t>5</w:t>
      </w:r>
      <w:r w:rsidR="00425E97" w:rsidRPr="008B5E28">
        <w:rPr>
          <w:rFonts w:asciiTheme="minorHAnsi" w:hAnsiTheme="minorHAnsi" w:cs="Arial"/>
          <w:sz w:val="22"/>
          <w:szCs w:val="22"/>
        </w:rPr>
        <w:t>-</w:t>
      </w:r>
      <w:r w:rsidR="008B5E28" w:rsidRPr="008B5E28">
        <w:rPr>
          <w:rFonts w:asciiTheme="minorHAnsi" w:hAnsiTheme="minorHAnsi" w:cs="Arial"/>
          <w:sz w:val="22"/>
          <w:szCs w:val="22"/>
        </w:rPr>
        <w:t>4</w:t>
      </w:r>
      <w:r w:rsidR="00C62BAF">
        <w:rPr>
          <w:rFonts w:asciiTheme="minorHAnsi" w:hAnsiTheme="minorHAnsi" w:cs="Arial"/>
          <w:sz w:val="22"/>
          <w:szCs w:val="22"/>
        </w:rPr>
        <w:t>7</w:t>
      </w:r>
      <w:r w:rsidRPr="008B5E28">
        <w:rPr>
          <w:rFonts w:asciiTheme="minorHAnsi" w:hAnsiTheme="minorHAnsi" w:cs="Arial"/>
          <w:sz w:val="22"/>
          <w:szCs w:val="22"/>
        </w:rPr>
        <w:t xml:space="preserve"> years</w:t>
      </w:r>
    </w:p>
    <w:p w14:paraId="55AC151C" w14:textId="2B50C7F8" w:rsidR="00707761" w:rsidRPr="008B5E28" w:rsidRDefault="00707761" w:rsidP="00C76AD3">
      <w:pPr>
        <w:widowControl w:val="0"/>
        <w:numPr>
          <w:ilvl w:val="0"/>
          <w:numId w:val="5"/>
        </w:numPr>
        <w:tabs>
          <w:tab w:val="left" w:pos="2520"/>
          <w:tab w:val="left" w:pos="7200"/>
          <w:tab w:val="left" w:pos="8460"/>
        </w:tabs>
        <w:jc w:val="both"/>
        <w:rPr>
          <w:rFonts w:asciiTheme="minorHAnsi" w:hAnsiTheme="minorHAnsi" w:cs="Arial"/>
          <w:sz w:val="22"/>
          <w:szCs w:val="22"/>
        </w:rPr>
      </w:pPr>
      <w:r w:rsidRPr="008B5E28">
        <w:rPr>
          <w:rFonts w:asciiTheme="minorHAnsi" w:hAnsiTheme="minorHAnsi" w:cs="Arial"/>
          <w:sz w:val="22"/>
          <w:szCs w:val="22"/>
        </w:rPr>
        <w:lastRenderedPageBreak/>
        <w:t>Vehicles, Plant, Furniture and Equipmen</w:t>
      </w:r>
      <w:r w:rsidR="0014061B" w:rsidRPr="008B5E28">
        <w:rPr>
          <w:rFonts w:asciiTheme="minorHAnsi" w:hAnsiTheme="minorHAnsi" w:cs="Arial"/>
          <w:sz w:val="22"/>
          <w:szCs w:val="22"/>
        </w:rPr>
        <w:t>t – 1-2</w:t>
      </w:r>
      <w:r w:rsidR="008B5E28" w:rsidRPr="008B5E28">
        <w:rPr>
          <w:rFonts w:asciiTheme="minorHAnsi" w:hAnsiTheme="minorHAnsi" w:cs="Arial"/>
          <w:sz w:val="22"/>
          <w:szCs w:val="22"/>
        </w:rPr>
        <w:t>6</w:t>
      </w:r>
      <w:r w:rsidRPr="008B5E28">
        <w:rPr>
          <w:rFonts w:asciiTheme="minorHAnsi" w:hAnsiTheme="minorHAnsi" w:cs="Arial"/>
          <w:sz w:val="22"/>
          <w:szCs w:val="22"/>
        </w:rPr>
        <w:t xml:space="preserve"> years</w:t>
      </w:r>
    </w:p>
    <w:p w14:paraId="45B2C43D" w14:textId="69AB7F93" w:rsidR="00707761" w:rsidRPr="00C62BAF" w:rsidRDefault="00425E97" w:rsidP="00C76AD3">
      <w:pPr>
        <w:widowControl w:val="0"/>
        <w:numPr>
          <w:ilvl w:val="0"/>
          <w:numId w:val="5"/>
        </w:numPr>
        <w:tabs>
          <w:tab w:val="left" w:pos="2520"/>
          <w:tab w:val="left" w:pos="7200"/>
          <w:tab w:val="left" w:pos="8460"/>
        </w:tabs>
        <w:jc w:val="both"/>
        <w:rPr>
          <w:rFonts w:asciiTheme="minorHAnsi" w:hAnsiTheme="minorHAnsi" w:cs="Arial"/>
          <w:sz w:val="22"/>
          <w:szCs w:val="22"/>
        </w:rPr>
      </w:pPr>
      <w:r w:rsidRPr="00C62BAF">
        <w:rPr>
          <w:rFonts w:asciiTheme="minorHAnsi" w:hAnsiTheme="minorHAnsi" w:cs="Arial"/>
          <w:sz w:val="22"/>
          <w:szCs w:val="22"/>
        </w:rPr>
        <w:t xml:space="preserve">Infrastructure – </w:t>
      </w:r>
      <w:r w:rsidR="00C62BAF" w:rsidRPr="00C62BAF">
        <w:rPr>
          <w:rFonts w:asciiTheme="minorHAnsi" w:hAnsiTheme="minorHAnsi" w:cs="Arial"/>
          <w:sz w:val="22"/>
          <w:szCs w:val="22"/>
        </w:rPr>
        <w:t>2</w:t>
      </w:r>
      <w:r w:rsidR="00707761" w:rsidRPr="00C62BAF">
        <w:rPr>
          <w:rFonts w:asciiTheme="minorHAnsi" w:hAnsiTheme="minorHAnsi" w:cs="Arial"/>
          <w:sz w:val="22"/>
          <w:szCs w:val="22"/>
        </w:rPr>
        <w:t>-</w:t>
      </w:r>
      <w:r w:rsidRPr="00C62BAF">
        <w:rPr>
          <w:rFonts w:asciiTheme="minorHAnsi" w:hAnsiTheme="minorHAnsi" w:cs="Arial"/>
          <w:sz w:val="22"/>
          <w:szCs w:val="22"/>
        </w:rPr>
        <w:t>5</w:t>
      </w:r>
      <w:r w:rsidR="00C62BAF" w:rsidRPr="00C62BAF">
        <w:rPr>
          <w:rFonts w:asciiTheme="minorHAnsi" w:hAnsiTheme="minorHAnsi" w:cs="Arial"/>
          <w:sz w:val="22"/>
          <w:szCs w:val="22"/>
        </w:rPr>
        <w:t>3</w:t>
      </w:r>
      <w:r w:rsidR="00707761" w:rsidRPr="00C62BAF">
        <w:rPr>
          <w:rFonts w:asciiTheme="minorHAnsi" w:hAnsiTheme="minorHAnsi" w:cs="Arial"/>
          <w:sz w:val="22"/>
          <w:szCs w:val="22"/>
        </w:rPr>
        <w:t xml:space="preserve"> years</w:t>
      </w:r>
    </w:p>
    <w:p w14:paraId="0221357D" w14:textId="77777777" w:rsidR="00C21E81" w:rsidRPr="008B5E28" w:rsidRDefault="00C21E81" w:rsidP="00C21E81">
      <w:pPr>
        <w:widowControl w:val="0"/>
        <w:tabs>
          <w:tab w:val="left" w:pos="2520"/>
          <w:tab w:val="left" w:pos="7200"/>
          <w:tab w:val="left" w:pos="8460"/>
        </w:tabs>
        <w:ind w:left="720"/>
        <w:jc w:val="both"/>
        <w:rPr>
          <w:rFonts w:asciiTheme="minorHAnsi" w:hAnsiTheme="minorHAnsi" w:cs="Arial"/>
          <w:sz w:val="22"/>
          <w:szCs w:val="22"/>
        </w:rPr>
      </w:pPr>
    </w:p>
    <w:p w14:paraId="761F35AB" w14:textId="77777777" w:rsidR="00707761" w:rsidRDefault="00707761" w:rsidP="00707761">
      <w:pPr>
        <w:widowControl w:val="0"/>
        <w:tabs>
          <w:tab w:val="left" w:pos="2520"/>
          <w:tab w:val="left" w:pos="7200"/>
          <w:tab w:val="left" w:pos="8460"/>
        </w:tabs>
        <w:jc w:val="both"/>
        <w:rPr>
          <w:rFonts w:asciiTheme="minorHAnsi" w:hAnsiTheme="minorHAnsi" w:cs="Arial"/>
          <w:b/>
          <w:sz w:val="24"/>
          <w:szCs w:val="24"/>
        </w:rPr>
      </w:pPr>
      <w:r w:rsidRPr="00C81541">
        <w:rPr>
          <w:rFonts w:asciiTheme="minorHAnsi" w:hAnsiTheme="minorHAnsi" w:cs="Arial"/>
          <w:b/>
          <w:sz w:val="24"/>
          <w:szCs w:val="24"/>
        </w:rPr>
        <w:t>Capital Commitments</w:t>
      </w:r>
    </w:p>
    <w:p w14:paraId="265AD556" w14:textId="77777777" w:rsidR="00E80589" w:rsidRPr="00C81541" w:rsidRDefault="00E80589" w:rsidP="00707761">
      <w:pPr>
        <w:widowControl w:val="0"/>
        <w:tabs>
          <w:tab w:val="left" w:pos="2520"/>
          <w:tab w:val="left" w:pos="7200"/>
          <w:tab w:val="left" w:pos="8460"/>
        </w:tabs>
        <w:jc w:val="both"/>
        <w:rPr>
          <w:rFonts w:asciiTheme="minorHAnsi" w:hAnsiTheme="minorHAnsi" w:cs="Arial"/>
          <w:b/>
          <w:sz w:val="24"/>
          <w:szCs w:val="24"/>
        </w:rPr>
      </w:pPr>
    </w:p>
    <w:p w14:paraId="5B776F68" w14:textId="3854E416" w:rsidR="00707761" w:rsidRPr="00375733" w:rsidRDefault="00E80589" w:rsidP="00C76AD3">
      <w:pPr>
        <w:widowControl w:val="0"/>
        <w:numPr>
          <w:ilvl w:val="0"/>
          <w:numId w:val="43"/>
        </w:numPr>
        <w:jc w:val="both"/>
        <w:rPr>
          <w:rFonts w:ascii="Arial" w:hAnsi="Arial" w:cs="Arial"/>
          <w:b/>
        </w:rPr>
      </w:pPr>
      <w:proofErr w:type="gramStart"/>
      <w:r w:rsidRPr="00375733">
        <w:rPr>
          <w:rFonts w:asciiTheme="minorHAnsi" w:hAnsiTheme="minorHAnsi" w:cs="Arial"/>
          <w:sz w:val="22"/>
          <w:szCs w:val="22"/>
        </w:rPr>
        <w:t>At</w:t>
      </w:r>
      <w:proofErr w:type="gramEnd"/>
      <w:r w:rsidRPr="00375733">
        <w:rPr>
          <w:rFonts w:asciiTheme="minorHAnsi" w:hAnsiTheme="minorHAnsi" w:cs="Arial"/>
          <w:sz w:val="22"/>
          <w:szCs w:val="22"/>
        </w:rPr>
        <w:t xml:space="preserve"> 31 March </w:t>
      </w:r>
      <w:r w:rsidRPr="00375733">
        <w:rPr>
          <w:rFonts w:asciiTheme="minorHAnsi" w:hAnsiTheme="minorHAnsi" w:cstheme="minorHAnsi"/>
          <w:sz w:val="22"/>
          <w:szCs w:val="22"/>
        </w:rPr>
        <w:t>202</w:t>
      </w:r>
      <w:r w:rsidR="00FD654C" w:rsidRPr="00375733">
        <w:rPr>
          <w:rFonts w:asciiTheme="minorHAnsi" w:hAnsiTheme="minorHAnsi" w:cstheme="minorHAnsi"/>
          <w:sz w:val="22"/>
          <w:szCs w:val="22"/>
        </w:rPr>
        <w:t>3</w:t>
      </w:r>
      <w:r w:rsidRPr="00375733">
        <w:rPr>
          <w:rFonts w:asciiTheme="minorHAnsi" w:hAnsiTheme="minorHAnsi" w:cstheme="minorHAnsi"/>
          <w:sz w:val="22"/>
          <w:szCs w:val="22"/>
        </w:rPr>
        <w:t xml:space="preserve"> the council has entered into </w:t>
      </w:r>
      <w:r w:rsidR="00375733">
        <w:rPr>
          <w:rFonts w:asciiTheme="minorHAnsi" w:hAnsiTheme="minorHAnsi" w:cstheme="minorHAnsi"/>
          <w:sz w:val="22"/>
          <w:szCs w:val="22"/>
        </w:rPr>
        <w:t>several</w:t>
      </w:r>
      <w:r w:rsidRPr="00375733">
        <w:rPr>
          <w:rFonts w:asciiTheme="minorHAnsi" w:hAnsiTheme="minorHAnsi" w:cstheme="minorHAnsi"/>
          <w:sz w:val="22"/>
          <w:szCs w:val="22"/>
        </w:rPr>
        <w:t xml:space="preserve"> contract</w:t>
      </w:r>
      <w:r w:rsidR="00F665D7">
        <w:rPr>
          <w:rFonts w:asciiTheme="minorHAnsi" w:hAnsiTheme="minorHAnsi" w:cstheme="minorHAnsi"/>
          <w:sz w:val="22"/>
          <w:szCs w:val="22"/>
        </w:rPr>
        <w:t>s</w:t>
      </w:r>
      <w:r w:rsidRPr="00375733">
        <w:rPr>
          <w:rFonts w:asciiTheme="minorHAnsi" w:hAnsiTheme="minorHAnsi" w:cstheme="minorHAnsi"/>
          <w:sz w:val="22"/>
          <w:szCs w:val="22"/>
        </w:rPr>
        <w:t xml:space="preserve"> for the construction or enhancement of Property, Plant and Equipment</w:t>
      </w:r>
      <w:r w:rsidR="00E95BAA" w:rsidRPr="00375733">
        <w:rPr>
          <w:rFonts w:asciiTheme="minorHAnsi" w:hAnsiTheme="minorHAnsi" w:cstheme="minorHAnsi"/>
          <w:sz w:val="22"/>
          <w:szCs w:val="22"/>
        </w:rPr>
        <w:t>. The contract</w:t>
      </w:r>
      <w:r w:rsidR="00F665D7">
        <w:rPr>
          <w:rFonts w:asciiTheme="minorHAnsi" w:hAnsiTheme="minorHAnsi" w:cstheme="minorHAnsi"/>
          <w:sz w:val="22"/>
          <w:szCs w:val="22"/>
        </w:rPr>
        <w:t>s</w:t>
      </w:r>
      <w:r w:rsidR="00E95BAA" w:rsidRPr="00375733">
        <w:rPr>
          <w:rFonts w:asciiTheme="minorHAnsi" w:hAnsiTheme="minorHAnsi" w:cstheme="minorHAnsi"/>
          <w:sz w:val="22"/>
          <w:szCs w:val="22"/>
        </w:rPr>
        <w:t xml:space="preserve"> </w:t>
      </w:r>
      <w:r w:rsidR="00F665D7">
        <w:rPr>
          <w:rFonts w:asciiTheme="minorHAnsi" w:hAnsiTheme="minorHAnsi" w:cstheme="minorHAnsi"/>
          <w:sz w:val="22"/>
          <w:szCs w:val="22"/>
        </w:rPr>
        <w:t>are for</w:t>
      </w:r>
      <w:r w:rsidR="00E95BAA" w:rsidRPr="00375733">
        <w:rPr>
          <w:rFonts w:asciiTheme="minorHAnsi" w:hAnsiTheme="minorHAnsi" w:cstheme="minorHAnsi"/>
          <w:sz w:val="22"/>
          <w:szCs w:val="22"/>
        </w:rPr>
        <w:t xml:space="preserve"> </w:t>
      </w:r>
      <w:r w:rsidR="002D4F5D">
        <w:rPr>
          <w:rFonts w:asciiTheme="minorHAnsi" w:hAnsiTheme="minorHAnsi" w:cstheme="minorHAnsi"/>
          <w:sz w:val="22"/>
          <w:szCs w:val="22"/>
        </w:rPr>
        <w:t>HRA committed</w:t>
      </w:r>
      <w:r w:rsidR="00E95BAA" w:rsidRPr="00375733">
        <w:rPr>
          <w:rFonts w:asciiTheme="minorHAnsi" w:hAnsiTheme="minorHAnsi" w:cstheme="minorHAnsi"/>
          <w:sz w:val="22"/>
          <w:szCs w:val="22"/>
        </w:rPr>
        <w:t xml:space="preserve"> project</w:t>
      </w:r>
      <w:r w:rsidR="00BC3ABC">
        <w:rPr>
          <w:rFonts w:asciiTheme="minorHAnsi" w:hAnsiTheme="minorHAnsi" w:cstheme="minorHAnsi"/>
          <w:sz w:val="22"/>
          <w:szCs w:val="22"/>
        </w:rPr>
        <w:t>s totalling</w:t>
      </w:r>
      <w:r w:rsidR="00E95BAA" w:rsidRPr="00375733">
        <w:rPr>
          <w:rFonts w:asciiTheme="minorHAnsi" w:hAnsiTheme="minorHAnsi" w:cstheme="minorHAnsi"/>
          <w:sz w:val="22"/>
          <w:szCs w:val="22"/>
        </w:rPr>
        <w:t xml:space="preserve"> £</w:t>
      </w:r>
      <w:r w:rsidR="00375733">
        <w:rPr>
          <w:rFonts w:asciiTheme="minorHAnsi" w:hAnsiTheme="minorHAnsi" w:cstheme="minorHAnsi"/>
          <w:sz w:val="22"/>
          <w:szCs w:val="22"/>
        </w:rPr>
        <w:t>2,412</w:t>
      </w:r>
      <w:r w:rsidR="00E95BAA" w:rsidRPr="00375733">
        <w:rPr>
          <w:rFonts w:asciiTheme="minorHAnsi" w:hAnsiTheme="minorHAnsi" w:cstheme="minorHAnsi"/>
          <w:sz w:val="22"/>
          <w:szCs w:val="22"/>
        </w:rPr>
        <w:t>k</w:t>
      </w:r>
      <w:r w:rsidR="004C0710" w:rsidRPr="00375733">
        <w:rPr>
          <w:rFonts w:asciiTheme="minorHAnsi" w:hAnsiTheme="minorHAnsi" w:cstheme="minorHAnsi"/>
          <w:sz w:val="22"/>
          <w:szCs w:val="22"/>
        </w:rPr>
        <w:t>.</w:t>
      </w:r>
    </w:p>
    <w:p w14:paraId="0FF9C3AC" w14:textId="77777777" w:rsidR="00160E0F" w:rsidRDefault="00160E0F" w:rsidP="00707761">
      <w:pPr>
        <w:widowControl w:val="0"/>
        <w:tabs>
          <w:tab w:val="left" w:pos="2520"/>
          <w:tab w:val="left" w:pos="7200"/>
          <w:tab w:val="left" w:pos="8460"/>
        </w:tabs>
        <w:jc w:val="both"/>
        <w:rPr>
          <w:rFonts w:ascii="Arial" w:hAnsi="Arial" w:cs="Arial"/>
        </w:rPr>
      </w:pPr>
    </w:p>
    <w:p w14:paraId="7BD45D9F" w14:textId="77777777" w:rsidR="00707761" w:rsidRPr="00C81541" w:rsidRDefault="00707761" w:rsidP="00707761">
      <w:pPr>
        <w:widowControl w:val="0"/>
        <w:tabs>
          <w:tab w:val="left" w:pos="2520"/>
          <w:tab w:val="left" w:pos="7200"/>
          <w:tab w:val="left" w:pos="8460"/>
        </w:tabs>
        <w:jc w:val="both"/>
        <w:rPr>
          <w:rFonts w:asciiTheme="minorHAnsi" w:hAnsiTheme="minorHAnsi" w:cs="Arial"/>
          <w:b/>
          <w:sz w:val="24"/>
          <w:szCs w:val="24"/>
        </w:rPr>
      </w:pPr>
      <w:r w:rsidRPr="00C81541">
        <w:rPr>
          <w:rFonts w:asciiTheme="minorHAnsi" w:hAnsiTheme="minorHAnsi" w:cs="Arial"/>
          <w:b/>
          <w:sz w:val="24"/>
          <w:szCs w:val="24"/>
        </w:rPr>
        <w:t>Effects of changes in Estimates</w:t>
      </w:r>
    </w:p>
    <w:p w14:paraId="1D18892F" w14:textId="77777777" w:rsidR="00707761" w:rsidRDefault="00707761" w:rsidP="00707761">
      <w:pPr>
        <w:widowControl w:val="0"/>
        <w:tabs>
          <w:tab w:val="left" w:pos="2520"/>
          <w:tab w:val="left" w:pos="7200"/>
          <w:tab w:val="left" w:pos="8460"/>
        </w:tabs>
        <w:jc w:val="both"/>
        <w:rPr>
          <w:rFonts w:ascii="Arial" w:hAnsi="Arial" w:cs="Arial"/>
          <w:b/>
        </w:rPr>
      </w:pPr>
    </w:p>
    <w:p w14:paraId="5153A39E" w14:textId="77777777" w:rsidR="00707761" w:rsidRPr="005D3D05" w:rsidRDefault="00707761" w:rsidP="00707761">
      <w:pPr>
        <w:widowControl w:val="0"/>
        <w:tabs>
          <w:tab w:val="left" w:pos="2520"/>
          <w:tab w:val="left" w:pos="7200"/>
          <w:tab w:val="left" w:pos="8460"/>
        </w:tabs>
        <w:jc w:val="both"/>
        <w:rPr>
          <w:rFonts w:ascii="Arial" w:hAnsi="Arial" w:cs="Arial"/>
        </w:rPr>
      </w:pPr>
      <w:r w:rsidRPr="00411213">
        <w:rPr>
          <w:rFonts w:asciiTheme="minorHAnsi" w:hAnsiTheme="minorHAnsi" w:cs="Arial"/>
          <w:sz w:val="22"/>
          <w:szCs w:val="22"/>
        </w:rPr>
        <w:t>There were no</w:t>
      </w:r>
      <w:r w:rsidR="000218B3" w:rsidRPr="00411213">
        <w:rPr>
          <w:rFonts w:asciiTheme="minorHAnsi" w:hAnsiTheme="minorHAnsi" w:cs="Arial"/>
          <w:sz w:val="22"/>
          <w:szCs w:val="22"/>
        </w:rPr>
        <w:t xml:space="preserve"> material</w:t>
      </w:r>
      <w:r w:rsidRPr="00411213">
        <w:rPr>
          <w:rFonts w:asciiTheme="minorHAnsi" w:hAnsiTheme="minorHAnsi" w:cs="Arial"/>
          <w:sz w:val="22"/>
          <w:szCs w:val="22"/>
        </w:rPr>
        <w:t xml:space="preserve"> changes to the basis of estimating useful lives for Property, Plant and Equipment during the year</w:t>
      </w:r>
      <w:r w:rsidRPr="00411213">
        <w:rPr>
          <w:rFonts w:ascii="Arial" w:hAnsi="Arial" w:cs="Arial"/>
        </w:rPr>
        <w:t>.</w:t>
      </w:r>
      <w:r w:rsidR="00167716">
        <w:rPr>
          <w:rFonts w:ascii="Arial" w:hAnsi="Arial" w:cs="Arial"/>
        </w:rPr>
        <w:t xml:space="preserve"> </w:t>
      </w:r>
    </w:p>
    <w:p w14:paraId="10B8D28C" w14:textId="77777777" w:rsidR="00707761" w:rsidRDefault="00707761" w:rsidP="00707761">
      <w:pPr>
        <w:widowControl w:val="0"/>
        <w:tabs>
          <w:tab w:val="left" w:pos="2520"/>
          <w:tab w:val="left" w:pos="7200"/>
          <w:tab w:val="left" w:pos="8460"/>
        </w:tabs>
        <w:jc w:val="both"/>
        <w:rPr>
          <w:rFonts w:ascii="Arial" w:hAnsi="Arial" w:cs="Arial"/>
        </w:rPr>
      </w:pPr>
    </w:p>
    <w:p w14:paraId="1D71F8CA" w14:textId="77777777" w:rsidR="00707761" w:rsidRPr="00C81541" w:rsidRDefault="00707761" w:rsidP="00707761">
      <w:pPr>
        <w:widowControl w:val="0"/>
        <w:tabs>
          <w:tab w:val="left" w:pos="2520"/>
          <w:tab w:val="left" w:pos="7200"/>
          <w:tab w:val="left" w:pos="8460"/>
        </w:tabs>
        <w:jc w:val="both"/>
        <w:rPr>
          <w:rFonts w:asciiTheme="minorHAnsi" w:hAnsiTheme="minorHAnsi" w:cs="Arial"/>
          <w:b/>
          <w:sz w:val="24"/>
          <w:szCs w:val="24"/>
        </w:rPr>
      </w:pPr>
      <w:r w:rsidRPr="00C81541">
        <w:rPr>
          <w:rFonts w:asciiTheme="minorHAnsi" w:hAnsiTheme="minorHAnsi" w:cs="Arial"/>
          <w:b/>
          <w:sz w:val="24"/>
          <w:szCs w:val="24"/>
        </w:rPr>
        <w:t>Revaluations</w:t>
      </w:r>
    </w:p>
    <w:p w14:paraId="38620C24" w14:textId="77777777" w:rsidR="00707761" w:rsidRDefault="00707761" w:rsidP="00707761">
      <w:pPr>
        <w:widowControl w:val="0"/>
        <w:tabs>
          <w:tab w:val="left" w:pos="2520"/>
          <w:tab w:val="left" w:pos="7200"/>
          <w:tab w:val="left" w:pos="8460"/>
        </w:tabs>
        <w:jc w:val="both"/>
        <w:rPr>
          <w:rFonts w:ascii="Arial" w:hAnsi="Arial" w:cs="Arial"/>
          <w:b/>
        </w:rPr>
      </w:pPr>
    </w:p>
    <w:p w14:paraId="247881BE" w14:textId="77777777" w:rsidR="00707761" w:rsidRPr="00C81541" w:rsidRDefault="004A2A77" w:rsidP="00707761">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The Council</w:t>
      </w:r>
      <w:r w:rsidR="00707761" w:rsidRPr="00752744">
        <w:rPr>
          <w:rFonts w:asciiTheme="minorHAnsi" w:hAnsiTheme="minorHAnsi" w:cs="Arial"/>
          <w:sz w:val="22"/>
          <w:szCs w:val="22"/>
        </w:rPr>
        <w:t xml:space="preserve"> carries out an annual revaluation programme that ensures that all Property, Plant and Equipment required is measured at current value. Valuations were carried out through an external party.  Valuations of land and buildings were carried out in accordance with methodologies and bases for estimation set out in the professional standards of the Royal Institute of Chartered Surveyors.  </w:t>
      </w:r>
      <w:r w:rsidR="00D56FAB">
        <w:rPr>
          <w:rFonts w:asciiTheme="minorHAnsi" w:hAnsiTheme="minorHAnsi" w:cs="Arial"/>
          <w:sz w:val="22"/>
          <w:szCs w:val="22"/>
        </w:rPr>
        <w:t xml:space="preserve">Valuation for play areas </w:t>
      </w:r>
      <w:proofErr w:type="gramStart"/>
      <w:r w:rsidR="00D56FAB">
        <w:rPr>
          <w:rFonts w:asciiTheme="minorHAnsi" w:hAnsiTheme="minorHAnsi" w:cs="Arial"/>
          <w:sz w:val="22"/>
          <w:szCs w:val="22"/>
        </w:rPr>
        <w:t>are</w:t>
      </w:r>
      <w:proofErr w:type="gramEnd"/>
      <w:r w:rsidR="00D56FAB">
        <w:rPr>
          <w:rFonts w:asciiTheme="minorHAnsi" w:hAnsiTheme="minorHAnsi" w:cs="Arial"/>
          <w:sz w:val="22"/>
          <w:szCs w:val="22"/>
        </w:rPr>
        <w:t xml:space="preserve"> based on fair value while all other v</w:t>
      </w:r>
      <w:r w:rsidR="00707761" w:rsidRPr="00752744">
        <w:rPr>
          <w:rFonts w:asciiTheme="minorHAnsi" w:hAnsiTheme="minorHAnsi" w:cs="Arial"/>
          <w:sz w:val="22"/>
          <w:szCs w:val="22"/>
        </w:rPr>
        <w:t xml:space="preserve">aluations of vehicles, plant, furniture and equipment </w:t>
      </w:r>
      <w:r w:rsidR="00D56FAB">
        <w:rPr>
          <w:rFonts w:asciiTheme="minorHAnsi" w:hAnsiTheme="minorHAnsi" w:cs="Arial"/>
          <w:sz w:val="22"/>
          <w:szCs w:val="22"/>
        </w:rPr>
        <w:t>are based on historic cost.</w:t>
      </w:r>
    </w:p>
    <w:p w14:paraId="3E16267F" w14:textId="77777777" w:rsidR="00707761" w:rsidRPr="00C81541" w:rsidRDefault="00707761" w:rsidP="00707761">
      <w:pPr>
        <w:widowControl w:val="0"/>
        <w:tabs>
          <w:tab w:val="left" w:pos="2520"/>
          <w:tab w:val="left" w:pos="7200"/>
          <w:tab w:val="left" w:pos="8460"/>
        </w:tabs>
        <w:jc w:val="both"/>
        <w:rPr>
          <w:rFonts w:asciiTheme="minorHAnsi" w:hAnsiTheme="minorHAnsi" w:cs="Arial"/>
          <w:sz w:val="22"/>
          <w:szCs w:val="22"/>
        </w:rPr>
      </w:pPr>
    </w:p>
    <w:p w14:paraId="72CFB31F" w14:textId="77777777" w:rsidR="00707761" w:rsidRPr="00C81541" w:rsidRDefault="00707761" w:rsidP="00707761">
      <w:pPr>
        <w:widowControl w:val="0"/>
        <w:tabs>
          <w:tab w:val="left" w:pos="2520"/>
          <w:tab w:val="left" w:pos="7200"/>
          <w:tab w:val="left" w:pos="8460"/>
        </w:tabs>
        <w:jc w:val="both"/>
        <w:rPr>
          <w:rFonts w:asciiTheme="minorHAnsi" w:hAnsiTheme="minorHAnsi" w:cs="Arial"/>
          <w:sz w:val="22"/>
          <w:szCs w:val="22"/>
        </w:rPr>
      </w:pPr>
      <w:r w:rsidRPr="00C81541">
        <w:rPr>
          <w:rFonts w:asciiTheme="minorHAnsi" w:hAnsiTheme="minorHAnsi" w:cs="Arial"/>
          <w:sz w:val="22"/>
          <w:szCs w:val="22"/>
        </w:rPr>
        <w:t>The significant assumptions applied in estimating the current values are:</w:t>
      </w:r>
    </w:p>
    <w:p w14:paraId="25179610" w14:textId="77777777" w:rsidR="00707761" w:rsidRPr="00C81541" w:rsidRDefault="00707761" w:rsidP="00707761">
      <w:pPr>
        <w:widowControl w:val="0"/>
        <w:tabs>
          <w:tab w:val="left" w:pos="2520"/>
          <w:tab w:val="left" w:pos="7200"/>
          <w:tab w:val="left" w:pos="8460"/>
        </w:tabs>
        <w:jc w:val="both"/>
        <w:rPr>
          <w:rFonts w:asciiTheme="minorHAnsi" w:hAnsiTheme="minorHAnsi" w:cs="Arial"/>
          <w:sz w:val="22"/>
          <w:szCs w:val="22"/>
        </w:rPr>
      </w:pPr>
    </w:p>
    <w:p w14:paraId="14E4A993" w14:textId="72E01974" w:rsidR="00707761" w:rsidRPr="00C81541" w:rsidRDefault="00707761" w:rsidP="00C76AD3">
      <w:pPr>
        <w:widowControl w:val="0"/>
        <w:numPr>
          <w:ilvl w:val="0"/>
          <w:numId w:val="6"/>
        </w:numPr>
        <w:tabs>
          <w:tab w:val="left" w:pos="2520"/>
          <w:tab w:val="left" w:pos="7200"/>
          <w:tab w:val="left" w:pos="8460"/>
        </w:tabs>
        <w:jc w:val="both"/>
        <w:rPr>
          <w:rFonts w:asciiTheme="minorHAnsi" w:hAnsiTheme="minorHAnsi" w:cs="Arial"/>
          <w:sz w:val="22"/>
          <w:szCs w:val="22"/>
        </w:rPr>
      </w:pPr>
      <w:r w:rsidRPr="00C81541">
        <w:rPr>
          <w:rFonts w:asciiTheme="minorHAnsi" w:hAnsiTheme="minorHAnsi" w:cs="Arial"/>
          <w:sz w:val="22"/>
          <w:szCs w:val="22"/>
        </w:rPr>
        <w:t xml:space="preserve">Fair value is the price that would be received to sell an asset or paid to transfer a liability in an orderly transaction between market participants at the measurement </w:t>
      </w:r>
      <w:proofErr w:type="gramStart"/>
      <w:r w:rsidRPr="00C81541">
        <w:rPr>
          <w:rFonts w:asciiTheme="minorHAnsi" w:hAnsiTheme="minorHAnsi" w:cs="Arial"/>
          <w:sz w:val="22"/>
          <w:szCs w:val="22"/>
        </w:rPr>
        <w:t>date</w:t>
      </w:r>
      <w:r w:rsidR="00066914">
        <w:rPr>
          <w:rFonts w:asciiTheme="minorHAnsi" w:hAnsiTheme="minorHAnsi" w:cs="Arial"/>
          <w:sz w:val="22"/>
          <w:szCs w:val="22"/>
        </w:rPr>
        <w:t>;</w:t>
      </w:r>
      <w:proofErr w:type="gramEnd"/>
    </w:p>
    <w:p w14:paraId="234A2400" w14:textId="77777777" w:rsidR="00707761" w:rsidRPr="00C81541" w:rsidRDefault="00707761" w:rsidP="00707761">
      <w:pPr>
        <w:widowControl w:val="0"/>
        <w:tabs>
          <w:tab w:val="left" w:pos="2520"/>
          <w:tab w:val="left" w:pos="7200"/>
          <w:tab w:val="left" w:pos="8460"/>
        </w:tabs>
        <w:jc w:val="both"/>
        <w:rPr>
          <w:rFonts w:asciiTheme="minorHAnsi" w:hAnsiTheme="minorHAnsi" w:cs="Arial"/>
          <w:sz w:val="22"/>
          <w:szCs w:val="22"/>
        </w:rPr>
      </w:pPr>
    </w:p>
    <w:p w14:paraId="6E53E54B" w14:textId="77777777" w:rsidR="00707761" w:rsidRDefault="00707761" w:rsidP="00C76AD3">
      <w:pPr>
        <w:widowControl w:val="0"/>
        <w:numPr>
          <w:ilvl w:val="0"/>
          <w:numId w:val="6"/>
        </w:numPr>
        <w:tabs>
          <w:tab w:val="left" w:pos="2520"/>
          <w:tab w:val="left" w:pos="7200"/>
          <w:tab w:val="left" w:pos="8460"/>
        </w:tabs>
        <w:jc w:val="both"/>
        <w:rPr>
          <w:rFonts w:asciiTheme="minorHAnsi" w:hAnsiTheme="minorHAnsi" w:cs="Arial"/>
          <w:sz w:val="22"/>
          <w:szCs w:val="22"/>
        </w:rPr>
      </w:pPr>
      <w:r w:rsidRPr="00C81541">
        <w:rPr>
          <w:rFonts w:asciiTheme="minorHAnsi" w:hAnsiTheme="minorHAnsi" w:cs="Arial"/>
          <w:sz w:val="22"/>
          <w:szCs w:val="22"/>
        </w:rPr>
        <w:t xml:space="preserve">Depreciated replacement cost </w:t>
      </w:r>
      <w:r w:rsidR="00A53675">
        <w:rPr>
          <w:rFonts w:asciiTheme="minorHAnsi" w:hAnsiTheme="minorHAnsi" w:cs="Arial"/>
          <w:sz w:val="22"/>
          <w:szCs w:val="22"/>
        </w:rPr>
        <w:t xml:space="preserve">(DRC) </w:t>
      </w:r>
      <w:r w:rsidRPr="00C81541">
        <w:rPr>
          <w:rFonts w:asciiTheme="minorHAnsi" w:hAnsiTheme="minorHAnsi" w:cs="Arial"/>
          <w:sz w:val="22"/>
          <w:szCs w:val="22"/>
        </w:rPr>
        <w:t xml:space="preserve">is used where properties are rarely sold and there is no active market.  This applies to specialised properties such as </w:t>
      </w:r>
      <w:r w:rsidR="00AF7BF0">
        <w:rPr>
          <w:rFonts w:asciiTheme="minorHAnsi" w:hAnsiTheme="minorHAnsi" w:cs="Arial"/>
          <w:sz w:val="22"/>
          <w:szCs w:val="22"/>
        </w:rPr>
        <w:t>P</w:t>
      </w:r>
      <w:r w:rsidRPr="00C81541">
        <w:rPr>
          <w:rFonts w:asciiTheme="minorHAnsi" w:hAnsiTheme="minorHAnsi" w:cs="Arial"/>
          <w:sz w:val="22"/>
          <w:szCs w:val="22"/>
        </w:rPr>
        <w:t xml:space="preserve">ublic </w:t>
      </w:r>
      <w:r w:rsidR="00AF7BF0">
        <w:rPr>
          <w:rFonts w:asciiTheme="minorHAnsi" w:hAnsiTheme="minorHAnsi" w:cs="Arial"/>
          <w:sz w:val="22"/>
          <w:szCs w:val="22"/>
        </w:rPr>
        <w:t>C</w:t>
      </w:r>
      <w:r w:rsidRPr="00C81541">
        <w:rPr>
          <w:rFonts w:asciiTheme="minorHAnsi" w:hAnsiTheme="minorHAnsi" w:cs="Arial"/>
          <w:sz w:val="22"/>
          <w:szCs w:val="22"/>
        </w:rPr>
        <w:t>onveniences</w:t>
      </w:r>
      <w:r w:rsidR="00AF7BF0">
        <w:rPr>
          <w:rFonts w:asciiTheme="minorHAnsi" w:hAnsiTheme="minorHAnsi" w:cs="Arial"/>
          <w:sz w:val="22"/>
          <w:szCs w:val="22"/>
        </w:rPr>
        <w:t>, some C</w:t>
      </w:r>
      <w:r w:rsidR="00A53675">
        <w:rPr>
          <w:rFonts w:asciiTheme="minorHAnsi" w:hAnsiTheme="minorHAnsi" w:cs="Arial"/>
          <w:sz w:val="22"/>
          <w:szCs w:val="22"/>
        </w:rPr>
        <w:t xml:space="preserve">attle </w:t>
      </w:r>
      <w:r w:rsidR="00AF7BF0">
        <w:rPr>
          <w:rFonts w:asciiTheme="minorHAnsi" w:hAnsiTheme="minorHAnsi" w:cs="Arial"/>
          <w:sz w:val="22"/>
          <w:szCs w:val="22"/>
        </w:rPr>
        <w:t>M</w:t>
      </w:r>
      <w:r w:rsidR="00A53675">
        <w:rPr>
          <w:rFonts w:asciiTheme="minorHAnsi" w:hAnsiTheme="minorHAnsi" w:cs="Arial"/>
          <w:sz w:val="22"/>
          <w:szCs w:val="22"/>
        </w:rPr>
        <w:t>arket</w:t>
      </w:r>
      <w:r w:rsidRPr="00C81541">
        <w:rPr>
          <w:rFonts w:asciiTheme="minorHAnsi" w:hAnsiTheme="minorHAnsi" w:cs="Arial"/>
          <w:sz w:val="22"/>
          <w:szCs w:val="22"/>
        </w:rPr>
        <w:t xml:space="preserve"> </w:t>
      </w:r>
      <w:r w:rsidR="00A53675">
        <w:rPr>
          <w:rFonts w:asciiTheme="minorHAnsi" w:hAnsiTheme="minorHAnsi" w:cs="Arial"/>
          <w:sz w:val="22"/>
          <w:szCs w:val="22"/>
        </w:rPr>
        <w:t xml:space="preserve">buildings </w:t>
      </w:r>
      <w:r w:rsidRPr="00C81541">
        <w:rPr>
          <w:rFonts w:asciiTheme="minorHAnsi" w:hAnsiTheme="minorHAnsi" w:cs="Arial"/>
          <w:sz w:val="22"/>
          <w:szCs w:val="22"/>
        </w:rPr>
        <w:t>and Waterfield Leisure Centre.</w:t>
      </w:r>
    </w:p>
    <w:p w14:paraId="23907186" w14:textId="77777777" w:rsidR="009F46E9" w:rsidRDefault="009F46E9" w:rsidP="009F46E9">
      <w:pPr>
        <w:pStyle w:val="ListParagraph"/>
        <w:rPr>
          <w:rFonts w:asciiTheme="minorHAnsi" w:hAnsiTheme="minorHAnsi" w:cs="Arial"/>
          <w:sz w:val="22"/>
          <w:szCs w:val="22"/>
        </w:rPr>
      </w:pPr>
    </w:p>
    <w:p w14:paraId="7015E7EF" w14:textId="201901DF" w:rsidR="00E470FE" w:rsidRPr="00E470FE" w:rsidRDefault="00E470FE" w:rsidP="00C12DF8">
      <w:pPr>
        <w:autoSpaceDE w:val="0"/>
        <w:autoSpaceDN w:val="0"/>
        <w:adjustRightInd w:val="0"/>
        <w:jc w:val="both"/>
        <w:rPr>
          <w:rFonts w:ascii="Calibri" w:hAnsi="Calibri" w:cs="Calibri"/>
          <w:color w:val="000000"/>
          <w:sz w:val="22"/>
          <w:szCs w:val="22"/>
          <w:lang w:eastAsia="en-GB"/>
        </w:rPr>
      </w:pPr>
      <w:r w:rsidRPr="00E470FE">
        <w:rPr>
          <w:rFonts w:ascii="Calibri" w:hAnsi="Calibri" w:cs="Calibri"/>
          <w:color w:val="000000"/>
          <w:sz w:val="22"/>
          <w:szCs w:val="22"/>
          <w:lang w:eastAsia="en-GB"/>
        </w:rPr>
        <w:t>The pandemic and the measures taken to tackle COVID-19 continue to affect economies and real estate markets globally. Nevertheless,</w:t>
      </w:r>
      <w:r>
        <w:rPr>
          <w:rFonts w:ascii="Calibri" w:hAnsi="Calibri" w:cs="Calibri"/>
          <w:color w:val="000000"/>
          <w:sz w:val="22"/>
          <w:szCs w:val="22"/>
          <w:lang w:eastAsia="en-GB"/>
        </w:rPr>
        <w:t xml:space="preserve"> the external valuers </w:t>
      </w:r>
      <w:r w:rsidRPr="00E57A94">
        <w:rPr>
          <w:rFonts w:asciiTheme="minorHAnsi" w:hAnsiTheme="minorHAnsi" w:cs="Arial"/>
          <w:sz w:val="22"/>
          <w:szCs w:val="22"/>
        </w:rPr>
        <w:t xml:space="preserve">Wilks Head </w:t>
      </w:r>
      <w:r w:rsidR="00704A70">
        <w:rPr>
          <w:rFonts w:asciiTheme="minorHAnsi" w:hAnsiTheme="minorHAnsi" w:cs="Arial"/>
          <w:sz w:val="22"/>
          <w:szCs w:val="22"/>
        </w:rPr>
        <w:t>and</w:t>
      </w:r>
      <w:r w:rsidRPr="00E57A94">
        <w:rPr>
          <w:rFonts w:asciiTheme="minorHAnsi" w:hAnsiTheme="minorHAnsi" w:cs="Arial"/>
          <w:sz w:val="22"/>
          <w:szCs w:val="22"/>
        </w:rPr>
        <w:t xml:space="preserve"> Eve</w:t>
      </w:r>
      <w:r>
        <w:rPr>
          <w:rFonts w:asciiTheme="minorHAnsi" w:hAnsiTheme="minorHAnsi" w:cs="Arial"/>
          <w:sz w:val="22"/>
          <w:szCs w:val="22"/>
        </w:rPr>
        <w:t>, have confirmed that</w:t>
      </w:r>
      <w:r w:rsidRPr="00E470FE">
        <w:rPr>
          <w:rFonts w:ascii="Calibri" w:hAnsi="Calibri" w:cs="Calibri"/>
          <w:color w:val="000000"/>
          <w:sz w:val="22"/>
          <w:szCs w:val="22"/>
          <w:lang w:eastAsia="en-GB"/>
        </w:rPr>
        <w:t xml:space="preserve"> as at the valuation date property markets are mostly functioning again, with transaction volumes and other relevant evidence at levels where an adequate quantum of market evidence exists upon which to base opinions of value. </w:t>
      </w:r>
    </w:p>
    <w:p w14:paraId="75127BA2" w14:textId="77777777" w:rsidR="00E470FE" w:rsidRPr="00E470FE" w:rsidRDefault="00E470FE" w:rsidP="00E470FE">
      <w:pPr>
        <w:autoSpaceDE w:val="0"/>
        <w:autoSpaceDN w:val="0"/>
        <w:adjustRightInd w:val="0"/>
        <w:rPr>
          <w:rFonts w:ascii="Calibri" w:hAnsi="Calibri" w:cs="Calibri"/>
          <w:color w:val="000000"/>
          <w:sz w:val="22"/>
          <w:szCs w:val="22"/>
          <w:lang w:eastAsia="en-GB"/>
        </w:rPr>
      </w:pPr>
    </w:p>
    <w:p w14:paraId="1546346B" w14:textId="77777777" w:rsidR="00146A7B" w:rsidRPr="00C81541" w:rsidRDefault="00146A7B" w:rsidP="00146A7B">
      <w:pPr>
        <w:widowControl w:val="0"/>
        <w:tabs>
          <w:tab w:val="left" w:pos="0"/>
        </w:tabs>
        <w:spacing w:line="228" w:lineRule="auto"/>
        <w:ind w:left="426" w:hanging="426"/>
        <w:jc w:val="both"/>
        <w:rPr>
          <w:rFonts w:asciiTheme="minorHAnsi" w:hAnsiTheme="minorHAnsi" w:cs="Arial"/>
          <w:b/>
          <w:sz w:val="24"/>
          <w:szCs w:val="24"/>
        </w:rPr>
      </w:pPr>
      <w:bookmarkStart w:id="7" w:name="_Hlk106002868"/>
      <w:r w:rsidRPr="00C81541">
        <w:rPr>
          <w:rFonts w:asciiTheme="minorHAnsi" w:hAnsiTheme="minorHAnsi" w:cs="Arial"/>
          <w:b/>
          <w:sz w:val="24"/>
          <w:szCs w:val="24"/>
        </w:rPr>
        <w:t>Surplus Assets</w:t>
      </w:r>
    </w:p>
    <w:p w14:paraId="4155A837" w14:textId="77777777" w:rsidR="00146A7B" w:rsidRDefault="00146A7B" w:rsidP="00146A7B">
      <w:pPr>
        <w:widowControl w:val="0"/>
        <w:tabs>
          <w:tab w:val="left" w:pos="2520"/>
          <w:tab w:val="left" w:pos="7200"/>
          <w:tab w:val="left" w:pos="8460"/>
        </w:tabs>
        <w:jc w:val="both"/>
        <w:rPr>
          <w:rFonts w:ascii="Arial" w:hAnsi="Arial" w:cs="Arial"/>
        </w:rPr>
      </w:pPr>
    </w:p>
    <w:p w14:paraId="0E231A6E" w14:textId="44C63828" w:rsidR="00146A7B" w:rsidRPr="00752744" w:rsidRDefault="008B5E28" w:rsidP="00146A7B">
      <w:pPr>
        <w:widowControl w:val="0"/>
        <w:tabs>
          <w:tab w:val="left" w:pos="2520"/>
          <w:tab w:val="left" w:pos="7200"/>
          <w:tab w:val="left" w:pos="8460"/>
        </w:tabs>
        <w:jc w:val="both"/>
        <w:rPr>
          <w:rFonts w:asciiTheme="minorHAnsi" w:hAnsiTheme="minorHAnsi" w:cs="Arial"/>
          <w:sz w:val="22"/>
          <w:szCs w:val="22"/>
        </w:rPr>
      </w:pPr>
      <w:r w:rsidRPr="006F5190">
        <w:rPr>
          <w:rFonts w:asciiTheme="minorHAnsi" w:hAnsiTheme="minorHAnsi" w:cs="Arial"/>
          <w:sz w:val="22"/>
          <w:szCs w:val="22"/>
        </w:rPr>
        <w:t xml:space="preserve">The Council has </w:t>
      </w:r>
      <w:r w:rsidR="00FD654C">
        <w:rPr>
          <w:rFonts w:asciiTheme="minorHAnsi" w:hAnsiTheme="minorHAnsi" w:cs="Arial"/>
          <w:sz w:val="22"/>
          <w:szCs w:val="22"/>
        </w:rPr>
        <w:t>3</w:t>
      </w:r>
      <w:r w:rsidR="00146A7B" w:rsidRPr="006F5190">
        <w:rPr>
          <w:rFonts w:asciiTheme="minorHAnsi" w:hAnsiTheme="minorHAnsi" w:cs="Arial"/>
          <w:sz w:val="22"/>
          <w:szCs w:val="22"/>
        </w:rPr>
        <w:t xml:space="preserve"> material surplus asset</w:t>
      </w:r>
      <w:r w:rsidR="00FD654C">
        <w:rPr>
          <w:rFonts w:asciiTheme="minorHAnsi" w:hAnsiTheme="minorHAnsi" w:cs="Arial"/>
          <w:sz w:val="22"/>
          <w:szCs w:val="22"/>
        </w:rPr>
        <w:t>s</w:t>
      </w:r>
      <w:r w:rsidRPr="006F5190">
        <w:rPr>
          <w:rFonts w:asciiTheme="minorHAnsi" w:hAnsiTheme="minorHAnsi" w:cs="Arial"/>
          <w:sz w:val="22"/>
          <w:szCs w:val="22"/>
        </w:rPr>
        <w:t xml:space="preserve">. </w:t>
      </w:r>
      <w:r w:rsidR="00FD654C">
        <w:rPr>
          <w:rFonts w:asciiTheme="minorHAnsi" w:hAnsiTheme="minorHAnsi" w:cs="Arial"/>
          <w:sz w:val="22"/>
          <w:szCs w:val="22"/>
        </w:rPr>
        <w:t xml:space="preserve">Land at </w:t>
      </w:r>
      <w:r w:rsidR="0086114D">
        <w:rPr>
          <w:rFonts w:asciiTheme="minorHAnsi" w:hAnsiTheme="minorHAnsi" w:cs="Arial"/>
          <w:sz w:val="22"/>
          <w:szCs w:val="22"/>
        </w:rPr>
        <w:t>B</w:t>
      </w:r>
      <w:r w:rsidR="00FD654C">
        <w:rPr>
          <w:rFonts w:asciiTheme="minorHAnsi" w:hAnsiTheme="minorHAnsi" w:cs="Arial"/>
          <w:sz w:val="22"/>
          <w:szCs w:val="22"/>
        </w:rPr>
        <w:t>arker</w:t>
      </w:r>
      <w:r w:rsidR="0086114D">
        <w:rPr>
          <w:rFonts w:asciiTheme="minorHAnsi" w:hAnsiTheme="minorHAnsi" w:cs="Arial"/>
          <w:sz w:val="22"/>
          <w:szCs w:val="22"/>
        </w:rPr>
        <w:t xml:space="preserve"> Crescent reclassified</w:t>
      </w:r>
      <w:r w:rsidRPr="006F5190">
        <w:rPr>
          <w:rFonts w:asciiTheme="minorHAnsi" w:hAnsiTheme="minorHAnsi" w:cs="Arial"/>
          <w:sz w:val="22"/>
          <w:szCs w:val="22"/>
        </w:rPr>
        <w:t xml:space="preserve"> from Other Land and Buildings in 2020-21</w:t>
      </w:r>
      <w:r w:rsidR="00146A7B" w:rsidRPr="006F5190">
        <w:rPr>
          <w:rFonts w:asciiTheme="minorHAnsi" w:hAnsiTheme="minorHAnsi" w:cs="Arial"/>
          <w:sz w:val="22"/>
          <w:szCs w:val="22"/>
        </w:rPr>
        <w:t>.</w:t>
      </w:r>
      <w:r w:rsidR="0086114D">
        <w:rPr>
          <w:rFonts w:asciiTheme="minorHAnsi" w:hAnsiTheme="minorHAnsi" w:cs="Arial"/>
          <w:sz w:val="22"/>
          <w:szCs w:val="22"/>
        </w:rPr>
        <w:t xml:space="preserve"> Cattle Market land reclassified from other land and building in 2</w:t>
      </w:r>
      <w:r w:rsidR="00BC3ABC">
        <w:rPr>
          <w:rFonts w:asciiTheme="minorHAnsi" w:hAnsiTheme="minorHAnsi" w:cs="Arial"/>
          <w:sz w:val="22"/>
          <w:szCs w:val="22"/>
        </w:rPr>
        <w:t>022-23</w:t>
      </w:r>
      <w:r w:rsidR="0086114D">
        <w:rPr>
          <w:rFonts w:asciiTheme="minorHAnsi" w:hAnsiTheme="minorHAnsi" w:cs="Arial"/>
          <w:sz w:val="22"/>
          <w:szCs w:val="22"/>
        </w:rPr>
        <w:t>. Cemetery lodge reclassified from investment assets in 2</w:t>
      </w:r>
      <w:r w:rsidR="00BC3ABC">
        <w:rPr>
          <w:rFonts w:asciiTheme="minorHAnsi" w:hAnsiTheme="minorHAnsi" w:cs="Arial"/>
          <w:sz w:val="22"/>
          <w:szCs w:val="22"/>
        </w:rPr>
        <w:t>022-23</w:t>
      </w:r>
      <w:r w:rsidR="0086114D">
        <w:rPr>
          <w:rFonts w:asciiTheme="minorHAnsi" w:hAnsiTheme="minorHAnsi" w:cs="Arial"/>
          <w:sz w:val="22"/>
          <w:szCs w:val="22"/>
        </w:rPr>
        <w:t>.</w:t>
      </w:r>
    </w:p>
    <w:bookmarkEnd w:id="7"/>
    <w:p w14:paraId="73B99645" w14:textId="77777777" w:rsidR="00146A7B" w:rsidRPr="00752744" w:rsidRDefault="00146A7B" w:rsidP="00146A7B">
      <w:pPr>
        <w:widowControl w:val="0"/>
        <w:tabs>
          <w:tab w:val="left" w:pos="2520"/>
          <w:tab w:val="left" w:pos="7200"/>
          <w:tab w:val="left" w:pos="8460"/>
        </w:tabs>
        <w:jc w:val="both"/>
        <w:rPr>
          <w:rFonts w:asciiTheme="minorHAnsi" w:hAnsiTheme="minorHAnsi" w:cs="Arial"/>
          <w:sz w:val="22"/>
          <w:szCs w:val="22"/>
          <w:highlight w:val="yellow"/>
        </w:rPr>
      </w:pPr>
    </w:p>
    <w:p w14:paraId="31C6CAA1" w14:textId="77777777" w:rsidR="00146A7B" w:rsidRPr="00752744" w:rsidRDefault="00146A7B" w:rsidP="00146A7B">
      <w:pPr>
        <w:widowControl w:val="0"/>
        <w:tabs>
          <w:tab w:val="left" w:pos="709"/>
          <w:tab w:val="left" w:pos="7200"/>
          <w:tab w:val="left" w:pos="8460"/>
        </w:tabs>
        <w:ind w:left="567" w:hanging="567"/>
        <w:rPr>
          <w:rFonts w:asciiTheme="minorHAnsi" w:hAnsiTheme="minorHAnsi" w:cs="Arial"/>
          <w:b/>
          <w:sz w:val="24"/>
          <w:szCs w:val="24"/>
        </w:rPr>
      </w:pPr>
      <w:r w:rsidRPr="00752744">
        <w:rPr>
          <w:rFonts w:asciiTheme="minorHAnsi" w:hAnsiTheme="minorHAnsi" w:cs="Arial"/>
          <w:b/>
          <w:sz w:val="24"/>
          <w:szCs w:val="24"/>
        </w:rPr>
        <w:t>Fair Value Measurement of Surplus Assets</w:t>
      </w:r>
    </w:p>
    <w:p w14:paraId="32585C2E" w14:textId="77777777" w:rsidR="00146A7B" w:rsidRPr="00752744" w:rsidRDefault="00146A7B" w:rsidP="00146A7B">
      <w:pPr>
        <w:widowControl w:val="0"/>
        <w:tabs>
          <w:tab w:val="left" w:pos="709"/>
          <w:tab w:val="left" w:pos="7200"/>
          <w:tab w:val="left" w:pos="8460"/>
        </w:tabs>
        <w:ind w:left="567" w:hanging="567"/>
        <w:rPr>
          <w:rFonts w:ascii="Arial" w:hAnsi="Arial" w:cs="Arial"/>
          <w:b/>
          <w:highlight w:val="yellow"/>
        </w:rPr>
      </w:pPr>
    </w:p>
    <w:p w14:paraId="02D51473" w14:textId="77777777" w:rsidR="00146A7B" w:rsidRPr="00752744" w:rsidRDefault="00146A7B" w:rsidP="00146A7B">
      <w:pPr>
        <w:widowControl w:val="0"/>
        <w:tabs>
          <w:tab w:val="left" w:pos="709"/>
          <w:tab w:val="left" w:pos="7200"/>
          <w:tab w:val="left" w:pos="8460"/>
        </w:tabs>
        <w:ind w:left="567" w:hanging="567"/>
        <w:rPr>
          <w:rFonts w:asciiTheme="minorHAnsi" w:hAnsiTheme="minorHAnsi" w:cs="Arial"/>
          <w:b/>
          <w:sz w:val="24"/>
          <w:szCs w:val="24"/>
        </w:rPr>
      </w:pPr>
      <w:r w:rsidRPr="00752744">
        <w:rPr>
          <w:rFonts w:asciiTheme="minorHAnsi" w:hAnsiTheme="minorHAnsi" w:cs="Arial"/>
          <w:b/>
          <w:sz w:val="24"/>
          <w:szCs w:val="24"/>
        </w:rPr>
        <w:t>Fair Value Hierarchy</w:t>
      </w:r>
    </w:p>
    <w:p w14:paraId="437E3B0C" w14:textId="77777777" w:rsidR="00146A7B" w:rsidRPr="00752744" w:rsidRDefault="00146A7B" w:rsidP="00146A7B">
      <w:pPr>
        <w:widowControl w:val="0"/>
        <w:tabs>
          <w:tab w:val="left" w:pos="709"/>
          <w:tab w:val="left" w:pos="7200"/>
          <w:tab w:val="left" w:pos="8460"/>
        </w:tabs>
        <w:ind w:left="567" w:hanging="567"/>
        <w:rPr>
          <w:rFonts w:ascii="Arial" w:hAnsi="Arial" w:cs="Arial"/>
          <w:b/>
          <w:highlight w:val="yellow"/>
        </w:rPr>
      </w:pPr>
    </w:p>
    <w:p w14:paraId="5CAC08D6" w14:textId="6A42B098" w:rsidR="00146A7B" w:rsidRDefault="00146A7B" w:rsidP="00C12DF8">
      <w:pPr>
        <w:widowControl w:val="0"/>
        <w:tabs>
          <w:tab w:val="left" w:pos="709"/>
          <w:tab w:val="left" w:pos="7200"/>
          <w:tab w:val="left" w:pos="8460"/>
        </w:tabs>
        <w:jc w:val="both"/>
        <w:rPr>
          <w:rFonts w:asciiTheme="minorHAnsi" w:hAnsiTheme="minorHAnsi" w:cs="Arial"/>
          <w:sz w:val="22"/>
          <w:szCs w:val="22"/>
        </w:rPr>
      </w:pPr>
      <w:r w:rsidRPr="0095377C">
        <w:rPr>
          <w:rFonts w:asciiTheme="minorHAnsi" w:hAnsiTheme="minorHAnsi" w:cs="Arial"/>
          <w:sz w:val="22"/>
          <w:szCs w:val="22"/>
        </w:rPr>
        <w:t xml:space="preserve">Details of the Council’s surplus assets and information about the fair value hierarchy as </w:t>
      </w:r>
      <w:proofErr w:type="gramStart"/>
      <w:r w:rsidRPr="0095377C">
        <w:rPr>
          <w:rFonts w:asciiTheme="minorHAnsi" w:hAnsiTheme="minorHAnsi" w:cs="Arial"/>
          <w:sz w:val="22"/>
          <w:szCs w:val="22"/>
        </w:rPr>
        <w:t>at</w:t>
      </w:r>
      <w:proofErr w:type="gramEnd"/>
      <w:r w:rsidRPr="0095377C">
        <w:rPr>
          <w:rFonts w:asciiTheme="minorHAnsi" w:hAnsiTheme="minorHAnsi" w:cs="Arial"/>
          <w:sz w:val="22"/>
          <w:szCs w:val="22"/>
        </w:rPr>
        <w:t xml:space="preserve"> 31 March 20</w:t>
      </w:r>
      <w:r>
        <w:rPr>
          <w:rFonts w:asciiTheme="minorHAnsi" w:hAnsiTheme="minorHAnsi" w:cs="Arial"/>
          <w:sz w:val="22"/>
          <w:szCs w:val="22"/>
        </w:rPr>
        <w:t>2</w:t>
      </w:r>
      <w:r w:rsidR="00CD7824">
        <w:rPr>
          <w:rFonts w:asciiTheme="minorHAnsi" w:hAnsiTheme="minorHAnsi" w:cs="Arial"/>
          <w:sz w:val="22"/>
          <w:szCs w:val="22"/>
        </w:rPr>
        <w:t>3</w:t>
      </w:r>
      <w:r w:rsidRPr="0095377C">
        <w:rPr>
          <w:rFonts w:asciiTheme="minorHAnsi" w:hAnsiTheme="minorHAnsi" w:cs="Arial"/>
          <w:sz w:val="22"/>
          <w:szCs w:val="22"/>
        </w:rPr>
        <w:t xml:space="preserve"> are as follows:</w:t>
      </w:r>
    </w:p>
    <w:p w14:paraId="1B7DB301" w14:textId="4048E389" w:rsidR="001B4D9E" w:rsidRDefault="001B4D9E" w:rsidP="00C12DF8">
      <w:pPr>
        <w:widowControl w:val="0"/>
        <w:tabs>
          <w:tab w:val="left" w:pos="709"/>
          <w:tab w:val="left" w:pos="7200"/>
          <w:tab w:val="left" w:pos="8460"/>
        </w:tabs>
        <w:jc w:val="both"/>
        <w:rPr>
          <w:rFonts w:asciiTheme="minorHAnsi" w:hAnsiTheme="minorHAnsi" w:cs="Arial"/>
          <w:sz w:val="22"/>
          <w:szCs w:val="22"/>
        </w:rPr>
      </w:pPr>
    </w:p>
    <w:p w14:paraId="474DE51F" w14:textId="125BB4C0" w:rsidR="001B4D9E" w:rsidRDefault="001B4D9E" w:rsidP="00C12DF8">
      <w:pPr>
        <w:widowControl w:val="0"/>
        <w:tabs>
          <w:tab w:val="left" w:pos="709"/>
          <w:tab w:val="left" w:pos="7200"/>
          <w:tab w:val="left" w:pos="8460"/>
        </w:tabs>
        <w:jc w:val="both"/>
        <w:rPr>
          <w:rFonts w:asciiTheme="minorHAnsi" w:hAnsiTheme="minorHAnsi" w:cs="Arial"/>
          <w:sz w:val="22"/>
          <w:szCs w:val="22"/>
        </w:rPr>
      </w:pPr>
    </w:p>
    <w:p w14:paraId="6331DF19" w14:textId="77777777" w:rsidR="001B4D9E" w:rsidRPr="0095377C" w:rsidRDefault="001B4D9E" w:rsidP="00C12DF8">
      <w:pPr>
        <w:widowControl w:val="0"/>
        <w:tabs>
          <w:tab w:val="left" w:pos="709"/>
          <w:tab w:val="left" w:pos="7200"/>
          <w:tab w:val="left" w:pos="8460"/>
        </w:tabs>
        <w:jc w:val="both"/>
        <w:rPr>
          <w:rFonts w:asciiTheme="minorHAnsi" w:hAnsiTheme="minorHAnsi" w:cs="Arial"/>
          <w:sz w:val="22"/>
          <w:szCs w:val="22"/>
        </w:rPr>
      </w:pPr>
    </w:p>
    <w:p w14:paraId="0BE0A2B3" w14:textId="77777777" w:rsidR="00581D3D" w:rsidRPr="00752744" w:rsidRDefault="00581D3D" w:rsidP="00146A7B">
      <w:pPr>
        <w:widowControl w:val="0"/>
        <w:tabs>
          <w:tab w:val="left" w:pos="709"/>
          <w:tab w:val="left" w:pos="7200"/>
          <w:tab w:val="left" w:pos="8460"/>
        </w:tabs>
        <w:rPr>
          <w:rFonts w:ascii="Arial" w:hAnsi="Arial" w:cs="Arial"/>
          <w:highlight w:val="yellow"/>
        </w:rPr>
      </w:pPr>
    </w:p>
    <w:tbl>
      <w:tblPr>
        <w:tblW w:w="9540" w:type="dxa"/>
        <w:tblInd w:w="93" w:type="dxa"/>
        <w:tblLook w:val="04A0" w:firstRow="1" w:lastRow="0" w:firstColumn="1" w:lastColumn="0" w:noHBand="0" w:noVBand="1"/>
        <w:tblCaption w:val="Fair Value Hierarchy"/>
        <w:tblDescription w:val="Fair Value Hierarchy of the Fair Value Measurement of Surplus Assets"/>
      </w:tblPr>
      <w:tblGrid>
        <w:gridCol w:w="2480"/>
        <w:gridCol w:w="1780"/>
        <w:gridCol w:w="1760"/>
        <w:gridCol w:w="1740"/>
        <w:gridCol w:w="1780"/>
      </w:tblGrid>
      <w:tr w:rsidR="00146A7B" w:rsidRPr="00752744" w14:paraId="2EF6D97F" w14:textId="77777777" w:rsidTr="00931FA5">
        <w:trPr>
          <w:cantSplit/>
          <w:trHeight w:val="1013"/>
          <w:tblHeader/>
        </w:trPr>
        <w:tc>
          <w:tcPr>
            <w:tcW w:w="2480" w:type="dxa"/>
            <w:tcBorders>
              <w:top w:val="nil"/>
              <w:left w:val="nil"/>
              <w:bottom w:val="nil"/>
              <w:right w:val="nil"/>
            </w:tcBorders>
            <w:shd w:val="clear" w:color="000000" w:fill="FABF8F"/>
            <w:vAlign w:val="center"/>
            <w:hideMark/>
          </w:tcPr>
          <w:p w14:paraId="43CE6440" w14:textId="77777777" w:rsidR="00146A7B" w:rsidRPr="0036555B" w:rsidRDefault="00146A7B" w:rsidP="005B4B3A">
            <w:pPr>
              <w:rPr>
                <w:rFonts w:ascii="Calibri" w:hAnsi="Calibri"/>
                <w:color w:val="000000"/>
                <w:lang w:eastAsia="en-GB"/>
              </w:rPr>
            </w:pPr>
            <w:bookmarkStart w:id="8" w:name="_Hlk106003337"/>
            <w:r w:rsidRPr="0036555B">
              <w:rPr>
                <w:rFonts w:ascii="Calibri" w:hAnsi="Calibri"/>
                <w:color w:val="000000"/>
                <w:lang w:eastAsia="en-GB"/>
              </w:rPr>
              <w:lastRenderedPageBreak/>
              <w:t> </w:t>
            </w:r>
          </w:p>
        </w:tc>
        <w:tc>
          <w:tcPr>
            <w:tcW w:w="178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5FE8C011" w14:textId="77777777" w:rsidR="00146A7B" w:rsidRPr="0036555B" w:rsidRDefault="00146A7B" w:rsidP="005B4B3A">
            <w:pPr>
              <w:jc w:val="right"/>
              <w:rPr>
                <w:rFonts w:ascii="Calibri" w:hAnsi="Calibri"/>
                <w:color w:val="000000"/>
                <w:lang w:eastAsia="en-GB"/>
              </w:rPr>
            </w:pPr>
            <w:r w:rsidRPr="0036555B">
              <w:rPr>
                <w:rFonts w:ascii="Calibri" w:hAnsi="Calibri"/>
                <w:color w:val="000000"/>
                <w:lang w:eastAsia="en-GB"/>
              </w:rPr>
              <w:t xml:space="preserve">Quoted </w:t>
            </w:r>
            <w:proofErr w:type="gramStart"/>
            <w:r w:rsidRPr="0036555B">
              <w:rPr>
                <w:rFonts w:ascii="Calibri" w:hAnsi="Calibri"/>
                <w:color w:val="000000"/>
                <w:lang w:eastAsia="en-GB"/>
              </w:rPr>
              <w:t>Prices  in</w:t>
            </w:r>
            <w:proofErr w:type="gramEnd"/>
            <w:r w:rsidRPr="0036555B">
              <w:rPr>
                <w:rFonts w:ascii="Calibri" w:hAnsi="Calibri"/>
                <w:color w:val="000000"/>
                <w:lang w:eastAsia="en-GB"/>
              </w:rPr>
              <w:t xml:space="preserve"> active markets for identical assets (Level 1)</w:t>
            </w:r>
          </w:p>
        </w:tc>
        <w:tc>
          <w:tcPr>
            <w:tcW w:w="1760" w:type="dxa"/>
            <w:tcBorders>
              <w:top w:val="single" w:sz="4" w:space="0" w:color="FFFFFF"/>
              <w:left w:val="nil"/>
              <w:bottom w:val="single" w:sz="4" w:space="0" w:color="FFFFFF"/>
              <w:right w:val="single" w:sz="4" w:space="0" w:color="FFFFFF"/>
            </w:tcBorders>
            <w:shd w:val="clear" w:color="000000" w:fill="FABF8F"/>
            <w:vAlign w:val="center"/>
            <w:hideMark/>
          </w:tcPr>
          <w:p w14:paraId="7F1D3DB0" w14:textId="77777777" w:rsidR="00146A7B" w:rsidRPr="0036555B" w:rsidRDefault="00146A7B" w:rsidP="005B4B3A">
            <w:pPr>
              <w:jc w:val="right"/>
              <w:rPr>
                <w:rFonts w:ascii="Calibri" w:hAnsi="Calibri"/>
                <w:color w:val="000000"/>
                <w:lang w:eastAsia="en-GB"/>
              </w:rPr>
            </w:pPr>
            <w:r w:rsidRPr="0036555B">
              <w:rPr>
                <w:rFonts w:ascii="Calibri" w:hAnsi="Calibri"/>
                <w:color w:val="000000"/>
                <w:lang w:eastAsia="en-GB"/>
              </w:rPr>
              <w:t>Other Significant Observable Inputs (Level 2)</w:t>
            </w:r>
          </w:p>
        </w:tc>
        <w:tc>
          <w:tcPr>
            <w:tcW w:w="1740" w:type="dxa"/>
            <w:tcBorders>
              <w:top w:val="single" w:sz="4" w:space="0" w:color="FFFFFF"/>
              <w:left w:val="nil"/>
              <w:bottom w:val="single" w:sz="4" w:space="0" w:color="FFFFFF"/>
              <w:right w:val="single" w:sz="4" w:space="0" w:color="FFFFFF"/>
            </w:tcBorders>
            <w:shd w:val="clear" w:color="000000" w:fill="FABF8F"/>
            <w:vAlign w:val="center"/>
            <w:hideMark/>
          </w:tcPr>
          <w:p w14:paraId="1FD49043" w14:textId="77777777" w:rsidR="00146A7B" w:rsidRPr="005B4F36" w:rsidRDefault="00146A7B" w:rsidP="005B4B3A">
            <w:pPr>
              <w:jc w:val="right"/>
              <w:rPr>
                <w:rFonts w:ascii="Calibri" w:hAnsi="Calibri"/>
                <w:color w:val="000000"/>
                <w:lang w:eastAsia="en-GB"/>
              </w:rPr>
            </w:pPr>
            <w:r w:rsidRPr="005B4F36">
              <w:rPr>
                <w:rFonts w:ascii="Calibri" w:hAnsi="Calibri"/>
                <w:color w:val="000000"/>
                <w:lang w:eastAsia="en-GB"/>
              </w:rPr>
              <w:t>Significant Unobservable Inputs (Level 3)</w:t>
            </w:r>
          </w:p>
        </w:tc>
        <w:tc>
          <w:tcPr>
            <w:tcW w:w="1780" w:type="dxa"/>
            <w:tcBorders>
              <w:top w:val="single" w:sz="4" w:space="0" w:color="FFFFFF"/>
              <w:left w:val="nil"/>
              <w:bottom w:val="single" w:sz="4" w:space="0" w:color="FFFFFF"/>
              <w:right w:val="single" w:sz="4" w:space="0" w:color="FFFFFF"/>
            </w:tcBorders>
            <w:shd w:val="clear" w:color="000000" w:fill="FABF8F"/>
            <w:vAlign w:val="center"/>
            <w:hideMark/>
          </w:tcPr>
          <w:p w14:paraId="38AF0F9D" w14:textId="79FD5524" w:rsidR="00146A7B" w:rsidRPr="005B4F36" w:rsidRDefault="00146A7B" w:rsidP="00DC1AF4">
            <w:pPr>
              <w:jc w:val="right"/>
              <w:rPr>
                <w:rFonts w:ascii="Calibri" w:hAnsi="Calibri"/>
                <w:color w:val="000000"/>
                <w:lang w:eastAsia="en-GB"/>
              </w:rPr>
            </w:pPr>
            <w:r w:rsidRPr="005B4F36">
              <w:rPr>
                <w:rFonts w:ascii="Calibri" w:hAnsi="Calibri"/>
                <w:color w:val="000000"/>
                <w:lang w:eastAsia="en-GB"/>
              </w:rPr>
              <w:t xml:space="preserve">Recurring Fair Value as </w:t>
            </w:r>
            <w:proofErr w:type="gramStart"/>
            <w:r w:rsidRPr="005B4F36">
              <w:rPr>
                <w:rFonts w:ascii="Calibri" w:hAnsi="Calibri"/>
                <w:color w:val="000000"/>
                <w:lang w:eastAsia="en-GB"/>
              </w:rPr>
              <w:t>at</w:t>
            </w:r>
            <w:proofErr w:type="gramEnd"/>
            <w:r w:rsidRPr="005B4F36">
              <w:rPr>
                <w:rFonts w:ascii="Calibri" w:hAnsi="Calibri"/>
                <w:color w:val="000000"/>
                <w:lang w:eastAsia="en-GB"/>
              </w:rPr>
              <w:t xml:space="preserve"> 31 March 20</w:t>
            </w:r>
            <w:r w:rsidR="00DC1AF4">
              <w:rPr>
                <w:rFonts w:ascii="Calibri" w:hAnsi="Calibri"/>
                <w:color w:val="000000"/>
                <w:lang w:eastAsia="en-GB"/>
              </w:rPr>
              <w:t>2</w:t>
            </w:r>
            <w:r w:rsidR="00CD7824">
              <w:rPr>
                <w:rFonts w:ascii="Calibri" w:hAnsi="Calibri"/>
                <w:color w:val="000000"/>
                <w:lang w:eastAsia="en-GB"/>
              </w:rPr>
              <w:t>3</w:t>
            </w:r>
          </w:p>
        </w:tc>
      </w:tr>
      <w:tr w:rsidR="00146A7B" w:rsidRPr="00752744" w14:paraId="708804B4" w14:textId="77777777" w:rsidTr="00931FA5">
        <w:trPr>
          <w:trHeight w:val="297"/>
        </w:trPr>
        <w:tc>
          <w:tcPr>
            <w:tcW w:w="2480" w:type="dxa"/>
            <w:tcBorders>
              <w:top w:val="nil"/>
              <w:left w:val="nil"/>
              <w:bottom w:val="nil"/>
              <w:right w:val="nil"/>
            </w:tcBorders>
            <w:shd w:val="clear" w:color="000000" w:fill="FABF8F"/>
            <w:vAlign w:val="center"/>
            <w:hideMark/>
          </w:tcPr>
          <w:p w14:paraId="4F02A059" w14:textId="77777777" w:rsidR="00146A7B" w:rsidRPr="0036555B" w:rsidRDefault="00146A7B" w:rsidP="005B4B3A">
            <w:pPr>
              <w:rPr>
                <w:rFonts w:ascii="Calibri" w:hAnsi="Calibri"/>
                <w:color w:val="000000"/>
                <w:lang w:eastAsia="en-GB"/>
              </w:rPr>
            </w:pPr>
            <w:r w:rsidRPr="0036555B">
              <w:rPr>
                <w:rFonts w:ascii="Calibri" w:hAnsi="Calibri"/>
                <w:color w:val="000000"/>
                <w:lang w:eastAsia="en-GB"/>
              </w:rPr>
              <w:t> </w:t>
            </w:r>
          </w:p>
        </w:tc>
        <w:tc>
          <w:tcPr>
            <w:tcW w:w="1780" w:type="dxa"/>
            <w:tcBorders>
              <w:top w:val="nil"/>
              <w:left w:val="single" w:sz="4" w:space="0" w:color="FFFFFF"/>
              <w:bottom w:val="single" w:sz="4" w:space="0" w:color="FFFFFF"/>
              <w:right w:val="single" w:sz="4" w:space="0" w:color="FFFFFF"/>
            </w:tcBorders>
            <w:shd w:val="clear" w:color="000000" w:fill="FABF8F"/>
            <w:vAlign w:val="center"/>
            <w:hideMark/>
          </w:tcPr>
          <w:p w14:paraId="32CE4D8D" w14:textId="77777777" w:rsidR="00146A7B" w:rsidRPr="0036555B" w:rsidRDefault="00146A7B" w:rsidP="005B4B3A">
            <w:pPr>
              <w:jc w:val="right"/>
              <w:rPr>
                <w:rFonts w:ascii="Calibri" w:hAnsi="Calibri"/>
                <w:color w:val="000000"/>
                <w:lang w:eastAsia="en-GB"/>
              </w:rPr>
            </w:pPr>
            <w:r w:rsidRPr="0036555B">
              <w:rPr>
                <w:rFonts w:ascii="Calibri" w:hAnsi="Calibri"/>
                <w:color w:val="000000"/>
                <w:lang w:eastAsia="en-GB"/>
              </w:rPr>
              <w:t>£’000</w:t>
            </w:r>
          </w:p>
        </w:tc>
        <w:tc>
          <w:tcPr>
            <w:tcW w:w="1760" w:type="dxa"/>
            <w:tcBorders>
              <w:top w:val="nil"/>
              <w:left w:val="nil"/>
              <w:bottom w:val="single" w:sz="4" w:space="0" w:color="FFFFFF"/>
              <w:right w:val="single" w:sz="4" w:space="0" w:color="FFFFFF"/>
            </w:tcBorders>
            <w:shd w:val="clear" w:color="000000" w:fill="FABF8F"/>
            <w:vAlign w:val="center"/>
            <w:hideMark/>
          </w:tcPr>
          <w:p w14:paraId="2F81DE2F" w14:textId="77777777" w:rsidR="00146A7B" w:rsidRPr="0036555B" w:rsidRDefault="00146A7B" w:rsidP="005B4B3A">
            <w:pPr>
              <w:jc w:val="right"/>
              <w:rPr>
                <w:rFonts w:ascii="Calibri" w:hAnsi="Calibri"/>
                <w:color w:val="000000"/>
                <w:lang w:eastAsia="en-GB"/>
              </w:rPr>
            </w:pPr>
            <w:r w:rsidRPr="0036555B">
              <w:rPr>
                <w:rFonts w:ascii="Calibri" w:hAnsi="Calibri"/>
                <w:color w:val="000000"/>
                <w:lang w:eastAsia="en-GB"/>
              </w:rPr>
              <w:t>£’000</w:t>
            </w:r>
          </w:p>
        </w:tc>
        <w:tc>
          <w:tcPr>
            <w:tcW w:w="1740" w:type="dxa"/>
            <w:tcBorders>
              <w:top w:val="nil"/>
              <w:left w:val="nil"/>
              <w:bottom w:val="single" w:sz="4" w:space="0" w:color="FFFFFF"/>
              <w:right w:val="single" w:sz="4" w:space="0" w:color="FFFFFF"/>
            </w:tcBorders>
            <w:shd w:val="clear" w:color="000000" w:fill="FABF8F"/>
            <w:vAlign w:val="center"/>
            <w:hideMark/>
          </w:tcPr>
          <w:p w14:paraId="24358140" w14:textId="77777777" w:rsidR="00146A7B" w:rsidRPr="005B4F36" w:rsidRDefault="00146A7B" w:rsidP="005B4B3A">
            <w:pPr>
              <w:jc w:val="right"/>
              <w:rPr>
                <w:rFonts w:ascii="Calibri" w:hAnsi="Calibri"/>
                <w:color w:val="000000"/>
                <w:lang w:eastAsia="en-GB"/>
              </w:rPr>
            </w:pPr>
            <w:r w:rsidRPr="005B4F36">
              <w:rPr>
                <w:rFonts w:ascii="Calibri" w:hAnsi="Calibri"/>
                <w:color w:val="000000"/>
                <w:lang w:eastAsia="en-GB"/>
              </w:rPr>
              <w:t>£’000</w:t>
            </w:r>
          </w:p>
        </w:tc>
        <w:tc>
          <w:tcPr>
            <w:tcW w:w="1780" w:type="dxa"/>
            <w:tcBorders>
              <w:top w:val="nil"/>
              <w:left w:val="nil"/>
              <w:bottom w:val="single" w:sz="4" w:space="0" w:color="FFFFFF"/>
              <w:right w:val="single" w:sz="4" w:space="0" w:color="FFFFFF"/>
            </w:tcBorders>
            <w:shd w:val="clear" w:color="000000" w:fill="FABF8F"/>
            <w:vAlign w:val="center"/>
            <w:hideMark/>
          </w:tcPr>
          <w:p w14:paraId="33AC355D" w14:textId="77777777" w:rsidR="00146A7B" w:rsidRPr="005B4F36" w:rsidRDefault="00146A7B" w:rsidP="005B4B3A">
            <w:pPr>
              <w:jc w:val="right"/>
              <w:rPr>
                <w:rFonts w:ascii="Calibri" w:hAnsi="Calibri"/>
                <w:color w:val="000000"/>
                <w:lang w:eastAsia="en-GB"/>
              </w:rPr>
            </w:pPr>
            <w:r w:rsidRPr="005B4F36">
              <w:rPr>
                <w:rFonts w:ascii="Calibri" w:hAnsi="Calibri"/>
                <w:color w:val="000000"/>
                <w:lang w:eastAsia="en-GB"/>
              </w:rPr>
              <w:t>£’000</w:t>
            </w:r>
          </w:p>
        </w:tc>
      </w:tr>
      <w:tr w:rsidR="00423D81" w:rsidRPr="008F7E06" w14:paraId="51D16CD1" w14:textId="77777777" w:rsidTr="00931FA5">
        <w:trPr>
          <w:trHeight w:val="506"/>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799A1C76" w14:textId="318E49C0" w:rsidR="00423D81" w:rsidRPr="008F7E06" w:rsidRDefault="00423D81" w:rsidP="005B4B3A">
            <w:pPr>
              <w:rPr>
                <w:rFonts w:ascii="Calibri" w:hAnsi="Calibri"/>
                <w:color w:val="000000"/>
                <w:lang w:eastAsia="en-GB"/>
              </w:rPr>
            </w:pPr>
            <w:r>
              <w:rPr>
                <w:rFonts w:ascii="Calibri" w:hAnsi="Calibri"/>
                <w:color w:val="000000"/>
                <w:lang w:eastAsia="en-GB"/>
              </w:rPr>
              <w:t xml:space="preserve">Land at Barker Crescent </w:t>
            </w:r>
          </w:p>
        </w:tc>
        <w:tc>
          <w:tcPr>
            <w:tcW w:w="1780" w:type="dxa"/>
            <w:tcBorders>
              <w:top w:val="nil"/>
              <w:left w:val="nil"/>
              <w:bottom w:val="single" w:sz="4" w:space="0" w:color="FFFFFF"/>
              <w:right w:val="single" w:sz="4" w:space="0" w:color="FFFFFF"/>
            </w:tcBorders>
            <w:shd w:val="clear" w:color="000000" w:fill="FDE9D9"/>
            <w:vAlign w:val="center"/>
          </w:tcPr>
          <w:p w14:paraId="2842CEEF" w14:textId="56589865" w:rsidR="00423D81" w:rsidRPr="008F7E06" w:rsidRDefault="00350811" w:rsidP="005B4B3A">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2609683D" w14:textId="39891F6A" w:rsidR="00423D81" w:rsidRPr="00423D81" w:rsidRDefault="00350811" w:rsidP="008F7E06">
            <w:pPr>
              <w:jc w:val="right"/>
              <w:rPr>
                <w:rFonts w:ascii="Calibri" w:hAnsi="Calibri"/>
                <w:color w:val="000000"/>
                <w:lang w:eastAsia="en-GB"/>
              </w:rPr>
            </w:pPr>
            <w:r>
              <w:rPr>
                <w:rFonts w:ascii="Calibri" w:hAnsi="Calibri"/>
                <w:color w:val="000000"/>
                <w:lang w:eastAsia="en-GB"/>
              </w:rPr>
              <w:t>2</w:t>
            </w:r>
          </w:p>
        </w:tc>
        <w:tc>
          <w:tcPr>
            <w:tcW w:w="1740" w:type="dxa"/>
            <w:tcBorders>
              <w:top w:val="nil"/>
              <w:left w:val="nil"/>
              <w:bottom w:val="single" w:sz="4" w:space="0" w:color="FFFFFF"/>
              <w:right w:val="single" w:sz="4" w:space="0" w:color="FFFFFF"/>
            </w:tcBorders>
            <w:shd w:val="clear" w:color="000000" w:fill="FDE9D9"/>
            <w:vAlign w:val="center"/>
          </w:tcPr>
          <w:p w14:paraId="51F0B597" w14:textId="3E24D75D" w:rsidR="00423D81" w:rsidRPr="008F7E06" w:rsidRDefault="00350811" w:rsidP="005B4B3A">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1A733BFF" w14:textId="096705CC" w:rsidR="00423D81" w:rsidRPr="008F7E06" w:rsidRDefault="00350811" w:rsidP="005B4B3A">
            <w:pPr>
              <w:jc w:val="right"/>
              <w:rPr>
                <w:rFonts w:ascii="Calibri" w:hAnsi="Calibri"/>
                <w:color w:val="000000"/>
                <w:lang w:eastAsia="en-GB"/>
              </w:rPr>
            </w:pPr>
            <w:r>
              <w:rPr>
                <w:rFonts w:ascii="Calibri" w:hAnsi="Calibri"/>
                <w:color w:val="000000"/>
                <w:lang w:eastAsia="en-GB"/>
              </w:rPr>
              <w:t>2</w:t>
            </w:r>
          </w:p>
        </w:tc>
      </w:tr>
      <w:tr w:rsidR="00FD654C" w:rsidRPr="008F7E06" w14:paraId="0924D9C4" w14:textId="77777777" w:rsidTr="00931FA5">
        <w:trPr>
          <w:trHeight w:val="506"/>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4EDBF156" w14:textId="46677B92" w:rsidR="00FD654C" w:rsidRDefault="00FD654C" w:rsidP="00FD654C">
            <w:pPr>
              <w:rPr>
                <w:rFonts w:ascii="Calibri" w:hAnsi="Calibri" w:cs="Calibri"/>
                <w:lang w:eastAsia="en-GB"/>
              </w:rPr>
            </w:pPr>
            <w:r>
              <w:rPr>
                <w:rFonts w:ascii="Calibri" w:hAnsi="Calibri" w:cs="Calibri"/>
              </w:rPr>
              <w:t>Cattle Market - Land</w:t>
            </w:r>
          </w:p>
          <w:p w14:paraId="40CE9C4A" w14:textId="77777777" w:rsidR="00FD654C" w:rsidRDefault="00FD654C" w:rsidP="005B4B3A">
            <w:pPr>
              <w:rPr>
                <w:rFonts w:ascii="Calibri" w:hAnsi="Calibri"/>
                <w:color w:val="000000"/>
                <w:lang w:eastAsia="en-GB"/>
              </w:rPr>
            </w:pPr>
          </w:p>
        </w:tc>
        <w:tc>
          <w:tcPr>
            <w:tcW w:w="1780" w:type="dxa"/>
            <w:tcBorders>
              <w:top w:val="nil"/>
              <w:left w:val="nil"/>
              <w:bottom w:val="single" w:sz="4" w:space="0" w:color="FFFFFF"/>
              <w:right w:val="single" w:sz="4" w:space="0" w:color="FFFFFF"/>
            </w:tcBorders>
            <w:shd w:val="clear" w:color="000000" w:fill="FDE9D9"/>
            <w:vAlign w:val="center"/>
          </w:tcPr>
          <w:p w14:paraId="514EA15E" w14:textId="7E542E8C" w:rsidR="00FD654C" w:rsidRDefault="008D5F98" w:rsidP="005B4B3A">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50916EDC" w14:textId="4F7B71ED" w:rsidR="00FD654C" w:rsidRDefault="0086114D" w:rsidP="008F7E06">
            <w:pPr>
              <w:jc w:val="right"/>
              <w:rPr>
                <w:rFonts w:ascii="Calibri" w:hAnsi="Calibri"/>
                <w:color w:val="000000"/>
                <w:lang w:eastAsia="en-GB"/>
              </w:rPr>
            </w:pPr>
            <w:r>
              <w:rPr>
                <w:rFonts w:ascii="Calibri" w:hAnsi="Calibri"/>
                <w:color w:val="000000"/>
                <w:lang w:eastAsia="en-GB"/>
              </w:rPr>
              <w:t>1,450</w:t>
            </w:r>
          </w:p>
        </w:tc>
        <w:tc>
          <w:tcPr>
            <w:tcW w:w="1740" w:type="dxa"/>
            <w:tcBorders>
              <w:top w:val="nil"/>
              <w:left w:val="nil"/>
              <w:bottom w:val="single" w:sz="4" w:space="0" w:color="FFFFFF"/>
              <w:right w:val="single" w:sz="4" w:space="0" w:color="FFFFFF"/>
            </w:tcBorders>
            <w:shd w:val="clear" w:color="000000" w:fill="FDE9D9"/>
            <w:vAlign w:val="center"/>
          </w:tcPr>
          <w:p w14:paraId="7656D459" w14:textId="28EB6DAB" w:rsidR="00FD654C" w:rsidRDefault="008D5F98" w:rsidP="005B4B3A">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7C1D3FC8" w14:textId="53FD66C7" w:rsidR="00FD654C" w:rsidRDefault="0086114D" w:rsidP="005B4B3A">
            <w:pPr>
              <w:jc w:val="right"/>
              <w:rPr>
                <w:rFonts w:ascii="Calibri" w:hAnsi="Calibri"/>
                <w:color w:val="000000"/>
                <w:lang w:eastAsia="en-GB"/>
              </w:rPr>
            </w:pPr>
            <w:r>
              <w:rPr>
                <w:rFonts w:ascii="Calibri" w:hAnsi="Calibri"/>
                <w:color w:val="000000"/>
                <w:lang w:eastAsia="en-GB"/>
              </w:rPr>
              <w:t>1,450</w:t>
            </w:r>
          </w:p>
        </w:tc>
      </w:tr>
      <w:tr w:rsidR="00FD654C" w:rsidRPr="008F7E06" w14:paraId="7FA7D015" w14:textId="77777777" w:rsidTr="00931FA5">
        <w:trPr>
          <w:trHeight w:val="506"/>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0B1633CA" w14:textId="77777777" w:rsidR="00FD654C" w:rsidRDefault="00FD654C" w:rsidP="00FD654C">
            <w:pPr>
              <w:rPr>
                <w:rFonts w:ascii="Calibri" w:hAnsi="Calibri" w:cs="Calibri"/>
                <w:lang w:eastAsia="en-GB"/>
              </w:rPr>
            </w:pPr>
            <w:r>
              <w:rPr>
                <w:rFonts w:ascii="Calibri" w:hAnsi="Calibri" w:cs="Calibri"/>
              </w:rPr>
              <w:t>Cemetery Lodge</w:t>
            </w:r>
          </w:p>
          <w:p w14:paraId="4CC2E934" w14:textId="77777777" w:rsidR="00FD654C" w:rsidRDefault="00FD654C" w:rsidP="005B4B3A">
            <w:pPr>
              <w:rPr>
                <w:rFonts w:ascii="Calibri" w:hAnsi="Calibri"/>
                <w:color w:val="000000"/>
                <w:lang w:eastAsia="en-GB"/>
              </w:rPr>
            </w:pPr>
          </w:p>
        </w:tc>
        <w:tc>
          <w:tcPr>
            <w:tcW w:w="1780" w:type="dxa"/>
            <w:tcBorders>
              <w:top w:val="nil"/>
              <w:left w:val="nil"/>
              <w:bottom w:val="single" w:sz="4" w:space="0" w:color="FFFFFF"/>
              <w:right w:val="single" w:sz="4" w:space="0" w:color="FFFFFF"/>
            </w:tcBorders>
            <w:shd w:val="clear" w:color="000000" w:fill="FDE9D9"/>
            <w:vAlign w:val="center"/>
          </w:tcPr>
          <w:p w14:paraId="6C7940F6" w14:textId="7E8AABBD" w:rsidR="00FD654C" w:rsidRDefault="008D5F98" w:rsidP="005B4B3A">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02BE0BBE" w14:textId="1B99A527" w:rsidR="00FD654C" w:rsidRDefault="0086114D" w:rsidP="008F7E06">
            <w:pPr>
              <w:jc w:val="right"/>
              <w:rPr>
                <w:rFonts w:ascii="Calibri" w:hAnsi="Calibri"/>
                <w:color w:val="000000"/>
                <w:lang w:eastAsia="en-GB"/>
              </w:rPr>
            </w:pPr>
            <w:r>
              <w:rPr>
                <w:rFonts w:ascii="Calibri" w:hAnsi="Calibri"/>
                <w:color w:val="000000"/>
                <w:lang w:eastAsia="en-GB"/>
              </w:rPr>
              <w:t>139</w:t>
            </w:r>
          </w:p>
        </w:tc>
        <w:tc>
          <w:tcPr>
            <w:tcW w:w="1740" w:type="dxa"/>
            <w:tcBorders>
              <w:top w:val="nil"/>
              <w:left w:val="nil"/>
              <w:bottom w:val="single" w:sz="4" w:space="0" w:color="FFFFFF"/>
              <w:right w:val="single" w:sz="4" w:space="0" w:color="FFFFFF"/>
            </w:tcBorders>
            <w:shd w:val="clear" w:color="000000" w:fill="FDE9D9"/>
            <w:vAlign w:val="center"/>
          </w:tcPr>
          <w:p w14:paraId="4FD51A91" w14:textId="6ADB0446" w:rsidR="00FD654C" w:rsidRDefault="008D5F98" w:rsidP="005B4B3A">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3D68FC67" w14:textId="33503236" w:rsidR="00FD654C" w:rsidRDefault="0086114D" w:rsidP="005B4B3A">
            <w:pPr>
              <w:jc w:val="right"/>
              <w:rPr>
                <w:rFonts w:ascii="Calibri" w:hAnsi="Calibri"/>
                <w:color w:val="000000"/>
                <w:lang w:eastAsia="en-GB"/>
              </w:rPr>
            </w:pPr>
            <w:r>
              <w:rPr>
                <w:rFonts w:ascii="Calibri" w:hAnsi="Calibri"/>
                <w:color w:val="000000"/>
                <w:lang w:eastAsia="en-GB"/>
              </w:rPr>
              <w:t>139</w:t>
            </w:r>
          </w:p>
        </w:tc>
      </w:tr>
      <w:tr w:rsidR="00146A7B" w:rsidRPr="008F7E06" w14:paraId="0629B9E9" w14:textId="77777777" w:rsidTr="00931FA5">
        <w:trPr>
          <w:trHeight w:val="297"/>
        </w:trPr>
        <w:tc>
          <w:tcPr>
            <w:tcW w:w="2480" w:type="dxa"/>
            <w:tcBorders>
              <w:top w:val="nil"/>
              <w:left w:val="single" w:sz="4" w:space="0" w:color="FFFFFF"/>
              <w:bottom w:val="nil"/>
              <w:right w:val="single" w:sz="4" w:space="0" w:color="FFFFFF"/>
            </w:tcBorders>
            <w:shd w:val="clear" w:color="000000" w:fill="FCD5B4"/>
            <w:vAlign w:val="center"/>
            <w:hideMark/>
          </w:tcPr>
          <w:p w14:paraId="28FCD552" w14:textId="77777777" w:rsidR="00146A7B" w:rsidRPr="008F7E06" w:rsidRDefault="00146A7B" w:rsidP="005B4B3A">
            <w:pPr>
              <w:rPr>
                <w:rFonts w:ascii="Calibri" w:hAnsi="Calibri"/>
                <w:b/>
                <w:bCs/>
                <w:color w:val="000000"/>
                <w:lang w:eastAsia="en-GB"/>
              </w:rPr>
            </w:pPr>
            <w:r w:rsidRPr="008F7E06">
              <w:rPr>
                <w:rFonts w:ascii="Calibri" w:hAnsi="Calibri"/>
                <w:b/>
                <w:bCs/>
                <w:color w:val="000000"/>
                <w:lang w:eastAsia="en-GB"/>
              </w:rPr>
              <w:t>Total</w:t>
            </w:r>
          </w:p>
        </w:tc>
        <w:tc>
          <w:tcPr>
            <w:tcW w:w="1780" w:type="dxa"/>
            <w:tcBorders>
              <w:top w:val="nil"/>
              <w:left w:val="nil"/>
              <w:bottom w:val="nil"/>
              <w:right w:val="single" w:sz="4" w:space="0" w:color="FFFFFF"/>
            </w:tcBorders>
            <w:shd w:val="clear" w:color="000000" w:fill="FCD5B4"/>
            <w:vAlign w:val="center"/>
          </w:tcPr>
          <w:p w14:paraId="0690701A" w14:textId="1FDB423F" w:rsidR="00146A7B" w:rsidRPr="008F7E06" w:rsidRDefault="00350811" w:rsidP="005B4B3A">
            <w:pPr>
              <w:jc w:val="right"/>
              <w:rPr>
                <w:rFonts w:ascii="Calibri" w:hAnsi="Calibri"/>
                <w:b/>
                <w:bCs/>
                <w:color w:val="000000"/>
                <w:lang w:eastAsia="en-GB"/>
              </w:rPr>
            </w:pPr>
            <w:r>
              <w:rPr>
                <w:rFonts w:ascii="Calibri" w:hAnsi="Calibri"/>
                <w:b/>
                <w:bCs/>
                <w:color w:val="000000"/>
                <w:lang w:eastAsia="en-GB"/>
              </w:rPr>
              <w:t>0</w:t>
            </w:r>
          </w:p>
        </w:tc>
        <w:tc>
          <w:tcPr>
            <w:tcW w:w="1760" w:type="dxa"/>
            <w:tcBorders>
              <w:top w:val="nil"/>
              <w:left w:val="nil"/>
              <w:bottom w:val="nil"/>
              <w:right w:val="single" w:sz="4" w:space="0" w:color="FFFFFF"/>
            </w:tcBorders>
            <w:shd w:val="clear" w:color="000000" w:fill="FCD5B4"/>
            <w:vAlign w:val="center"/>
          </w:tcPr>
          <w:p w14:paraId="6E294998" w14:textId="558796B5" w:rsidR="00146A7B" w:rsidRPr="008F7E06" w:rsidRDefault="0086114D" w:rsidP="005B4B3A">
            <w:pPr>
              <w:jc w:val="right"/>
              <w:rPr>
                <w:rFonts w:ascii="Calibri" w:hAnsi="Calibri"/>
                <w:b/>
                <w:bCs/>
                <w:color w:val="000000"/>
                <w:lang w:eastAsia="en-GB"/>
              </w:rPr>
            </w:pPr>
            <w:r>
              <w:rPr>
                <w:rFonts w:ascii="Calibri" w:hAnsi="Calibri"/>
                <w:b/>
                <w:bCs/>
                <w:color w:val="000000"/>
                <w:lang w:eastAsia="en-GB"/>
              </w:rPr>
              <w:t>1,591</w:t>
            </w:r>
          </w:p>
        </w:tc>
        <w:tc>
          <w:tcPr>
            <w:tcW w:w="1740" w:type="dxa"/>
            <w:tcBorders>
              <w:top w:val="nil"/>
              <w:left w:val="nil"/>
              <w:bottom w:val="nil"/>
              <w:right w:val="single" w:sz="4" w:space="0" w:color="FFFFFF"/>
            </w:tcBorders>
            <w:shd w:val="clear" w:color="000000" w:fill="FCD5B4"/>
            <w:vAlign w:val="center"/>
          </w:tcPr>
          <w:p w14:paraId="40F9363E" w14:textId="2666DE42" w:rsidR="00146A7B" w:rsidRPr="008F7E06" w:rsidRDefault="00350811" w:rsidP="005B4B3A">
            <w:pPr>
              <w:jc w:val="right"/>
              <w:rPr>
                <w:rFonts w:ascii="Calibri" w:hAnsi="Calibri"/>
                <w:b/>
                <w:bCs/>
                <w:color w:val="000000"/>
                <w:lang w:eastAsia="en-GB"/>
              </w:rPr>
            </w:pPr>
            <w:r>
              <w:rPr>
                <w:rFonts w:ascii="Calibri" w:hAnsi="Calibri"/>
                <w:b/>
                <w:bCs/>
                <w:color w:val="000000"/>
                <w:lang w:eastAsia="en-GB"/>
              </w:rPr>
              <w:t>0</w:t>
            </w:r>
          </w:p>
        </w:tc>
        <w:tc>
          <w:tcPr>
            <w:tcW w:w="1780" w:type="dxa"/>
            <w:tcBorders>
              <w:top w:val="nil"/>
              <w:left w:val="nil"/>
              <w:bottom w:val="nil"/>
              <w:right w:val="single" w:sz="4" w:space="0" w:color="FFFFFF"/>
            </w:tcBorders>
            <w:shd w:val="clear" w:color="000000" w:fill="FCD5B4"/>
            <w:vAlign w:val="center"/>
          </w:tcPr>
          <w:p w14:paraId="33A2C343" w14:textId="771A4029" w:rsidR="00146A7B" w:rsidRPr="008F7E06" w:rsidRDefault="0086114D" w:rsidP="005B4B3A">
            <w:pPr>
              <w:jc w:val="right"/>
              <w:rPr>
                <w:rFonts w:ascii="Calibri" w:hAnsi="Calibri"/>
                <w:b/>
                <w:bCs/>
                <w:color w:val="000000"/>
                <w:lang w:eastAsia="en-GB"/>
              </w:rPr>
            </w:pPr>
            <w:r>
              <w:rPr>
                <w:rFonts w:ascii="Calibri" w:hAnsi="Calibri"/>
                <w:b/>
                <w:bCs/>
                <w:color w:val="000000"/>
                <w:lang w:eastAsia="en-GB"/>
              </w:rPr>
              <w:t>1,591</w:t>
            </w:r>
          </w:p>
        </w:tc>
      </w:tr>
      <w:bookmarkEnd w:id="8"/>
    </w:tbl>
    <w:p w14:paraId="09CDC796" w14:textId="0C7FB698" w:rsidR="00146A7B" w:rsidRDefault="00146A7B" w:rsidP="00146A7B">
      <w:pPr>
        <w:widowControl w:val="0"/>
        <w:tabs>
          <w:tab w:val="left" w:pos="709"/>
          <w:tab w:val="left" w:pos="7200"/>
          <w:tab w:val="left" w:pos="8460"/>
        </w:tabs>
        <w:rPr>
          <w:rFonts w:ascii="Arial" w:hAnsi="Arial" w:cs="Arial"/>
        </w:rPr>
      </w:pPr>
    </w:p>
    <w:tbl>
      <w:tblPr>
        <w:tblW w:w="9540" w:type="dxa"/>
        <w:tblInd w:w="93" w:type="dxa"/>
        <w:tblLook w:val="04A0" w:firstRow="1" w:lastRow="0" w:firstColumn="1" w:lastColumn="0" w:noHBand="0" w:noVBand="1"/>
        <w:tblCaption w:val="Fair Value Hierarchy"/>
        <w:tblDescription w:val="Fair Value Hierarchy of the Fair Value Measurement of Surplus Assets"/>
      </w:tblPr>
      <w:tblGrid>
        <w:gridCol w:w="2480"/>
        <w:gridCol w:w="1780"/>
        <w:gridCol w:w="1760"/>
        <w:gridCol w:w="1740"/>
        <w:gridCol w:w="1780"/>
      </w:tblGrid>
      <w:tr w:rsidR="00931FA5" w:rsidRPr="00752744" w14:paraId="37ABAFF0" w14:textId="77777777" w:rsidTr="008E16A8">
        <w:trPr>
          <w:cantSplit/>
          <w:trHeight w:val="1020"/>
          <w:tblHeader/>
        </w:trPr>
        <w:tc>
          <w:tcPr>
            <w:tcW w:w="2480" w:type="dxa"/>
            <w:tcBorders>
              <w:top w:val="nil"/>
              <w:left w:val="nil"/>
              <w:bottom w:val="nil"/>
              <w:right w:val="nil"/>
            </w:tcBorders>
            <w:shd w:val="clear" w:color="000000" w:fill="FABF8F"/>
            <w:vAlign w:val="center"/>
            <w:hideMark/>
          </w:tcPr>
          <w:p w14:paraId="4DABDCFE" w14:textId="77777777" w:rsidR="00931FA5" w:rsidRPr="0036555B" w:rsidRDefault="00931FA5" w:rsidP="008E16A8">
            <w:pPr>
              <w:rPr>
                <w:rFonts w:ascii="Calibri" w:hAnsi="Calibri"/>
                <w:color w:val="000000"/>
                <w:lang w:eastAsia="en-GB"/>
              </w:rPr>
            </w:pPr>
            <w:r w:rsidRPr="0036555B">
              <w:rPr>
                <w:rFonts w:ascii="Calibri" w:hAnsi="Calibri"/>
                <w:color w:val="000000"/>
                <w:lang w:eastAsia="en-GB"/>
              </w:rPr>
              <w:t> </w:t>
            </w:r>
          </w:p>
        </w:tc>
        <w:tc>
          <w:tcPr>
            <w:tcW w:w="178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5549E818" w14:textId="77777777" w:rsidR="00931FA5" w:rsidRPr="0036555B" w:rsidRDefault="00931FA5" w:rsidP="008E16A8">
            <w:pPr>
              <w:jc w:val="right"/>
              <w:rPr>
                <w:rFonts w:ascii="Calibri" w:hAnsi="Calibri"/>
                <w:color w:val="000000"/>
                <w:lang w:eastAsia="en-GB"/>
              </w:rPr>
            </w:pPr>
            <w:r w:rsidRPr="0036555B">
              <w:rPr>
                <w:rFonts w:ascii="Calibri" w:hAnsi="Calibri"/>
                <w:color w:val="000000"/>
                <w:lang w:eastAsia="en-GB"/>
              </w:rPr>
              <w:t xml:space="preserve">Quoted </w:t>
            </w:r>
            <w:proofErr w:type="gramStart"/>
            <w:r w:rsidRPr="0036555B">
              <w:rPr>
                <w:rFonts w:ascii="Calibri" w:hAnsi="Calibri"/>
                <w:color w:val="000000"/>
                <w:lang w:eastAsia="en-GB"/>
              </w:rPr>
              <w:t>Prices  in</w:t>
            </w:r>
            <w:proofErr w:type="gramEnd"/>
            <w:r w:rsidRPr="0036555B">
              <w:rPr>
                <w:rFonts w:ascii="Calibri" w:hAnsi="Calibri"/>
                <w:color w:val="000000"/>
                <w:lang w:eastAsia="en-GB"/>
              </w:rPr>
              <w:t xml:space="preserve"> active markets for identical assets (Level 1)</w:t>
            </w:r>
          </w:p>
        </w:tc>
        <w:tc>
          <w:tcPr>
            <w:tcW w:w="1760" w:type="dxa"/>
            <w:tcBorders>
              <w:top w:val="single" w:sz="4" w:space="0" w:color="FFFFFF"/>
              <w:left w:val="nil"/>
              <w:bottom w:val="single" w:sz="4" w:space="0" w:color="FFFFFF"/>
              <w:right w:val="single" w:sz="4" w:space="0" w:color="FFFFFF"/>
            </w:tcBorders>
            <w:shd w:val="clear" w:color="000000" w:fill="FABF8F"/>
            <w:vAlign w:val="center"/>
            <w:hideMark/>
          </w:tcPr>
          <w:p w14:paraId="0F59C92C" w14:textId="77777777" w:rsidR="00931FA5" w:rsidRPr="0036555B" w:rsidRDefault="00931FA5" w:rsidP="008E16A8">
            <w:pPr>
              <w:jc w:val="right"/>
              <w:rPr>
                <w:rFonts w:ascii="Calibri" w:hAnsi="Calibri"/>
                <w:color w:val="000000"/>
                <w:lang w:eastAsia="en-GB"/>
              </w:rPr>
            </w:pPr>
            <w:r w:rsidRPr="0036555B">
              <w:rPr>
                <w:rFonts w:ascii="Calibri" w:hAnsi="Calibri"/>
                <w:color w:val="000000"/>
                <w:lang w:eastAsia="en-GB"/>
              </w:rPr>
              <w:t>Other Significant Observable Inputs (Level 2)</w:t>
            </w:r>
          </w:p>
        </w:tc>
        <w:tc>
          <w:tcPr>
            <w:tcW w:w="1740" w:type="dxa"/>
            <w:tcBorders>
              <w:top w:val="single" w:sz="4" w:space="0" w:color="FFFFFF"/>
              <w:left w:val="nil"/>
              <w:bottom w:val="single" w:sz="4" w:space="0" w:color="FFFFFF"/>
              <w:right w:val="single" w:sz="4" w:space="0" w:color="FFFFFF"/>
            </w:tcBorders>
            <w:shd w:val="clear" w:color="000000" w:fill="FABF8F"/>
            <w:vAlign w:val="center"/>
            <w:hideMark/>
          </w:tcPr>
          <w:p w14:paraId="02875868" w14:textId="77777777" w:rsidR="00931FA5" w:rsidRPr="005B4F36" w:rsidRDefault="00931FA5" w:rsidP="008E16A8">
            <w:pPr>
              <w:jc w:val="right"/>
              <w:rPr>
                <w:rFonts w:ascii="Calibri" w:hAnsi="Calibri"/>
                <w:color w:val="000000"/>
                <w:lang w:eastAsia="en-GB"/>
              </w:rPr>
            </w:pPr>
            <w:r w:rsidRPr="005B4F36">
              <w:rPr>
                <w:rFonts w:ascii="Calibri" w:hAnsi="Calibri"/>
                <w:color w:val="000000"/>
                <w:lang w:eastAsia="en-GB"/>
              </w:rPr>
              <w:t>Significant Unobservable Inputs (Level 3)</w:t>
            </w:r>
          </w:p>
        </w:tc>
        <w:tc>
          <w:tcPr>
            <w:tcW w:w="1780" w:type="dxa"/>
            <w:tcBorders>
              <w:top w:val="single" w:sz="4" w:space="0" w:color="FFFFFF"/>
              <w:left w:val="nil"/>
              <w:bottom w:val="single" w:sz="4" w:space="0" w:color="FFFFFF"/>
              <w:right w:val="single" w:sz="4" w:space="0" w:color="FFFFFF"/>
            </w:tcBorders>
            <w:shd w:val="clear" w:color="000000" w:fill="FABF8F"/>
            <w:vAlign w:val="center"/>
            <w:hideMark/>
          </w:tcPr>
          <w:p w14:paraId="1D5742D5" w14:textId="6675C084" w:rsidR="00931FA5" w:rsidRPr="005B4F36" w:rsidRDefault="00931FA5" w:rsidP="008E16A8">
            <w:pPr>
              <w:jc w:val="right"/>
              <w:rPr>
                <w:rFonts w:ascii="Calibri" w:hAnsi="Calibri"/>
                <w:color w:val="000000"/>
                <w:lang w:eastAsia="en-GB"/>
              </w:rPr>
            </w:pPr>
            <w:r w:rsidRPr="005B4F36">
              <w:rPr>
                <w:rFonts w:ascii="Calibri" w:hAnsi="Calibri"/>
                <w:color w:val="000000"/>
                <w:lang w:eastAsia="en-GB"/>
              </w:rPr>
              <w:t xml:space="preserve">Recurring Fair Value as </w:t>
            </w:r>
            <w:proofErr w:type="gramStart"/>
            <w:r w:rsidRPr="005B4F36">
              <w:rPr>
                <w:rFonts w:ascii="Calibri" w:hAnsi="Calibri"/>
                <w:color w:val="000000"/>
                <w:lang w:eastAsia="en-GB"/>
              </w:rPr>
              <w:t>at</w:t>
            </w:r>
            <w:proofErr w:type="gramEnd"/>
            <w:r w:rsidRPr="005B4F36">
              <w:rPr>
                <w:rFonts w:ascii="Calibri" w:hAnsi="Calibri"/>
                <w:color w:val="000000"/>
                <w:lang w:eastAsia="en-GB"/>
              </w:rPr>
              <w:t xml:space="preserve"> 31 March 20</w:t>
            </w:r>
            <w:r>
              <w:rPr>
                <w:rFonts w:ascii="Calibri" w:hAnsi="Calibri"/>
                <w:color w:val="000000"/>
                <w:lang w:eastAsia="en-GB"/>
              </w:rPr>
              <w:t>2</w:t>
            </w:r>
            <w:r w:rsidR="00CD7824">
              <w:rPr>
                <w:rFonts w:ascii="Calibri" w:hAnsi="Calibri"/>
                <w:color w:val="000000"/>
                <w:lang w:eastAsia="en-GB"/>
              </w:rPr>
              <w:t>2</w:t>
            </w:r>
          </w:p>
        </w:tc>
      </w:tr>
      <w:tr w:rsidR="00931FA5" w:rsidRPr="00752744" w14:paraId="5D2D1139" w14:textId="77777777" w:rsidTr="008E16A8">
        <w:trPr>
          <w:trHeight w:val="300"/>
        </w:trPr>
        <w:tc>
          <w:tcPr>
            <w:tcW w:w="2480" w:type="dxa"/>
            <w:tcBorders>
              <w:top w:val="nil"/>
              <w:left w:val="nil"/>
              <w:bottom w:val="nil"/>
              <w:right w:val="nil"/>
            </w:tcBorders>
            <w:shd w:val="clear" w:color="000000" w:fill="FABF8F"/>
            <w:vAlign w:val="center"/>
            <w:hideMark/>
          </w:tcPr>
          <w:p w14:paraId="50894A66" w14:textId="77777777" w:rsidR="00931FA5" w:rsidRPr="0036555B" w:rsidRDefault="00931FA5" w:rsidP="008E16A8">
            <w:pPr>
              <w:rPr>
                <w:rFonts w:ascii="Calibri" w:hAnsi="Calibri"/>
                <w:color w:val="000000"/>
                <w:lang w:eastAsia="en-GB"/>
              </w:rPr>
            </w:pPr>
            <w:r w:rsidRPr="0036555B">
              <w:rPr>
                <w:rFonts w:ascii="Calibri" w:hAnsi="Calibri"/>
                <w:color w:val="000000"/>
                <w:lang w:eastAsia="en-GB"/>
              </w:rPr>
              <w:t> </w:t>
            </w:r>
          </w:p>
        </w:tc>
        <w:tc>
          <w:tcPr>
            <w:tcW w:w="1780" w:type="dxa"/>
            <w:tcBorders>
              <w:top w:val="nil"/>
              <w:left w:val="single" w:sz="4" w:space="0" w:color="FFFFFF"/>
              <w:bottom w:val="single" w:sz="4" w:space="0" w:color="FFFFFF"/>
              <w:right w:val="single" w:sz="4" w:space="0" w:color="FFFFFF"/>
            </w:tcBorders>
            <w:shd w:val="clear" w:color="000000" w:fill="FABF8F"/>
            <w:vAlign w:val="center"/>
            <w:hideMark/>
          </w:tcPr>
          <w:p w14:paraId="3DF81E72" w14:textId="77777777" w:rsidR="00931FA5" w:rsidRPr="0036555B" w:rsidRDefault="00931FA5" w:rsidP="008E16A8">
            <w:pPr>
              <w:jc w:val="right"/>
              <w:rPr>
                <w:rFonts w:ascii="Calibri" w:hAnsi="Calibri"/>
                <w:color w:val="000000"/>
                <w:lang w:eastAsia="en-GB"/>
              </w:rPr>
            </w:pPr>
            <w:r w:rsidRPr="0036555B">
              <w:rPr>
                <w:rFonts w:ascii="Calibri" w:hAnsi="Calibri"/>
                <w:color w:val="000000"/>
                <w:lang w:eastAsia="en-GB"/>
              </w:rPr>
              <w:t>£’000</w:t>
            </w:r>
          </w:p>
        </w:tc>
        <w:tc>
          <w:tcPr>
            <w:tcW w:w="1760" w:type="dxa"/>
            <w:tcBorders>
              <w:top w:val="nil"/>
              <w:left w:val="nil"/>
              <w:bottom w:val="single" w:sz="4" w:space="0" w:color="FFFFFF"/>
              <w:right w:val="single" w:sz="4" w:space="0" w:color="FFFFFF"/>
            </w:tcBorders>
            <w:shd w:val="clear" w:color="000000" w:fill="FABF8F"/>
            <w:vAlign w:val="center"/>
            <w:hideMark/>
          </w:tcPr>
          <w:p w14:paraId="72B4CAC3" w14:textId="77777777" w:rsidR="00931FA5" w:rsidRPr="0036555B" w:rsidRDefault="00931FA5" w:rsidP="008E16A8">
            <w:pPr>
              <w:jc w:val="right"/>
              <w:rPr>
                <w:rFonts w:ascii="Calibri" w:hAnsi="Calibri"/>
                <w:color w:val="000000"/>
                <w:lang w:eastAsia="en-GB"/>
              </w:rPr>
            </w:pPr>
            <w:r w:rsidRPr="0036555B">
              <w:rPr>
                <w:rFonts w:ascii="Calibri" w:hAnsi="Calibri"/>
                <w:color w:val="000000"/>
                <w:lang w:eastAsia="en-GB"/>
              </w:rPr>
              <w:t>£’000</w:t>
            </w:r>
          </w:p>
        </w:tc>
        <w:tc>
          <w:tcPr>
            <w:tcW w:w="1740" w:type="dxa"/>
            <w:tcBorders>
              <w:top w:val="nil"/>
              <w:left w:val="nil"/>
              <w:bottom w:val="single" w:sz="4" w:space="0" w:color="FFFFFF"/>
              <w:right w:val="single" w:sz="4" w:space="0" w:color="FFFFFF"/>
            </w:tcBorders>
            <w:shd w:val="clear" w:color="000000" w:fill="FABF8F"/>
            <w:vAlign w:val="center"/>
            <w:hideMark/>
          </w:tcPr>
          <w:p w14:paraId="1CD38265" w14:textId="77777777" w:rsidR="00931FA5" w:rsidRPr="005B4F36" w:rsidRDefault="00931FA5" w:rsidP="008E16A8">
            <w:pPr>
              <w:jc w:val="right"/>
              <w:rPr>
                <w:rFonts w:ascii="Calibri" w:hAnsi="Calibri"/>
                <w:color w:val="000000"/>
                <w:lang w:eastAsia="en-GB"/>
              </w:rPr>
            </w:pPr>
            <w:r w:rsidRPr="005B4F36">
              <w:rPr>
                <w:rFonts w:ascii="Calibri" w:hAnsi="Calibri"/>
                <w:color w:val="000000"/>
                <w:lang w:eastAsia="en-GB"/>
              </w:rPr>
              <w:t>£’000</w:t>
            </w:r>
          </w:p>
        </w:tc>
        <w:tc>
          <w:tcPr>
            <w:tcW w:w="1780" w:type="dxa"/>
            <w:tcBorders>
              <w:top w:val="nil"/>
              <w:left w:val="nil"/>
              <w:bottom w:val="single" w:sz="4" w:space="0" w:color="FFFFFF"/>
              <w:right w:val="single" w:sz="4" w:space="0" w:color="FFFFFF"/>
            </w:tcBorders>
            <w:shd w:val="clear" w:color="000000" w:fill="FABF8F"/>
            <w:vAlign w:val="center"/>
            <w:hideMark/>
          </w:tcPr>
          <w:p w14:paraId="793E115D" w14:textId="77777777" w:rsidR="00931FA5" w:rsidRPr="005B4F36" w:rsidRDefault="00931FA5" w:rsidP="008E16A8">
            <w:pPr>
              <w:jc w:val="right"/>
              <w:rPr>
                <w:rFonts w:ascii="Calibri" w:hAnsi="Calibri"/>
                <w:color w:val="000000"/>
                <w:lang w:eastAsia="en-GB"/>
              </w:rPr>
            </w:pPr>
            <w:r w:rsidRPr="005B4F36">
              <w:rPr>
                <w:rFonts w:ascii="Calibri" w:hAnsi="Calibri"/>
                <w:color w:val="000000"/>
                <w:lang w:eastAsia="en-GB"/>
              </w:rPr>
              <w:t>£’000</w:t>
            </w:r>
          </w:p>
        </w:tc>
      </w:tr>
      <w:tr w:rsidR="00931FA5" w:rsidRPr="008F7E06" w14:paraId="53FE27F4" w14:textId="77777777" w:rsidTr="008E16A8">
        <w:trPr>
          <w:trHeight w:val="510"/>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1B9522B6" w14:textId="77777777" w:rsidR="00931FA5" w:rsidRPr="008F7E06" w:rsidRDefault="00931FA5" w:rsidP="008E16A8">
            <w:pPr>
              <w:rPr>
                <w:rFonts w:ascii="Calibri" w:hAnsi="Calibri"/>
                <w:color w:val="000000"/>
                <w:lang w:eastAsia="en-GB"/>
              </w:rPr>
            </w:pPr>
            <w:r>
              <w:rPr>
                <w:rFonts w:ascii="Calibri" w:hAnsi="Calibri"/>
                <w:color w:val="000000"/>
                <w:lang w:eastAsia="en-GB"/>
              </w:rPr>
              <w:t xml:space="preserve">Land at Barker Crescent </w:t>
            </w:r>
          </w:p>
        </w:tc>
        <w:tc>
          <w:tcPr>
            <w:tcW w:w="1780" w:type="dxa"/>
            <w:tcBorders>
              <w:top w:val="nil"/>
              <w:left w:val="nil"/>
              <w:bottom w:val="single" w:sz="4" w:space="0" w:color="FFFFFF"/>
              <w:right w:val="single" w:sz="4" w:space="0" w:color="FFFFFF"/>
            </w:tcBorders>
            <w:shd w:val="clear" w:color="000000" w:fill="FDE9D9"/>
            <w:vAlign w:val="center"/>
          </w:tcPr>
          <w:p w14:paraId="43615AF0" w14:textId="77777777" w:rsidR="00931FA5" w:rsidRPr="008F7E06" w:rsidRDefault="00931FA5" w:rsidP="008E16A8">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08EA7338" w14:textId="77777777" w:rsidR="00931FA5" w:rsidRPr="00423D81" w:rsidRDefault="00931FA5" w:rsidP="008E16A8">
            <w:pPr>
              <w:jc w:val="right"/>
              <w:rPr>
                <w:rFonts w:ascii="Calibri" w:hAnsi="Calibri"/>
                <w:color w:val="000000"/>
                <w:lang w:eastAsia="en-GB"/>
              </w:rPr>
            </w:pPr>
            <w:r w:rsidRPr="00423D81">
              <w:rPr>
                <w:rFonts w:ascii="Calibri" w:hAnsi="Calibri"/>
                <w:color w:val="000000"/>
                <w:lang w:eastAsia="en-GB"/>
              </w:rPr>
              <w:t>2</w:t>
            </w:r>
          </w:p>
        </w:tc>
        <w:tc>
          <w:tcPr>
            <w:tcW w:w="1740" w:type="dxa"/>
            <w:tcBorders>
              <w:top w:val="nil"/>
              <w:left w:val="nil"/>
              <w:bottom w:val="single" w:sz="4" w:space="0" w:color="FFFFFF"/>
              <w:right w:val="single" w:sz="4" w:space="0" w:color="FFFFFF"/>
            </w:tcBorders>
            <w:shd w:val="clear" w:color="000000" w:fill="FDE9D9"/>
            <w:vAlign w:val="center"/>
          </w:tcPr>
          <w:p w14:paraId="2552F081" w14:textId="77777777" w:rsidR="00931FA5" w:rsidRPr="008F7E06" w:rsidRDefault="00931FA5" w:rsidP="008E16A8">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79E15170" w14:textId="77777777" w:rsidR="00931FA5" w:rsidRPr="008F7E06" w:rsidRDefault="00931FA5" w:rsidP="008E16A8">
            <w:pPr>
              <w:jc w:val="right"/>
              <w:rPr>
                <w:rFonts w:ascii="Calibri" w:hAnsi="Calibri"/>
                <w:color w:val="000000"/>
                <w:lang w:eastAsia="en-GB"/>
              </w:rPr>
            </w:pPr>
            <w:r>
              <w:rPr>
                <w:rFonts w:ascii="Calibri" w:hAnsi="Calibri"/>
                <w:color w:val="000000"/>
                <w:lang w:eastAsia="en-GB"/>
              </w:rPr>
              <w:t>2</w:t>
            </w:r>
          </w:p>
        </w:tc>
      </w:tr>
      <w:tr w:rsidR="00931FA5" w:rsidRPr="008F7E06" w14:paraId="785E18DB" w14:textId="77777777" w:rsidTr="008E16A8">
        <w:trPr>
          <w:trHeight w:val="300"/>
        </w:trPr>
        <w:tc>
          <w:tcPr>
            <w:tcW w:w="2480" w:type="dxa"/>
            <w:tcBorders>
              <w:top w:val="nil"/>
              <w:left w:val="single" w:sz="4" w:space="0" w:color="FFFFFF"/>
              <w:bottom w:val="single" w:sz="4" w:space="0" w:color="FFFFFF"/>
              <w:right w:val="single" w:sz="4" w:space="0" w:color="FFFFFF"/>
            </w:tcBorders>
            <w:shd w:val="clear" w:color="000000" w:fill="FCD5B4"/>
            <w:vAlign w:val="center"/>
            <w:hideMark/>
          </w:tcPr>
          <w:p w14:paraId="584F95A1" w14:textId="77777777" w:rsidR="00931FA5" w:rsidRPr="008F7E06" w:rsidRDefault="00931FA5" w:rsidP="008E16A8">
            <w:pPr>
              <w:rPr>
                <w:rFonts w:ascii="Calibri" w:hAnsi="Calibri"/>
                <w:b/>
                <w:bCs/>
                <w:color w:val="000000"/>
                <w:lang w:eastAsia="en-GB"/>
              </w:rPr>
            </w:pPr>
            <w:r w:rsidRPr="008F7E06">
              <w:rPr>
                <w:rFonts w:ascii="Calibri" w:hAnsi="Calibri"/>
                <w:b/>
                <w:bCs/>
                <w:color w:val="000000"/>
                <w:lang w:eastAsia="en-GB"/>
              </w:rPr>
              <w:t>Total</w:t>
            </w:r>
          </w:p>
        </w:tc>
        <w:tc>
          <w:tcPr>
            <w:tcW w:w="1780" w:type="dxa"/>
            <w:tcBorders>
              <w:top w:val="nil"/>
              <w:left w:val="nil"/>
              <w:bottom w:val="single" w:sz="4" w:space="0" w:color="FFFFFF"/>
              <w:right w:val="single" w:sz="4" w:space="0" w:color="FFFFFF"/>
            </w:tcBorders>
            <w:shd w:val="clear" w:color="000000" w:fill="FCD5B4"/>
            <w:vAlign w:val="center"/>
          </w:tcPr>
          <w:p w14:paraId="002C211A" w14:textId="77777777" w:rsidR="00931FA5" w:rsidRPr="008F7E06" w:rsidRDefault="00931FA5" w:rsidP="008E16A8">
            <w:pPr>
              <w:jc w:val="right"/>
              <w:rPr>
                <w:rFonts w:ascii="Calibri" w:hAnsi="Calibri"/>
                <w:b/>
                <w:bCs/>
                <w:color w:val="000000"/>
                <w:lang w:eastAsia="en-GB"/>
              </w:rPr>
            </w:pPr>
            <w:r>
              <w:rPr>
                <w:rFonts w:ascii="Calibri" w:hAnsi="Calibri"/>
                <w:b/>
                <w:bCs/>
                <w:color w:val="000000"/>
                <w:lang w:eastAsia="en-GB"/>
              </w:rPr>
              <w:t>0</w:t>
            </w:r>
          </w:p>
        </w:tc>
        <w:tc>
          <w:tcPr>
            <w:tcW w:w="1760" w:type="dxa"/>
            <w:tcBorders>
              <w:top w:val="nil"/>
              <w:left w:val="nil"/>
              <w:bottom w:val="single" w:sz="4" w:space="0" w:color="FFFFFF"/>
              <w:right w:val="single" w:sz="4" w:space="0" w:color="FFFFFF"/>
            </w:tcBorders>
            <w:shd w:val="clear" w:color="000000" w:fill="FCD5B4"/>
            <w:vAlign w:val="center"/>
          </w:tcPr>
          <w:p w14:paraId="37FE8D3B" w14:textId="79BFAC09" w:rsidR="00931FA5" w:rsidRPr="008F7E06" w:rsidRDefault="00CD7824" w:rsidP="008E16A8">
            <w:pPr>
              <w:jc w:val="right"/>
              <w:rPr>
                <w:rFonts w:ascii="Calibri" w:hAnsi="Calibri"/>
                <w:b/>
                <w:bCs/>
                <w:color w:val="000000"/>
                <w:lang w:eastAsia="en-GB"/>
              </w:rPr>
            </w:pPr>
            <w:r>
              <w:rPr>
                <w:rFonts w:ascii="Calibri" w:hAnsi="Calibri"/>
                <w:b/>
                <w:bCs/>
                <w:color w:val="000000"/>
                <w:lang w:eastAsia="en-GB"/>
              </w:rPr>
              <w:t>2</w:t>
            </w:r>
          </w:p>
        </w:tc>
        <w:tc>
          <w:tcPr>
            <w:tcW w:w="1740" w:type="dxa"/>
            <w:tcBorders>
              <w:top w:val="nil"/>
              <w:left w:val="nil"/>
              <w:bottom w:val="single" w:sz="4" w:space="0" w:color="FFFFFF"/>
              <w:right w:val="single" w:sz="4" w:space="0" w:color="FFFFFF"/>
            </w:tcBorders>
            <w:shd w:val="clear" w:color="000000" w:fill="FCD5B4"/>
            <w:vAlign w:val="center"/>
          </w:tcPr>
          <w:p w14:paraId="3B7CDF69" w14:textId="77777777" w:rsidR="00931FA5" w:rsidRPr="008F7E06" w:rsidRDefault="00931FA5" w:rsidP="008E16A8">
            <w:pPr>
              <w:jc w:val="right"/>
              <w:rPr>
                <w:rFonts w:ascii="Calibri" w:hAnsi="Calibri"/>
                <w:b/>
                <w:bCs/>
                <w:color w:val="000000"/>
                <w:lang w:eastAsia="en-GB"/>
              </w:rPr>
            </w:pPr>
            <w:r>
              <w:rPr>
                <w:rFonts w:ascii="Calibri" w:hAnsi="Calibri"/>
                <w:b/>
                <w:bCs/>
                <w:color w:val="000000"/>
                <w:lang w:eastAsia="en-GB"/>
              </w:rPr>
              <w:t>0</w:t>
            </w:r>
          </w:p>
        </w:tc>
        <w:tc>
          <w:tcPr>
            <w:tcW w:w="1780" w:type="dxa"/>
            <w:tcBorders>
              <w:top w:val="nil"/>
              <w:left w:val="nil"/>
              <w:bottom w:val="single" w:sz="4" w:space="0" w:color="FFFFFF"/>
              <w:right w:val="single" w:sz="4" w:space="0" w:color="FFFFFF"/>
            </w:tcBorders>
            <w:shd w:val="clear" w:color="000000" w:fill="FCD5B4"/>
            <w:vAlign w:val="center"/>
          </w:tcPr>
          <w:p w14:paraId="4093923E" w14:textId="4374134E" w:rsidR="00931FA5" w:rsidRPr="008F7E06" w:rsidRDefault="00CD7824" w:rsidP="008E16A8">
            <w:pPr>
              <w:jc w:val="right"/>
              <w:rPr>
                <w:rFonts w:ascii="Calibri" w:hAnsi="Calibri"/>
                <w:b/>
                <w:bCs/>
                <w:color w:val="000000"/>
                <w:lang w:eastAsia="en-GB"/>
              </w:rPr>
            </w:pPr>
            <w:r>
              <w:rPr>
                <w:rFonts w:ascii="Calibri" w:hAnsi="Calibri"/>
                <w:b/>
                <w:bCs/>
                <w:color w:val="000000"/>
                <w:lang w:eastAsia="en-GB"/>
              </w:rPr>
              <w:t>2</w:t>
            </w:r>
          </w:p>
        </w:tc>
      </w:tr>
    </w:tbl>
    <w:p w14:paraId="1A8CA6B5" w14:textId="77777777" w:rsidR="00931FA5" w:rsidRPr="008F7E06" w:rsidRDefault="00931FA5" w:rsidP="00146A7B">
      <w:pPr>
        <w:widowControl w:val="0"/>
        <w:tabs>
          <w:tab w:val="left" w:pos="709"/>
          <w:tab w:val="left" w:pos="7200"/>
          <w:tab w:val="left" w:pos="8460"/>
        </w:tabs>
        <w:rPr>
          <w:rFonts w:ascii="Arial" w:hAnsi="Arial" w:cs="Arial"/>
        </w:rPr>
      </w:pPr>
    </w:p>
    <w:p w14:paraId="366E71DA" w14:textId="77777777" w:rsidR="00146A7B" w:rsidRPr="00752744" w:rsidRDefault="00146A7B" w:rsidP="00146A7B">
      <w:pPr>
        <w:widowControl w:val="0"/>
        <w:tabs>
          <w:tab w:val="left" w:pos="709"/>
          <w:tab w:val="left" w:pos="7200"/>
          <w:tab w:val="left" w:pos="8460"/>
        </w:tabs>
        <w:ind w:left="567" w:hanging="567"/>
        <w:rPr>
          <w:rFonts w:asciiTheme="minorHAnsi" w:hAnsiTheme="minorHAnsi" w:cs="Arial"/>
          <w:b/>
          <w:sz w:val="24"/>
          <w:szCs w:val="24"/>
        </w:rPr>
      </w:pPr>
      <w:r w:rsidRPr="008F7E06">
        <w:rPr>
          <w:rFonts w:asciiTheme="minorHAnsi" w:hAnsiTheme="minorHAnsi" w:cs="Arial"/>
          <w:b/>
          <w:sz w:val="24"/>
          <w:szCs w:val="24"/>
        </w:rPr>
        <w:t>Transfers between levels of the Fair Value Hierarchy</w:t>
      </w:r>
    </w:p>
    <w:p w14:paraId="4612800D" w14:textId="77777777" w:rsidR="00146A7B" w:rsidRDefault="00146A7B" w:rsidP="00146A7B">
      <w:pPr>
        <w:widowControl w:val="0"/>
        <w:tabs>
          <w:tab w:val="left" w:pos="709"/>
          <w:tab w:val="left" w:pos="7200"/>
          <w:tab w:val="left" w:pos="8460"/>
        </w:tabs>
        <w:ind w:left="567" w:hanging="567"/>
        <w:rPr>
          <w:rFonts w:asciiTheme="minorHAnsi" w:hAnsiTheme="minorHAnsi" w:cs="Arial"/>
          <w:sz w:val="22"/>
          <w:szCs w:val="22"/>
        </w:rPr>
      </w:pPr>
    </w:p>
    <w:p w14:paraId="4EC753FB" w14:textId="77777777" w:rsidR="00146A7B" w:rsidRPr="00423D81" w:rsidRDefault="00146A7B" w:rsidP="00146A7B">
      <w:pPr>
        <w:widowControl w:val="0"/>
        <w:tabs>
          <w:tab w:val="left" w:pos="709"/>
          <w:tab w:val="left" w:pos="7200"/>
          <w:tab w:val="left" w:pos="8460"/>
        </w:tabs>
        <w:ind w:left="567" w:hanging="567"/>
        <w:rPr>
          <w:rFonts w:ascii="Arial" w:hAnsi="Arial" w:cs="Arial"/>
        </w:rPr>
      </w:pPr>
      <w:r w:rsidRPr="00423D81">
        <w:rPr>
          <w:rFonts w:asciiTheme="minorHAnsi" w:hAnsiTheme="minorHAnsi" w:cs="Arial"/>
          <w:sz w:val="22"/>
          <w:szCs w:val="22"/>
        </w:rPr>
        <w:t>There were no transfers between levels during the year</w:t>
      </w:r>
      <w:r w:rsidRPr="00423D81">
        <w:rPr>
          <w:rFonts w:ascii="Arial" w:hAnsi="Arial" w:cs="Arial"/>
        </w:rPr>
        <w:t xml:space="preserve">. </w:t>
      </w:r>
    </w:p>
    <w:p w14:paraId="4FED952E" w14:textId="77777777" w:rsidR="00146A7B" w:rsidRPr="00423D81" w:rsidRDefault="00146A7B" w:rsidP="00146A7B">
      <w:pPr>
        <w:widowControl w:val="0"/>
        <w:tabs>
          <w:tab w:val="left" w:pos="709"/>
          <w:tab w:val="left" w:pos="7200"/>
          <w:tab w:val="left" w:pos="8460"/>
        </w:tabs>
        <w:ind w:left="567" w:hanging="567"/>
        <w:rPr>
          <w:rFonts w:ascii="Arial" w:hAnsi="Arial" w:cs="Arial"/>
        </w:rPr>
      </w:pPr>
    </w:p>
    <w:p w14:paraId="6880ED1C" w14:textId="77777777" w:rsidR="00146A7B" w:rsidRPr="00423D81" w:rsidRDefault="00146A7B" w:rsidP="00146A7B">
      <w:pPr>
        <w:widowControl w:val="0"/>
        <w:tabs>
          <w:tab w:val="left" w:pos="709"/>
          <w:tab w:val="left" w:pos="7200"/>
          <w:tab w:val="left" w:pos="8460"/>
        </w:tabs>
        <w:ind w:left="567" w:hanging="567"/>
        <w:rPr>
          <w:rFonts w:asciiTheme="minorHAnsi" w:hAnsiTheme="minorHAnsi" w:cs="Arial"/>
          <w:b/>
          <w:sz w:val="24"/>
          <w:szCs w:val="24"/>
        </w:rPr>
      </w:pPr>
      <w:r w:rsidRPr="00423D81">
        <w:rPr>
          <w:rFonts w:asciiTheme="minorHAnsi" w:hAnsiTheme="minorHAnsi" w:cs="Arial"/>
          <w:b/>
          <w:sz w:val="24"/>
          <w:szCs w:val="24"/>
        </w:rPr>
        <w:t xml:space="preserve">Valuation techniques used to determine Level 2 </w:t>
      </w:r>
      <w:proofErr w:type="gramStart"/>
      <w:r w:rsidRPr="00423D81">
        <w:rPr>
          <w:rFonts w:asciiTheme="minorHAnsi" w:hAnsiTheme="minorHAnsi" w:cs="Arial"/>
          <w:b/>
          <w:sz w:val="24"/>
          <w:szCs w:val="24"/>
        </w:rPr>
        <w:t>values</w:t>
      </w:r>
      <w:proofErr w:type="gramEnd"/>
      <w:r w:rsidRPr="00423D81">
        <w:rPr>
          <w:rFonts w:asciiTheme="minorHAnsi" w:hAnsiTheme="minorHAnsi" w:cs="Arial"/>
          <w:b/>
          <w:sz w:val="24"/>
          <w:szCs w:val="24"/>
        </w:rPr>
        <w:t xml:space="preserve"> </w:t>
      </w:r>
    </w:p>
    <w:p w14:paraId="35153E7D" w14:textId="77777777" w:rsidR="00146A7B" w:rsidRPr="00423D81" w:rsidRDefault="00146A7B" w:rsidP="00146A7B">
      <w:pPr>
        <w:widowControl w:val="0"/>
        <w:tabs>
          <w:tab w:val="left" w:pos="709"/>
          <w:tab w:val="left" w:pos="7200"/>
          <w:tab w:val="left" w:pos="8460"/>
        </w:tabs>
        <w:ind w:left="567" w:hanging="567"/>
        <w:rPr>
          <w:rFonts w:asciiTheme="minorHAnsi" w:hAnsiTheme="minorHAnsi" w:cs="Arial"/>
          <w:b/>
          <w:sz w:val="22"/>
          <w:szCs w:val="22"/>
        </w:rPr>
      </w:pPr>
    </w:p>
    <w:p w14:paraId="0B0B09CB" w14:textId="04B02DC3" w:rsidR="00146A7B" w:rsidRDefault="00146A7B" w:rsidP="000A74BA">
      <w:pPr>
        <w:ind w:right="142"/>
        <w:jc w:val="both"/>
        <w:rPr>
          <w:rFonts w:asciiTheme="minorHAnsi" w:hAnsiTheme="minorHAnsi" w:cs="Arial"/>
          <w:sz w:val="22"/>
          <w:szCs w:val="22"/>
        </w:rPr>
      </w:pPr>
      <w:r w:rsidRPr="00423D81">
        <w:rPr>
          <w:rFonts w:asciiTheme="minorHAnsi" w:hAnsiTheme="minorHAnsi" w:cs="Arial"/>
          <w:sz w:val="22"/>
          <w:szCs w:val="22"/>
        </w:rPr>
        <w:t>The fair value for the public conveniences</w:t>
      </w:r>
      <w:r w:rsidR="00423D81" w:rsidRPr="00423D81">
        <w:rPr>
          <w:rFonts w:asciiTheme="minorHAnsi" w:hAnsiTheme="minorHAnsi" w:cs="Arial"/>
          <w:sz w:val="22"/>
          <w:szCs w:val="22"/>
        </w:rPr>
        <w:t xml:space="preserve"> and land</w:t>
      </w:r>
      <w:r w:rsidRPr="00423D81">
        <w:rPr>
          <w:rFonts w:asciiTheme="minorHAnsi" w:hAnsiTheme="minorHAnsi" w:cs="Arial"/>
          <w:sz w:val="22"/>
          <w:szCs w:val="22"/>
        </w:rPr>
        <w:t xml:space="preserve"> has been based on the market approach using current market conditions and recent sales prices and other relevant information for similar assets in the local authority area. Market conditions are such that similar properties are actively purchased and sold and the level of observable inputs are significant, leading to the properties being categorised at Level 2 in the fair value hierarchy.</w:t>
      </w:r>
      <w:r>
        <w:rPr>
          <w:rFonts w:asciiTheme="minorHAnsi" w:hAnsiTheme="minorHAnsi" w:cs="Arial"/>
          <w:sz w:val="22"/>
          <w:szCs w:val="22"/>
        </w:rPr>
        <w:t xml:space="preserve"> </w:t>
      </w:r>
    </w:p>
    <w:p w14:paraId="4183760E" w14:textId="77777777" w:rsidR="00F85205" w:rsidRDefault="00F85205" w:rsidP="00146A7B">
      <w:pPr>
        <w:rPr>
          <w:rFonts w:asciiTheme="minorHAnsi" w:hAnsiTheme="minorHAnsi" w:cs="Arial"/>
          <w:sz w:val="22"/>
          <w:szCs w:val="22"/>
        </w:rPr>
      </w:pPr>
    </w:p>
    <w:p w14:paraId="6B54D199" w14:textId="3CE3EE60" w:rsidR="00707761" w:rsidRPr="00C81541" w:rsidRDefault="00707761" w:rsidP="00707761">
      <w:pPr>
        <w:widowControl w:val="0"/>
        <w:ind w:left="426" w:hanging="426"/>
        <w:jc w:val="both"/>
        <w:rPr>
          <w:rFonts w:asciiTheme="minorHAnsi" w:hAnsiTheme="minorHAnsi" w:cs="Arial"/>
          <w:sz w:val="24"/>
          <w:szCs w:val="24"/>
        </w:rPr>
      </w:pPr>
      <w:r w:rsidRPr="00C81541">
        <w:rPr>
          <w:rFonts w:asciiTheme="minorHAnsi" w:hAnsiTheme="minorHAnsi" w:cs="Arial"/>
          <w:b/>
          <w:sz w:val="24"/>
          <w:szCs w:val="24"/>
        </w:rPr>
        <w:t xml:space="preserve">Property, Plant </w:t>
      </w:r>
      <w:r w:rsidR="00704A70">
        <w:rPr>
          <w:rFonts w:asciiTheme="minorHAnsi" w:hAnsiTheme="minorHAnsi" w:cs="Arial"/>
          <w:b/>
          <w:sz w:val="24"/>
          <w:szCs w:val="24"/>
        </w:rPr>
        <w:t>and</w:t>
      </w:r>
      <w:r w:rsidRPr="00C81541">
        <w:rPr>
          <w:rFonts w:asciiTheme="minorHAnsi" w:hAnsiTheme="minorHAnsi" w:cs="Arial"/>
          <w:b/>
          <w:sz w:val="24"/>
          <w:szCs w:val="24"/>
        </w:rPr>
        <w:t xml:space="preserve"> Equipment Valuation Information</w:t>
      </w:r>
    </w:p>
    <w:p w14:paraId="2FF9C49B" w14:textId="77777777" w:rsidR="00707761" w:rsidRPr="004C6DC4" w:rsidRDefault="00707761" w:rsidP="00707761">
      <w:pPr>
        <w:widowControl w:val="0"/>
        <w:tabs>
          <w:tab w:val="left" w:pos="426"/>
        </w:tabs>
        <w:spacing w:line="228" w:lineRule="auto"/>
        <w:ind w:left="426" w:hanging="426"/>
        <w:jc w:val="both"/>
        <w:rPr>
          <w:rFonts w:ascii="Arial" w:hAnsi="Arial" w:cs="Arial"/>
        </w:rPr>
      </w:pPr>
    </w:p>
    <w:p w14:paraId="1BF8490D" w14:textId="7E627C3A" w:rsidR="00707761" w:rsidRDefault="00707761" w:rsidP="00707761">
      <w:pPr>
        <w:widowControl w:val="0"/>
        <w:tabs>
          <w:tab w:val="left" w:pos="0"/>
        </w:tabs>
        <w:spacing w:line="228" w:lineRule="auto"/>
        <w:ind w:right="142"/>
        <w:jc w:val="both"/>
        <w:rPr>
          <w:rFonts w:asciiTheme="minorHAnsi" w:hAnsiTheme="minorHAnsi" w:cs="Arial"/>
          <w:sz w:val="22"/>
          <w:szCs w:val="22"/>
        </w:rPr>
      </w:pPr>
      <w:r w:rsidRPr="00C81541">
        <w:rPr>
          <w:rFonts w:asciiTheme="minorHAnsi" w:hAnsiTheme="minorHAnsi" w:cs="Arial"/>
          <w:sz w:val="22"/>
          <w:szCs w:val="22"/>
        </w:rPr>
        <w:t xml:space="preserve">The freehold and </w:t>
      </w:r>
      <w:r w:rsidRPr="00E57A94">
        <w:rPr>
          <w:rFonts w:asciiTheme="minorHAnsi" w:hAnsiTheme="minorHAnsi" w:cs="Arial"/>
          <w:sz w:val="22"/>
          <w:szCs w:val="22"/>
        </w:rPr>
        <w:t xml:space="preserve">leasehold properties which comprise the Council’s property portfolio were valued as </w:t>
      </w:r>
      <w:proofErr w:type="gramStart"/>
      <w:r w:rsidRPr="00E57A94">
        <w:rPr>
          <w:rFonts w:asciiTheme="minorHAnsi" w:hAnsiTheme="minorHAnsi" w:cs="Arial"/>
          <w:sz w:val="22"/>
          <w:szCs w:val="22"/>
        </w:rPr>
        <w:t>at</w:t>
      </w:r>
      <w:proofErr w:type="gramEnd"/>
      <w:r w:rsidRPr="00E57A94">
        <w:rPr>
          <w:rFonts w:asciiTheme="minorHAnsi" w:hAnsiTheme="minorHAnsi" w:cs="Arial"/>
          <w:sz w:val="22"/>
          <w:szCs w:val="22"/>
        </w:rPr>
        <w:t xml:space="preserve"> 31 March 20</w:t>
      </w:r>
      <w:r w:rsidR="00386594" w:rsidRPr="00E57A94">
        <w:rPr>
          <w:rFonts w:asciiTheme="minorHAnsi" w:hAnsiTheme="minorHAnsi" w:cs="Arial"/>
          <w:sz w:val="22"/>
          <w:szCs w:val="22"/>
        </w:rPr>
        <w:t>2</w:t>
      </w:r>
      <w:r w:rsidR="00CD7824">
        <w:rPr>
          <w:rFonts w:asciiTheme="minorHAnsi" w:hAnsiTheme="minorHAnsi" w:cs="Arial"/>
          <w:sz w:val="22"/>
          <w:szCs w:val="22"/>
        </w:rPr>
        <w:t>3</w:t>
      </w:r>
      <w:r w:rsidRPr="00E57A94">
        <w:rPr>
          <w:rFonts w:asciiTheme="minorHAnsi" w:hAnsiTheme="minorHAnsi" w:cs="Arial"/>
          <w:sz w:val="22"/>
          <w:szCs w:val="22"/>
        </w:rPr>
        <w:t xml:space="preserve"> by </w:t>
      </w:r>
      <w:r w:rsidRPr="00350811">
        <w:rPr>
          <w:rFonts w:asciiTheme="minorHAnsi" w:hAnsiTheme="minorHAnsi" w:cs="Arial"/>
          <w:sz w:val="22"/>
          <w:szCs w:val="22"/>
        </w:rPr>
        <w:t xml:space="preserve">Mr </w:t>
      </w:r>
      <w:r w:rsidR="00E57A94" w:rsidRPr="00350811">
        <w:rPr>
          <w:rFonts w:asciiTheme="minorHAnsi" w:hAnsiTheme="minorHAnsi" w:cs="Arial"/>
          <w:sz w:val="22"/>
          <w:szCs w:val="22"/>
        </w:rPr>
        <w:t>Phillip C. Smith</w:t>
      </w:r>
      <w:r w:rsidR="00E57A94" w:rsidRPr="00E57A94">
        <w:rPr>
          <w:rFonts w:asciiTheme="minorHAnsi" w:hAnsiTheme="minorHAnsi" w:cs="Arial"/>
          <w:sz w:val="22"/>
          <w:szCs w:val="22"/>
        </w:rPr>
        <w:t xml:space="preserve"> </w:t>
      </w:r>
      <w:r w:rsidRPr="00E57A94">
        <w:rPr>
          <w:rFonts w:asciiTheme="minorHAnsi" w:hAnsiTheme="minorHAnsi" w:cs="Arial"/>
          <w:sz w:val="22"/>
          <w:szCs w:val="22"/>
        </w:rPr>
        <w:t>of</w:t>
      </w:r>
      <w:r w:rsidR="00E57A94" w:rsidRPr="00E57A94">
        <w:rPr>
          <w:rFonts w:asciiTheme="minorHAnsi" w:hAnsiTheme="minorHAnsi" w:cs="Arial"/>
          <w:sz w:val="22"/>
          <w:szCs w:val="22"/>
        </w:rPr>
        <w:t xml:space="preserve"> Wilks Head </w:t>
      </w:r>
      <w:r w:rsidR="00704A70">
        <w:rPr>
          <w:rFonts w:asciiTheme="minorHAnsi" w:hAnsiTheme="minorHAnsi" w:cs="Arial"/>
          <w:sz w:val="22"/>
          <w:szCs w:val="22"/>
        </w:rPr>
        <w:t>and</w:t>
      </w:r>
      <w:r w:rsidR="00E57A94" w:rsidRPr="00E57A94">
        <w:rPr>
          <w:rFonts w:asciiTheme="minorHAnsi" w:hAnsiTheme="minorHAnsi" w:cs="Arial"/>
          <w:sz w:val="22"/>
          <w:szCs w:val="22"/>
        </w:rPr>
        <w:t xml:space="preserve"> Eve</w:t>
      </w:r>
      <w:r w:rsidRPr="00E57A94">
        <w:rPr>
          <w:rFonts w:asciiTheme="minorHAnsi" w:hAnsiTheme="minorHAnsi" w:cs="Arial"/>
          <w:sz w:val="22"/>
          <w:szCs w:val="22"/>
        </w:rPr>
        <w:t xml:space="preserve">, </w:t>
      </w:r>
      <w:r w:rsidR="00A112B8" w:rsidRPr="00E57A94">
        <w:rPr>
          <w:rFonts w:asciiTheme="minorHAnsi" w:hAnsiTheme="minorHAnsi" w:cs="Arial"/>
          <w:sz w:val="22"/>
          <w:szCs w:val="22"/>
        </w:rPr>
        <w:t>who is a</w:t>
      </w:r>
      <w:r w:rsidRPr="00E57A94">
        <w:rPr>
          <w:rFonts w:asciiTheme="minorHAnsi" w:hAnsiTheme="minorHAnsi" w:cs="Arial"/>
          <w:sz w:val="22"/>
          <w:szCs w:val="22"/>
        </w:rPr>
        <w:t xml:space="preserve"> qualified member of the Royal Institute of Chartered Surveyors (RICS)</w:t>
      </w:r>
      <w:r w:rsidR="00A112B8" w:rsidRPr="00E57A94">
        <w:rPr>
          <w:rFonts w:asciiTheme="minorHAnsi" w:hAnsiTheme="minorHAnsi" w:cs="Arial"/>
          <w:sz w:val="22"/>
          <w:szCs w:val="22"/>
        </w:rPr>
        <w:t xml:space="preserve"> and a registered valuer</w:t>
      </w:r>
      <w:r w:rsidRPr="00E57A94">
        <w:rPr>
          <w:rFonts w:asciiTheme="minorHAnsi" w:hAnsiTheme="minorHAnsi" w:cs="Arial"/>
          <w:sz w:val="22"/>
          <w:szCs w:val="22"/>
        </w:rPr>
        <w:t>.</w:t>
      </w:r>
      <w:r w:rsidRPr="00C81541">
        <w:rPr>
          <w:rFonts w:asciiTheme="minorHAnsi" w:hAnsiTheme="minorHAnsi" w:cs="Arial"/>
          <w:sz w:val="22"/>
          <w:szCs w:val="22"/>
        </w:rPr>
        <w:t xml:space="preserve"> The valuations have been made in accordance with </w:t>
      </w:r>
      <w:r w:rsidR="00A31C59">
        <w:rPr>
          <w:rFonts w:asciiTheme="minorHAnsi" w:hAnsiTheme="minorHAnsi" w:cs="Arial"/>
          <w:sz w:val="22"/>
          <w:szCs w:val="22"/>
        </w:rPr>
        <w:t>UK VPGA6 and UK VGPA4 of the RICS Valuation – Global Standards 2017: UK National Supplement</w:t>
      </w:r>
      <w:r w:rsidRPr="00C81541">
        <w:rPr>
          <w:rFonts w:asciiTheme="minorHAnsi" w:hAnsiTheme="minorHAnsi" w:cs="Arial"/>
          <w:sz w:val="22"/>
          <w:szCs w:val="22"/>
        </w:rPr>
        <w:t xml:space="preserve"> for all assets in the portfolio above the de-minim</w:t>
      </w:r>
      <w:r w:rsidR="00ED47CD">
        <w:rPr>
          <w:rFonts w:asciiTheme="minorHAnsi" w:hAnsiTheme="minorHAnsi" w:cs="Arial"/>
          <w:sz w:val="22"/>
          <w:szCs w:val="22"/>
        </w:rPr>
        <w:t>i</w:t>
      </w:r>
      <w:r w:rsidRPr="00C81541">
        <w:rPr>
          <w:rFonts w:asciiTheme="minorHAnsi" w:hAnsiTheme="minorHAnsi" w:cs="Arial"/>
          <w:sz w:val="22"/>
          <w:szCs w:val="22"/>
        </w:rPr>
        <w:t xml:space="preserve">s threshold of £10k. In relation to the Councils Housing Portfolio the market value for each property has been determined. </w:t>
      </w:r>
    </w:p>
    <w:p w14:paraId="1F1729ED" w14:textId="77777777" w:rsidR="00707761" w:rsidRPr="00C81541" w:rsidRDefault="00707761" w:rsidP="00707761">
      <w:pPr>
        <w:widowControl w:val="0"/>
        <w:tabs>
          <w:tab w:val="left" w:pos="0"/>
        </w:tabs>
        <w:spacing w:line="228" w:lineRule="auto"/>
        <w:jc w:val="both"/>
        <w:rPr>
          <w:rFonts w:asciiTheme="minorHAnsi" w:hAnsiTheme="minorHAnsi" w:cs="Arial"/>
          <w:sz w:val="22"/>
          <w:szCs w:val="22"/>
        </w:rPr>
      </w:pPr>
    </w:p>
    <w:p w14:paraId="56B03766" w14:textId="77777777" w:rsidR="00707761" w:rsidRPr="00C81541" w:rsidRDefault="00707761" w:rsidP="00707761">
      <w:pPr>
        <w:widowControl w:val="0"/>
        <w:tabs>
          <w:tab w:val="left" w:pos="0"/>
        </w:tabs>
        <w:ind w:right="142"/>
        <w:jc w:val="both"/>
        <w:rPr>
          <w:rFonts w:asciiTheme="minorHAnsi" w:hAnsiTheme="minorHAnsi" w:cs="Arial"/>
          <w:sz w:val="22"/>
          <w:szCs w:val="22"/>
        </w:rPr>
      </w:pPr>
      <w:r w:rsidRPr="00C81541">
        <w:rPr>
          <w:rFonts w:asciiTheme="minorHAnsi" w:hAnsiTheme="minorHAnsi" w:cs="Arial"/>
          <w:sz w:val="22"/>
          <w:szCs w:val="22"/>
        </w:rPr>
        <w:t xml:space="preserve">Properties regarded by the Council as operational were valued on the basis of Market Value Existing Use.  There are two notable exceptions to this valuation method.  </w:t>
      </w:r>
    </w:p>
    <w:p w14:paraId="414A16C7" w14:textId="77777777" w:rsidR="00707761" w:rsidRPr="00C81541" w:rsidRDefault="00707761" w:rsidP="00707761">
      <w:pPr>
        <w:widowControl w:val="0"/>
        <w:tabs>
          <w:tab w:val="left" w:pos="0"/>
        </w:tabs>
        <w:ind w:right="142"/>
        <w:jc w:val="both"/>
        <w:rPr>
          <w:rFonts w:asciiTheme="minorHAnsi" w:hAnsiTheme="minorHAnsi" w:cs="Arial"/>
          <w:sz w:val="22"/>
          <w:szCs w:val="22"/>
        </w:rPr>
      </w:pPr>
    </w:p>
    <w:p w14:paraId="52589826" w14:textId="6E539898" w:rsidR="00707761" w:rsidRPr="00C81541" w:rsidRDefault="00707761" w:rsidP="00707761">
      <w:pPr>
        <w:widowControl w:val="0"/>
        <w:tabs>
          <w:tab w:val="left" w:pos="0"/>
        </w:tabs>
        <w:ind w:right="142"/>
        <w:jc w:val="both"/>
        <w:rPr>
          <w:rFonts w:asciiTheme="minorHAnsi" w:hAnsiTheme="minorHAnsi" w:cs="Arial"/>
          <w:sz w:val="22"/>
          <w:szCs w:val="22"/>
        </w:rPr>
      </w:pPr>
      <w:r w:rsidRPr="00C81541">
        <w:rPr>
          <w:rFonts w:asciiTheme="minorHAnsi" w:hAnsiTheme="minorHAnsi" w:cs="Arial"/>
          <w:sz w:val="22"/>
          <w:szCs w:val="22"/>
        </w:rPr>
        <w:t xml:space="preserve">The first relates to the Council’s housing portfolio which has been valued on the basis of existing use for social housing.  This is an accepted valuation method for stock held for this purpose and represents </w:t>
      </w:r>
      <w:r w:rsidR="006E6710">
        <w:rPr>
          <w:rFonts w:asciiTheme="minorHAnsi" w:hAnsiTheme="minorHAnsi" w:cs="Arial"/>
          <w:sz w:val="22"/>
          <w:szCs w:val="22"/>
        </w:rPr>
        <w:t>42</w:t>
      </w:r>
      <w:r w:rsidRPr="00C81541">
        <w:rPr>
          <w:rFonts w:asciiTheme="minorHAnsi" w:hAnsiTheme="minorHAnsi" w:cs="Arial"/>
          <w:sz w:val="22"/>
          <w:szCs w:val="22"/>
        </w:rPr>
        <w:t>% of the open market value of the stock. For the purposes of determining the position as</w:t>
      </w:r>
      <w:r w:rsidR="003D43A4">
        <w:rPr>
          <w:rFonts w:asciiTheme="minorHAnsi" w:hAnsiTheme="minorHAnsi" w:cs="Arial"/>
          <w:sz w:val="22"/>
          <w:szCs w:val="22"/>
        </w:rPr>
        <w:t xml:space="preserve"> </w:t>
      </w:r>
      <w:proofErr w:type="gramStart"/>
      <w:r w:rsidR="003D43A4">
        <w:rPr>
          <w:rFonts w:asciiTheme="minorHAnsi" w:hAnsiTheme="minorHAnsi" w:cs="Arial"/>
          <w:sz w:val="22"/>
          <w:szCs w:val="22"/>
        </w:rPr>
        <w:t>at</w:t>
      </w:r>
      <w:proofErr w:type="gramEnd"/>
      <w:r w:rsidRPr="00C81541">
        <w:rPr>
          <w:rFonts w:asciiTheme="minorHAnsi" w:hAnsiTheme="minorHAnsi" w:cs="Arial"/>
          <w:sz w:val="22"/>
          <w:szCs w:val="22"/>
        </w:rPr>
        <w:t xml:space="preserve"> 31 March 20</w:t>
      </w:r>
      <w:r w:rsidR="00386594">
        <w:rPr>
          <w:rFonts w:asciiTheme="minorHAnsi" w:hAnsiTheme="minorHAnsi" w:cs="Arial"/>
          <w:sz w:val="22"/>
          <w:szCs w:val="22"/>
        </w:rPr>
        <w:t>2</w:t>
      </w:r>
      <w:r w:rsidR="00CD7824">
        <w:rPr>
          <w:rFonts w:asciiTheme="minorHAnsi" w:hAnsiTheme="minorHAnsi" w:cs="Arial"/>
          <w:sz w:val="22"/>
          <w:szCs w:val="22"/>
        </w:rPr>
        <w:t>3</w:t>
      </w:r>
      <w:r w:rsidRPr="00C81541">
        <w:rPr>
          <w:rFonts w:asciiTheme="minorHAnsi" w:hAnsiTheme="minorHAnsi" w:cs="Arial"/>
          <w:sz w:val="22"/>
          <w:szCs w:val="22"/>
        </w:rPr>
        <w:t xml:space="preserve"> in respect of HRA properties the valuer ha</w:t>
      </w:r>
      <w:r w:rsidR="006E6710">
        <w:rPr>
          <w:rFonts w:asciiTheme="minorHAnsi" w:hAnsiTheme="minorHAnsi" w:cs="Arial"/>
          <w:sz w:val="22"/>
          <w:szCs w:val="22"/>
        </w:rPr>
        <w:t>s provided a value as at 1 April</w:t>
      </w:r>
      <w:r w:rsidR="00A31C59">
        <w:rPr>
          <w:rFonts w:asciiTheme="minorHAnsi" w:hAnsiTheme="minorHAnsi" w:cs="Arial"/>
          <w:sz w:val="22"/>
          <w:szCs w:val="22"/>
        </w:rPr>
        <w:t xml:space="preserve"> 202</w:t>
      </w:r>
      <w:r w:rsidR="00CD7824">
        <w:rPr>
          <w:rFonts w:asciiTheme="minorHAnsi" w:hAnsiTheme="minorHAnsi" w:cs="Arial"/>
          <w:sz w:val="22"/>
          <w:szCs w:val="22"/>
        </w:rPr>
        <w:t>2</w:t>
      </w:r>
      <w:r w:rsidRPr="00C81541">
        <w:rPr>
          <w:rFonts w:asciiTheme="minorHAnsi" w:hAnsiTheme="minorHAnsi" w:cs="Arial"/>
          <w:sz w:val="22"/>
          <w:szCs w:val="22"/>
        </w:rPr>
        <w:t xml:space="preserve"> which has then been assessed as to any increases in value depending on property type and location based on the latest information available on market movements in the year. </w:t>
      </w:r>
    </w:p>
    <w:p w14:paraId="2BD1CB10" w14:textId="77777777" w:rsidR="00707761" w:rsidRPr="00C81541" w:rsidRDefault="00707761" w:rsidP="00707761">
      <w:pPr>
        <w:pStyle w:val="BodyTextIndent3"/>
        <w:tabs>
          <w:tab w:val="left" w:pos="0"/>
        </w:tabs>
        <w:spacing w:line="228" w:lineRule="auto"/>
        <w:ind w:left="0" w:right="425"/>
        <w:rPr>
          <w:rFonts w:asciiTheme="minorHAnsi" w:hAnsiTheme="minorHAnsi" w:cs="Arial"/>
          <w:sz w:val="22"/>
          <w:szCs w:val="22"/>
        </w:rPr>
      </w:pPr>
    </w:p>
    <w:p w14:paraId="2A67F5D0" w14:textId="6623E69B" w:rsidR="00707761" w:rsidRPr="00C81541" w:rsidRDefault="00707761" w:rsidP="00707761">
      <w:pPr>
        <w:pStyle w:val="BodyTextIndent3"/>
        <w:tabs>
          <w:tab w:val="left" w:pos="0"/>
        </w:tabs>
        <w:spacing w:line="228" w:lineRule="auto"/>
        <w:ind w:left="0" w:right="142"/>
        <w:rPr>
          <w:rFonts w:asciiTheme="minorHAnsi" w:hAnsiTheme="minorHAnsi" w:cs="Arial"/>
          <w:sz w:val="22"/>
          <w:szCs w:val="22"/>
        </w:rPr>
      </w:pPr>
      <w:r w:rsidRPr="003D3C86">
        <w:rPr>
          <w:rFonts w:asciiTheme="minorHAnsi" w:hAnsiTheme="minorHAnsi" w:cs="Arial"/>
          <w:sz w:val="22"/>
          <w:szCs w:val="22"/>
        </w:rPr>
        <w:t>The second exception relates to specialised property which is rarely</w:t>
      </w:r>
      <w:r w:rsidR="00AF7BF0">
        <w:rPr>
          <w:rFonts w:asciiTheme="minorHAnsi" w:hAnsiTheme="minorHAnsi" w:cs="Arial"/>
          <w:sz w:val="22"/>
          <w:szCs w:val="22"/>
        </w:rPr>
        <w:t>,</w:t>
      </w:r>
      <w:r w:rsidRPr="003D3C86">
        <w:rPr>
          <w:rFonts w:asciiTheme="minorHAnsi" w:hAnsiTheme="minorHAnsi" w:cs="Arial"/>
          <w:sz w:val="22"/>
          <w:szCs w:val="22"/>
        </w:rPr>
        <w:t xml:space="preserve"> if ever</w:t>
      </w:r>
      <w:r w:rsidR="00AF7BF0">
        <w:rPr>
          <w:rFonts w:asciiTheme="minorHAnsi" w:hAnsiTheme="minorHAnsi" w:cs="Arial"/>
          <w:sz w:val="22"/>
          <w:szCs w:val="22"/>
        </w:rPr>
        <w:t>,</w:t>
      </w:r>
      <w:r w:rsidRPr="003D3C86">
        <w:rPr>
          <w:rFonts w:asciiTheme="minorHAnsi" w:hAnsiTheme="minorHAnsi" w:cs="Arial"/>
          <w:sz w:val="22"/>
          <w:szCs w:val="22"/>
        </w:rPr>
        <w:t xml:space="preserve"> sold on the open market.  As such an open market value cannot be determined.  For this type of property, which includes the Councils Community Centres, Waterfield Leisure Centre, Melton Sports Village</w:t>
      </w:r>
      <w:r w:rsidR="0081169F" w:rsidRPr="003D3C86">
        <w:rPr>
          <w:rFonts w:asciiTheme="minorHAnsi" w:hAnsiTheme="minorHAnsi" w:cs="Arial"/>
          <w:sz w:val="22"/>
          <w:szCs w:val="22"/>
        </w:rPr>
        <w:t>, Cemetery Chapel</w:t>
      </w:r>
      <w:r w:rsidR="003D3C86" w:rsidRPr="003D3C86">
        <w:rPr>
          <w:rFonts w:asciiTheme="minorHAnsi" w:hAnsiTheme="minorHAnsi" w:cs="Arial"/>
          <w:sz w:val="22"/>
          <w:szCs w:val="22"/>
        </w:rPr>
        <w:t>, some Cattle Market buildings</w:t>
      </w:r>
      <w:r w:rsidRPr="003D3C86">
        <w:rPr>
          <w:rFonts w:asciiTheme="minorHAnsi" w:hAnsiTheme="minorHAnsi" w:cs="Arial"/>
          <w:sz w:val="22"/>
          <w:szCs w:val="22"/>
        </w:rPr>
        <w:t xml:space="preserve"> and </w:t>
      </w:r>
      <w:r w:rsidRPr="003D3C86">
        <w:rPr>
          <w:rFonts w:asciiTheme="minorHAnsi" w:hAnsiTheme="minorHAnsi" w:cs="Arial"/>
          <w:sz w:val="22"/>
          <w:szCs w:val="22"/>
        </w:rPr>
        <w:lastRenderedPageBreak/>
        <w:t>Public Conveniences, the Depreciated Replacement Cost method of valuation has been used.</w:t>
      </w:r>
    </w:p>
    <w:p w14:paraId="714DED99" w14:textId="77777777" w:rsidR="00707761" w:rsidRPr="00C81541" w:rsidRDefault="00707761" w:rsidP="00707761">
      <w:pPr>
        <w:widowControl w:val="0"/>
        <w:tabs>
          <w:tab w:val="left" w:pos="0"/>
        </w:tabs>
        <w:spacing w:line="228" w:lineRule="auto"/>
        <w:ind w:right="142"/>
        <w:jc w:val="both"/>
        <w:rPr>
          <w:rFonts w:asciiTheme="minorHAnsi" w:hAnsiTheme="minorHAnsi" w:cs="Arial"/>
          <w:sz w:val="22"/>
          <w:szCs w:val="22"/>
        </w:rPr>
      </w:pPr>
    </w:p>
    <w:p w14:paraId="55A0F9E5" w14:textId="77777777" w:rsidR="00707761" w:rsidRPr="00C81541" w:rsidRDefault="00707761" w:rsidP="00707761">
      <w:pPr>
        <w:widowControl w:val="0"/>
        <w:tabs>
          <w:tab w:val="left" w:pos="0"/>
          <w:tab w:val="left" w:pos="9923"/>
        </w:tabs>
        <w:spacing w:line="228" w:lineRule="auto"/>
        <w:ind w:right="142"/>
        <w:jc w:val="both"/>
        <w:rPr>
          <w:rFonts w:asciiTheme="minorHAnsi" w:hAnsiTheme="minorHAnsi" w:cs="Arial"/>
          <w:sz w:val="22"/>
          <w:szCs w:val="22"/>
        </w:rPr>
      </w:pPr>
      <w:r w:rsidRPr="00C81541">
        <w:rPr>
          <w:rFonts w:asciiTheme="minorHAnsi" w:hAnsiTheme="minorHAnsi" w:cs="Arial"/>
          <w:sz w:val="22"/>
          <w:szCs w:val="22"/>
        </w:rPr>
        <w:t>Community Assets have been valued on the basis of market value, except where an open market value is not determinable, in which case historic cost has been used.</w:t>
      </w:r>
    </w:p>
    <w:p w14:paraId="1B9FB503" w14:textId="77777777" w:rsidR="00707761" w:rsidRPr="00C81541" w:rsidRDefault="00707761" w:rsidP="00707761">
      <w:pPr>
        <w:widowControl w:val="0"/>
        <w:tabs>
          <w:tab w:val="left" w:pos="0"/>
          <w:tab w:val="left" w:pos="9923"/>
        </w:tabs>
        <w:spacing w:line="228" w:lineRule="auto"/>
        <w:ind w:right="142"/>
        <w:jc w:val="both"/>
        <w:rPr>
          <w:rFonts w:asciiTheme="minorHAnsi" w:hAnsiTheme="minorHAnsi" w:cs="Arial"/>
          <w:sz w:val="22"/>
          <w:szCs w:val="22"/>
        </w:rPr>
      </w:pPr>
    </w:p>
    <w:p w14:paraId="58F0005E" w14:textId="00EEB88C" w:rsidR="00707761" w:rsidRPr="00C81541" w:rsidRDefault="00707761" w:rsidP="00707761">
      <w:pPr>
        <w:widowControl w:val="0"/>
        <w:tabs>
          <w:tab w:val="left" w:pos="0"/>
        </w:tabs>
        <w:spacing w:line="228" w:lineRule="auto"/>
        <w:ind w:right="142"/>
        <w:jc w:val="both"/>
        <w:rPr>
          <w:rFonts w:asciiTheme="minorHAnsi" w:hAnsiTheme="minorHAnsi" w:cs="Arial"/>
          <w:sz w:val="22"/>
          <w:szCs w:val="22"/>
        </w:rPr>
      </w:pPr>
      <w:r w:rsidRPr="00C81541">
        <w:rPr>
          <w:rFonts w:asciiTheme="minorHAnsi" w:hAnsiTheme="minorHAnsi" w:cs="Arial"/>
          <w:sz w:val="22"/>
          <w:szCs w:val="22"/>
        </w:rPr>
        <w:t>For determining the value of all Non HRA assets a valuation was also provided for all operat</w:t>
      </w:r>
      <w:r w:rsidR="0081169F">
        <w:rPr>
          <w:rFonts w:asciiTheme="minorHAnsi" w:hAnsiTheme="minorHAnsi" w:cs="Arial"/>
          <w:sz w:val="22"/>
          <w:szCs w:val="22"/>
        </w:rPr>
        <w:t xml:space="preserve">ional assets as </w:t>
      </w:r>
      <w:proofErr w:type="gramStart"/>
      <w:r w:rsidR="0081169F">
        <w:rPr>
          <w:rFonts w:asciiTheme="minorHAnsi" w:hAnsiTheme="minorHAnsi" w:cs="Arial"/>
          <w:sz w:val="22"/>
          <w:szCs w:val="22"/>
        </w:rPr>
        <w:t>at</w:t>
      </w:r>
      <w:proofErr w:type="gramEnd"/>
      <w:r w:rsidR="0081169F">
        <w:rPr>
          <w:rFonts w:asciiTheme="minorHAnsi" w:hAnsiTheme="minorHAnsi" w:cs="Arial"/>
          <w:sz w:val="22"/>
          <w:szCs w:val="22"/>
        </w:rPr>
        <w:t xml:space="preserve"> 31 March 20</w:t>
      </w:r>
      <w:r w:rsidR="00386594">
        <w:rPr>
          <w:rFonts w:asciiTheme="minorHAnsi" w:hAnsiTheme="minorHAnsi" w:cs="Arial"/>
          <w:sz w:val="22"/>
          <w:szCs w:val="22"/>
        </w:rPr>
        <w:t>2</w:t>
      </w:r>
      <w:r w:rsidR="00CD7824">
        <w:rPr>
          <w:rFonts w:asciiTheme="minorHAnsi" w:hAnsiTheme="minorHAnsi" w:cs="Arial"/>
          <w:sz w:val="22"/>
          <w:szCs w:val="22"/>
        </w:rPr>
        <w:t>3</w:t>
      </w:r>
      <w:r w:rsidRPr="00C81541">
        <w:rPr>
          <w:rFonts w:asciiTheme="minorHAnsi" w:hAnsiTheme="minorHAnsi" w:cs="Arial"/>
          <w:sz w:val="22"/>
          <w:szCs w:val="22"/>
        </w:rPr>
        <w:t xml:space="preserve"> taking into account all the available evidence of movements in the year.</w:t>
      </w:r>
    </w:p>
    <w:p w14:paraId="0A4AEC8B" w14:textId="77777777" w:rsidR="00707761" w:rsidRPr="00C81541" w:rsidRDefault="00707761" w:rsidP="00707761">
      <w:pPr>
        <w:widowControl w:val="0"/>
        <w:tabs>
          <w:tab w:val="left" w:pos="426"/>
        </w:tabs>
        <w:spacing w:line="228" w:lineRule="auto"/>
        <w:ind w:left="426"/>
        <w:jc w:val="both"/>
        <w:rPr>
          <w:rFonts w:asciiTheme="minorHAnsi" w:hAnsiTheme="minorHAnsi" w:cs="Arial"/>
          <w:sz w:val="22"/>
          <w:szCs w:val="22"/>
        </w:rPr>
      </w:pPr>
    </w:p>
    <w:p w14:paraId="77615487" w14:textId="77777777" w:rsidR="00707761" w:rsidRPr="00C81541" w:rsidRDefault="00707761" w:rsidP="00707761">
      <w:pPr>
        <w:widowControl w:val="0"/>
        <w:tabs>
          <w:tab w:val="left" w:pos="0"/>
        </w:tabs>
        <w:spacing w:line="228" w:lineRule="auto"/>
        <w:jc w:val="both"/>
        <w:rPr>
          <w:rFonts w:asciiTheme="minorHAnsi" w:hAnsiTheme="minorHAnsi" w:cs="Arial"/>
          <w:sz w:val="22"/>
          <w:szCs w:val="22"/>
        </w:rPr>
      </w:pPr>
      <w:r w:rsidRPr="00C81541">
        <w:rPr>
          <w:rFonts w:asciiTheme="minorHAnsi" w:hAnsiTheme="minorHAnsi" w:cs="Arial"/>
          <w:sz w:val="22"/>
          <w:szCs w:val="22"/>
        </w:rPr>
        <w:t xml:space="preserve">Vehicles and general plant and equipment not associated with buildings and with no active </w:t>
      </w:r>
      <w:proofErr w:type="gramStart"/>
      <w:r w:rsidRPr="00C81541">
        <w:rPr>
          <w:rFonts w:asciiTheme="minorHAnsi" w:hAnsiTheme="minorHAnsi" w:cs="Arial"/>
          <w:sz w:val="22"/>
          <w:szCs w:val="22"/>
        </w:rPr>
        <w:t>second hand</w:t>
      </w:r>
      <w:proofErr w:type="gramEnd"/>
      <w:r w:rsidRPr="00C81541">
        <w:rPr>
          <w:rFonts w:asciiTheme="minorHAnsi" w:hAnsiTheme="minorHAnsi" w:cs="Arial"/>
          <w:sz w:val="22"/>
          <w:szCs w:val="22"/>
        </w:rPr>
        <w:t xml:space="preserve"> market identified are valued on the basis of historic cost. </w:t>
      </w:r>
    </w:p>
    <w:p w14:paraId="26F22A4B" w14:textId="77777777" w:rsidR="00707761" w:rsidRPr="00C81541" w:rsidRDefault="00707761" w:rsidP="00707761">
      <w:pPr>
        <w:widowControl w:val="0"/>
        <w:tabs>
          <w:tab w:val="left" w:pos="0"/>
        </w:tabs>
        <w:spacing w:line="228" w:lineRule="auto"/>
        <w:ind w:left="426" w:hanging="426"/>
        <w:jc w:val="both"/>
        <w:rPr>
          <w:rFonts w:asciiTheme="minorHAnsi" w:hAnsiTheme="minorHAnsi" w:cs="Arial"/>
          <w:sz w:val="22"/>
          <w:szCs w:val="22"/>
        </w:rPr>
      </w:pPr>
      <w:r w:rsidRPr="00C81541">
        <w:rPr>
          <w:rFonts w:asciiTheme="minorHAnsi" w:hAnsiTheme="minorHAnsi" w:cs="Arial"/>
          <w:sz w:val="22"/>
          <w:szCs w:val="22"/>
        </w:rPr>
        <w:t xml:space="preserve">Plant and machinery </w:t>
      </w:r>
      <w:proofErr w:type="gramStart"/>
      <w:r w:rsidRPr="00C81541">
        <w:rPr>
          <w:rFonts w:asciiTheme="minorHAnsi" w:hAnsiTheme="minorHAnsi" w:cs="Arial"/>
          <w:sz w:val="22"/>
          <w:szCs w:val="22"/>
        </w:rPr>
        <w:t>is</w:t>
      </w:r>
      <w:proofErr w:type="gramEnd"/>
      <w:r w:rsidRPr="00C81541">
        <w:rPr>
          <w:rFonts w:asciiTheme="minorHAnsi" w:hAnsiTheme="minorHAnsi" w:cs="Arial"/>
          <w:sz w:val="22"/>
          <w:szCs w:val="22"/>
        </w:rPr>
        <w:t xml:space="preserve"> included in the valuation of the buildings.</w:t>
      </w:r>
    </w:p>
    <w:p w14:paraId="334D3439" w14:textId="77777777" w:rsidR="00707761" w:rsidRPr="004C6DC4" w:rsidRDefault="00707761" w:rsidP="00707761">
      <w:pPr>
        <w:widowControl w:val="0"/>
        <w:tabs>
          <w:tab w:val="left" w:pos="426"/>
        </w:tabs>
        <w:spacing w:line="228" w:lineRule="auto"/>
        <w:ind w:left="426" w:hanging="426"/>
        <w:jc w:val="both"/>
        <w:rPr>
          <w:rFonts w:ascii="Arial" w:hAnsi="Arial" w:cs="Arial"/>
        </w:rPr>
      </w:pPr>
    </w:p>
    <w:p w14:paraId="33D9324B" w14:textId="77777777" w:rsidR="00707761" w:rsidRPr="00C81541" w:rsidRDefault="00707761" w:rsidP="00707761">
      <w:pPr>
        <w:widowControl w:val="0"/>
        <w:tabs>
          <w:tab w:val="left" w:pos="426"/>
        </w:tabs>
        <w:ind w:left="426" w:hanging="426"/>
        <w:jc w:val="both"/>
        <w:rPr>
          <w:rFonts w:asciiTheme="minorHAnsi" w:hAnsiTheme="minorHAnsi" w:cs="Arial"/>
          <w:sz w:val="24"/>
          <w:szCs w:val="24"/>
        </w:rPr>
      </w:pPr>
      <w:r w:rsidRPr="00C81541">
        <w:rPr>
          <w:rFonts w:asciiTheme="minorHAnsi" w:hAnsiTheme="minorHAnsi" w:cs="Arial"/>
          <w:b/>
          <w:sz w:val="24"/>
          <w:szCs w:val="24"/>
        </w:rPr>
        <w:t>Fixed Asset Depreciation – IAS 16</w:t>
      </w:r>
    </w:p>
    <w:p w14:paraId="2E6B3AF1" w14:textId="77777777" w:rsidR="00707761" w:rsidRPr="004C6DC4" w:rsidRDefault="00707761" w:rsidP="00707761">
      <w:pPr>
        <w:widowControl w:val="0"/>
        <w:tabs>
          <w:tab w:val="left" w:pos="426"/>
        </w:tabs>
        <w:ind w:left="426" w:hanging="426"/>
        <w:jc w:val="both"/>
        <w:rPr>
          <w:rFonts w:ascii="Arial" w:hAnsi="Arial" w:cs="Arial"/>
        </w:rPr>
      </w:pPr>
    </w:p>
    <w:p w14:paraId="62C10544" w14:textId="77777777" w:rsidR="00707761" w:rsidRDefault="00707761" w:rsidP="00C81541">
      <w:pPr>
        <w:widowControl w:val="0"/>
        <w:tabs>
          <w:tab w:val="left" w:pos="0"/>
        </w:tabs>
        <w:ind w:right="25"/>
        <w:jc w:val="both"/>
        <w:rPr>
          <w:rFonts w:ascii="Arial" w:hAnsi="Arial" w:cs="Arial"/>
        </w:rPr>
      </w:pPr>
      <w:r w:rsidRPr="00C81541">
        <w:rPr>
          <w:rFonts w:asciiTheme="minorHAnsi" w:hAnsiTheme="minorHAnsi" w:cs="Arial"/>
          <w:sz w:val="22"/>
          <w:szCs w:val="22"/>
        </w:rPr>
        <w:t xml:space="preserve">In order to comply with IAS </w:t>
      </w:r>
      <w:proofErr w:type="gramStart"/>
      <w:r w:rsidRPr="00C81541">
        <w:rPr>
          <w:rFonts w:asciiTheme="minorHAnsi" w:hAnsiTheme="minorHAnsi" w:cs="Arial"/>
          <w:sz w:val="22"/>
          <w:szCs w:val="22"/>
        </w:rPr>
        <w:t>16</w:t>
      </w:r>
      <w:proofErr w:type="gramEnd"/>
      <w:r w:rsidRPr="00C81541">
        <w:rPr>
          <w:rFonts w:asciiTheme="minorHAnsi" w:hAnsiTheme="minorHAnsi" w:cs="Arial"/>
          <w:sz w:val="22"/>
          <w:szCs w:val="22"/>
        </w:rPr>
        <w:t xml:space="preserve"> the Council has obtained useful lives for all of the assets included in the balance sheet as part of the valuation process.  The bases used to calculate depreciation for individual assets are disclosed in the Statement of Accounting Policies</w:t>
      </w:r>
      <w:r w:rsidRPr="004C6DC4">
        <w:rPr>
          <w:rFonts w:ascii="Arial" w:hAnsi="Arial" w:cs="Arial"/>
        </w:rPr>
        <w:t>.</w:t>
      </w:r>
    </w:p>
    <w:p w14:paraId="21F3FA1D" w14:textId="77777777" w:rsidR="00146A7B" w:rsidRDefault="00146A7B" w:rsidP="00C81541">
      <w:pPr>
        <w:widowControl w:val="0"/>
        <w:tabs>
          <w:tab w:val="left" w:pos="0"/>
        </w:tabs>
        <w:ind w:right="25"/>
        <w:jc w:val="both"/>
        <w:rPr>
          <w:rFonts w:ascii="Arial" w:hAnsi="Arial" w:cs="Arial"/>
        </w:rPr>
      </w:pPr>
    </w:p>
    <w:p w14:paraId="27CF0068" w14:textId="2608B964" w:rsidR="00707761" w:rsidRPr="00704A70" w:rsidRDefault="00D3279C" w:rsidP="00704A70">
      <w:pPr>
        <w:pStyle w:val="Heading2"/>
      </w:pPr>
      <w:r w:rsidRPr="00704A70">
        <w:t>19</w:t>
      </w:r>
      <w:r w:rsidR="00707761" w:rsidRPr="00704A70">
        <w:tab/>
        <w:t>H</w:t>
      </w:r>
      <w:r w:rsidR="00C81541" w:rsidRPr="00704A70">
        <w:t>eritage Assets</w:t>
      </w:r>
    </w:p>
    <w:p w14:paraId="4B4F4F67" w14:textId="77777777" w:rsidR="00C81541" w:rsidRPr="00673628" w:rsidRDefault="00C81541" w:rsidP="00C81541">
      <w:pPr>
        <w:widowControl w:val="0"/>
        <w:tabs>
          <w:tab w:val="left" w:pos="0"/>
        </w:tabs>
        <w:ind w:right="25"/>
        <w:jc w:val="both"/>
        <w:rPr>
          <w:rFonts w:ascii="Arial" w:hAnsi="Arial" w:cs="Arial"/>
          <w:b/>
        </w:rPr>
      </w:pPr>
    </w:p>
    <w:p w14:paraId="3CA5F00B" w14:textId="73F359D8" w:rsidR="00707761" w:rsidRDefault="00707761" w:rsidP="00707761">
      <w:pPr>
        <w:widowControl w:val="0"/>
        <w:tabs>
          <w:tab w:val="left" w:pos="2520"/>
          <w:tab w:val="left" w:pos="7200"/>
          <w:tab w:val="left" w:pos="8460"/>
        </w:tabs>
        <w:jc w:val="both"/>
        <w:rPr>
          <w:rFonts w:asciiTheme="minorHAnsi" w:hAnsiTheme="minorHAnsi" w:cs="Arial"/>
          <w:sz w:val="22"/>
          <w:szCs w:val="22"/>
        </w:rPr>
      </w:pPr>
      <w:r w:rsidRPr="00C81541">
        <w:rPr>
          <w:rFonts w:asciiTheme="minorHAnsi" w:hAnsiTheme="minorHAnsi" w:cs="Arial"/>
          <w:sz w:val="22"/>
          <w:szCs w:val="22"/>
        </w:rPr>
        <w:t>The Council has one asset which meets the criteria of a heritage asset to be included in the balance sheet. This is a grade II listed medieval timber framed building with an Edwardian shop front located a</w:t>
      </w:r>
      <w:r w:rsidR="003D43A4">
        <w:rPr>
          <w:rFonts w:asciiTheme="minorHAnsi" w:hAnsiTheme="minorHAnsi" w:cs="Arial"/>
          <w:sz w:val="22"/>
          <w:szCs w:val="22"/>
        </w:rPr>
        <w:t>t 7 King Street, Melton Mowbray</w:t>
      </w:r>
      <w:r w:rsidRPr="00C81541">
        <w:rPr>
          <w:rFonts w:asciiTheme="minorHAnsi" w:hAnsiTheme="minorHAnsi" w:cs="Arial"/>
          <w:sz w:val="22"/>
          <w:szCs w:val="22"/>
        </w:rPr>
        <w:t xml:space="preserve">.  The building was the subject of a major restoration project completed in 2004 and substantially funded by the Heritage Lottery Fund. However, as the asset is currently being used for letting purposes it is classified as an operational asset under the land </w:t>
      </w:r>
      <w:r w:rsidR="00704A70">
        <w:rPr>
          <w:rFonts w:asciiTheme="minorHAnsi" w:hAnsiTheme="minorHAnsi" w:cs="Arial"/>
          <w:sz w:val="22"/>
          <w:szCs w:val="22"/>
        </w:rPr>
        <w:t>and</w:t>
      </w:r>
      <w:r w:rsidRPr="00C81541">
        <w:rPr>
          <w:rFonts w:asciiTheme="minorHAnsi" w:hAnsiTheme="minorHAnsi" w:cs="Arial"/>
          <w:sz w:val="22"/>
          <w:szCs w:val="22"/>
        </w:rPr>
        <w:t xml:space="preserve"> buildings section of the Property, Plant and </w:t>
      </w:r>
      <w:r w:rsidRPr="00A447BD">
        <w:rPr>
          <w:rFonts w:asciiTheme="minorHAnsi" w:hAnsiTheme="minorHAnsi" w:cs="Arial"/>
          <w:sz w:val="22"/>
          <w:szCs w:val="22"/>
        </w:rPr>
        <w:t>Equipment for the purpose of these accounts</w:t>
      </w:r>
      <w:r w:rsidRPr="00173486">
        <w:rPr>
          <w:rFonts w:asciiTheme="minorHAnsi" w:hAnsiTheme="minorHAnsi" w:cs="Arial"/>
          <w:sz w:val="22"/>
          <w:szCs w:val="22"/>
        </w:rPr>
        <w:t>.  In 20</w:t>
      </w:r>
      <w:r w:rsidR="00C62A3D" w:rsidRPr="00173486">
        <w:rPr>
          <w:rFonts w:asciiTheme="minorHAnsi" w:hAnsiTheme="minorHAnsi" w:cs="Arial"/>
          <w:sz w:val="22"/>
          <w:szCs w:val="22"/>
        </w:rPr>
        <w:t>2</w:t>
      </w:r>
      <w:r w:rsidR="00CD7824">
        <w:rPr>
          <w:rFonts w:asciiTheme="minorHAnsi" w:hAnsiTheme="minorHAnsi" w:cs="Arial"/>
          <w:sz w:val="22"/>
          <w:szCs w:val="22"/>
        </w:rPr>
        <w:t>2</w:t>
      </w:r>
      <w:r w:rsidR="00C75F6D" w:rsidRPr="00173486">
        <w:rPr>
          <w:rFonts w:asciiTheme="minorHAnsi" w:hAnsiTheme="minorHAnsi" w:cs="Arial"/>
          <w:sz w:val="22"/>
          <w:szCs w:val="22"/>
        </w:rPr>
        <w:t>-</w:t>
      </w:r>
      <w:r w:rsidR="00386594" w:rsidRPr="00173486">
        <w:rPr>
          <w:rFonts w:asciiTheme="minorHAnsi" w:hAnsiTheme="minorHAnsi" w:cs="Arial"/>
          <w:sz w:val="22"/>
          <w:szCs w:val="22"/>
        </w:rPr>
        <w:t>2</w:t>
      </w:r>
      <w:r w:rsidR="00CD7824">
        <w:rPr>
          <w:rFonts w:asciiTheme="minorHAnsi" w:hAnsiTheme="minorHAnsi" w:cs="Arial"/>
          <w:sz w:val="22"/>
          <w:szCs w:val="22"/>
        </w:rPr>
        <w:t>3</w:t>
      </w:r>
      <w:r w:rsidRPr="00173486">
        <w:rPr>
          <w:rFonts w:asciiTheme="minorHAnsi" w:hAnsiTheme="minorHAnsi" w:cs="Arial"/>
          <w:sz w:val="22"/>
          <w:szCs w:val="22"/>
        </w:rPr>
        <w:t xml:space="preserve"> this property was re-</w:t>
      </w:r>
      <w:r w:rsidRPr="007A13A3">
        <w:rPr>
          <w:rFonts w:asciiTheme="minorHAnsi" w:hAnsiTheme="minorHAnsi" w:cs="Arial"/>
          <w:sz w:val="22"/>
          <w:szCs w:val="22"/>
        </w:rPr>
        <w:t>valued at £1</w:t>
      </w:r>
      <w:r w:rsidR="006C471C" w:rsidRPr="007A13A3">
        <w:rPr>
          <w:rFonts w:asciiTheme="minorHAnsi" w:hAnsiTheme="minorHAnsi" w:cs="Arial"/>
          <w:sz w:val="22"/>
          <w:szCs w:val="22"/>
        </w:rPr>
        <w:t>5</w:t>
      </w:r>
      <w:r w:rsidR="007A13A3" w:rsidRPr="007A13A3">
        <w:rPr>
          <w:rFonts w:asciiTheme="minorHAnsi" w:hAnsiTheme="minorHAnsi" w:cs="Arial"/>
          <w:sz w:val="22"/>
          <w:szCs w:val="22"/>
        </w:rPr>
        <w:t>7</w:t>
      </w:r>
      <w:r w:rsidRPr="007A13A3">
        <w:rPr>
          <w:rFonts w:asciiTheme="minorHAnsi" w:hAnsiTheme="minorHAnsi" w:cs="Arial"/>
          <w:sz w:val="22"/>
          <w:szCs w:val="22"/>
        </w:rPr>
        <w:t>k, on a</w:t>
      </w:r>
      <w:r w:rsidR="00D56FAB" w:rsidRPr="007A13A3">
        <w:rPr>
          <w:rFonts w:asciiTheme="minorHAnsi" w:hAnsiTheme="minorHAnsi" w:cs="Arial"/>
          <w:sz w:val="22"/>
          <w:szCs w:val="22"/>
        </w:rPr>
        <w:t>n existi</w:t>
      </w:r>
      <w:r w:rsidRPr="007A13A3">
        <w:rPr>
          <w:rFonts w:asciiTheme="minorHAnsi" w:hAnsiTheme="minorHAnsi" w:cs="Arial"/>
          <w:sz w:val="22"/>
          <w:szCs w:val="22"/>
        </w:rPr>
        <w:t>ng</w:t>
      </w:r>
      <w:r w:rsidRPr="00173486">
        <w:rPr>
          <w:rFonts w:asciiTheme="minorHAnsi" w:hAnsiTheme="minorHAnsi" w:cs="Arial"/>
          <w:sz w:val="22"/>
          <w:szCs w:val="22"/>
        </w:rPr>
        <w:t xml:space="preserve"> use </w:t>
      </w:r>
      <w:r w:rsidR="00D56FAB" w:rsidRPr="00173486">
        <w:rPr>
          <w:rFonts w:asciiTheme="minorHAnsi" w:hAnsiTheme="minorHAnsi" w:cs="Arial"/>
          <w:sz w:val="22"/>
          <w:szCs w:val="22"/>
        </w:rPr>
        <w:t xml:space="preserve">value </w:t>
      </w:r>
      <w:r w:rsidRPr="00173486">
        <w:rPr>
          <w:rFonts w:asciiTheme="minorHAnsi" w:hAnsiTheme="minorHAnsi" w:cs="Arial"/>
          <w:sz w:val="22"/>
          <w:szCs w:val="22"/>
        </w:rPr>
        <w:t>as an operational, non-specialised asset</w:t>
      </w:r>
      <w:r w:rsidR="006C471C" w:rsidRPr="00173486">
        <w:rPr>
          <w:rFonts w:asciiTheme="minorHAnsi" w:hAnsiTheme="minorHAnsi" w:cs="Arial"/>
          <w:sz w:val="22"/>
          <w:szCs w:val="22"/>
        </w:rPr>
        <w:t>.</w:t>
      </w:r>
      <w:r w:rsidR="00A447BD" w:rsidRPr="00A447BD">
        <w:rPr>
          <w:rFonts w:asciiTheme="minorHAnsi" w:hAnsiTheme="minorHAnsi" w:cs="Arial"/>
          <w:sz w:val="22"/>
          <w:szCs w:val="22"/>
        </w:rPr>
        <w:t xml:space="preserve"> </w:t>
      </w:r>
    </w:p>
    <w:p w14:paraId="44F6B6BB" w14:textId="77777777" w:rsidR="00AF7BF0" w:rsidRDefault="006F20B8" w:rsidP="00DC081F">
      <w:pPr>
        <w:widowControl w:val="0"/>
        <w:tabs>
          <w:tab w:val="left" w:pos="0"/>
          <w:tab w:val="left" w:pos="9639"/>
        </w:tabs>
        <w:spacing w:line="228" w:lineRule="auto"/>
        <w:jc w:val="both"/>
        <w:rPr>
          <w:rFonts w:asciiTheme="minorHAnsi" w:hAnsiTheme="minorHAnsi" w:cs="Arial"/>
          <w:sz w:val="22"/>
          <w:szCs w:val="22"/>
        </w:rPr>
      </w:pPr>
      <w:r w:rsidRPr="00B921B9">
        <w:rPr>
          <w:rFonts w:asciiTheme="minorHAnsi" w:hAnsiTheme="minorHAnsi" w:cs="Arial"/>
          <w:sz w:val="22"/>
          <w:szCs w:val="22"/>
        </w:rPr>
        <w:tab/>
      </w:r>
    </w:p>
    <w:p w14:paraId="47CCEA84" w14:textId="77777777" w:rsidR="006F20B8" w:rsidRPr="00B921B9" w:rsidRDefault="006F20B8" w:rsidP="00DC081F">
      <w:pPr>
        <w:widowControl w:val="0"/>
        <w:tabs>
          <w:tab w:val="left" w:pos="0"/>
          <w:tab w:val="left" w:pos="9639"/>
        </w:tabs>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Heritage Assets are recognised and measured (including the treatment of revaluation gains and losses) in accordance with the Council’s accounting policies on property, plant and equipment. However, some of the measurement rules are relaxed in relation to heritage assets as detailed below. </w:t>
      </w:r>
    </w:p>
    <w:p w14:paraId="1B4DA7D7" w14:textId="77777777" w:rsidR="006F20B8" w:rsidRPr="00B921B9" w:rsidRDefault="006F20B8" w:rsidP="00DC081F">
      <w:pPr>
        <w:widowControl w:val="0"/>
        <w:tabs>
          <w:tab w:val="left" w:pos="0"/>
        </w:tabs>
        <w:spacing w:line="228" w:lineRule="auto"/>
        <w:jc w:val="both"/>
        <w:rPr>
          <w:rFonts w:asciiTheme="minorHAnsi" w:hAnsiTheme="minorHAnsi" w:cs="Arial"/>
          <w:sz w:val="22"/>
          <w:szCs w:val="22"/>
        </w:rPr>
      </w:pPr>
    </w:p>
    <w:p w14:paraId="0D2CAD70" w14:textId="77777777" w:rsidR="006F20B8" w:rsidRPr="003D3C86" w:rsidRDefault="006F20B8" w:rsidP="00C76AD3">
      <w:pPr>
        <w:widowControl w:val="0"/>
        <w:numPr>
          <w:ilvl w:val="0"/>
          <w:numId w:val="20"/>
        </w:numPr>
        <w:tabs>
          <w:tab w:val="left" w:pos="851"/>
        </w:tabs>
        <w:spacing w:line="228" w:lineRule="auto"/>
        <w:ind w:left="851" w:hanging="567"/>
        <w:jc w:val="both"/>
        <w:rPr>
          <w:rFonts w:asciiTheme="minorHAnsi" w:hAnsiTheme="minorHAnsi" w:cs="Arial"/>
          <w:sz w:val="22"/>
          <w:szCs w:val="22"/>
        </w:rPr>
      </w:pPr>
      <w:r w:rsidRPr="003D3C86">
        <w:rPr>
          <w:rFonts w:asciiTheme="minorHAnsi" w:hAnsiTheme="minorHAnsi" w:cs="Arial"/>
          <w:b/>
          <w:sz w:val="22"/>
          <w:szCs w:val="22"/>
        </w:rPr>
        <w:t>Civic Regalia</w:t>
      </w:r>
      <w:r w:rsidRPr="003D3C86">
        <w:rPr>
          <w:rFonts w:asciiTheme="minorHAnsi" w:hAnsiTheme="minorHAnsi" w:cs="Arial"/>
          <w:sz w:val="22"/>
          <w:szCs w:val="22"/>
        </w:rPr>
        <w:t xml:space="preserve"> – the Council owns chains of office for the mayor, the mayor’s consort and the   young mayor but as the value of these chains are less than £10k these are considered to be de-minim</w:t>
      </w:r>
      <w:r w:rsidR="00D56FAB">
        <w:rPr>
          <w:rFonts w:asciiTheme="minorHAnsi" w:hAnsiTheme="minorHAnsi" w:cs="Arial"/>
          <w:sz w:val="22"/>
          <w:szCs w:val="22"/>
        </w:rPr>
        <w:t>i</w:t>
      </w:r>
      <w:r w:rsidRPr="003D3C86">
        <w:rPr>
          <w:rFonts w:asciiTheme="minorHAnsi" w:hAnsiTheme="minorHAnsi" w:cs="Arial"/>
          <w:sz w:val="22"/>
          <w:szCs w:val="22"/>
        </w:rPr>
        <w:t>s and are not reported on the Balance Sheet.</w:t>
      </w:r>
    </w:p>
    <w:p w14:paraId="06065C5C" w14:textId="77777777" w:rsidR="006F20B8" w:rsidRPr="003D3C86" w:rsidRDefault="006F20B8" w:rsidP="00DC081F">
      <w:pPr>
        <w:widowControl w:val="0"/>
        <w:tabs>
          <w:tab w:val="left" w:pos="0"/>
          <w:tab w:val="left" w:pos="851"/>
        </w:tabs>
        <w:spacing w:line="228" w:lineRule="auto"/>
        <w:jc w:val="both"/>
        <w:rPr>
          <w:rFonts w:asciiTheme="minorHAnsi" w:hAnsiTheme="minorHAnsi" w:cs="Arial"/>
          <w:b/>
          <w:sz w:val="22"/>
          <w:szCs w:val="22"/>
        </w:rPr>
      </w:pPr>
    </w:p>
    <w:p w14:paraId="3D11F184" w14:textId="77777777" w:rsidR="006F20B8" w:rsidRPr="003D3C86" w:rsidRDefault="006F20B8" w:rsidP="00C76AD3">
      <w:pPr>
        <w:widowControl w:val="0"/>
        <w:numPr>
          <w:ilvl w:val="0"/>
          <w:numId w:val="20"/>
        </w:numPr>
        <w:tabs>
          <w:tab w:val="left" w:pos="851"/>
        </w:tabs>
        <w:spacing w:line="228" w:lineRule="auto"/>
        <w:ind w:left="851" w:hanging="567"/>
        <w:jc w:val="both"/>
        <w:rPr>
          <w:rFonts w:asciiTheme="minorHAnsi" w:hAnsiTheme="minorHAnsi" w:cs="Arial"/>
          <w:sz w:val="22"/>
          <w:szCs w:val="22"/>
        </w:rPr>
      </w:pPr>
      <w:r w:rsidRPr="003D3C86">
        <w:rPr>
          <w:rFonts w:asciiTheme="minorHAnsi" w:hAnsiTheme="minorHAnsi" w:cs="Arial"/>
          <w:b/>
          <w:sz w:val="22"/>
          <w:szCs w:val="22"/>
        </w:rPr>
        <w:t xml:space="preserve">Art Collection – </w:t>
      </w:r>
      <w:r w:rsidRPr="003D3C86">
        <w:rPr>
          <w:rFonts w:asciiTheme="minorHAnsi" w:hAnsiTheme="minorHAnsi" w:cs="Arial"/>
          <w:sz w:val="22"/>
          <w:szCs w:val="22"/>
        </w:rPr>
        <w:t>the Council owns a miniature painting in an antique frame</w:t>
      </w:r>
      <w:r w:rsidR="00DC081F" w:rsidRPr="003D3C86">
        <w:rPr>
          <w:rFonts w:asciiTheme="minorHAnsi" w:hAnsiTheme="minorHAnsi" w:cs="Arial"/>
          <w:sz w:val="22"/>
          <w:szCs w:val="22"/>
        </w:rPr>
        <w:t xml:space="preserve"> of a hunting scene</w:t>
      </w:r>
      <w:r w:rsidRPr="003D3C86">
        <w:rPr>
          <w:rFonts w:asciiTheme="minorHAnsi" w:hAnsiTheme="minorHAnsi" w:cs="Arial"/>
          <w:sz w:val="22"/>
          <w:szCs w:val="22"/>
        </w:rPr>
        <w:t xml:space="preserve"> </w:t>
      </w:r>
      <w:r w:rsidR="00DC081F" w:rsidRPr="003D3C86">
        <w:rPr>
          <w:rFonts w:asciiTheme="minorHAnsi" w:hAnsiTheme="minorHAnsi" w:cs="Arial"/>
          <w:sz w:val="22"/>
          <w:szCs w:val="22"/>
        </w:rPr>
        <w:t xml:space="preserve">by the artist Dora Webb, who lived in Melton Mowbray between 1921 and 1933, </w:t>
      </w:r>
      <w:r w:rsidRPr="003D3C86">
        <w:rPr>
          <w:rFonts w:asciiTheme="minorHAnsi" w:hAnsiTheme="minorHAnsi" w:cs="Arial"/>
          <w:sz w:val="22"/>
          <w:szCs w:val="22"/>
        </w:rPr>
        <w:t xml:space="preserve">but as the value of the painting is less than £10k this is </w:t>
      </w:r>
      <w:r w:rsidR="00D56FAB">
        <w:rPr>
          <w:rFonts w:asciiTheme="minorHAnsi" w:hAnsiTheme="minorHAnsi" w:cs="Arial"/>
          <w:sz w:val="22"/>
          <w:szCs w:val="22"/>
        </w:rPr>
        <w:t>again considered to be de-minimi</w:t>
      </w:r>
      <w:r w:rsidRPr="003D3C86">
        <w:rPr>
          <w:rFonts w:asciiTheme="minorHAnsi" w:hAnsiTheme="minorHAnsi" w:cs="Arial"/>
          <w:sz w:val="22"/>
          <w:szCs w:val="22"/>
        </w:rPr>
        <w:t>s and not reported on the Balance Sheet.</w:t>
      </w:r>
    </w:p>
    <w:p w14:paraId="746B225A" w14:textId="77777777" w:rsidR="00707761" w:rsidRPr="00C81541" w:rsidRDefault="00707761" w:rsidP="00707761">
      <w:pPr>
        <w:widowControl w:val="0"/>
        <w:tabs>
          <w:tab w:val="left" w:pos="2520"/>
          <w:tab w:val="left" w:pos="7200"/>
          <w:tab w:val="left" w:pos="8460"/>
        </w:tabs>
        <w:rPr>
          <w:rFonts w:asciiTheme="minorHAnsi" w:hAnsiTheme="minorHAnsi"/>
          <w:sz w:val="22"/>
          <w:szCs w:val="22"/>
        </w:rPr>
      </w:pPr>
    </w:p>
    <w:p w14:paraId="4D11C8E3" w14:textId="00096973" w:rsidR="00707761" w:rsidRPr="00C81541" w:rsidRDefault="001726F4" w:rsidP="00704A70">
      <w:pPr>
        <w:pStyle w:val="Heading2"/>
      </w:pPr>
      <w:r>
        <w:t>2</w:t>
      </w:r>
      <w:r w:rsidR="00D3279C">
        <w:t>0</w:t>
      </w:r>
      <w:r w:rsidR="00707761" w:rsidRPr="00C81541">
        <w:tab/>
        <w:t>I</w:t>
      </w:r>
      <w:r w:rsidR="00C81541" w:rsidRPr="00C81541">
        <w:t>nvestment Property</w:t>
      </w:r>
    </w:p>
    <w:p w14:paraId="3E547F69" w14:textId="77777777" w:rsidR="00536747" w:rsidRDefault="00536747" w:rsidP="00707761">
      <w:pPr>
        <w:widowControl w:val="0"/>
        <w:tabs>
          <w:tab w:val="left" w:pos="709"/>
          <w:tab w:val="left" w:pos="7200"/>
          <w:tab w:val="left" w:pos="8460"/>
        </w:tabs>
        <w:rPr>
          <w:rFonts w:ascii="Arial" w:hAnsi="Arial" w:cs="Arial"/>
          <w:b/>
        </w:rPr>
      </w:pPr>
    </w:p>
    <w:p w14:paraId="4AA8BBE8" w14:textId="77777777" w:rsidR="00D13CF7" w:rsidRPr="00B921B9" w:rsidRDefault="00D13CF7" w:rsidP="00D13CF7">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Investment properties are those that are used solely to earn rentals and/or capital appreciation. The definition is not met if the property is used in any way to facilitate the delivery of services or production of goods or is held for sale. </w:t>
      </w:r>
    </w:p>
    <w:p w14:paraId="463D882D" w14:textId="77777777" w:rsidR="00D13CF7" w:rsidRPr="00B921B9" w:rsidRDefault="00D13CF7" w:rsidP="00D13CF7">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Investment properties are measured initially at cost and subsequently at fair value, being the price that would be received to sell such an asset in an orderly transaction between market participants at the measurement date.  As a non-financial asset, investment properties are valued at highest and best use.   Properties are not depreciated but are re-valued annually according to market conditions at the year-end. Gains and losses on revaluation are posted to the Financing and Investment Income and Expenditure line in the Comprehensive Income and Expenditure Statement. The same treatment is applied to gains and losses on disposal.</w:t>
      </w:r>
    </w:p>
    <w:p w14:paraId="419DF878" w14:textId="77777777" w:rsidR="00D13CF7" w:rsidRPr="00B921B9" w:rsidRDefault="00D13CF7" w:rsidP="00D13CF7">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Rentals received in relation to investment properties are credited to the Financing and Investment Income line and result in a gain for the General Fund Balance. However, revaluation and disposal gains and losses are not permitted by statutory arrangements to have an impact on the General Fund Balance. The gains and losses are therefore reversed out of the General Fund Balance in the Movement in Reserves Statement and posted to the Capital Adjustment Account. </w:t>
      </w:r>
    </w:p>
    <w:p w14:paraId="6451F06E" w14:textId="1B3B085E" w:rsidR="00707761" w:rsidRDefault="00707761" w:rsidP="00707761">
      <w:pPr>
        <w:widowControl w:val="0"/>
        <w:tabs>
          <w:tab w:val="left" w:pos="709"/>
          <w:tab w:val="left" w:pos="7200"/>
          <w:tab w:val="left" w:pos="8460"/>
        </w:tabs>
        <w:jc w:val="both"/>
        <w:rPr>
          <w:rFonts w:asciiTheme="minorHAnsi" w:hAnsiTheme="minorHAnsi" w:cs="Arial"/>
          <w:sz w:val="22"/>
          <w:szCs w:val="22"/>
        </w:rPr>
      </w:pPr>
      <w:r w:rsidRPr="00C81541">
        <w:rPr>
          <w:rFonts w:asciiTheme="minorHAnsi" w:hAnsiTheme="minorHAnsi" w:cs="Arial"/>
          <w:sz w:val="22"/>
          <w:szCs w:val="22"/>
        </w:rPr>
        <w:lastRenderedPageBreak/>
        <w:t>The following items of income and expense have been accounted for in the financing and investment income and expenditure line in the comprehensive income and expenditure statement.</w:t>
      </w:r>
    </w:p>
    <w:p w14:paraId="42BCB406" w14:textId="5C5314A8" w:rsidR="00B13E3B" w:rsidRDefault="00B13E3B" w:rsidP="00707761">
      <w:pPr>
        <w:widowControl w:val="0"/>
        <w:tabs>
          <w:tab w:val="left" w:pos="709"/>
          <w:tab w:val="left" w:pos="7200"/>
          <w:tab w:val="left" w:pos="8460"/>
        </w:tabs>
        <w:jc w:val="both"/>
        <w:rPr>
          <w:rFonts w:asciiTheme="minorHAnsi" w:hAnsiTheme="minorHAnsi" w:cs="Arial"/>
          <w:sz w:val="22"/>
          <w:szCs w:val="22"/>
        </w:rPr>
      </w:pPr>
    </w:p>
    <w:p w14:paraId="7B912296" w14:textId="77777777" w:rsidR="00D3279C" w:rsidRDefault="00D3279C" w:rsidP="00707761">
      <w:pPr>
        <w:widowControl w:val="0"/>
        <w:tabs>
          <w:tab w:val="left" w:pos="709"/>
          <w:tab w:val="left" w:pos="7200"/>
          <w:tab w:val="left" w:pos="8460"/>
        </w:tabs>
        <w:jc w:val="both"/>
        <w:rPr>
          <w:rFonts w:asciiTheme="minorHAnsi" w:hAnsiTheme="minorHAnsi" w:cs="Arial"/>
          <w:sz w:val="22"/>
          <w:szCs w:val="22"/>
        </w:rPr>
      </w:pPr>
    </w:p>
    <w:tbl>
      <w:tblPr>
        <w:tblW w:w="9080" w:type="dxa"/>
        <w:tblInd w:w="93" w:type="dxa"/>
        <w:tblLook w:val="04A0" w:firstRow="1" w:lastRow="0" w:firstColumn="1" w:lastColumn="0" w:noHBand="0" w:noVBand="1"/>
        <w:tblCaption w:val="Investment Properties income and expense"/>
        <w:tblDescription w:val="Investment Properties income and expense"/>
      </w:tblPr>
      <w:tblGrid>
        <w:gridCol w:w="5960"/>
        <w:gridCol w:w="1600"/>
        <w:gridCol w:w="1520"/>
      </w:tblGrid>
      <w:tr w:rsidR="00090ED6" w:rsidRPr="00090ED6" w14:paraId="54407614" w14:textId="77777777" w:rsidTr="00F367A2">
        <w:trPr>
          <w:cantSplit/>
          <w:trHeight w:val="300"/>
          <w:tblHeader/>
        </w:trPr>
        <w:tc>
          <w:tcPr>
            <w:tcW w:w="5960" w:type="dxa"/>
            <w:tcBorders>
              <w:top w:val="nil"/>
              <w:left w:val="nil"/>
              <w:bottom w:val="nil"/>
              <w:right w:val="nil"/>
            </w:tcBorders>
            <w:shd w:val="clear" w:color="000000" w:fill="FABF8F"/>
            <w:noWrap/>
            <w:vAlign w:val="center"/>
            <w:hideMark/>
          </w:tcPr>
          <w:p w14:paraId="368187D3"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w:t>
            </w:r>
          </w:p>
        </w:tc>
        <w:tc>
          <w:tcPr>
            <w:tcW w:w="160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224477A8" w14:textId="77E0139A" w:rsidR="00090ED6" w:rsidRPr="00090ED6" w:rsidRDefault="00090ED6" w:rsidP="00C62A3D">
            <w:pPr>
              <w:jc w:val="right"/>
              <w:rPr>
                <w:rFonts w:ascii="Calibri" w:hAnsi="Calibri"/>
                <w:color w:val="000000"/>
                <w:lang w:eastAsia="en-GB"/>
              </w:rPr>
            </w:pPr>
            <w:r w:rsidRPr="00090ED6">
              <w:rPr>
                <w:rFonts w:ascii="Calibri" w:hAnsi="Calibri"/>
                <w:color w:val="000000"/>
                <w:lang w:eastAsia="en-GB"/>
              </w:rPr>
              <w:t>20</w:t>
            </w:r>
            <w:r w:rsidR="00C10FB0">
              <w:rPr>
                <w:rFonts w:ascii="Calibri" w:hAnsi="Calibri"/>
                <w:color w:val="000000"/>
                <w:lang w:eastAsia="en-GB"/>
              </w:rPr>
              <w:t>2</w:t>
            </w:r>
            <w:r w:rsidR="00CD7824">
              <w:rPr>
                <w:rFonts w:ascii="Calibri" w:hAnsi="Calibri"/>
                <w:color w:val="000000"/>
                <w:lang w:eastAsia="en-GB"/>
              </w:rPr>
              <w:t>1</w:t>
            </w:r>
            <w:r w:rsidRPr="00090ED6">
              <w:rPr>
                <w:rFonts w:ascii="Calibri" w:hAnsi="Calibri"/>
                <w:color w:val="000000"/>
                <w:lang w:eastAsia="en-GB"/>
              </w:rPr>
              <w:t>-</w:t>
            </w:r>
            <w:r w:rsidR="00C62A3D">
              <w:rPr>
                <w:rFonts w:ascii="Calibri" w:hAnsi="Calibri"/>
                <w:color w:val="000000"/>
                <w:lang w:eastAsia="en-GB"/>
              </w:rPr>
              <w:t>2</w:t>
            </w:r>
            <w:r w:rsidR="00CD7824">
              <w:rPr>
                <w:rFonts w:ascii="Calibri" w:hAnsi="Calibri"/>
                <w:color w:val="000000"/>
                <w:lang w:eastAsia="en-GB"/>
              </w:rPr>
              <w:t>2</w:t>
            </w:r>
          </w:p>
        </w:tc>
        <w:tc>
          <w:tcPr>
            <w:tcW w:w="1520" w:type="dxa"/>
            <w:tcBorders>
              <w:top w:val="single" w:sz="4" w:space="0" w:color="FFFFFF"/>
              <w:left w:val="nil"/>
              <w:bottom w:val="single" w:sz="4" w:space="0" w:color="FFFFFF"/>
              <w:right w:val="single" w:sz="4" w:space="0" w:color="FFFFFF"/>
            </w:tcBorders>
            <w:shd w:val="clear" w:color="000000" w:fill="FABF8F"/>
            <w:noWrap/>
            <w:vAlign w:val="center"/>
            <w:hideMark/>
          </w:tcPr>
          <w:p w14:paraId="37AF1EE1" w14:textId="05AD4A24" w:rsidR="00090ED6" w:rsidRPr="00090ED6" w:rsidRDefault="00090ED6" w:rsidP="00C62A3D">
            <w:pPr>
              <w:jc w:val="right"/>
              <w:rPr>
                <w:rFonts w:ascii="Calibri" w:hAnsi="Calibri"/>
                <w:color w:val="000000"/>
                <w:lang w:eastAsia="en-GB"/>
              </w:rPr>
            </w:pPr>
            <w:r>
              <w:rPr>
                <w:rFonts w:ascii="Calibri" w:hAnsi="Calibri"/>
                <w:color w:val="000000"/>
                <w:lang w:eastAsia="en-GB"/>
              </w:rPr>
              <w:t>20</w:t>
            </w:r>
            <w:r w:rsidR="00C62A3D">
              <w:rPr>
                <w:rFonts w:ascii="Calibri" w:hAnsi="Calibri"/>
                <w:color w:val="000000"/>
                <w:lang w:eastAsia="en-GB"/>
              </w:rPr>
              <w:t>2</w:t>
            </w:r>
            <w:r w:rsidR="00CD7824">
              <w:rPr>
                <w:rFonts w:ascii="Calibri" w:hAnsi="Calibri"/>
                <w:color w:val="000000"/>
                <w:lang w:eastAsia="en-GB"/>
              </w:rPr>
              <w:t>2</w:t>
            </w:r>
            <w:r w:rsidRPr="00090ED6">
              <w:rPr>
                <w:rFonts w:ascii="Calibri" w:hAnsi="Calibri"/>
                <w:color w:val="000000"/>
                <w:lang w:eastAsia="en-GB"/>
              </w:rPr>
              <w:t>-</w:t>
            </w:r>
            <w:r w:rsidR="00386594">
              <w:rPr>
                <w:rFonts w:ascii="Calibri" w:hAnsi="Calibri"/>
                <w:color w:val="000000"/>
                <w:lang w:eastAsia="en-GB"/>
              </w:rPr>
              <w:t>2</w:t>
            </w:r>
            <w:r w:rsidR="00CD7824">
              <w:rPr>
                <w:rFonts w:ascii="Calibri" w:hAnsi="Calibri"/>
                <w:color w:val="000000"/>
                <w:lang w:eastAsia="en-GB"/>
              </w:rPr>
              <w:t>3</w:t>
            </w:r>
          </w:p>
        </w:tc>
      </w:tr>
      <w:tr w:rsidR="00090ED6" w:rsidRPr="00090ED6" w14:paraId="7101A725" w14:textId="77777777" w:rsidTr="00090ED6">
        <w:trPr>
          <w:trHeight w:val="300"/>
        </w:trPr>
        <w:tc>
          <w:tcPr>
            <w:tcW w:w="5960" w:type="dxa"/>
            <w:tcBorders>
              <w:top w:val="nil"/>
              <w:left w:val="nil"/>
              <w:bottom w:val="nil"/>
              <w:right w:val="nil"/>
            </w:tcBorders>
            <w:shd w:val="clear" w:color="000000" w:fill="FABF8F"/>
            <w:noWrap/>
            <w:vAlign w:val="center"/>
            <w:hideMark/>
          </w:tcPr>
          <w:p w14:paraId="47FEBD06"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w:t>
            </w:r>
          </w:p>
        </w:tc>
        <w:tc>
          <w:tcPr>
            <w:tcW w:w="1600" w:type="dxa"/>
            <w:tcBorders>
              <w:top w:val="nil"/>
              <w:left w:val="single" w:sz="4" w:space="0" w:color="FFFFFF"/>
              <w:bottom w:val="single" w:sz="4" w:space="0" w:color="FFFFFF"/>
              <w:right w:val="single" w:sz="4" w:space="0" w:color="FFFFFF"/>
            </w:tcBorders>
            <w:shd w:val="clear" w:color="000000" w:fill="FABF8F"/>
            <w:noWrap/>
            <w:vAlign w:val="center"/>
            <w:hideMark/>
          </w:tcPr>
          <w:p w14:paraId="12A66E44"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£’000</w:t>
            </w:r>
          </w:p>
        </w:tc>
        <w:tc>
          <w:tcPr>
            <w:tcW w:w="1520" w:type="dxa"/>
            <w:tcBorders>
              <w:top w:val="nil"/>
              <w:left w:val="nil"/>
              <w:bottom w:val="single" w:sz="4" w:space="0" w:color="FFFFFF"/>
              <w:right w:val="single" w:sz="4" w:space="0" w:color="FFFFFF"/>
            </w:tcBorders>
            <w:shd w:val="clear" w:color="000000" w:fill="FABF8F"/>
            <w:noWrap/>
            <w:vAlign w:val="center"/>
            <w:hideMark/>
          </w:tcPr>
          <w:p w14:paraId="15E0ED70"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£’000</w:t>
            </w:r>
          </w:p>
        </w:tc>
      </w:tr>
      <w:tr w:rsidR="00090ED6" w:rsidRPr="00090ED6" w14:paraId="4339B854" w14:textId="77777777" w:rsidTr="00090ED6">
        <w:trPr>
          <w:trHeight w:val="300"/>
        </w:trPr>
        <w:tc>
          <w:tcPr>
            <w:tcW w:w="596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67761EE4"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Rental Income from Investment Property</w:t>
            </w:r>
          </w:p>
        </w:tc>
        <w:tc>
          <w:tcPr>
            <w:tcW w:w="1600" w:type="dxa"/>
            <w:tcBorders>
              <w:top w:val="nil"/>
              <w:left w:val="nil"/>
              <w:bottom w:val="single" w:sz="4" w:space="0" w:color="FFFFFF"/>
              <w:right w:val="single" w:sz="4" w:space="0" w:color="FFFFFF"/>
            </w:tcBorders>
            <w:shd w:val="clear" w:color="000000" w:fill="FDE9D9"/>
            <w:noWrap/>
            <w:vAlign w:val="center"/>
            <w:hideMark/>
          </w:tcPr>
          <w:p w14:paraId="398BF2C3" w14:textId="26D4FB82" w:rsidR="00090ED6" w:rsidRPr="00090ED6" w:rsidRDefault="00090ED6" w:rsidP="00C62A3D">
            <w:pPr>
              <w:jc w:val="right"/>
              <w:rPr>
                <w:rFonts w:ascii="Calibri" w:hAnsi="Calibri"/>
                <w:color w:val="000000"/>
                <w:lang w:eastAsia="en-GB"/>
              </w:rPr>
            </w:pPr>
            <w:r w:rsidRPr="00090ED6">
              <w:rPr>
                <w:rFonts w:ascii="Calibri" w:hAnsi="Calibri"/>
                <w:color w:val="000000"/>
                <w:lang w:eastAsia="en-GB"/>
              </w:rPr>
              <w:t>1</w:t>
            </w:r>
            <w:r w:rsidR="00386594">
              <w:rPr>
                <w:rFonts w:ascii="Calibri" w:hAnsi="Calibri"/>
                <w:color w:val="000000"/>
                <w:lang w:eastAsia="en-GB"/>
              </w:rPr>
              <w:t>4</w:t>
            </w:r>
            <w:r w:rsidR="00C10FB0">
              <w:rPr>
                <w:rFonts w:ascii="Calibri" w:hAnsi="Calibri"/>
                <w:color w:val="000000"/>
                <w:lang w:eastAsia="en-GB"/>
              </w:rPr>
              <w:t>5</w:t>
            </w:r>
          </w:p>
        </w:tc>
        <w:tc>
          <w:tcPr>
            <w:tcW w:w="1520" w:type="dxa"/>
            <w:tcBorders>
              <w:top w:val="nil"/>
              <w:left w:val="nil"/>
              <w:bottom w:val="single" w:sz="4" w:space="0" w:color="FFFFFF"/>
              <w:right w:val="single" w:sz="4" w:space="0" w:color="FFFFFF"/>
            </w:tcBorders>
            <w:shd w:val="clear" w:color="000000" w:fill="FDE9D9"/>
            <w:noWrap/>
            <w:vAlign w:val="center"/>
          </w:tcPr>
          <w:p w14:paraId="48ECE5D3" w14:textId="45BCE114" w:rsidR="00090ED6" w:rsidRPr="00090ED6" w:rsidRDefault="00757D70" w:rsidP="00090ED6">
            <w:pPr>
              <w:jc w:val="right"/>
              <w:rPr>
                <w:rFonts w:ascii="Calibri" w:hAnsi="Calibri"/>
                <w:color w:val="000000"/>
                <w:lang w:eastAsia="en-GB"/>
              </w:rPr>
            </w:pPr>
            <w:r>
              <w:rPr>
                <w:rFonts w:ascii="Calibri" w:hAnsi="Calibri"/>
                <w:color w:val="000000"/>
                <w:lang w:eastAsia="en-GB"/>
              </w:rPr>
              <w:t>162</w:t>
            </w:r>
          </w:p>
        </w:tc>
      </w:tr>
      <w:tr w:rsidR="00090ED6" w:rsidRPr="00090ED6" w14:paraId="14BFF3A1" w14:textId="77777777" w:rsidTr="00090ED6">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18613ED7" w14:textId="77777777" w:rsidR="00090ED6" w:rsidRPr="007277DD" w:rsidRDefault="00090ED6" w:rsidP="00090ED6">
            <w:pPr>
              <w:rPr>
                <w:rFonts w:ascii="Calibri" w:hAnsi="Calibri"/>
                <w:lang w:eastAsia="en-GB"/>
              </w:rPr>
            </w:pPr>
            <w:r w:rsidRPr="007277DD">
              <w:rPr>
                <w:rFonts w:ascii="Calibri" w:hAnsi="Calibri"/>
                <w:lang w:eastAsia="en-GB"/>
              </w:rPr>
              <w:t>Direct Operating Expense arising from Investment Property</w:t>
            </w:r>
          </w:p>
        </w:tc>
        <w:tc>
          <w:tcPr>
            <w:tcW w:w="1600" w:type="dxa"/>
            <w:tcBorders>
              <w:top w:val="nil"/>
              <w:left w:val="nil"/>
              <w:bottom w:val="single" w:sz="4" w:space="0" w:color="FFFFFF"/>
              <w:right w:val="single" w:sz="4" w:space="0" w:color="FFFFFF"/>
            </w:tcBorders>
            <w:shd w:val="clear" w:color="000000" w:fill="FDE9D9"/>
            <w:noWrap/>
            <w:vAlign w:val="center"/>
            <w:hideMark/>
          </w:tcPr>
          <w:p w14:paraId="65B48D27" w14:textId="39AB5A22" w:rsidR="00090ED6" w:rsidRPr="007277DD" w:rsidRDefault="00090ED6" w:rsidP="00C62A3D">
            <w:pPr>
              <w:jc w:val="right"/>
              <w:rPr>
                <w:rFonts w:ascii="Calibri" w:hAnsi="Calibri"/>
                <w:lang w:eastAsia="en-GB"/>
              </w:rPr>
            </w:pPr>
            <w:r w:rsidRPr="007277DD">
              <w:rPr>
                <w:rFonts w:ascii="Calibri" w:hAnsi="Calibri"/>
                <w:lang w:eastAsia="en-GB"/>
              </w:rPr>
              <w:t> </w:t>
            </w:r>
            <w:r w:rsidR="00114166">
              <w:rPr>
                <w:rFonts w:ascii="Calibri" w:hAnsi="Calibri"/>
                <w:lang w:eastAsia="en-GB"/>
              </w:rPr>
              <w:t>-</w:t>
            </w:r>
            <w:r w:rsidR="00C10FB0">
              <w:rPr>
                <w:rFonts w:ascii="Calibri" w:hAnsi="Calibri"/>
                <w:lang w:eastAsia="en-GB"/>
              </w:rPr>
              <w:t>1</w:t>
            </w:r>
            <w:r w:rsidR="00CD7824">
              <w:rPr>
                <w:rFonts w:ascii="Calibri" w:hAnsi="Calibri"/>
                <w:lang w:eastAsia="en-GB"/>
              </w:rPr>
              <w:t>2</w:t>
            </w:r>
          </w:p>
        </w:tc>
        <w:tc>
          <w:tcPr>
            <w:tcW w:w="1520" w:type="dxa"/>
            <w:tcBorders>
              <w:top w:val="nil"/>
              <w:left w:val="nil"/>
              <w:bottom w:val="single" w:sz="4" w:space="0" w:color="FFFFFF"/>
              <w:right w:val="single" w:sz="4" w:space="0" w:color="FFFFFF"/>
            </w:tcBorders>
            <w:shd w:val="clear" w:color="000000" w:fill="FDE9D9"/>
            <w:noWrap/>
            <w:vAlign w:val="center"/>
          </w:tcPr>
          <w:p w14:paraId="5A980335" w14:textId="0F0F69E8" w:rsidR="00090ED6" w:rsidRPr="007277DD" w:rsidRDefault="00757D70" w:rsidP="00E8374E">
            <w:pPr>
              <w:jc w:val="right"/>
              <w:rPr>
                <w:rFonts w:ascii="Calibri" w:hAnsi="Calibri"/>
                <w:lang w:eastAsia="en-GB"/>
              </w:rPr>
            </w:pPr>
            <w:r>
              <w:rPr>
                <w:rFonts w:ascii="Calibri" w:hAnsi="Calibri"/>
                <w:lang w:eastAsia="en-GB"/>
              </w:rPr>
              <w:t>-10</w:t>
            </w:r>
          </w:p>
        </w:tc>
      </w:tr>
      <w:tr w:rsidR="00722B6D" w:rsidRPr="00090ED6" w14:paraId="62F868A2" w14:textId="77777777" w:rsidTr="00090ED6">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tcPr>
          <w:p w14:paraId="22F22621" w14:textId="77777777" w:rsidR="00722B6D" w:rsidRPr="007277DD" w:rsidRDefault="00B620A6" w:rsidP="00090ED6">
            <w:pPr>
              <w:rPr>
                <w:rFonts w:ascii="Calibri" w:hAnsi="Calibri"/>
                <w:lang w:eastAsia="en-GB"/>
              </w:rPr>
            </w:pPr>
            <w:r>
              <w:rPr>
                <w:rFonts w:ascii="Calibri" w:hAnsi="Calibri"/>
                <w:lang w:eastAsia="en-GB"/>
              </w:rPr>
              <w:t>Total</w:t>
            </w:r>
            <w:r w:rsidR="00722B6D" w:rsidRPr="007277DD">
              <w:rPr>
                <w:rFonts w:ascii="Calibri" w:hAnsi="Calibri"/>
                <w:lang w:eastAsia="en-GB"/>
              </w:rPr>
              <w:t xml:space="preserve"> fair value adjustments </w:t>
            </w:r>
          </w:p>
        </w:tc>
        <w:tc>
          <w:tcPr>
            <w:tcW w:w="1600" w:type="dxa"/>
            <w:tcBorders>
              <w:top w:val="nil"/>
              <w:left w:val="nil"/>
              <w:bottom w:val="single" w:sz="4" w:space="0" w:color="FFFFFF"/>
              <w:right w:val="single" w:sz="4" w:space="0" w:color="FFFFFF"/>
            </w:tcBorders>
            <w:shd w:val="clear" w:color="000000" w:fill="FDE9D9"/>
            <w:noWrap/>
            <w:vAlign w:val="center"/>
          </w:tcPr>
          <w:p w14:paraId="3EAD9422" w14:textId="00403F46" w:rsidR="00722B6D" w:rsidRPr="007277DD" w:rsidRDefault="00CD7824" w:rsidP="00C62A3D">
            <w:pPr>
              <w:jc w:val="right"/>
              <w:rPr>
                <w:rFonts w:ascii="Calibri" w:hAnsi="Calibri"/>
                <w:lang w:eastAsia="en-GB"/>
              </w:rPr>
            </w:pPr>
            <w:r>
              <w:rPr>
                <w:rFonts w:ascii="Calibri" w:hAnsi="Calibri"/>
                <w:lang w:eastAsia="en-GB"/>
              </w:rPr>
              <w:t>-</w:t>
            </w:r>
            <w:r w:rsidR="00C10FB0">
              <w:rPr>
                <w:rFonts w:ascii="Calibri" w:hAnsi="Calibri"/>
                <w:lang w:eastAsia="en-GB"/>
              </w:rPr>
              <w:t>5</w:t>
            </w:r>
          </w:p>
        </w:tc>
        <w:tc>
          <w:tcPr>
            <w:tcW w:w="1520" w:type="dxa"/>
            <w:tcBorders>
              <w:top w:val="nil"/>
              <w:left w:val="nil"/>
              <w:bottom w:val="single" w:sz="4" w:space="0" w:color="FFFFFF"/>
              <w:right w:val="single" w:sz="4" w:space="0" w:color="FFFFFF"/>
            </w:tcBorders>
            <w:shd w:val="clear" w:color="000000" w:fill="FDE9D9"/>
            <w:noWrap/>
            <w:vAlign w:val="center"/>
          </w:tcPr>
          <w:p w14:paraId="2418B585" w14:textId="0FD6457E" w:rsidR="00722B6D" w:rsidRPr="007277DD" w:rsidRDefault="00757D70" w:rsidP="00090ED6">
            <w:pPr>
              <w:jc w:val="right"/>
              <w:rPr>
                <w:rFonts w:ascii="Calibri" w:hAnsi="Calibri"/>
                <w:lang w:eastAsia="en-GB"/>
              </w:rPr>
            </w:pPr>
            <w:r>
              <w:rPr>
                <w:rFonts w:ascii="Calibri" w:hAnsi="Calibri"/>
                <w:lang w:eastAsia="en-GB"/>
              </w:rPr>
              <w:t>21</w:t>
            </w:r>
          </w:p>
        </w:tc>
      </w:tr>
      <w:tr w:rsidR="00090ED6" w:rsidRPr="00090ED6" w14:paraId="28C12215" w14:textId="77777777" w:rsidTr="00090ED6">
        <w:trPr>
          <w:trHeight w:val="300"/>
        </w:trPr>
        <w:tc>
          <w:tcPr>
            <w:tcW w:w="5960" w:type="dxa"/>
            <w:tcBorders>
              <w:top w:val="nil"/>
              <w:left w:val="single" w:sz="4" w:space="0" w:color="FFFFFF"/>
              <w:bottom w:val="single" w:sz="4" w:space="0" w:color="FFFFFF"/>
              <w:right w:val="single" w:sz="4" w:space="0" w:color="FFFFFF"/>
            </w:tcBorders>
            <w:shd w:val="clear" w:color="000000" w:fill="FCD5B4"/>
            <w:noWrap/>
            <w:vAlign w:val="center"/>
            <w:hideMark/>
          </w:tcPr>
          <w:p w14:paraId="6ED30D54" w14:textId="77777777" w:rsidR="00090ED6" w:rsidRPr="00090ED6" w:rsidRDefault="00ED47CD" w:rsidP="00090ED6">
            <w:pPr>
              <w:rPr>
                <w:rFonts w:ascii="Calibri" w:hAnsi="Calibri"/>
                <w:b/>
                <w:bCs/>
                <w:color w:val="000000"/>
                <w:lang w:eastAsia="en-GB"/>
              </w:rPr>
            </w:pPr>
            <w:r>
              <w:rPr>
                <w:rFonts w:ascii="Calibri" w:hAnsi="Calibri"/>
                <w:b/>
                <w:bCs/>
                <w:color w:val="000000"/>
                <w:lang w:eastAsia="en-GB"/>
              </w:rPr>
              <w:t>Total</w:t>
            </w:r>
          </w:p>
        </w:tc>
        <w:tc>
          <w:tcPr>
            <w:tcW w:w="1600" w:type="dxa"/>
            <w:tcBorders>
              <w:top w:val="nil"/>
              <w:left w:val="nil"/>
              <w:bottom w:val="single" w:sz="4" w:space="0" w:color="FFFFFF"/>
              <w:right w:val="single" w:sz="4" w:space="0" w:color="FFFFFF"/>
            </w:tcBorders>
            <w:shd w:val="clear" w:color="000000" w:fill="FCD5B4"/>
            <w:noWrap/>
            <w:vAlign w:val="center"/>
            <w:hideMark/>
          </w:tcPr>
          <w:p w14:paraId="31B340BC" w14:textId="644A3CC1" w:rsidR="00090ED6" w:rsidRPr="00090ED6" w:rsidRDefault="00CD7824" w:rsidP="0060125D">
            <w:pPr>
              <w:jc w:val="right"/>
              <w:rPr>
                <w:rFonts w:ascii="Calibri" w:hAnsi="Calibri"/>
                <w:b/>
                <w:bCs/>
                <w:color w:val="000000"/>
                <w:lang w:eastAsia="en-GB"/>
              </w:rPr>
            </w:pPr>
            <w:r>
              <w:rPr>
                <w:rFonts w:ascii="Calibri" w:hAnsi="Calibri"/>
                <w:b/>
                <w:bCs/>
                <w:color w:val="000000"/>
                <w:lang w:eastAsia="en-GB"/>
              </w:rPr>
              <w:t>128</w:t>
            </w:r>
          </w:p>
        </w:tc>
        <w:tc>
          <w:tcPr>
            <w:tcW w:w="1520" w:type="dxa"/>
            <w:tcBorders>
              <w:top w:val="nil"/>
              <w:left w:val="nil"/>
              <w:bottom w:val="single" w:sz="4" w:space="0" w:color="FFFFFF"/>
              <w:right w:val="single" w:sz="4" w:space="0" w:color="FFFFFF"/>
            </w:tcBorders>
            <w:shd w:val="clear" w:color="000000" w:fill="FCD5B4"/>
            <w:noWrap/>
            <w:vAlign w:val="center"/>
          </w:tcPr>
          <w:p w14:paraId="44C73175" w14:textId="4F398732" w:rsidR="00090ED6" w:rsidRPr="00090ED6" w:rsidRDefault="00757D70" w:rsidP="00942E16">
            <w:pPr>
              <w:jc w:val="right"/>
              <w:rPr>
                <w:rFonts w:ascii="Calibri" w:hAnsi="Calibri"/>
                <w:b/>
                <w:bCs/>
                <w:color w:val="000000"/>
                <w:lang w:eastAsia="en-GB"/>
              </w:rPr>
            </w:pPr>
            <w:r>
              <w:rPr>
                <w:rFonts w:ascii="Calibri" w:hAnsi="Calibri"/>
                <w:b/>
                <w:bCs/>
                <w:color w:val="000000"/>
                <w:lang w:eastAsia="en-GB"/>
              </w:rPr>
              <w:t>173</w:t>
            </w:r>
          </w:p>
        </w:tc>
      </w:tr>
    </w:tbl>
    <w:p w14:paraId="14454B89" w14:textId="77777777" w:rsidR="00707761" w:rsidRDefault="00707761" w:rsidP="00707761">
      <w:pPr>
        <w:widowControl w:val="0"/>
        <w:tabs>
          <w:tab w:val="left" w:pos="709"/>
          <w:tab w:val="left" w:pos="7200"/>
          <w:tab w:val="left" w:pos="8460"/>
        </w:tabs>
        <w:rPr>
          <w:rFonts w:ascii="Arial" w:hAnsi="Arial" w:cs="Arial"/>
        </w:rPr>
      </w:pPr>
    </w:p>
    <w:p w14:paraId="416F7A52" w14:textId="77777777" w:rsidR="00707761" w:rsidRPr="00090ED6" w:rsidRDefault="00707761" w:rsidP="00707761">
      <w:pPr>
        <w:widowControl w:val="0"/>
        <w:tabs>
          <w:tab w:val="left" w:pos="709"/>
          <w:tab w:val="left" w:pos="7200"/>
          <w:tab w:val="left" w:pos="8460"/>
        </w:tabs>
        <w:jc w:val="both"/>
        <w:rPr>
          <w:rFonts w:asciiTheme="minorHAnsi" w:hAnsiTheme="minorHAnsi" w:cs="Arial"/>
          <w:sz w:val="22"/>
          <w:szCs w:val="22"/>
        </w:rPr>
      </w:pPr>
      <w:r w:rsidRPr="00090ED6">
        <w:rPr>
          <w:rFonts w:asciiTheme="minorHAnsi" w:hAnsiTheme="minorHAnsi" w:cs="Arial"/>
          <w:sz w:val="22"/>
          <w:szCs w:val="22"/>
        </w:rPr>
        <w:t>There are no restrictions on the Council’s ability to realise the value inherent in its investment property or on the Council’s right to the remittance of income and the proceeds of disposal.  The Council has no contractual obligations to purchase, construct or develop investment property or carry out internal repairs, maintenance or enhancement.</w:t>
      </w:r>
    </w:p>
    <w:p w14:paraId="6CB4746D" w14:textId="77777777" w:rsidR="00707761" w:rsidRDefault="00707761" w:rsidP="00707761">
      <w:pPr>
        <w:widowControl w:val="0"/>
        <w:tabs>
          <w:tab w:val="left" w:pos="709"/>
          <w:tab w:val="left" w:pos="7200"/>
          <w:tab w:val="left" w:pos="8460"/>
        </w:tabs>
        <w:jc w:val="both"/>
        <w:rPr>
          <w:rFonts w:asciiTheme="minorHAnsi" w:hAnsiTheme="minorHAnsi" w:cs="Arial"/>
          <w:sz w:val="22"/>
          <w:szCs w:val="22"/>
        </w:rPr>
      </w:pPr>
    </w:p>
    <w:p w14:paraId="61E3753A" w14:textId="77777777" w:rsidR="00707761" w:rsidRDefault="00707761" w:rsidP="00707761">
      <w:pPr>
        <w:widowControl w:val="0"/>
        <w:tabs>
          <w:tab w:val="left" w:pos="709"/>
          <w:tab w:val="left" w:pos="7200"/>
          <w:tab w:val="left" w:pos="8460"/>
        </w:tabs>
        <w:jc w:val="both"/>
        <w:rPr>
          <w:rFonts w:asciiTheme="minorHAnsi" w:hAnsiTheme="minorHAnsi" w:cs="Arial"/>
          <w:sz w:val="22"/>
          <w:szCs w:val="22"/>
        </w:rPr>
      </w:pPr>
      <w:r w:rsidRPr="00090ED6">
        <w:rPr>
          <w:rFonts w:asciiTheme="minorHAnsi" w:hAnsiTheme="minorHAnsi" w:cs="Arial"/>
          <w:sz w:val="22"/>
          <w:szCs w:val="22"/>
        </w:rPr>
        <w:t>The following table summarises the movement in the fair value of investment properties over the year:</w:t>
      </w:r>
    </w:p>
    <w:p w14:paraId="6E15272E" w14:textId="77777777" w:rsidR="00AF7BF0" w:rsidRDefault="00AF7BF0" w:rsidP="00707761">
      <w:pPr>
        <w:widowControl w:val="0"/>
        <w:tabs>
          <w:tab w:val="left" w:pos="709"/>
          <w:tab w:val="left" w:pos="7200"/>
          <w:tab w:val="left" w:pos="8460"/>
        </w:tabs>
        <w:jc w:val="both"/>
        <w:rPr>
          <w:rFonts w:asciiTheme="minorHAnsi" w:hAnsiTheme="minorHAnsi" w:cs="Arial"/>
          <w:sz w:val="22"/>
          <w:szCs w:val="22"/>
        </w:rPr>
      </w:pPr>
    </w:p>
    <w:tbl>
      <w:tblPr>
        <w:tblW w:w="9080" w:type="dxa"/>
        <w:tblInd w:w="93" w:type="dxa"/>
        <w:tblLook w:val="04A0" w:firstRow="1" w:lastRow="0" w:firstColumn="1" w:lastColumn="0" w:noHBand="0" w:noVBand="1"/>
        <w:tblCaption w:val="Fair Value Investment Property movement in year"/>
        <w:tblDescription w:val="Fair Value Investment Property movement in year"/>
      </w:tblPr>
      <w:tblGrid>
        <w:gridCol w:w="5960"/>
        <w:gridCol w:w="1600"/>
        <w:gridCol w:w="1520"/>
      </w:tblGrid>
      <w:tr w:rsidR="00090ED6" w:rsidRPr="00090ED6" w14:paraId="0A2CD505" w14:textId="77777777" w:rsidTr="00F367A2">
        <w:trPr>
          <w:cantSplit/>
          <w:trHeight w:val="300"/>
          <w:tblHeader/>
        </w:trPr>
        <w:tc>
          <w:tcPr>
            <w:tcW w:w="5960" w:type="dxa"/>
            <w:tcBorders>
              <w:top w:val="nil"/>
              <w:left w:val="nil"/>
              <w:bottom w:val="nil"/>
              <w:right w:val="nil"/>
            </w:tcBorders>
            <w:shd w:val="clear" w:color="000000" w:fill="FABF8F"/>
            <w:noWrap/>
            <w:vAlign w:val="center"/>
            <w:hideMark/>
          </w:tcPr>
          <w:p w14:paraId="3C8D0C3E"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w:t>
            </w:r>
          </w:p>
        </w:tc>
        <w:tc>
          <w:tcPr>
            <w:tcW w:w="160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0A1B7C2C" w14:textId="411634DF" w:rsidR="00090ED6" w:rsidRPr="00090ED6" w:rsidRDefault="00090ED6" w:rsidP="00C62A3D">
            <w:pPr>
              <w:jc w:val="right"/>
              <w:rPr>
                <w:rFonts w:ascii="Calibri" w:hAnsi="Calibri"/>
                <w:color w:val="000000"/>
                <w:lang w:eastAsia="en-GB"/>
              </w:rPr>
            </w:pPr>
            <w:r w:rsidRPr="00090ED6">
              <w:rPr>
                <w:rFonts w:ascii="Calibri" w:hAnsi="Calibri"/>
                <w:color w:val="000000"/>
                <w:lang w:eastAsia="en-GB"/>
              </w:rPr>
              <w:t>20</w:t>
            </w:r>
            <w:r w:rsidR="00C10FB0">
              <w:rPr>
                <w:rFonts w:ascii="Calibri" w:hAnsi="Calibri"/>
                <w:color w:val="000000"/>
                <w:lang w:eastAsia="en-GB"/>
              </w:rPr>
              <w:t>2</w:t>
            </w:r>
            <w:r w:rsidR="00CD7824">
              <w:rPr>
                <w:rFonts w:ascii="Calibri" w:hAnsi="Calibri"/>
                <w:color w:val="000000"/>
                <w:lang w:eastAsia="en-GB"/>
              </w:rPr>
              <w:t>1</w:t>
            </w:r>
            <w:r w:rsidRPr="00090ED6">
              <w:rPr>
                <w:rFonts w:ascii="Calibri" w:hAnsi="Calibri"/>
                <w:color w:val="000000"/>
                <w:lang w:eastAsia="en-GB"/>
              </w:rPr>
              <w:t>-</w:t>
            </w:r>
            <w:r w:rsidR="00C62A3D">
              <w:rPr>
                <w:rFonts w:ascii="Calibri" w:hAnsi="Calibri"/>
                <w:color w:val="000000"/>
                <w:lang w:eastAsia="en-GB"/>
              </w:rPr>
              <w:t>2</w:t>
            </w:r>
            <w:r w:rsidR="00CD7824">
              <w:rPr>
                <w:rFonts w:ascii="Calibri" w:hAnsi="Calibri"/>
                <w:color w:val="000000"/>
                <w:lang w:eastAsia="en-GB"/>
              </w:rPr>
              <w:t>2</w:t>
            </w:r>
          </w:p>
        </w:tc>
        <w:tc>
          <w:tcPr>
            <w:tcW w:w="1520" w:type="dxa"/>
            <w:tcBorders>
              <w:top w:val="single" w:sz="4" w:space="0" w:color="FFFFFF"/>
              <w:left w:val="nil"/>
              <w:bottom w:val="single" w:sz="4" w:space="0" w:color="FFFFFF"/>
              <w:right w:val="single" w:sz="4" w:space="0" w:color="FFFFFF"/>
            </w:tcBorders>
            <w:shd w:val="clear" w:color="000000" w:fill="FABF8F"/>
            <w:noWrap/>
            <w:vAlign w:val="center"/>
            <w:hideMark/>
          </w:tcPr>
          <w:p w14:paraId="5B7748B3" w14:textId="1ACA98AC" w:rsidR="00090ED6" w:rsidRPr="00090ED6" w:rsidRDefault="00090ED6" w:rsidP="00C62A3D">
            <w:pPr>
              <w:jc w:val="right"/>
              <w:rPr>
                <w:rFonts w:ascii="Calibri" w:hAnsi="Calibri"/>
                <w:color w:val="000000"/>
                <w:lang w:eastAsia="en-GB"/>
              </w:rPr>
            </w:pPr>
            <w:r w:rsidRPr="00090ED6">
              <w:rPr>
                <w:rFonts w:ascii="Calibri" w:hAnsi="Calibri"/>
                <w:color w:val="000000"/>
                <w:lang w:eastAsia="en-GB"/>
              </w:rPr>
              <w:t>20</w:t>
            </w:r>
            <w:r w:rsidR="00C62A3D">
              <w:rPr>
                <w:rFonts w:ascii="Calibri" w:hAnsi="Calibri"/>
                <w:color w:val="000000"/>
                <w:lang w:eastAsia="en-GB"/>
              </w:rPr>
              <w:t>2</w:t>
            </w:r>
            <w:r w:rsidR="00CD7824">
              <w:rPr>
                <w:rFonts w:ascii="Calibri" w:hAnsi="Calibri"/>
                <w:color w:val="000000"/>
                <w:lang w:eastAsia="en-GB"/>
              </w:rPr>
              <w:t>2</w:t>
            </w:r>
            <w:r w:rsidRPr="00090ED6">
              <w:rPr>
                <w:rFonts w:ascii="Calibri" w:hAnsi="Calibri"/>
                <w:color w:val="000000"/>
                <w:lang w:eastAsia="en-GB"/>
              </w:rPr>
              <w:t>-</w:t>
            </w:r>
            <w:r w:rsidR="00386594">
              <w:rPr>
                <w:rFonts w:ascii="Calibri" w:hAnsi="Calibri"/>
                <w:color w:val="000000"/>
                <w:lang w:eastAsia="en-GB"/>
              </w:rPr>
              <w:t>2</w:t>
            </w:r>
            <w:r w:rsidR="00CD7824">
              <w:rPr>
                <w:rFonts w:ascii="Calibri" w:hAnsi="Calibri"/>
                <w:color w:val="000000"/>
                <w:lang w:eastAsia="en-GB"/>
              </w:rPr>
              <w:t>3</w:t>
            </w:r>
          </w:p>
        </w:tc>
      </w:tr>
      <w:tr w:rsidR="00090ED6" w:rsidRPr="00090ED6" w14:paraId="6097F89F" w14:textId="77777777" w:rsidTr="00090ED6">
        <w:trPr>
          <w:trHeight w:val="300"/>
        </w:trPr>
        <w:tc>
          <w:tcPr>
            <w:tcW w:w="5960" w:type="dxa"/>
            <w:tcBorders>
              <w:top w:val="nil"/>
              <w:left w:val="nil"/>
              <w:bottom w:val="nil"/>
              <w:right w:val="nil"/>
            </w:tcBorders>
            <w:shd w:val="clear" w:color="000000" w:fill="FABF8F"/>
            <w:noWrap/>
            <w:vAlign w:val="center"/>
            <w:hideMark/>
          </w:tcPr>
          <w:p w14:paraId="74F4DA0F"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w:t>
            </w:r>
          </w:p>
        </w:tc>
        <w:tc>
          <w:tcPr>
            <w:tcW w:w="1600" w:type="dxa"/>
            <w:tcBorders>
              <w:top w:val="nil"/>
              <w:left w:val="single" w:sz="4" w:space="0" w:color="FFFFFF"/>
              <w:bottom w:val="single" w:sz="4" w:space="0" w:color="FFFFFF"/>
              <w:right w:val="single" w:sz="4" w:space="0" w:color="FFFFFF"/>
            </w:tcBorders>
            <w:shd w:val="clear" w:color="000000" w:fill="FABF8F"/>
            <w:noWrap/>
            <w:vAlign w:val="center"/>
            <w:hideMark/>
          </w:tcPr>
          <w:p w14:paraId="705E68F5"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£’000</w:t>
            </w:r>
          </w:p>
        </w:tc>
        <w:tc>
          <w:tcPr>
            <w:tcW w:w="1520" w:type="dxa"/>
            <w:tcBorders>
              <w:top w:val="nil"/>
              <w:left w:val="nil"/>
              <w:bottom w:val="single" w:sz="4" w:space="0" w:color="FFFFFF"/>
              <w:right w:val="single" w:sz="4" w:space="0" w:color="FFFFFF"/>
            </w:tcBorders>
            <w:shd w:val="clear" w:color="000000" w:fill="FABF8F"/>
            <w:noWrap/>
            <w:vAlign w:val="center"/>
            <w:hideMark/>
          </w:tcPr>
          <w:p w14:paraId="70ED746A"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£’000</w:t>
            </w:r>
          </w:p>
        </w:tc>
      </w:tr>
      <w:tr w:rsidR="00090ED6" w:rsidRPr="00090ED6" w14:paraId="0E132A32" w14:textId="77777777" w:rsidTr="00090ED6">
        <w:trPr>
          <w:trHeight w:val="300"/>
        </w:trPr>
        <w:tc>
          <w:tcPr>
            <w:tcW w:w="5960" w:type="dxa"/>
            <w:tcBorders>
              <w:top w:val="single" w:sz="4" w:space="0" w:color="FFFFFF"/>
              <w:left w:val="single" w:sz="4" w:space="0" w:color="FFFFFF"/>
              <w:bottom w:val="single" w:sz="4" w:space="0" w:color="FFFFFF"/>
              <w:right w:val="single" w:sz="4" w:space="0" w:color="FFFFFF"/>
            </w:tcBorders>
            <w:shd w:val="clear" w:color="000000" w:fill="FCD5B4"/>
            <w:noWrap/>
            <w:vAlign w:val="center"/>
            <w:hideMark/>
          </w:tcPr>
          <w:p w14:paraId="4129DE2D" w14:textId="77777777" w:rsidR="00090ED6" w:rsidRPr="00090ED6" w:rsidRDefault="00090ED6" w:rsidP="00090ED6">
            <w:pPr>
              <w:rPr>
                <w:rFonts w:ascii="Calibri" w:hAnsi="Calibri"/>
                <w:b/>
                <w:bCs/>
                <w:color w:val="000000"/>
                <w:lang w:eastAsia="en-GB"/>
              </w:rPr>
            </w:pPr>
            <w:r w:rsidRPr="00090ED6">
              <w:rPr>
                <w:rFonts w:ascii="Calibri" w:hAnsi="Calibri"/>
                <w:b/>
                <w:bCs/>
                <w:color w:val="000000"/>
                <w:lang w:eastAsia="en-GB"/>
              </w:rPr>
              <w:t>Balance at year start</w:t>
            </w:r>
          </w:p>
        </w:tc>
        <w:tc>
          <w:tcPr>
            <w:tcW w:w="1600" w:type="dxa"/>
            <w:tcBorders>
              <w:top w:val="nil"/>
              <w:left w:val="nil"/>
              <w:bottom w:val="single" w:sz="4" w:space="0" w:color="FFFFFF"/>
              <w:right w:val="single" w:sz="4" w:space="0" w:color="FFFFFF"/>
            </w:tcBorders>
            <w:shd w:val="clear" w:color="000000" w:fill="FCD5B4"/>
            <w:vAlign w:val="center"/>
            <w:hideMark/>
          </w:tcPr>
          <w:p w14:paraId="7E3D4C32" w14:textId="445BE906" w:rsidR="00090ED6" w:rsidRPr="00090ED6" w:rsidRDefault="00090ED6" w:rsidP="00C62A3D">
            <w:pPr>
              <w:jc w:val="right"/>
              <w:rPr>
                <w:rFonts w:ascii="Calibri" w:hAnsi="Calibri"/>
                <w:b/>
                <w:bCs/>
                <w:color w:val="000000"/>
                <w:lang w:eastAsia="en-GB"/>
              </w:rPr>
            </w:pPr>
            <w:r w:rsidRPr="00090ED6">
              <w:rPr>
                <w:rFonts w:ascii="Calibri" w:hAnsi="Calibri"/>
                <w:b/>
                <w:bCs/>
                <w:color w:val="000000"/>
                <w:lang w:eastAsia="en-GB"/>
              </w:rPr>
              <w:t>1,</w:t>
            </w:r>
            <w:r w:rsidR="00CD7824">
              <w:rPr>
                <w:rFonts w:ascii="Calibri" w:hAnsi="Calibri"/>
                <w:b/>
                <w:bCs/>
                <w:color w:val="000000"/>
                <w:lang w:eastAsia="en-GB"/>
              </w:rPr>
              <w:t>992</w:t>
            </w:r>
          </w:p>
        </w:tc>
        <w:tc>
          <w:tcPr>
            <w:tcW w:w="1520" w:type="dxa"/>
            <w:tcBorders>
              <w:top w:val="nil"/>
              <w:left w:val="nil"/>
              <w:bottom w:val="single" w:sz="4" w:space="0" w:color="FFFFFF"/>
              <w:right w:val="single" w:sz="4" w:space="0" w:color="FFFFFF"/>
            </w:tcBorders>
            <w:shd w:val="clear" w:color="000000" w:fill="FCD5B4"/>
            <w:noWrap/>
            <w:vAlign w:val="center"/>
            <w:hideMark/>
          </w:tcPr>
          <w:p w14:paraId="10A110EE" w14:textId="4C5966B0" w:rsidR="00090ED6" w:rsidRPr="00090ED6" w:rsidRDefault="00CD7824" w:rsidP="00C62A3D">
            <w:pPr>
              <w:jc w:val="right"/>
              <w:rPr>
                <w:rFonts w:ascii="Calibri" w:hAnsi="Calibri"/>
                <w:b/>
                <w:bCs/>
                <w:color w:val="000000"/>
                <w:lang w:eastAsia="en-GB"/>
              </w:rPr>
            </w:pPr>
            <w:r>
              <w:rPr>
                <w:rFonts w:ascii="Calibri" w:hAnsi="Calibri"/>
                <w:b/>
                <w:bCs/>
                <w:color w:val="000000"/>
                <w:lang w:eastAsia="en-GB"/>
              </w:rPr>
              <w:t>2</w:t>
            </w:r>
            <w:r w:rsidR="00090ED6" w:rsidRPr="00090ED6">
              <w:rPr>
                <w:rFonts w:ascii="Calibri" w:hAnsi="Calibri"/>
                <w:b/>
                <w:bCs/>
                <w:color w:val="000000"/>
                <w:lang w:eastAsia="en-GB"/>
              </w:rPr>
              <w:t>,</w:t>
            </w:r>
            <w:r>
              <w:rPr>
                <w:rFonts w:ascii="Calibri" w:hAnsi="Calibri"/>
                <w:b/>
                <w:bCs/>
                <w:color w:val="000000"/>
                <w:lang w:eastAsia="en-GB"/>
              </w:rPr>
              <w:t>143</w:t>
            </w:r>
          </w:p>
        </w:tc>
      </w:tr>
      <w:tr w:rsidR="00090ED6" w:rsidRPr="00090ED6" w14:paraId="400E4F56" w14:textId="77777777" w:rsidTr="00090ED6">
        <w:trPr>
          <w:trHeight w:val="300"/>
        </w:trPr>
        <w:tc>
          <w:tcPr>
            <w:tcW w:w="5960" w:type="dxa"/>
            <w:tcBorders>
              <w:top w:val="nil"/>
              <w:left w:val="nil"/>
              <w:bottom w:val="nil"/>
              <w:right w:val="nil"/>
            </w:tcBorders>
            <w:shd w:val="clear" w:color="000000" w:fill="FDE9D9"/>
            <w:noWrap/>
            <w:vAlign w:val="center"/>
            <w:hideMark/>
          </w:tcPr>
          <w:p w14:paraId="10466854"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Additions:</w:t>
            </w:r>
          </w:p>
        </w:tc>
        <w:tc>
          <w:tcPr>
            <w:tcW w:w="1600" w:type="dxa"/>
            <w:tcBorders>
              <w:top w:val="nil"/>
              <w:left w:val="nil"/>
              <w:bottom w:val="nil"/>
              <w:right w:val="nil"/>
            </w:tcBorders>
            <w:shd w:val="clear" w:color="000000" w:fill="FDE9D9"/>
            <w:vAlign w:val="center"/>
            <w:hideMark/>
          </w:tcPr>
          <w:p w14:paraId="781D1FC6"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 </w:t>
            </w:r>
          </w:p>
        </w:tc>
        <w:tc>
          <w:tcPr>
            <w:tcW w:w="1520" w:type="dxa"/>
            <w:tcBorders>
              <w:top w:val="nil"/>
              <w:left w:val="nil"/>
              <w:bottom w:val="nil"/>
              <w:right w:val="nil"/>
            </w:tcBorders>
            <w:shd w:val="clear" w:color="000000" w:fill="FDE9D9"/>
            <w:noWrap/>
            <w:vAlign w:val="center"/>
            <w:hideMark/>
          </w:tcPr>
          <w:p w14:paraId="1058F727"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 </w:t>
            </w:r>
          </w:p>
        </w:tc>
      </w:tr>
      <w:tr w:rsidR="00090ED6" w:rsidRPr="00090ED6" w14:paraId="4A6A02DD" w14:textId="77777777" w:rsidTr="00A112B8">
        <w:trPr>
          <w:trHeight w:val="300"/>
        </w:trPr>
        <w:tc>
          <w:tcPr>
            <w:tcW w:w="596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00066A9E"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  Purchase</w:t>
            </w:r>
          </w:p>
        </w:tc>
        <w:tc>
          <w:tcPr>
            <w:tcW w:w="1600" w:type="dxa"/>
            <w:tcBorders>
              <w:top w:val="single" w:sz="4" w:space="0" w:color="FFFFFF"/>
              <w:left w:val="nil"/>
              <w:bottom w:val="single" w:sz="4" w:space="0" w:color="FFFFFF"/>
              <w:right w:val="single" w:sz="4" w:space="0" w:color="FFFFFF"/>
            </w:tcBorders>
            <w:shd w:val="clear" w:color="000000" w:fill="FDE9D9"/>
            <w:noWrap/>
            <w:vAlign w:val="center"/>
            <w:hideMark/>
          </w:tcPr>
          <w:p w14:paraId="1134D0BF"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noWrap/>
            <w:vAlign w:val="center"/>
          </w:tcPr>
          <w:p w14:paraId="3238DC59" w14:textId="6D046D0B" w:rsidR="00C51386" w:rsidRPr="00090ED6" w:rsidRDefault="00757D70" w:rsidP="00C51386">
            <w:pPr>
              <w:jc w:val="right"/>
              <w:rPr>
                <w:rFonts w:ascii="Calibri" w:hAnsi="Calibri"/>
                <w:color w:val="000000"/>
                <w:lang w:eastAsia="en-GB"/>
              </w:rPr>
            </w:pPr>
            <w:r>
              <w:rPr>
                <w:rFonts w:ascii="Calibri" w:hAnsi="Calibri"/>
                <w:color w:val="000000"/>
                <w:lang w:eastAsia="en-GB"/>
              </w:rPr>
              <w:t>0</w:t>
            </w:r>
          </w:p>
        </w:tc>
      </w:tr>
      <w:tr w:rsidR="00090ED6" w:rsidRPr="00090ED6" w14:paraId="2E43C9C4"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5FFCB951"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  Construction</w:t>
            </w:r>
          </w:p>
        </w:tc>
        <w:tc>
          <w:tcPr>
            <w:tcW w:w="1600" w:type="dxa"/>
            <w:tcBorders>
              <w:top w:val="nil"/>
              <w:left w:val="nil"/>
              <w:bottom w:val="single" w:sz="4" w:space="0" w:color="FFFFFF"/>
              <w:right w:val="single" w:sz="4" w:space="0" w:color="FFFFFF"/>
            </w:tcBorders>
            <w:shd w:val="clear" w:color="000000" w:fill="FDE9D9"/>
            <w:noWrap/>
            <w:vAlign w:val="center"/>
            <w:hideMark/>
          </w:tcPr>
          <w:p w14:paraId="7D5E3AE1"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nil"/>
              <w:left w:val="nil"/>
              <w:bottom w:val="single" w:sz="4" w:space="0" w:color="FFFFFF"/>
              <w:right w:val="single" w:sz="4" w:space="0" w:color="FFFFFF"/>
            </w:tcBorders>
            <w:shd w:val="clear" w:color="000000" w:fill="FDE9D9"/>
            <w:noWrap/>
            <w:vAlign w:val="center"/>
          </w:tcPr>
          <w:p w14:paraId="2305BD81" w14:textId="5DD81DB4" w:rsidR="00090ED6" w:rsidRPr="00090ED6" w:rsidRDefault="00757D70" w:rsidP="00090ED6">
            <w:pPr>
              <w:jc w:val="right"/>
              <w:rPr>
                <w:rFonts w:ascii="Calibri" w:hAnsi="Calibri"/>
                <w:color w:val="000000"/>
                <w:lang w:eastAsia="en-GB"/>
              </w:rPr>
            </w:pPr>
            <w:r>
              <w:rPr>
                <w:rFonts w:ascii="Calibri" w:hAnsi="Calibri"/>
                <w:color w:val="000000"/>
                <w:lang w:eastAsia="en-GB"/>
              </w:rPr>
              <w:t>0</w:t>
            </w:r>
          </w:p>
        </w:tc>
      </w:tr>
      <w:tr w:rsidR="00090ED6" w:rsidRPr="00090ED6" w14:paraId="112739E4"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79A03E1D"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  Subsequent Expenditure</w:t>
            </w:r>
          </w:p>
        </w:tc>
        <w:tc>
          <w:tcPr>
            <w:tcW w:w="1600" w:type="dxa"/>
            <w:tcBorders>
              <w:top w:val="nil"/>
              <w:left w:val="nil"/>
              <w:bottom w:val="single" w:sz="4" w:space="0" w:color="FFFFFF"/>
              <w:right w:val="single" w:sz="4" w:space="0" w:color="FFFFFF"/>
            </w:tcBorders>
            <w:shd w:val="clear" w:color="000000" w:fill="FDE9D9"/>
            <w:noWrap/>
            <w:vAlign w:val="center"/>
            <w:hideMark/>
          </w:tcPr>
          <w:p w14:paraId="137BDD8B"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nil"/>
              <w:left w:val="nil"/>
              <w:bottom w:val="single" w:sz="4" w:space="0" w:color="FFFFFF"/>
              <w:right w:val="single" w:sz="4" w:space="0" w:color="FFFFFF"/>
            </w:tcBorders>
            <w:shd w:val="clear" w:color="000000" w:fill="FDE9D9"/>
            <w:noWrap/>
            <w:vAlign w:val="center"/>
          </w:tcPr>
          <w:p w14:paraId="11EECC7B" w14:textId="46F87302" w:rsidR="00090ED6" w:rsidRPr="00090ED6" w:rsidRDefault="00757D70" w:rsidP="00090ED6">
            <w:pPr>
              <w:jc w:val="right"/>
              <w:rPr>
                <w:rFonts w:ascii="Calibri" w:hAnsi="Calibri"/>
                <w:color w:val="000000"/>
                <w:lang w:eastAsia="en-GB"/>
              </w:rPr>
            </w:pPr>
            <w:r>
              <w:rPr>
                <w:rFonts w:ascii="Calibri" w:hAnsi="Calibri"/>
                <w:color w:val="000000"/>
                <w:lang w:eastAsia="en-GB"/>
              </w:rPr>
              <w:t>0</w:t>
            </w:r>
          </w:p>
        </w:tc>
      </w:tr>
      <w:tr w:rsidR="00090ED6" w:rsidRPr="00090ED6" w14:paraId="23309924"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28E4A3F1"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Disposals</w:t>
            </w:r>
          </w:p>
        </w:tc>
        <w:tc>
          <w:tcPr>
            <w:tcW w:w="1600" w:type="dxa"/>
            <w:tcBorders>
              <w:top w:val="nil"/>
              <w:left w:val="nil"/>
              <w:bottom w:val="single" w:sz="4" w:space="0" w:color="FFFFFF"/>
              <w:right w:val="single" w:sz="4" w:space="0" w:color="FFFFFF"/>
            </w:tcBorders>
            <w:shd w:val="clear" w:color="000000" w:fill="FDE9D9"/>
            <w:vAlign w:val="center"/>
            <w:hideMark/>
          </w:tcPr>
          <w:p w14:paraId="66720C4C"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nil"/>
              <w:left w:val="nil"/>
              <w:bottom w:val="single" w:sz="4" w:space="0" w:color="FFFFFF"/>
              <w:right w:val="single" w:sz="4" w:space="0" w:color="FFFFFF"/>
            </w:tcBorders>
            <w:shd w:val="clear" w:color="000000" w:fill="FDE9D9"/>
            <w:noWrap/>
            <w:vAlign w:val="center"/>
          </w:tcPr>
          <w:p w14:paraId="404E9ED8" w14:textId="4460EDCA" w:rsidR="00090ED6" w:rsidRPr="00090ED6" w:rsidRDefault="00757D70" w:rsidP="00090ED6">
            <w:pPr>
              <w:jc w:val="right"/>
              <w:rPr>
                <w:rFonts w:ascii="Calibri" w:hAnsi="Calibri"/>
                <w:color w:val="000000"/>
                <w:lang w:eastAsia="en-GB"/>
              </w:rPr>
            </w:pPr>
            <w:r>
              <w:rPr>
                <w:rFonts w:ascii="Calibri" w:hAnsi="Calibri"/>
                <w:color w:val="000000"/>
                <w:lang w:eastAsia="en-GB"/>
              </w:rPr>
              <w:t>0</w:t>
            </w:r>
          </w:p>
        </w:tc>
      </w:tr>
      <w:tr w:rsidR="00090ED6" w:rsidRPr="00090ED6" w14:paraId="7ABD49BB"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1A6FB74C"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Net gains/ losses from fair value adjustments</w:t>
            </w:r>
          </w:p>
        </w:tc>
        <w:tc>
          <w:tcPr>
            <w:tcW w:w="1600" w:type="dxa"/>
            <w:tcBorders>
              <w:top w:val="nil"/>
              <w:left w:val="nil"/>
              <w:bottom w:val="single" w:sz="4" w:space="0" w:color="FFFFFF"/>
              <w:right w:val="single" w:sz="4" w:space="0" w:color="FFFFFF"/>
            </w:tcBorders>
            <w:shd w:val="clear" w:color="000000" w:fill="FDE9D9"/>
            <w:vAlign w:val="center"/>
            <w:hideMark/>
          </w:tcPr>
          <w:p w14:paraId="4AD7A172" w14:textId="18D8C250" w:rsidR="00090ED6" w:rsidRPr="00090ED6" w:rsidRDefault="00CD7824" w:rsidP="00386594">
            <w:pPr>
              <w:jc w:val="right"/>
              <w:rPr>
                <w:rFonts w:ascii="Calibri" w:hAnsi="Calibri"/>
                <w:color w:val="000000"/>
                <w:lang w:eastAsia="en-GB"/>
              </w:rPr>
            </w:pPr>
            <w:r>
              <w:rPr>
                <w:rFonts w:ascii="Calibri" w:hAnsi="Calibri"/>
                <w:color w:val="000000"/>
                <w:lang w:eastAsia="en-GB"/>
              </w:rPr>
              <w:t>-5</w:t>
            </w:r>
          </w:p>
        </w:tc>
        <w:tc>
          <w:tcPr>
            <w:tcW w:w="1520" w:type="dxa"/>
            <w:tcBorders>
              <w:top w:val="nil"/>
              <w:left w:val="nil"/>
              <w:bottom w:val="single" w:sz="4" w:space="0" w:color="FFFFFF"/>
              <w:right w:val="single" w:sz="4" w:space="0" w:color="FFFFFF"/>
            </w:tcBorders>
            <w:shd w:val="clear" w:color="000000" w:fill="FDE9D9"/>
            <w:noWrap/>
            <w:vAlign w:val="center"/>
          </w:tcPr>
          <w:p w14:paraId="4D596D27" w14:textId="4DFA3AA6" w:rsidR="00090ED6" w:rsidRPr="00090ED6" w:rsidRDefault="007A13A3" w:rsidP="00090ED6">
            <w:pPr>
              <w:jc w:val="right"/>
              <w:rPr>
                <w:rFonts w:ascii="Calibri" w:hAnsi="Calibri"/>
                <w:color w:val="000000"/>
                <w:lang w:eastAsia="en-GB"/>
              </w:rPr>
            </w:pPr>
            <w:r>
              <w:rPr>
                <w:rFonts w:ascii="Calibri" w:hAnsi="Calibri"/>
                <w:color w:val="000000"/>
                <w:lang w:eastAsia="en-GB"/>
              </w:rPr>
              <w:t>21</w:t>
            </w:r>
          </w:p>
        </w:tc>
      </w:tr>
      <w:tr w:rsidR="00090ED6" w:rsidRPr="00090ED6" w14:paraId="0CE475F4" w14:textId="77777777" w:rsidTr="00A112B8">
        <w:trPr>
          <w:trHeight w:val="300"/>
        </w:trPr>
        <w:tc>
          <w:tcPr>
            <w:tcW w:w="5960" w:type="dxa"/>
            <w:tcBorders>
              <w:top w:val="nil"/>
              <w:left w:val="nil"/>
              <w:bottom w:val="nil"/>
              <w:right w:val="nil"/>
            </w:tcBorders>
            <w:shd w:val="clear" w:color="000000" w:fill="FDE9D9"/>
            <w:noWrap/>
            <w:vAlign w:val="center"/>
            <w:hideMark/>
          </w:tcPr>
          <w:p w14:paraId="4AC27F99"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Transfers:</w:t>
            </w:r>
          </w:p>
        </w:tc>
        <w:tc>
          <w:tcPr>
            <w:tcW w:w="1600" w:type="dxa"/>
            <w:tcBorders>
              <w:top w:val="nil"/>
              <w:left w:val="nil"/>
              <w:bottom w:val="nil"/>
              <w:right w:val="nil"/>
            </w:tcBorders>
            <w:shd w:val="clear" w:color="000000" w:fill="FDE9D9"/>
            <w:vAlign w:val="center"/>
            <w:hideMark/>
          </w:tcPr>
          <w:p w14:paraId="22A5E361"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 </w:t>
            </w:r>
          </w:p>
        </w:tc>
        <w:tc>
          <w:tcPr>
            <w:tcW w:w="1520" w:type="dxa"/>
            <w:tcBorders>
              <w:top w:val="nil"/>
              <w:left w:val="nil"/>
              <w:bottom w:val="nil"/>
              <w:right w:val="nil"/>
            </w:tcBorders>
            <w:shd w:val="clear" w:color="000000" w:fill="FDE9D9"/>
            <w:noWrap/>
            <w:vAlign w:val="center"/>
          </w:tcPr>
          <w:p w14:paraId="5110CF10" w14:textId="77777777" w:rsidR="00090ED6" w:rsidRPr="00090ED6" w:rsidRDefault="00090ED6" w:rsidP="00090ED6">
            <w:pPr>
              <w:jc w:val="right"/>
              <w:rPr>
                <w:rFonts w:ascii="Calibri" w:hAnsi="Calibri"/>
                <w:color w:val="000000"/>
                <w:lang w:eastAsia="en-GB"/>
              </w:rPr>
            </w:pPr>
          </w:p>
        </w:tc>
      </w:tr>
      <w:tr w:rsidR="00090ED6" w:rsidRPr="00090ED6" w14:paraId="04FC1E47" w14:textId="77777777" w:rsidTr="00A112B8">
        <w:trPr>
          <w:trHeight w:val="300"/>
        </w:trPr>
        <w:tc>
          <w:tcPr>
            <w:tcW w:w="596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338DBCA7"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  to/from inventories</w:t>
            </w:r>
          </w:p>
        </w:tc>
        <w:tc>
          <w:tcPr>
            <w:tcW w:w="1600" w:type="dxa"/>
            <w:tcBorders>
              <w:top w:val="single" w:sz="4" w:space="0" w:color="FFFFFF"/>
              <w:left w:val="nil"/>
              <w:bottom w:val="single" w:sz="4" w:space="0" w:color="FFFFFF"/>
              <w:right w:val="single" w:sz="4" w:space="0" w:color="FFFFFF"/>
            </w:tcBorders>
            <w:shd w:val="clear" w:color="000000" w:fill="FDE9D9"/>
            <w:noWrap/>
            <w:vAlign w:val="center"/>
            <w:hideMark/>
          </w:tcPr>
          <w:p w14:paraId="5F8B102F"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noWrap/>
            <w:vAlign w:val="center"/>
          </w:tcPr>
          <w:p w14:paraId="74F8B9C8" w14:textId="558F44F5" w:rsidR="00090ED6" w:rsidRPr="00090ED6" w:rsidRDefault="00757D70" w:rsidP="00090ED6">
            <w:pPr>
              <w:jc w:val="right"/>
              <w:rPr>
                <w:rFonts w:ascii="Calibri" w:hAnsi="Calibri"/>
                <w:color w:val="000000"/>
                <w:lang w:eastAsia="en-GB"/>
              </w:rPr>
            </w:pPr>
            <w:r>
              <w:rPr>
                <w:rFonts w:ascii="Calibri" w:hAnsi="Calibri"/>
                <w:color w:val="000000"/>
                <w:lang w:eastAsia="en-GB"/>
              </w:rPr>
              <w:t>0</w:t>
            </w:r>
          </w:p>
        </w:tc>
      </w:tr>
      <w:tr w:rsidR="00090ED6" w:rsidRPr="00090ED6" w14:paraId="12C696C3"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57223D91"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  to/from property, plant and equipment</w:t>
            </w:r>
          </w:p>
        </w:tc>
        <w:tc>
          <w:tcPr>
            <w:tcW w:w="1600" w:type="dxa"/>
            <w:tcBorders>
              <w:top w:val="nil"/>
              <w:left w:val="nil"/>
              <w:bottom w:val="single" w:sz="4" w:space="0" w:color="FFFFFF"/>
              <w:right w:val="single" w:sz="4" w:space="0" w:color="FFFFFF"/>
            </w:tcBorders>
            <w:shd w:val="clear" w:color="000000" w:fill="FDE9D9"/>
            <w:noWrap/>
            <w:vAlign w:val="center"/>
            <w:hideMark/>
          </w:tcPr>
          <w:p w14:paraId="57A0D138" w14:textId="3EBB865C" w:rsidR="00090ED6" w:rsidRPr="00090ED6" w:rsidRDefault="00CD7824" w:rsidP="00C62A3D">
            <w:pPr>
              <w:jc w:val="right"/>
              <w:rPr>
                <w:rFonts w:ascii="Calibri" w:hAnsi="Calibri"/>
                <w:color w:val="000000"/>
                <w:lang w:eastAsia="en-GB"/>
              </w:rPr>
            </w:pPr>
            <w:r>
              <w:rPr>
                <w:rFonts w:ascii="Calibri" w:hAnsi="Calibri"/>
                <w:color w:val="000000"/>
                <w:lang w:eastAsia="en-GB"/>
              </w:rPr>
              <w:t>156</w:t>
            </w:r>
          </w:p>
        </w:tc>
        <w:tc>
          <w:tcPr>
            <w:tcW w:w="1520" w:type="dxa"/>
            <w:tcBorders>
              <w:top w:val="nil"/>
              <w:left w:val="nil"/>
              <w:bottom w:val="single" w:sz="4" w:space="0" w:color="FFFFFF"/>
              <w:right w:val="single" w:sz="4" w:space="0" w:color="FFFFFF"/>
            </w:tcBorders>
            <w:shd w:val="clear" w:color="000000" w:fill="FDE9D9"/>
            <w:noWrap/>
            <w:vAlign w:val="center"/>
          </w:tcPr>
          <w:p w14:paraId="4F87409D" w14:textId="36D00A72" w:rsidR="00090ED6" w:rsidRPr="00090ED6" w:rsidRDefault="007A13A3" w:rsidP="00090ED6">
            <w:pPr>
              <w:jc w:val="right"/>
              <w:rPr>
                <w:rFonts w:ascii="Calibri" w:hAnsi="Calibri"/>
                <w:color w:val="000000"/>
                <w:lang w:eastAsia="en-GB"/>
              </w:rPr>
            </w:pPr>
            <w:r>
              <w:rPr>
                <w:rFonts w:ascii="Calibri" w:hAnsi="Calibri"/>
                <w:color w:val="000000"/>
                <w:lang w:eastAsia="en-GB"/>
              </w:rPr>
              <w:t>-139</w:t>
            </w:r>
          </w:p>
        </w:tc>
      </w:tr>
      <w:tr w:rsidR="00090ED6" w:rsidRPr="00090ED6" w14:paraId="6C6632D5"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DE9D9"/>
            <w:noWrap/>
            <w:vAlign w:val="center"/>
            <w:hideMark/>
          </w:tcPr>
          <w:p w14:paraId="67927481" w14:textId="77777777" w:rsidR="00090ED6" w:rsidRPr="00090ED6" w:rsidRDefault="00090ED6" w:rsidP="00090ED6">
            <w:pPr>
              <w:rPr>
                <w:rFonts w:ascii="Calibri" w:hAnsi="Calibri"/>
                <w:color w:val="000000"/>
                <w:lang w:eastAsia="en-GB"/>
              </w:rPr>
            </w:pPr>
            <w:r w:rsidRPr="00090ED6">
              <w:rPr>
                <w:rFonts w:ascii="Calibri" w:hAnsi="Calibri"/>
                <w:color w:val="000000"/>
                <w:lang w:eastAsia="en-GB"/>
              </w:rPr>
              <w:t xml:space="preserve">Other Changes </w:t>
            </w:r>
          </w:p>
        </w:tc>
        <w:tc>
          <w:tcPr>
            <w:tcW w:w="1600" w:type="dxa"/>
            <w:tcBorders>
              <w:top w:val="nil"/>
              <w:left w:val="nil"/>
              <w:bottom w:val="single" w:sz="4" w:space="0" w:color="FFFFFF"/>
              <w:right w:val="single" w:sz="4" w:space="0" w:color="FFFFFF"/>
            </w:tcBorders>
            <w:shd w:val="clear" w:color="000000" w:fill="FDE9D9"/>
            <w:vAlign w:val="center"/>
            <w:hideMark/>
          </w:tcPr>
          <w:p w14:paraId="788C6582" w14:textId="77777777" w:rsidR="00090ED6" w:rsidRPr="00090ED6" w:rsidRDefault="00090ED6" w:rsidP="00090ED6">
            <w:pPr>
              <w:jc w:val="right"/>
              <w:rPr>
                <w:rFonts w:ascii="Calibri" w:hAnsi="Calibri"/>
                <w:color w:val="000000"/>
                <w:lang w:eastAsia="en-GB"/>
              </w:rPr>
            </w:pPr>
            <w:r w:rsidRPr="00090ED6">
              <w:rPr>
                <w:rFonts w:ascii="Calibri" w:hAnsi="Calibri"/>
                <w:color w:val="000000"/>
                <w:lang w:eastAsia="en-GB"/>
              </w:rPr>
              <w:t>0</w:t>
            </w:r>
          </w:p>
        </w:tc>
        <w:tc>
          <w:tcPr>
            <w:tcW w:w="1520" w:type="dxa"/>
            <w:tcBorders>
              <w:top w:val="nil"/>
              <w:left w:val="nil"/>
              <w:bottom w:val="single" w:sz="4" w:space="0" w:color="FFFFFF"/>
              <w:right w:val="single" w:sz="4" w:space="0" w:color="FFFFFF"/>
            </w:tcBorders>
            <w:shd w:val="clear" w:color="000000" w:fill="FDE9D9"/>
            <w:noWrap/>
            <w:vAlign w:val="center"/>
          </w:tcPr>
          <w:p w14:paraId="3D1F149A" w14:textId="74555E64" w:rsidR="00090ED6" w:rsidRPr="00090ED6" w:rsidRDefault="00757D70" w:rsidP="00090ED6">
            <w:pPr>
              <w:jc w:val="right"/>
              <w:rPr>
                <w:rFonts w:ascii="Calibri" w:hAnsi="Calibri"/>
                <w:color w:val="000000"/>
                <w:lang w:eastAsia="en-GB"/>
              </w:rPr>
            </w:pPr>
            <w:r>
              <w:rPr>
                <w:rFonts w:ascii="Calibri" w:hAnsi="Calibri"/>
                <w:color w:val="000000"/>
                <w:lang w:eastAsia="en-GB"/>
              </w:rPr>
              <w:t>0</w:t>
            </w:r>
          </w:p>
        </w:tc>
      </w:tr>
      <w:tr w:rsidR="00090ED6" w:rsidRPr="00090ED6" w14:paraId="10369A1D" w14:textId="77777777" w:rsidTr="00A112B8">
        <w:trPr>
          <w:trHeight w:val="300"/>
        </w:trPr>
        <w:tc>
          <w:tcPr>
            <w:tcW w:w="5960" w:type="dxa"/>
            <w:tcBorders>
              <w:top w:val="nil"/>
              <w:left w:val="single" w:sz="4" w:space="0" w:color="FFFFFF"/>
              <w:bottom w:val="single" w:sz="4" w:space="0" w:color="FFFFFF"/>
              <w:right w:val="single" w:sz="4" w:space="0" w:color="FFFFFF"/>
            </w:tcBorders>
            <w:shd w:val="clear" w:color="000000" w:fill="FCD5B4"/>
            <w:noWrap/>
            <w:vAlign w:val="center"/>
            <w:hideMark/>
          </w:tcPr>
          <w:p w14:paraId="27B8FBE2" w14:textId="77777777" w:rsidR="00090ED6" w:rsidRPr="00090ED6" w:rsidRDefault="00090ED6" w:rsidP="00090ED6">
            <w:pPr>
              <w:rPr>
                <w:rFonts w:ascii="Calibri" w:hAnsi="Calibri"/>
                <w:b/>
                <w:bCs/>
                <w:color w:val="000000"/>
                <w:lang w:eastAsia="en-GB"/>
              </w:rPr>
            </w:pPr>
            <w:r w:rsidRPr="00090ED6">
              <w:rPr>
                <w:rFonts w:ascii="Calibri" w:hAnsi="Calibri"/>
                <w:b/>
                <w:bCs/>
                <w:color w:val="000000"/>
                <w:lang w:eastAsia="en-GB"/>
              </w:rPr>
              <w:t>Balance at Year End</w:t>
            </w:r>
          </w:p>
        </w:tc>
        <w:tc>
          <w:tcPr>
            <w:tcW w:w="1600" w:type="dxa"/>
            <w:tcBorders>
              <w:top w:val="nil"/>
              <w:left w:val="nil"/>
              <w:bottom w:val="single" w:sz="4" w:space="0" w:color="FFFFFF"/>
              <w:right w:val="single" w:sz="4" w:space="0" w:color="FFFFFF"/>
            </w:tcBorders>
            <w:shd w:val="clear" w:color="000000" w:fill="FCD5B4"/>
            <w:vAlign w:val="center"/>
            <w:hideMark/>
          </w:tcPr>
          <w:p w14:paraId="7EA3D328" w14:textId="12399127" w:rsidR="00090ED6" w:rsidRPr="00090ED6" w:rsidRDefault="00CD7824" w:rsidP="00386594">
            <w:pPr>
              <w:jc w:val="right"/>
              <w:rPr>
                <w:rFonts w:ascii="Calibri" w:hAnsi="Calibri"/>
                <w:b/>
                <w:bCs/>
                <w:color w:val="000000"/>
                <w:lang w:eastAsia="en-GB"/>
              </w:rPr>
            </w:pPr>
            <w:r>
              <w:rPr>
                <w:rFonts w:ascii="Calibri" w:hAnsi="Calibri"/>
                <w:b/>
                <w:bCs/>
                <w:color w:val="000000"/>
                <w:lang w:eastAsia="en-GB"/>
              </w:rPr>
              <w:t>2,143</w:t>
            </w:r>
          </w:p>
        </w:tc>
        <w:tc>
          <w:tcPr>
            <w:tcW w:w="1520" w:type="dxa"/>
            <w:tcBorders>
              <w:top w:val="nil"/>
              <w:left w:val="nil"/>
              <w:bottom w:val="single" w:sz="4" w:space="0" w:color="FFFFFF"/>
              <w:right w:val="single" w:sz="4" w:space="0" w:color="FFFFFF"/>
            </w:tcBorders>
            <w:shd w:val="clear" w:color="000000" w:fill="FCD5B4"/>
            <w:noWrap/>
            <w:vAlign w:val="center"/>
          </w:tcPr>
          <w:p w14:paraId="6DE89F5D" w14:textId="6F6D0ECB" w:rsidR="00090ED6" w:rsidRPr="00090ED6" w:rsidRDefault="007A13A3" w:rsidP="00090ED6">
            <w:pPr>
              <w:jc w:val="right"/>
              <w:rPr>
                <w:rFonts w:ascii="Calibri" w:hAnsi="Calibri"/>
                <w:b/>
                <w:bCs/>
                <w:color w:val="000000"/>
                <w:lang w:eastAsia="en-GB"/>
              </w:rPr>
            </w:pPr>
            <w:r>
              <w:rPr>
                <w:rFonts w:ascii="Calibri" w:hAnsi="Calibri"/>
                <w:b/>
                <w:bCs/>
                <w:color w:val="000000"/>
                <w:lang w:eastAsia="en-GB"/>
              </w:rPr>
              <w:t>2,025</w:t>
            </w:r>
          </w:p>
        </w:tc>
      </w:tr>
    </w:tbl>
    <w:p w14:paraId="19C31099" w14:textId="77777777" w:rsidR="00707761" w:rsidRDefault="00707761" w:rsidP="00707761">
      <w:pPr>
        <w:widowControl w:val="0"/>
        <w:tabs>
          <w:tab w:val="left" w:pos="709"/>
          <w:tab w:val="left" w:pos="7200"/>
          <w:tab w:val="left" w:pos="8460"/>
        </w:tabs>
        <w:ind w:left="567" w:hanging="567"/>
        <w:rPr>
          <w:rFonts w:ascii="Arial" w:hAnsi="Arial" w:cs="Arial"/>
          <w:b/>
        </w:rPr>
      </w:pPr>
    </w:p>
    <w:p w14:paraId="6B606AB0" w14:textId="77777777" w:rsidR="00707761" w:rsidRPr="00144AD5" w:rsidRDefault="00707761" w:rsidP="00707761">
      <w:pPr>
        <w:widowControl w:val="0"/>
        <w:tabs>
          <w:tab w:val="left" w:pos="709"/>
          <w:tab w:val="left" w:pos="7200"/>
          <w:tab w:val="left" w:pos="8460"/>
        </w:tabs>
        <w:ind w:left="567" w:hanging="567"/>
        <w:rPr>
          <w:rFonts w:asciiTheme="minorHAnsi" w:hAnsiTheme="minorHAnsi" w:cs="Arial"/>
          <w:b/>
          <w:sz w:val="24"/>
          <w:szCs w:val="24"/>
        </w:rPr>
      </w:pPr>
      <w:r w:rsidRPr="00144AD5">
        <w:rPr>
          <w:rFonts w:asciiTheme="minorHAnsi" w:hAnsiTheme="minorHAnsi" w:cs="Arial"/>
          <w:b/>
          <w:sz w:val="24"/>
          <w:szCs w:val="24"/>
        </w:rPr>
        <w:t>F</w:t>
      </w:r>
      <w:r w:rsidR="00090ED6" w:rsidRPr="00144AD5">
        <w:rPr>
          <w:rFonts w:asciiTheme="minorHAnsi" w:hAnsiTheme="minorHAnsi" w:cs="Arial"/>
          <w:b/>
          <w:sz w:val="24"/>
          <w:szCs w:val="24"/>
        </w:rPr>
        <w:t>air Value Measurement of Investment Property</w:t>
      </w:r>
    </w:p>
    <w:p w14:paraId="6CE9C91D" w14:textId="77777777" w:rsidR="00707761" w:rsidRDefault="00707761" w:rsidP="00707761">
      <w:pPr>
        <w:widowControl w:val="0"/>
        <w:tabs>
          <w:tab w:val="left" w:pos="709"/>
          <w:tab w:val="left" w:pos="7200"/>
          <w:tab w:val="left" w:pos="8460"/>
        </w:tabs>
        <w:ind w:left="567" w:hanging="567"/>
        <w:rPr>
          <w:rFonts w:ascii="Arial" w:hAnsi="Arial" w:cs="Arial"/>
          <w:b/>
        </w:rPr>
      </w:pPr>
    </w:p>
    <w:p w14:paraId="5FD53C05" w14:textId="77777777" w:rsidR="00707761" w:rsidRPr="00090ED6" w:rsidRDefault="00707761" w:rsidP="00707761">
      <w:pPr>
        <w:widowControl w:val="0"/>
        <w:tabs>
          <w:tab w:val="left" w:pos="709"/>
          <w:tab w:val="left" w:pos="7200"/>
          <w:tab w:val="left" w:pos="8460"/>
        </w:tabs>
        <w:ind w:left="567" w:hanging="567"/>
        <w:rPr>
          <w:rFonts w:asciiTheme="minorHAnsi" w:hAnsiTheme="minorHAnsi" w:cs="Arial"/>
          <w:b/>
          <w:sz w:val="24"/>
          <w:szCs w:val="24"/>
        </w:rPr>
      </w:pPr>
      <w:r w:rsidRPr="00090ED6">
        <w:rPr>
          <w:rFonts w:asciiTheme="minorHAnsi" w:hAnsiTheme="minorHAnsi" w:cs="Arial"/>
          <w:b/>
          <w:sz w:val="24"/>
          <w:szCs w:val="24"/>
        </w:rPr>
        <w:t>Fair Value Hierarchy</w:t>
      </w:r>
    </w:p>
    <w:p w14:paraId="126C679B" w14:textId="77777777" w:rsidR="00707761" w:rsidRDefault="00707761" w:rsidP="00707761">
      <w:pPr>
        <w:widowControl w:val="0"/>
        <w:tabs>
          <w:tab w:val="left" w:pos="709"/>
          <w:tab w:val="left" w:pos="7200"/>
          <w:tab w:val="left" w:pos="8460"/>
        </w:tabs>
        <w:ind w:left="567" w:hanging="567"/>
        <w:rPr>
          <w:rFonts w:ascii="Arial" w:hAnsi="Arial" w:cs="Arial"/>
          <w:b/>
        </w:rPr>
      </w:pPr>
    </w:p>
    <w:p w14:paraId="63CF6C57" w14:textId="6A36CD14" w:rsidR="00707761" w:rsidRDefault="00707761" w:rsidP="00707761">
      <w:pPr>
        <w:widowControl w:val="0"/>
        <w:tabs>
          <w:tab w:val="left" w:pos="709"/>
          <w:tab w:val="left" w:pos="7200"/>
          <w:tab w:val="left" w:pos="8460"/>
        </w:tabs>
        <w:rPr>
          <w:rFonts w:asciiTheme="minorHAnsi" w:hAnsiTheme="minorHAnsi" w:cs="Arial"/>
          <w:sz w:val="22"/>
          <w:szCs w:val="22"/>
        </w:rPr>
      </w:pPr>
      <w:r w:rsidRPr="00090ED6">
        <w:rPr>
          <w:rFonts w:asciiTheme="minorHAnsi" w:hAnsiTheme="minorHAnsi" w:cs="Arial"/>
          <w:sz w:val="22"/>
          <w:szCs w:val="22"/>
        </w:rPr>
        <w:t xml:space="preserve">Details of the Council’s investment properties and information about the fair value hierarchy as </w:t>
      </w:r>
      <w:proofErr w:type="gramStart"/>
      <w:r w:rsidRPr="00090ED6">
        <w:rPr>
          <w:rFonts w:asciiTheme="minorHAnsi" w:hAnsiTheme="minorHAnsi" w:cs="Arial"/>
          <w:sz w:val="22"/>
          <w:szCs w:val="22"/>
        </w:rPr>
        <w:t>at</w:t>
      </w:r>
      <w:proofErr w:type="gramEnd"/>
      <w:r w:rsidRPr="00090ED6">
        <w:rPr>
          <w:rFonts w:asciiTheme="minorHAnsi" w:hAnsiTheme="minorHAnsi" w:cs="Arial"/>
          <w:sz w:val="22"/>
          <w:szCs w:val="22"/>
        </w:rPr>
        <w:t xml:space="preserve"> 31 March 20</w:t>
      </w:r>
      <w:r w:rsidR="00C62A3D">
        <w:rPr>
          <w:rFonts w:asciiTheme="minorHAnsi" w:hAnsiTheme="minorHAnsi" w:cs="Arial"/>
          <w:sz w:val="22"/>
          <w:szCs w:val="22"/>
        </w:rPr>
        <w:t>2</w:t>
      </w:r>
      <w:r w:rsidR="00CD7824">
        <w:rPr>
          <w:rFonts w:asciiTheme="minorHAnsi" w:hAnsiTheme="minorHAnsi" w:cs="Arial"/>
          <w:sz w:val="22"/>
          <w:szCs w:val="22"/>
        </w:rPr>
        <w:t>3</w:t>
      </w:r>
      <w:r w:rsidRPr="00090ED6">
        <w:rPr>
          <w:rFonts w:asciiTheme="minorHAnsi" w:hAnsiTheme="minorHAnsi" w:cs="Arial"/>
          <w:sz w:val="22"/>
          <w:szCs w:val="22"/>
        </w:rPr>
        <w:t xml:space="preserve"> and 20</w:t>
      </w:r>
      <w:r w:rsidR="00C62A3D">
        <w:rPr>
          <w:rFonts w:asciiTheme="minorHAnsi" w:hAnsiTheme="minorHAnsi" w:cs="Arial"/>
          <w:sz w:val="22"/>
          <w:szCs w:val="22"/>
        </w:rPr>
        <w:t>2</w:t>
      </w:r>
      <w:r w:rsidR="00CD7824">
        <w:rPr>
          <w:rFonts w:asciiTheme="minorHAnsi" w:hAnsiTheme="minorHAnsi" w:cs="Arial"/>
          <w:sz w:val="22"/>
          <w:szCs w:val="22"/>
        </w:rPr>
        <w:t>2</w:t>
      </w:r>
      <w:r w:rsidRPr="00090ED6">
        <w:rPr>
          <w:rFonts w:asciiTheme="minorHAnsi" w:hAnsiTheme="minorHAnsi" w:cs="Arial"/>
          <w:sz w:val="22"/>
          <w:szCs w:val="22"/>
        </w:rPr>
        <w:t xml:space="preserve"> are as follows:</w:t>
      </w:r>
    </w:p>
    <w:p w14:paraId="59509628" w14:textId="039D6B47" w:rsidR="004A5167" w:rsidRDefault="004A5167" w:rsidP="00707761">
      <w:pPr>
        <w:widowControl w:val="0"/>
        <w:tabs>
          <w:tab w:val="left" w:pos="709"/>
          <w:tab w:val="left" w:pos="7200"/>
          <w:tab w:val="left" w:pos="8460"/>
        </w:tabs>
        <w:rPr>
          <w:rFonts w:asciiTheme="minorHAnsi" w:hAnsiTheme="minorHAnsi" w:cs="Arial"/>
          <w:sz w:val="22"/>
          <w:szCs w:val="22"/>
        </w:rPr>
      </w:pPr>
    </w:p>
    <w:tbl>
      <w:tblPr>
        <w:tblW w:w="9540" w:type="dxa"/>
        <w:tblInd w:w="93" w:type="dxa"/>
        <w:tblLook w:val="04A0" w:firstRow="1" w:lastRow="0" w:firstColumn="1" w:lastColumn="0" w:noHBand="0" w:noVBand="1"/>
        <w:tblCaption w:val="Fair Value Hiearchy 2"/>
        <w:tblDescription w:val="Fair Value Hierarchy of the Fair Value Measurement of Investment Property as at 31 March 2023"/>
      </w:tblPr>
      <w:tblGrid>
        <w:gridCol w:w="2480"/>
        <w:gridCol w:w="1780"/>
        <w:gridCol w:w="1760"/>
        <w:gridCol w:w="1740"/>
        <w:gridCol w:w="1780"/>
      </w:tblGrid>
      <w:tr w:rsidR="00FB1124" w:rsidRPr="00FB1124" w14:paraId="22D3C9D4" w14:textId="77777777" w:rsidTr="00F367A2">
        <w:trPr>
          <w:cantSplit/>
          <w:trHeight w:val="1020"/>
          <w:tblHeader/>
        </w:trPr>
        <w:tc>
          <w:tcPr>
            <w:tcW w:w="2480" w:type="dxa"/>
            <w:tcBorders>
              <w:top w:val="nil"/>
              <w:left w:val="nil"/>
              <w:bottom w:val="nil"/>
              <w:right w:val="nil"/>
            </w:tcBorders>
            <w:shd w:val="clear" w:color="000000" w:fill="FABF8F"/>
            <w:vAlign w:val="center"/>
            <w:hideMark/>
          </w:tcPr>
          <w:p w14:paraId="60EE9D27" w14:textId="77777777" w:rsidR="00FB1124" w:rsidRPr="00FB1124" w:rsidRDefault="00FB1124" w:rsidP="00FB1124">
            <w:pPr>
              <w:rPr>
                <w:rFonts w:ascii="Calibri" w:hAnsi="Calibri"/>
                <w:color w:val="000000"/>
                <w:lang w:eastAsia="en-GB"/>
              </w:rPr>
            </w:pPr>
            <w:bookmarkStart w:id="9" w:name="_Hlk106004285"/>
            <w:r w:rsidRPr="00FB1124">
              <w:rPr>
                <w:rFonts w:ascii="Calibri" w:hAnsi="Calibri"/>
                <w:color w:val="000000"/>
                <w:lang w:eastAsia="en-GB"/>
              </w:rPr>
              <w:t> </w:t>
            </w:r>
          </w:p>
        </w:tc>
        <w:tc>
          <w:tcPr>
            <w:tcW w:w="178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3D0FC473"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 xml:space="preserve">Quoted </w:t>
            </w:r>
            <w:proofErr w:type="gramStart"/>
            <w:r w:rsidRPr="00FB1124">
              <w:rPr>
                <w:rFonts w:ascii="Calibri" w:hAnsi="Calibri"/>
                <w:color w:val="000000"/>
                <w:lang w:eastAsia="en-GB"/>
              </w:rPr>
              <w:t>Prices</w:t>
            </w:r>
            <w:r>
              <w:rPr>
                <w:rFonts w:ascii="Calibri" w:hAnsi="Calibri"/>
                <w:color w:val="000000"/>
                <w:lang w:eastAsia="en-GB"/>
              </w:rPr>
              <w:t xml:space="preserve"> </w:t>
            </w:r>
            <w:r w:rsidRPr="00FB1124">
              <w:rPr>
                <w:rFonts w:ascii="Calibri" w:hAnsi="Calibri"/>
                <w:color w:val="000000"/>
                <w:lang w:eastAsia="en-GB"/>
              </w:rPr>
              <w:t xml:space="preserve"> in</w:t>
            </w:r>
            <w:proofErr w:type="gramEnd"/>
            <w:r w:rsidRPr="00FB1124">
              <w:rPr>
                <w:rFonts w:ascii="Calibri" w:hAnsi="Calibri"/>
                <w:color w:val="000000"/>
                <w:lang w:eastAsia="en-GB"/>
              </w:rPr>
              <w:t xml:space="preserve"> active markets for identical assets (Level 1)</w:t>
            </w:r>
          </w:p>
        </w:tc>
        <w:tc>
          <w:tcPr>
            <w:tcW w:w="1760" w:type="dxa"/>
            <w:tcBorders>
              <w:top w:val="single" w:sz="4" w:space="0" w:color="FFFFFF"/>
              <w:left w:val="nil"/>
              <w:bottom w:val="single" w:sz="4" w:space="0" w:color="FFFFFF"/>
              <w:right w:val="single" w:sz="4" w:space="0" w:color="FFFFFF"/>
            </w:tcBorders>
            <w:shd w:val="clear" w:color="000000" w:fill="FABF8F"/>
            <w:vAlign w:val="center"/>
            <w:hideMark/>
          </w:tcPr>
          <w:p w14:paraId="20F03D1B"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Other Significant Observable Inputs (Level 2)</w:t>
            </w:r>
          </w:p>
        </w:tc>
        <w:tc>
          <w:tcPr>
            <w:tcW w:w="1740" w:type="dxa"/>
            <w:tcBorders>
              <w:top w:val="single" w:sz="4" w:space="0" w:color="FFFFFF"/>
              <w:left w:val="nil"/>
              <w:bottom w:val="single" w:sz="4" w:space="0" w:color="FFFFFF"/>
              <w:right w:val="single" w:sz="4" w:space="0" w:color="FFFFFF"/>
            </w:tcBorders>
            <w:shd w:val="clear" w:color="000000" w:fill="FABF8F"/>
            <w:vAlign w:val="center"/>
            <w:hideMark/>
          </w:tcPr>
          <w:p w14:paraId="3B64F9AB"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Significant Unobservable Inputs (Level 3)</w:t>
            </w:r>
          </w:p>
        </w:tc>
        <w:tc>
          <w:tcPr>
            <w:tcW w:w="1780" w:type="dxa"/>
            <w:tcBorders>
              <w:top w:val="single" w:sz="4" w:space="0" w:color="FFFFFF"/>
              <w:left w:val="nil"/>
              <w:bottom w:val="single" w:sz="4" w:space="0" w:color="FFFFFF"/>
              <w:right w:val="single" w:sz="4" w:space="0" w:color="FFFFFF"/>
            </w:tcBorders>
            <w:shd w:val="clear" w:color="000000" w:fill="FABF8F"/>
            <w:vAlign w:val="center"/>
            <w:hideMark/>
          </w:tcPr>
          <w:p w14:paraId="2BCAEC30" w14:textId="18DB76CD" w:rsidR="00FB1124" w:rsidRPr="00FB1124" w:rsidRDefault="00FB1124" w:rsidP="00C62A3D">
            <w:pPr>
              <w:jc w:val="right"/>
              <w:rPr>
                <w:rFonts w:ascii="Calibri" w:hAnsi="Calibri"/>
                <w:color w:val="000000"/>
                <w:lang w:eastAsia="en-GB"/>
              </w:rPr>
            </w:pPr>
            <w:r w:rsidRPr="00FB1124">
              <w:rPr>
                <w:rFonts w:ascii="Calibri" w:hAnsi="Calibri"/>
                <w:color w:val="000000"/>
                <w:lang w:eastAsia="en-GB"/>
              </w:rPr>
              <w:t xml:space="preserve">Recurring Fair Value as </w:t>
            </w:r>
            <w:proofErr w:type="gramStart"/>
            <w:r w:rsidRPr="00FB1124">
              <w:rPr>
                <w:rFonts w:ascii="Calibri" w:hAnsi="Calibri"/>
                <w:color w:val="000000"/>
                <w:lang w:eastAsia="en-GB"/>
              </w:rPr>
              <w:t>at</w:t>
            </w:r>
            <w:proofErr w:type="gramEnd"/>
            <w:r w:rsidRPr="00FB1124">
              <w:rPr>
                <w:rFonts w:ascii="Calibri" w:hAnsi="Calibri"/>
                <w:color w:val="000000"/>
                <w:lang w:eastAsia="en-GB"/>
              </w:rPr>
              <w:t xml:space="preserve"> 31 March 20</w:t>
            </w:r>
            <w:r w:rsidR="00386594">
              <w:rPr>
                <w:rFonts w:ascii="Calibri" w:hAnsi="Calibri"/>
                <w:color w:val="000000"/>
                <w:lang w:eastAsia="en-GB"/>
              </w:rPr>
              <w:t>2</w:t>
            </w:r>
            <w:r w:rsidR="00CD7824">
              <w:rPr>
                <w:rFonts w:ascii="Calibri" w:hAnsi="Calibri"/>
                <w:color w:val="000000"/>
                <w:lang w:eastAsia="en-GB"/>
              </w:rPr>
              <w:t>3</w:t>
            </w:r>
          </w:p>
        </w:tc>
      </w:tr>
      <w:tr w:rsidR="00FB1124" w:rsidRPr="00FB1124" w14:paraId="1912934E" w14:textId="77777777" w:rsidTr="00FB1124">
        <w:trPr>
          <w:trHeight w:val="300"/>
        </w:trPr>
        <w:tc>
          <w:tcPr>
            <w:tcW w:w="2480" w:type="dxa"/>
            <w:tcBorders>
              <w:top w:val="nil"/>
              <w:left w:val="nil"/>
              <w:bottom w:val="nil"/>
              <w:right w:val="nil"/>
            </w:tcBorders>
            <w:shd w:val="clear" w:color="000000" w:fill="FABF8F"/>
            <w:vAlign w:val="center"/>
            <w:hideMark/>
          </w:tcPr>
          <w:p w14:paraId="31F27C12"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 </w:t>
            </w:r>
          </w:p>
        </w:tc>
        <w:tc>
          <w:tcPr>
            <w:tcW w:w="1780" w:type="dxa"/>
            <w:tcBorders>
              <w:top w:val="nil"/>
              <w:left w:val="single" w:sz="4" w:space="0" w:color="FFFFFF"/>
              <w:bottom w:val="single" w:sz="4" w:space="0" w:color="FFFFFF"/>
              <w:right w:val="single" w:sz="4" w:space="0" w:color="FFFFFF"/>
            </w:tcBorders>
            <w:shd w:val="clear" w:color="000000" w:fill="FABF8F"/>
            <w:vAlign w:val="center"/>
            <w:hideMark/>
          </w:tcPr>
          <w:p w14:paraId="3E8E7EE7"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60" w:type="dxa"/>
            <w:tcBorders>
              <w:top w:val="nil"/>
              <w:left w:val="nil"/>
              <w:bottom w:val="single" w:sz="4" w:space="0" w:color="FFFFFF"/>
              <w:right w:val="single" w:sz="4" w:space="0" w:color="FFFFFF"/>
            </w:tcBorders>
            <w:shd w:val="clear" w:color="000000" w:fill="FABF8F"/>
            <w:vAlign w:val="center"/>
            <w:hideMark/>
          </w:tcPr>
          <w:p w14:paraId="7BA73EE1"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40" w:type="dxa"/>
            <w:tcBorders>
              <w:top w:val="nil"/>
              <w:left w:val="nil"/>
              <w:bottom w:val="single" w:sz="4" w:space="0" w:color="FFFFFF"/>
              <w:right w:val="single" w:sz="4" w:space="0" w:color="FFFFFF"/>
            </w:tcBorders>
            <w:shd w:val="clear" w:color="000000" w:fill="FABF8F"/>
            <w:vAlign w:val="center"/>
            <w:hideMark/>
          </w:tcPr>
          <w:p w14:paraId="5A242B35"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80" w:type="dxa"/>
            <w:tcBorders>
              <w:top w:val="nil"/>
              <w:left w:val="nil"/>
              <w:bottom w:val="single" w:sz="4" w:space="0" w:color="FFFFFF"/>
              <w:right w:val="single" w:sz="4" w:space="0" w:color="FFFFFF"/>
            </w:tcBorders>
            <w:shd w:val="clear" w:color="000000" w:fill="FABF8F"/>
            <w:vAlign w:val="center"/>
            <w:hideMark/>
          </w:tcPr>
          <w:p w14:paraId="389A78A1"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r>
      <w:tr w:rsidR="00FB1124" w:rsidRPr="00FB1124" w14:paraId="71D1F4DC" w14:textId="77777777" w:rsidTr="00FB1124">
        <w:trPr>
          <w:trHeight w:val="510"/>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78A9D081"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Residential (Market Rental) Properties</w:t>
            </w:r>
          </w:p>
        </w:tc>
        <w:tc>
          <w:tcPr>
            <w:tcW w:w="1780" w:type="dxa"/>
            <w:tcBorders>
              <w:top w:val="nil"/>
              <w:left w:val="nil"/>
              <w:bottom w:val="single" w:sz="4" w:space="0" w:color="FFFFFF"/>
              <w:right w:val="single" w:sz="4" w:space="0" w:color="FFFFFF"/>
            </w:tcBorders>
            <w:shd w:val="clear" w:color="000000" w:fill="FDE9D9"/>
            <w:vAlign w:val="center"/>
          </w:tcPr>
          <w:p w14:paraId="25B0D568" w14:textId="40511A42" w:rsidR="00FB1124" w:rsidRPr="00FB1124" w:rsidRDefault="00C51386" w:rsidP="00FB1124">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0BF7CA08" w14:textId="45DD7DC1" w:rsidR="00FB1124" w:rsidRPr="00FB1124" w:rsidRDefault="007A13A3" w:rsidP="00FB1124">
            <w:pPr>
              <w:jc w:val="right"/>
              <w:rPr>
                <w:rFonts w:ascii="Calibri" w:hAnsi="Calibri"/>
                <w:color w:val="000000"/>
                <w:lang w:eastAsia="en-GB"/>
              </w:rPr>
            </w:pPr>
            <w:r>
              <w:rPr>
                <w:rFonts w:ascii="Calibri" w:hAnsi="Calibri"/>
                <w:color w:val="000000"/>
                <w:lang w:eastAsia="en-GB"/>
              </w:rPr>
              <w:t>0</w:t>
            </w:r>
          </w:p>
        </w:tc>
        <w:tc>
          <w:tcPr>
            <w:tcW w:w="1740" w:type="dxa"/>
            <w:tcBorders>
              <w:top w:val="nil"/>
              <w:left w:val="nil"/>
              <w:bottom w:val="single" w:sz="4" w:space="0" w:color="FFFFFF"/>
              <w:right w:val="single" w:sz="4" w:space="0" w:color="FFFFFF"/>
            </w:tcBorders>
            <w:shd w:val="clear" w:color="000000" w:fill="FDE9D9"/>
            <w:vAlign w:val="center"/>
          </w:tcPr>
          <w:p w14:paraId="3C0E40D1" w14:textId="2CFDA3DF" w:rsidR="00FB1124" w:rsidRPr="00FB1124" w:rsidRDefault="00C51386" w:rsidP="00FB1124">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09D95657" w14:textId="5D2E2044" w:rsidR="00FB1124" w:rsidRPr="00FB1124" w:rsidRDefault="007A13A3" w:rsidP="00FB1124">
            <w:pPr>
              <w:jc w:val="right"/>
              <w:rPr>
                <w:rFonts w:ascii="Calibri" w:hAnsi="Calibri"/>
                <w:color w:val="000000"/>
                <w:lang w:eastAsia="en-GB"/>
              </w:rPr>
            </w:pPr>
            <w:r>
              <w:rPr>
                <w:rFonts w:ascii="Calibri" w:hAnsi="Calibri"/>
                <w:color w:val="000000"/>
                <w:lang w:eastAsia="en-GB"/>
              </w:rPr>
              <w:t>0</w:t>
            </w:r>
          </w:p>
        </w:tc>
      </w:tr>
      <w:tr w:rsidR="00FB1124" w:rsidRPr="00FB1124" w14:paraId="322807B8" w14:textId="77777777" w:rsidTr="00FB1124">
        <w:trPr>
          <w:trHeight w:val="300"/>
        </w:trPr>
        <w:tc>
          <w:tcPr>
            <w:tcW w:w="2480" w:type="dxa"/>
            <w:tcBorders>
              <w:top w:val="nil"/>
              <w:left w:val="single" w:sz="4" w:space="0" w:color="FFFFFF"/>
              <w:bottom w:val="single" w:sz="4" w:space="0" w:color="FFFFFF"/>
              <w:right w:val="single" w:sz="4" w:space="0" w:color="FFFFFF"/>
            </w:tcBorders>
            <w:shd w:val="clear" w:color="000000" w:fill="FDE9D9"/>
            <w:vAlign w:val="center"/>
            <w:hideMark/>
          </w:tcPr>
          <w:p w14:paraId="1EAB910A"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 xml:space="preserve">Industrial Units </w:t>
            </w:r>
          </w:p>
        </w:tc>
        <w:tc>
          <w:tcPr>
            <w:tcW w:w="1780" w:type="dxa"/>
            <w:tcBorders>
              <w:top w:val="nil"/>
              <w:left w:val="nil"/>
              <w:bottom w:val="single" w:sz="4" w:space="0" w:color="FFFFFF"/>
              <w:right w:val="single" w:sz="4" w:space="0" w:color="FFFFFF"/>
            </w:tcBorders>
            <w:shd w:val="clear" w:color="000000" w:fill="FDE9D9"/>
            <w:vAlign w:val="center"/>
          </w:tcPr>
          <w:p w14:paraId="36E7DC83" w14:textId="02691D63" w:rsidR="00FB1124" w:rsidRPr="00FB1124" w:rsidRDefault="00C51386" w:rsidP="00FB1124">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tcPr>
          <w:p w14:paraId="78036A0C" w14:textId="5D26939D" w:rsidR="00FB1124" w:rsidRPr="00FB1124" w:rsidRDefault="007A13A3" w:rsidP="00FB1124">
            <w:pPr>
              <w:jc w:val="right"/>
              <w:rPr>
                <w:rFonts w:ascii="Calibri" w:hAnsi="Calibri"/>
                <w:color w:val="000000"/>
                <w:lang w:eastAsia="en-GB"/>
              </w:rPr>
            </w:pPr>
            <w:r>
              <w:rPr>
                <w:rFonts w:ascii="Calibri" w:hAnsi="Calibri"/>
                <w:color w:val="000000"/>
                <w:lang w:eastAsia="en-GB"/>
              </w:rPr>
              <w:t>2,025</w:t>
            </w:r>
          </w:p>
        </w:tc>
        <w:tc>
          <w:tcPr>
            <w:tcW w:w="1740" w:type="dxa"/>
            <w:tcBorders>
              <w:top w:val="nil"/>
              <w:left w:val="nil"/>
              <w:bottom w:val="single" w:sz="4" w:space="0" w:color="FFFFFF"/>
              <w:right w:val="single" w:sz="4" w:space="0" w:color="FFFFFF"/>
            </w:tcBorders>
            <w:shd w:val="clear" w:color="000000" w:fill="FDE9D9"/>
            <w:vAlign w:val="center"/>
          </w:tcPr>
          <w:p w14:paraId="3608541B" w14:textId="198477CF" w:rsidR="00FB1124" w:rsidRPr="00FB1124" w:rsidRDefault="00C51386" w:rsidP="00FB1124">
            <w:pPr>
              <w:jc w:val="right"/>
              <w:rPr>
                <w:rFonts w:ascii="Calibri" w:hAnsi="Calibri"/>
                <w:color w:val="000000"/>
                <w:lang w:eastAsia="en-GB"/>
              </w:rPr>
            </w:pPr>
            <w:r>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tcPr>
          <w:p w14:paraId="788F727C" w14:textId="4E2A6F42" w:rsidR="00FB1124" w:rsidRPr="00FB1124" w:rsidRDefault="007A13A3" w:rsidP="00A917B0">
            <w:pPr>
              <w:jc w:val="right"/>
              <w:rPr>
                <w:rFonts w:ascii="Calibri" w:hAnsi="Calibri"/>
                <w:color w:val="000000"/>
                <w:lang w:eastAsia="en-GB"/>
              </w:rPr>
            </w:pPr>
            <w:r>
              <w:rPr>
                <w:rFonts w:ascii="Calibri" w:hAnsi="Calibri"/>
                <w:color w:val="000000"/>
                <w:lang w:eastAsia="en-GB"/>
              </w:rPr>
              <w:t>2,025</w:t>
            </w:r>
          </w:p>
        </w:tc>
      </w:tr>
      <w:tr w:rsidR="00FB1124" w:rsidRPr="00FB1124" w14:paraId="0187C6F4" w14:textId="77777777" w:rsidTr="00FB1124">
        <w:trPr>
          <w:trHeight w:val="300"/>
        </w:trPr>
        <w:tc>
          <w:tcPr>
            <w:tcW w:w="2480" w:type="dxa"/>
            <w:tcBorders>
              <w:top w:val="nil"/>
              <w:left w:val="single" w:sz="4" w:space="0" w:color="FFFFFF"/>
              <w:bottom w:val="single" w:sz="4" w:space="0" w:color="FFFFFF"/>
              <w:right w:val="single" w:sz="4" w:space="0" w:color="FFFFFF"/>
            </w:tcBorders>
            <w:shd w:val="clear" w:color="000000" w:fill="FCD5B4"/>
            <w:vAlign w:val="center"/>
            <w:hideMark/>
          </w:tcPr>
          <w:p w14:paraId="44BCDD4F" w14:textId="77777777" w:rsidR="00FB1124" w:rsidRPr="00FB1124" w:rsidRDefault="00FB1124" w:rsidP="00FB1124">
            <w:pPr>
              <w:rPr>
                <w:rFonts w:ascii="Calibri" w:hAnsi="Calibri"/>
                <w:b/>
                <w:bCs/>
                <w:color w:val="000000"/>
                <w:lang w:eastAsia="en-GB"/>
              </w:rPr>
            </w:pPr>
            <w:r w:rsidRPr="00FB1124">
              <w:rPr>
                <w:rFonts w:ascii="Calibri" w:hAnsi="Calibri"/>
                <w:b/>
                <w:bCs/>
                <w:color w:val="000000"/>
                <w:lang w:eastAsia="en-GB"/>
              </w:rPr>
              <w:t>Total</w:t>
            </w:r>
          </w:p>
        </w:tc>
        <w:tc>
          <w:tcPr>
            <w:tcW w:w="1780" w:type="dxa"/>
            <w:tcBorders>
              <w:top w:val="nil"/>
              <w:left w:val="nil"/>
              <w:bottom w:val="single" w:sz="4" w:space="0" w:color="FFFFFF"/>
              <w:right w:val="single" w:sz="4" w:space="0" w:color="FFFFFF"/>
            </w:tcBorders>
            <w:shd w:val="clear" w:color="000000" w:fill="FCD5B4"/>
            <w:vAlign w:val="center"/>
          </w:tcPr>
          <w:p w14:paraId="1C82F3C5" w14:textId="1599166A" w:rsidR="00FB1124" w:rsidRPr="00FB1124" w:rsidRDefault="00C51386" w:rsidP="00FB1124">
            <w:pPr>
              <w:jc w:val="right"/>
              <w:rPr>
                <w:rFonts w:ascii="Calibri" w:hAnsi="Calibri"/>
                <w:b/>
                <w:bCs/>
                <w:color w:val="000000"/>
                <w:lang w:eastAsia="en-GB"/>
              </w:rPr>
            </w:pPr>
            <w:r>
              <w:rPr>
                <w:rFonts w:ascii="Calibri" w:hAnsi="Calibri"/>
                <w:b/>
                <w:bCs/>
                <w:color w:val="000000"/>
                <w:lang w:eastAsia="en-GB"/>
              </w:rPr>
              <w:t>0</w:t>
            </w:r>
          </w:p>
        </w:tc>
        <w:tc>
          <w:tcPr>
            <w:tcW w:w="1760" w:type="dxa"/>
            <w:tcBorders>
              <w:top w:val="nil"/>
              <w:left w:val="nil"/>
              <w:bottom w:val="single" w:sz="4" w:space="0" w:color="FFFFFF"/>
              <w:right w:val="single" w:sz="4" w:space="0" w:color="FFFFFF"/>
            </w:tcBorders>
            <w:shd w:val="clear" w:color="000000" w:fill="FCD5B4"/>
            <w:vAlign w:val="center"/>
          </w:tcPr>
          <w:p w14:paraId="66CE9EC3" w14:textId="752C6BF6" w:rsidR="00FB1124" w:rsidRPr="00FB1124" w:rsidRDefault="007A13A3" w:rsidP="00FB1124">
            <w:pPr>
              <w:jc w:val="right"/>
              <w:rPr>
                <w:rFonts w:ascii="Calibri" w:hAnsi="Calibri"/>
                <w:b/>
                <w:bCs/>
                <w:color w:val="000000"/>
                <w:lang w:eastAsia="en-GB"/>
              </w:rPr>
            </w:pPr>
            <w:r>
              <w:rPr>
                <w:rFonts w:ascii="Calibri" w:hAnsi="Calibri"/>
                <w:b/>
                <w:bCs/>
                <w:color w:val="000000"/>
                <w:lang w:eastAsia="en-GB"/>
              </w:rPr>
              <w:t>2,025</w:t>
            </w:r>
          </w:p>
        </w:tc>
        <w:tc>
          <w:tcPr>
            <w:tcW w:w="1740" w:type="dxa"/>
            <w:tcBorders>
              <w:top w:val="nil"/>
              <w:left w:val="nil"/>
              <w:bottom w:val="single" w:sz="4" w:space="0" w:color="FFFFFF"/>
              <w:right w:val="single" w:sz="4" w:space="0" w:color="FFFFFF"/>
            </w:tcBorders>
            <w:shd w:val="clear" w:color="000000" w:fill="FCD5B4"/>
            <w:vAlign w:val="center"/>
          </w:tcPr>
          <w:p w14:paraId="1FAD82A6" w14:textId="09F4F2DB" w:rsidR="00FB1124" w:rsidRPr="00FB1124" w:rsidRDefault="00C51386" w:rsidP="00FB1124">
            <w:pPr>
              <w:jc w:val="right"/>
              <w:rPr>
                <w:rFonts w:ascii="Calibri" w:hAnsi="Calibri"/>
                <w:b/>
                <w:bCs/>
                <w:color w:val="000000"/>
                <w:lang w:eastAsia="en-GB"/>
              </w:rPr>
            </w:pPr>
            <w:r>
              <w:rPr>
                <w:rFonts w:ascii="Calibri" w:hAnsi="Calibri"/>
                <w:b/>
                <w:bCs/>
                <w:color w:val="000000"/>
                <w:lang w:eastAsia="en-GB"/>
              </w:rPr>
              <w:t>0</w:t>
            </w:r>
          </w:p>
        </w:tc>
        <w:tc>
          <w:tcPr>
            <w:tcW w:w="1780" w:type="dxa"/>
            <w:tcBorders>
              <w:top w:val="nil"/>
              <w:left w:val="nil"/>
              <w:bottom w:val="single" w:sz="4" w:space="0" w:color="FFFFFF"/>
              <w:right w:val="single" w:sz="4" w:space="0" w:color="FFFFFF"/>
            </w:tcBorders>
            <w:shd w:val="clear" w:color="000000" w:fill="FCD5B4"/>
            <w:vAlign w:val="center"/>
          </w:tcPr>
          <w:p w14:paraId="5E79CBAE" w14:textId="4267C755" w:rsidR="00FB1124" w:rsidRPr="00FB1124" w:rsidRDefault="007A13A3" w:rsidP="00A917B0">
            <w:pPr>
              <w:jc w:val="right"/>
              <w:rPr>
                <w:rFonts w:ascii="Calibri" w:hAnsi="Calibri"/>
                <w:b/>
                <w:bCs/>
                <w:color w:val="000000"/>
                <w:lang w:eastAsia="en-GB"/>
              </w:rPr>
            </w:pPr>
            <w:r>
              <w:rPr>
                <w:rFonts w:ascii="Calibri" w:hAnsi="Calibri"/>
                <w:b/>
                <w:bCs/>
                <w:color w:val="000000"/>
                <w:lang w:eastAsia="en-GB"/>
              </w:rPr>
              <w:t>2,025</w:t>
            </w:r>
          </w:p>
        </w:tc>
      </w:tr>
      <w:bookmarkEnd w:id="9"/>
    </w:tbl>
    <w:p w14:paraId="50E831F7" w14:textId="37C789A1" w:rsidR="006E6710" w:rsidRDefault="006E6710" w:rsidP="00707761">
      <w:pPr>
        <w:widowControl w:val="0"/>
        <w:tabs>
          <w:tab w:val="left" w:pos="709"/>
          <w:tab w:val="left" w:pos="7200"/>
          <w:tab w:val="left" w:pos="8460"/>
        </w:tabs>
        <w:rPr>
          <w:rFonts w:ascii="Arial" w:hAnsi="Arial" w:cs="Arial"/>
        </w:rPr>
      </w:pPr>
    </w:p>
    <w:p w14:paraId="7CF7B908" w14:textId="61B506F3" w:rsidR="00B13E3B" w:rsidRDefault="00B13E3B" w:rsidP="00707761">
      <w:pPr>
        <w:widowControl w:val="0"/>
        <w:tabs>
          <w:tab w:val="left" w:pos="709"/>
          <w:tab w:val="left" w:pos="7200"/>
          <w:tab w:val="left" w:pos="8460"/>
        </w:tabs>
        <w:rPr>
          <w:rFonts w:ascii="Arial" w:hAnsi="Arial" w:cs="Arial"/>
        </w:rPr>
      </w:pPr>
    </w:p>
    <w:p w14:paraId="78D8770F" w14:textId="1BF59392" w:rsidR="00B13E3B" w:rsidRDefault="00B13E3B" w:rsidP="00707761">
      <w:pPr>
        <w:widowControl w:val="0"/>
        <w:tabs>
          <w:tab w:val="left" w:pos="709"/>
          <w:tab w:val="left" w:pos="7200"/>
          <w:tab w:val="left" w:pos="8460"/>
        </w:tabs>
        <w:rPr>
          <w:rFonts w:ascii="Arial" w:hAnsi="Arial" w:cs="Arial"/>
        </w:rPr>
      </w:pPr>
    </w:p>
    <w:p w14:paraId="372B118B" w14:textId="77777777" w:rsidR="00B13E3B" w:rsidRDefault="00B13E3B" w:rsidP="00707761">
      <w:pPr>
        <w:widowControl w:val="0"/>
        <w:tabs>
          <w:tab w:val="left" w:pos="709"/>
          <w:tab w:val="left" w:pos="7200"/>
          <w:tab w:val="left" w:pos="8460"/>
        </w:tabs>
        <w:rPr>
          <w:rFonts w:ascii="Arial" w:hAnsi="Arial" w:cs="Arial"/>
        </w:rPr>
      </w:pPr>
    </w:p>
    <w:tbl>
      <w:tblPr>
        <w:tblW w:w="9540" w:type="dxa"/>
        <w:tblInd w:w="93" w:type="dxa"/>
        <w:tblLook w:val="04A0" w:firstRow="1" w:lastRow="0" w:firstColumn="1" w:lastColumn="0" w:noHBand="0" w:noVBand="1"/>
        <w:tblCaption w:val="Fair Value Hierarchy 3"/>
        <w:tblDescription w:val="Fair Value Hierarchy of the Fair Value Measurement of Investment Property as at 31 March 2022"/>
      </w:tblPr>
      <w:tblGrid>
        <w:gridCol w:w="2480"/>
        <w:gridCol w:w="1780"/>
        <w:gridCol w:w="1760"/>
        <w:gridCol w:w="1740"/>
        <w:gridCol w:w="1780"/>
      </w:tblGrid>
      <w:tr w:rsidR="00FB1124" w:rsidRPr="00FB1124" w14:paraId="30722EB5" w14:textId="77777777" w:rsidTr="00F367A2">
        <w:trPr>
          <w:cantSplit/>
          <w:trHeight w:val="1020"/>
          <w:tblHeader/>
        </w:trPr>
        <w:tc>
          <w:tcPr>
            <w:tcW w:w="2480" w:type="dxa"/>
            <w:tcBorders>
              <w:top w:val="nil"/>
              <w:left w:val="nil"/>
              <w:bottom w:val="nil"/>
              <w:right w:val="nil"/>
            </w:tcBorders>
            <w:shd w:val="clear" w:color="000000" w:fill="FABF8F"/>
            <w:vAlign w:val="center"/>
            <w:hideMark/>
          </w:tcPr>
          <w:p w14:paraId="48D23394" w14:textId="77777777" w:rsidR="00B13E3B" w:rsidRDefault="00B13E3B" w:rsidP="00FB1124">
            <w:pPr>
              <w:rPr>
                <w:rFonts w:ascii="Calibri" w:hAnsi="Calibri"/>
                <w:color w:val="000000"/>
                <w:lang w:eastAsia="en-GB"/>
              </w:rPr>
            </w:pPr>
            <w:bookmarkStart w:id="10" w:name="_Hlk106004318"/>
          </w:p>
          <w:p w14:paraId="160E25A9" w14:textId="77777777" w:rsidR="00B13E3B" w:rsidRDefault="00B13E3B" w:rsidP="00FB1124">
            <w:pPr>
              <w:rPr>
                <w:rFonts w:ascii="Calibri" w:hAnsi="Calibri"/>
                <w:color w:val="000000"/>
                <w:lang w:eastAsia="en-GB"/>
              </w:rPr>
            </w:pPr>
          </w:p>
          <w:p w14:paraId="66F9441C" w14:textId="43119F04" w:rsidR="00FB1124" w:rsidRPr="00FB1124" w:rsidRDefault="00FB1124" w:rsidP="00FB1124">
            <w:pPr>
              <w:rPr>
                <w:rFonts w:ascii="Calibri" w:hAnsi="Calibri"/>
                <w:color w:val="000000"/>
                <w:lang w:eastAsia="en-GB"/>
              </w:rPr>
            </w:pPr>
            <w:r w:rsidRPr="00FB1124">
              <w:rPr>
                <w:rFonts w:ascii="Calibri" w:hAnsi="Calibri"/>
                <w:color w:val="000000"/>
                <w:lang w:eastAsia="en-GB"/>
              </w:rPr>
              <w:t> </w:t>
            </w:r>
          </w:p>
        </w:tc>
        <w:tc>
          <w:tcPr>
            <w:tcW w:w="178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3B6D1FF"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Quoted Prices in active markets for identical assets (Level 1)</w:t>
            </w:r>
          </w:p>
        </w:tc>
        <w:tc>
          <w:tcPr>
            <w:tcW w:w="1760" w:type="dxa"/>
            <w:tcBorders>
              <w:top w:val="single" w:sz="4" w:space="0" w:color="FFFFFF"/>
              <w:left w:val="nil"/>
              <w:bottom w:val="single" w:sz="4" w:space="0" w:color="FFFFFF"/>
              <w:right w:val="single" w:sz="4" w:space="0" w:color="FFFFFF"/>
            </w:tcBorders>
            <w:shd w:val="clear" w:color="000000" w:fill="FABF8F"/>
            <w:vAlign w:val="center"/>
            <w:hideMark/>
          </w:tcPr>
          <w:p w14:paraId="17A2E5BA"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Other Significant Observable Inputs (Level 2)</w:t>
            </w:r>
          </w:p>
        </w:tc>
        <w:tc>
          <w:tcPr>
            <w:tcW w:w="1740" w:type="dxa"/>
            <w:tcBorders>
              <w:top w:val="single" w:sz="4" w:space="0" w:color="FFFFFF"/>
              <w:left w:val="nil"/>
              <w:bottom w:val="single" w:sz="4" w:space="0" w:color="FFFFFF"/>
              <w:right w:val="single" w:sz="4" w:space="0" w:color="FFFFFF"/>
            </w:tcBorders>
            <w:shd w:val="clear" w:color="000000" w:fill="FABF8F"/>
            <w:vAlign w:val="center"/>
            <w:hideMark/>
          </w:tcPr>
          <w:p w14:paraId="5F53CBFD"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Significant Unobservable Inputs (Level 3)</w:t>
            </w:r>
          </w:p>
        </w:tc>
        <w:tc>
          <w:tcPr>
            <w:tcW w:w="1780" w:type="dxa"/>
            <w:tcBorders>
              <w:top w:val="single" w:sz="4" w:space="0" w:color="FFFFFF"/>
              <w:left w:val="nil"/>
              <w:bottom w:val="single" w:sz="4" w:space="0" w:color="FFFFFF"/>
              <w:right w:val="single" w:sz="4" w:space="0" w:color="FFFFFF"/>
            </w:tcBorders>
            <w:shd w:val="clear" w:color="000000" w:fill="FABF8F"/>
            <w:vAlign w:val="center"/>
            <w:hideMark/>
          </w:tcPr>
          <w:p w14:paraId="2CC58453" w14:textId="0107584A" w:rsidR="00FB1124" w:rsidRPr="00FB1124" w:rsidRDefault="00FB1124" w:rsidP="00C62A3D">
            <w:pPr>
              <w:jc w:val="right"/>
              <w:rPr>
                <w:rFonts w:ascii="Calibri" w:hAnsi="Calibri"/>
                <w:color w:val="000000"/>
                <w:lang w:eastAsia="en-GB"/>
              </w:rPr>
            </w:pPr>
            <w:r w:rsidRPr="00FB1124">
              <w:rPr>
                <w:rFonts w:ascii="Calibri" w:hAnsi="Calibri"/>
                <w:color w:val="000000"/>
                <w:lang w:eastAsia="en-GB"/>
              </w:rPr>
              <w:t xml:space="preserve">Recurring Fair Value as </w:t>
            </w:r>
            <w:proofErr w:type="gramStart"/>
            <w:r w:rsidRPr="00FB1124">
              <w:rPr>
                <w:rFonts w:ascii="Calibri" w:hAnsi="Calibri"/>
                <w:color w:val="000000"/>
                <w:lang w:eastAsia="en-GB"/>
              </w:rPr>
              <w:t>at</w:t>
            </w:r>
            <w:proofErr w:type="gramEnd"/>
            <w:r w:rsidRPr="00FB1124">
              <w:rPr>
                <w:rFonts w:ascii="Calibri" w:hAnsi="Calibri"/>
                <w:color w:val="000000"/>
                <w:lang w:eastAsia="en-GB"/>
              </w:rPr>
              <w:t xml:space="preserve"> 31 March 20</w:t>
            </w:r>
            <w:r w:rsidR="00C62A3D">
              <w:rPr>
                <w:rFonts w:ascii="Calibri" w:hAnsi="Calibri"/>
                <w:color w:val="000000"/>
                <w:lang w:eastAsia="en-GB"/>
              </w:rPr>
              <w:t>2</w:t>
            </w:r>
            <w:r w:rsidR="00CD7824">
              <w:rPr>
                <w:rFonts w:ascii="Calibri" w:hAnsi="Calibri"/>
                <w:color w:val="000000"/>
                <w:lang w:eastAsia="en-GB"/>
              </w:rPr>
              <w:t>2</w:t>
            </w:r>
          </w:p>
        </w:tc>
      </w:tr>
      <w:tr w:rsidR="00FB1124" w:rsidRPr="00FB1124" w14:paraId="41C656B1" w14:textId="77777777" w:rsidTr="00FB1124">
        <w:trPr>
          <w:trHeight w:val="300"/>
        </w:trPr>
        <w:tc>
          <w:tcPr>
            <w:tcW w:w="2480" w:type="dxa"/>
            <w:tcBorders>
              <w:top w:val="nil"/>
              <w:left w:val="nil"/>
              <w:bottom w:val="nil"/>
              <w:right w:val="nil"/>
            </w:tcBorders>
            <w:shd w:val="clear" w:color="000000" w:fill="FABF8F"/>
            <w:vAlign w:val="center"/>
            <w:hideMark/>
          </w:tcPr>
          <w:p w14:paraId="2776A554"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 </w:t>
            </w:r>
          </w:p>
        </w:tc>
        <w:tc>
          <w:tcPr>
            <w:tcW w:w="1780" w:type="dxa"/>
            <w:tcBorders>
              <w:top w:val="nil"/>
              <w:left w:val="single" w:sz="4" w:space="0" w:color="FFFFFF"/>
              <w:bottom w:val="single" w:sz="4" w:space="0" w:color="FFFFFF"/>
              <w:right w:val="single" w:sz="4" w:space="0" w:color="FFFFFF"/>
            </w:tcBorders>
            <w:shd w:val="clear" w:color="000000" w:fill="FABF8F"/>
            <w:vAlign w:val="center"/>
            <w:hideMark/>
          </w:tcPr>
          <w:p w14:paraId="0DB15D9D"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60" w:type="dxa"/>
            <w:tcBorders>
              <w:top w:val="nil"/>
              <w:left w:val="nil"/>
              <w:bottom w:val="single" w:sz="4" w:space="0" w:color="FFFFFF"/>
              <w:right w:val="single" w:sz="4" w:space="0" w:color="FFFFFF"/>
            </w:tcBorders>
            <w:shd w:val="clear" w:color="000000" w:fill="FABF8F"/>
            <w:vAlign w:val="center"/>
            <w:hideMark/>
          </w:tcPr>
          <w:p w14:paraId="6860F832"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40" w:type="dxa"/>
            <w:tcBorders>
              <w:top w:val="nil"/>
              <w:left w:val="nil"/>
              <w:bottom w:val="single" w:sz="4" w:space="0" w:color="FFFFFF"/>
              <w:right w:val="single" w:sz="4" w:space="0" w:color="FFFFFF"/>
            </w:tcBorders>
            <w:shd w:val="clear" w:color="000000" w:fill="FABF8F"/>
            <w:vAlign w:val="center"/>
            <w:hideMark/>
          </w:tcPr>
          <w:p w14:paraId="6B1E7DCA"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c>
          <w:tcPr>
            <w:tcW w:w="1780" w:type="dxa"/>
            <w:tcBorders>
              <w:top w:val="nil"/>
              <w:left w:val="nil"/>
              <w:bottom w:val="single" w:sz="4" w:space="0" w:color="FFFFFF"/>
              <w:right w:val="single" w:sz="4" w:space="0" w:color="FFFFFF"/>
            </w:tcBorders>
            <w:shd w:val="clear" w:color="000000" w:fill="FABF8F"/>
            <w:vAlign w:val="center"/>
            <w:hideMark/>
          </w:tcPr>
          <w:p w14:paraId="0BCC903E"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£’000</w:t>
            </w:r>
          </w:p>
        </w:tc>
      </w:tr>
      <w:tr w:rsidR="00FB1124" w:rsidRPr="00FB1124" w14:paraId="0644085F" w14:textId="77777777" w:rsidTr="00FB1124">
        <w:trPr>
          <w:trHeight w:val="510"/>
        </w:trPr>
        <w:tc>
          <w:tcPr>
            <w:tcW w:w="24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70F898AB"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Residential (Market Rental) Properties</w:t>
            </w:r>
          </w:p>
        </w:tc>
        <w:tc>
          <w:tcPr>
            <w:tcW w:w="1780" w:type="dxa"/>
            <w:tcBorders>
              <w:top w:val="nil"/>
              <w:left w:val="nil"/>
              <w:bottom w:val="single" w:sz="4" w:space="0" w:color="FFFFFF"/>
              <w:right w:val="single" w:sz="4" w:space="0" w:color="FFFFFF"/>
            </w:tcBorders>
            <w:shd w:val="clear" w:color="000000" w:fill="FDE9D9"/>
            <w:vAlign w:val="center"/>
            <w:hideMark/>
          </w:tcPr>
          <w:p w14:paraId="0C05C632" w14:textId="392B7E4A" w:rsidR="00FB1124" w:rsidRPr="00FB1124" w:rsidRDefault="00C10FB0" w:rsidP="00386594">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hideMark/>
          </w:tcPr>
          <w:p w14:paraId="54911932" w14:textId="484EEA7A" w:rsidR="00FB1124" w:rsidRPr="00FB1124" w:rsidRDefault="00C10FB0" w:rsidP="00FB1124">
            <w:pPr>
              <w:jc w:val="right"/>
              <w:rPr>
                <w:rFonts w:ascii="Calibri" w:hAnsi="Calibri"/>
                <w:color w:val="000000"/>
                <w:lang w:eastAsia="en-GB"/>
              </w:rPr>
            </w:pPr>
            <w:r>
              <w:rPr>
                <w:rFonts w:ascii="Calibri" w:hAnsi="Calibri"/>
                <w:color w:val="000000"/>
                <w:lang w:eastAsia="en-GB"/>
              </w:rPr>
              <w:t>139</w:t>
            </w:r>
          </w:p>
        </w:tc>
        <w:tc>
          <w:tcPr>
            <w:tcW w:w="1740" w:type="dxa"/>
            <w:tcBorders>
              <w:top w:val="nil"/>
              <w:left w:val="nil"/>
              <w:bottom w:val="single" w:sz="4" w:space="0" w:color="FFFFFF"/>
              <w:right w:val="single" w:sz="4" w:space="0" w:color="FFFFFF"/>
            </w:tcBorders>
            <w:shd w:val="clear" w:color="000000" w:fill="FDE9D9"/>
            <w:vAlign w:val="center"/>
            <w:hideMark/>
          </w:tcPr>
          <w:p w14:paraId="5D80735F"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hideMark/>
          </w:tcPr>
          <w:p w14:paraId="23D6E60B" w14:textId="20AA7E65" w:rsidR="00FB1124" w:rsidRPr="00FB1124" w:rsidRDefault="00FB1124" w:rsidP="00386594">
            <w:pPr>
              <w:jc w:val="right"/>
              <w:rPr>
                <w:rFonts w:ascii="Calibri" w:hAnsi="Calibri"/>
                <w:color w:val="000000"/>
                <w:lang w:eastAsia="en-GB"/>
              </w:rPr>
            </w:pPr>
            <w:r w:rsidRPr="00FB1124">
              <w:rPr>
                <w:rFonts w:ascii="Calibri" w:hAnsi="Calibri"/>
                <w:color w:val="000000"/>
                <w:lang w:eastAsia="en-GB"/>
              </w:rPr>
              <w:t>1</w:t>
            </w:r>
            <w:r w:rsidR="00C10FB0">
              <w:rPr>
                <w:rFonts w:ascii="Calibri" w:hAnsi="Calibri"/>
                <w:color w:val="000000"/>
                <w:lang w:eastAsia="en-GB"/>
              </w:rPr>
              <w:t>39</w:t>
            </w:r>
          </w:p>
        </w:tc>
      </w:tr>
      <w:tr w:rsidR="00FB1124" w:rsidRPr="00FB1124" w14:paraId="32F976F2" w14:textId="77777777" w:rsidTr="00FB1124">
        <w:trPr>
          <w:trHeight w:val="300"/>
        </w:trPr>
        <w:tc>
          <w:tcPr>
            <w:tcW w:w="2480" w:type="dxa"/>
            <w:tcBorders>
              <w:top w:val="nil"/>
              <w:left w:val="single" w:sz="4" w:space="0" w:color="FFFFFF"/>
              <w:bottom w:val="single" w:sz="4" w:space="0" w:color="FFFFFF"/>
              <w:right w:val="single" w:sz="4" w:space="0" w:color="FFFFFF"/>
            </w:tcBorders>
            <w:shd w:val="clear" w:color="000000" w:fill="FDE9D9"/>
            <w:vAlign w:val="center"/>
            <w:hideMark/>
          </w:tcPr>
          <w:p w14:paraId="7B01C5DA" w14:textId="77777777" w:rsidR="00FB1124" w:rsidRPr="00FB1124" w:rsidRDefault="00FB1124" w:rsidP="00FB1124">
            <w:pPr>
              <w:rPr>
                <w:rFonts w:ascii="Calibri" w:hAnsi="Calibri"/>
                <w:color w:val="000000"/>
                <w:lang w:eastAsia="en-GB"/>
              </w:rPr>
            </w:pPr>
            <w:r w:rsidRPr="00FB1124">
              <w:rPr>
                <w:rFonts w:ascii="Calibri" w:hAnsi="Calibri"/>
                <w:color w:val="000000"/>
                <w:lang w:eastAsia="en-GB"/>
              </w:rPr>
              <w:t xml:space="preserve">Industrial Units </w:t>
            </w:r>
          </w:p>
        </w:tc>
        <w:tc>
          <w:tcPr>
            <w:tcW w:w="1780" w:type="dxa"/>
            <w:tcBorders>
              <w:top w:val="nil"/>
              <w:left w:val="nil"/>
              <w:bottom w:val="single" w:sz="4" w:space="0" w:color="FFFFFF"/>
              <w:right w:val="single" w:sz="4" w:space="0" w:color="FFFFFF"/>
            </w:tcBorders>
            <w:shd w:val="clear" w:color="000000" w:fill="FDE9D9"/>
            <w:vAlign w:val="center"/>
            <w:hideMark/>
          </w:tcPr>
          <w:p w14:paraId="0E1035E2" w14:textId="22B00A7C" w:rsidR="00FB1124" w:rsidRPr="00FB1124" w:rsidRDefault="00C10FB0" w:rsidP="00C62A3D">
            <w:pPr>
              <w:jc w:val="right"/>
              <w:rPr>
                <w:rFonts w:ascii="Calibri" w:hAnsi="Calibri"/>
                <w:color w:val="000000"/>
                <w:lang w:eastAsia="en-GB"/>
              </w:rPr>
            </w:pPr>
            <w:r>
              <w:rPr>
                <w:rFonts w:ascii="Calibri" w:hAnsi="Calibri"/>
                <w:color w:val="000000"/>
                <w:lang w:eastAsia="en-GB"/>
              </w:rPr>
              <w:t>0</w:t>
            </w:r>
          </w:p>
        </w:tc>
        <w:tc>
          <w:tcPr>
            <w:tcW w:w="1760" w:type="dxa"/>
            <w:tcBorders>
              <w:top w:val="nil"/>
              <w:left w:val="nil"/>
              <w:bottom w:val="single" w:sz="4" w:space="0" w:color="FFFFFF"/>
              <w:right w:val="single" w:sz="4" w:space="0" w:color="FFFFFF"/>
            </w:tcBorders>
            <w:shd w:val="clear" w:color="000000" w:fill="FDE9D9"/>
            <w:vAlign w:val="center"/>
            <w:hideMark/>
          </w:tcPr>
          <w:p w14:paraId="1EEFD1FB" w14:textId="1243382E" w:rsidR="00FB1124" w:rsidRPr="00FB1124" w:rsidRDefault="00CD7824" w:rsidP="00FB1124">
            <w:pPr>
              <w:jc w:val="right"/>
              <w:rPr>
                <w:rFonts w:ascii="Calibri" w:hAnsi="Calibri"/>
                <w:color w:val="000000"/>
                <w:lang w:eastAsia="en-GB"/>
              </w:rPr>
            </w:pPr>
            <w:r>
              <w:rPr>
                <w:rFonts w:ascii="Calibri" w:hAnsi="Calibri"/>
                <w:color w:val="000000"/>
                <w:lang w:eastAsia="en-GB"/>
              </w:rPr>
              <w:t>2,004</w:t>
            </w:r>
          </w:p>
        </w:tc>
        <w:tc>
          <w:tcPr>
            <w:tcW w:w="1740" w:type="dxa"/>
            <w:tcBorders>
              <w:top w:val="nil"/>
              <w:left w:val="nil"/>
              <w:bottom w:val="single" w:sz="4" w:space="0" w:color="FFFFFF"/>
              <w:right w:val="single" w:sz="4" w:space="0" w:color="FFFFFF"/>
            </w:tcBorders>
            <w:shd w:val="clear" w:color="000000" w:fill="FDE9D9"/>
            <w:vAlign w:val="center"/>
            <w:hideMark/>
          </w:tcPr>
          <w:p w14:paraId="71574A78" w14:textId="77777777" w:rsidR="00FB1124" w:rsidRPr="00FB1124" w:rsidRDefault="00FB1124" w:rsidP="00FB1124">
            <w:pPr>
              <w:jc w:val="right"/>
              <w:rPr>
                <w:rFonts w:ascii="Calibri" w:hAnsi="Calibri"/>
                <w:color w:val="000000"/>
                <w:lang w:eastAsia="en-GB"/>
              </w:rPr>
            </w:pPr>
            <w:r w:rsidRPr="00FB1124">
              <w:rPr>
                <w:rFonts w:ascii="Calibri" w:hAnsi="Calibri"/>
                <w:color w:val="000000"/>
                <w:lang w:eastAsia="en-GB"/>
              </w:rPr>
              <w:t>0</w:t>
            </w:r>
          </w:p>
        </w:tc>
        <w:tc>
          <w:tcPr>
            <w:tcW w:w="1780" w:type="dxa"/>
            <w:tcBorders>
              <w:top w:val="nil"/>
              <w:left w:val="nil"/>
              <w:bottom w:val="single" w:sz="4" w:space="0" w:color="FFFFFF"/>
              <w:right w:val="single" w:sz="4" w:space="0" w:color="FFFFFF"/>
            </w:tcBorders>
            <w:shd w:val="clear" w:color="000000" w:fill="FDE9D9"/>
            <w:vAlign w:val="center"/>
            <w:hideMark/>
          </w:tcPr>
          <w:p w14:paraId="3CD0D7F4" w14:textId="2C01C47D" w:rsidR="00FB1124" w:rsidRPr="00FB1124" w:rsidRDefault="00CD7824" w:rsidP="00386594">
            <w:pPr>
              <w:jc w:val="right"/>
              <w:rPr>
                <w:rFonts w:ascii="Calibri" w:hAnsi="Calibri"/>
                <w:color w:val="000000"/>
                <w:lang w:eastAsia="en-GB"/>
              </w:rPr>
            </w:pPr>
            <w:r>
              <w:rPr>
                <w:rFonts w:ascii="Calibri" w:hAnsi="Calibri"/>
                <w:color w:val="000000"/>
                <w:lang w:eastAsia="en-GB"/>
              </w:rPr>
              <w:t>2,004</w:t>
            </w:r>
          </w:p>
        </w:tc>
      </w:tr>
      <w:tr w:rsidR="00FB1124" w:rsidRPr="00FB1124" w14:paraId="565F3713" w14:textId="77777777" w:rsidTr="00FB1124">
        <w:trPr>
          <w:trHeight w:val="300"/>
        </w:trPr>
        <w:tc>
          <w:tcPr>
            <w:tcW w:w="2480" w:type="dxa"/>
            <w:tcBorders>
              <w:top w:val="nil"/>
              <w:left w:val="single" w:sz="4" w:space="0" w:color="FFFFFF"/>
              <w:bottom w:val="single" w:sz="4" w:space="0" w:color="FFFFFF"/>
              <w:right w:val="single" w:sz="4" w:space="0" w:color="FFFFFF"/>
            </w:tcBorders>
            <w:shd w:val="clear" w:color="000000" w:fill="FCD5B4"/>
            <w:vAlign w:val="center"/>
            <w:hideMark/>
          </w:tcPr>
          <w:p w14:paraId="2754EA72" w14:textId="77777777" w:rsidR="00FB1124" w:rsidRPr="00FB1124" w:rsidRDefault="00FB1124" w:rsidP="00FB1124">
            <w:pPr>
              <w:rPr>
                <w:rFonts w:ascii="Calibri" w:hAnsi="Calibri"/>
                <w:b/>
                <w:bCs/>
                <w:color w:val="000000"/>
                <w:lang w:eastAsia="en-GB"/>
              </w:rPr>
            </w:pPr>
            <w:r w:rsidRPr="00FB1124">
              <w:rPr>
                <w:rFonts w:ascii="Calibri" w:hAnsi="Calibri"/>
                <w:b/>
                <w:bCs/>
                <w:color w:val="000000"/>
                <w:lang w:eastAsia="en-GB"/>
              </w:rPr>
              <w:t>Total</w:t>
            </w:r>
          </w:p>
        </w:tc>
        <w:tc>
          <w:tcPr>
            <w:tcW w:w="1780" w:type="dxa"/>
            <w:tcBorders>
              <w:top w:val="nil"/>
              <w:left w:val="nil"/>
              <w:bottom w:val="single" w:sz="4" w:space="0" w:color="FFFFFF"/>
              <w:right w:val="single" w:sz="4" w:space="0" w:color="FFFFFF"/>
            </w:tcBorders>
            <w:shd w:val="clear" w:color="000000" w:fill="FCD5B4"/>
            <w:vAlign w:val="center"/>
            <w:hideMark/>
          </w:tcPr>
          <w:p w14:paraId="7FB2EAA8" w14:textId="43F41CE3" w:rsidR="00FB1124" w:rsidRPr="00FB1124" w:rsidRDefault="00C10FB0" w:rsidP="00386594">
            <w:pPr>
              <w:jc w:val="right"/>
              <w:rPr>
                <w:rFonts w:ascii="Calibri" w:hAnsi="Calibri"/>
                <w:b/>
                <w:bCs/>
                <w:color w:val="000000"/>
                <w:lang w:eastAsia="en-GB"/>
              </w:rPr>
            </w:pPr>
            <w:r>
              <w:rPr>
                <w:rFonts w:ascii="Calibri" w:hAnsi="Calibri"/>
                <w:b/>
                <w:bCs/>
                <w:color w:val="000000"/>
                <w:lang w:eastAsia="en-GB"/>
              </w:rPr>
              <w:t>0</w:t>
            </w:r>
          </w:p>
        </w:tc>
        <w:tc>
          <w:tcPr>
            <w:tcW w:w="1760" w:type="dxa"/>
            <w:tcBorders>
              <w:top w:val="nil"/>
              <w:left w:val="nil"/>
              <w:bottom w:val="single" w:sz="4" w:space="0" w:color="FFFFFF"/>
              <w:right w:val="single" w:sz="4" w:space="0" w:color="FFFFFF"/>
            </w:tcBorders>
            <w:shd w:val="clear" w:color="000000" w:fill="FCD5B4"/>
            <w:vAlign w:val="center"/>
            <w:hideMark/>
          </w:tcPr>
          <w:p w14:paraId="0DE127AB" w14:textId="1F47D248" w:rsidR="00FB1124" w:rsidRPr="00FB1124" w:rsidRDefault="00CD7824" w:rsidP="00FB1124">
            <w:pPr>
              <w:jc w:val="right"/>
              <w:rPr>
                <w:rFonts w:ascii="Calibri" w:hAnsi="Calibri"/>
                <w:b/>
                <w:bCs/>
                <w:color w:val="000000"/>
                <w:lang w:eastAsia="en-GB"/>
              </w:rPr>
            </w:pPr>
            <w:r>
              <w:rPr>
                <w:rFonts w:ascii="Calibri" w:hAnsi="Calibri"/>
                <w:b/>
                <w:bCs/>
                <w:color w:val="000000"/>
                <w:lang w:eastAsia="en-GB"/>
              </w:rPr>
              <w:t>2,143</w:t>
            </w:r>
          </w:p>
        </w:tc>
        <w:tc>
          <w:tcPr>
            <w:tcW w:w="1740" w:type="dxa"/>
            <w:tcBorders>
              <w:top w:val="nil"/>
              <w:left w:val="nil"/>
              <w:bottom w:val="single" w:sz="4" w:space="0" w:color="FFFFFF"/>
              <w:right w:val="single" w:sz="4" w:space="0" w:color="FFFFFF"/>
            </w:tcBorders>
            <w:shd w:val="clear" w:color="000000" w:fill="FCD5B4"/>
            <w:vAlign w:val="center"/>
            <w:hideMark/>
          </w:tcPr>
          <w:p w14:paraId="11BB8FAF" w14:textId="77777777" w:rsidR="00FB1124" w:rsidRPr="00FB1124" w:rsidRDefault="00FB1124" w:rsidP="00FB1124">
            <w:pPr>
              <w:jc w:val="right"/>
              <w:rPr>
                <w:rFonts w:ascii="Calibri" w:hAnsi="Calibri"/>
                <w:b/>
                <w:bCs/>
                <w:color w:val="000000"/>
                <w:lang w:eastAsia="en-GB"/>
              </w:rPr>
            </w:pPr>
            <w:r w:rsidRPr="00FB1124">
              <w:rPr>
                <w:rFonts w:ascii="Calibri" w:hAnsi="Calibri"/>
                <w:b/>
                <w:bCs/>
                <w:color w:val="000000"/>
                <w:lang w:eastAsia="en-GB"/>
              </w:rPr>
              <w:t>0</w:t>
            </w:r>
          </w:p>
        </w:tc>
        <w:tc>
          <w:tcPr>
            <w:tcW w:w="1780" w:type="dxa"/>
            <w:tcBorders>
              <w:top w:val="nil"/>
              <w:left w:val="nil"/>
              <w:bottom w:val="single" w:sz="4" w:space="0" w:color="FFFFFF"/>
              <w:right w:val="single" w:sz="4" w:space="0" w:color="FFFFFF"/>
            </w:tcBorders>
            <w:shd w:val="clear" w:color="000000" w:fill="FCD5B4"/>
            <w:vAlign w:val="center"/>
            <w:hideMark/>
          </w:tcPr>
          <w:p w14:paraId="6383E7C4" w14:textId="39F1324B" w:rsidR="00FB1124" w:rsidRPr="00FB1124" w:rsidRDefault="00CD7824" w:rsidP="00C62A3D">
            <w:pPr>
              <w:jc w:val="right"/>
              <w:rPr>
                <w:rFonts w:ascii="Calibri" w:hAnsi="Calibri"/>
                <w:b/>
                <w:bCs/>
                <w:color w:val="000000"/>
                <w:lang w:eastAsia="en-GB"/>
              </w:rPr>
            </w:pPr>
            <w:r>
              <w:rPr>
                <w:rFonts w:ascii="Calibri" w:hAnsi="Calibri"/>
                <w:b/>
                <w:bCs/>
                <w:color w:val="000000"/>
                <w:lang w:eastAsia="en-GB"/>
              </w:rPr>
              <w:t>2,143</w:t>
            </w:r>
          </w:p>
        </w:tc>
      </w:tr>
      <w:bookmarkEnd w:id="10"/>
    </w:tbl>
    <w:p w14:paraId="0DF6D868" w14:textId="77777777" w:rsidR="00581D3D" w:rsidRDefault="00581D3D" w:rsidP="00707761">
      <w:pPr>
        <w:widowControl w:val="0"/>
        <w:tabs>
          <w:tab w:val="left" w:pos="709"/>
          <w:tab w:val="left" w:pos="7200"/>
          <w:tab w:val="left" w:pos="8460"/>
        </w:tabs>
        <w:rPr>
          <w:rFonts w:ascii="Arial" w:hAnsi="Arial" w:cs="Arial"/>
        </w:rPr>
      </w:pPr>
    </w:p>
    <w:p w14:paraId="22F7691D" w14:textId="77777777" w:rsidR="00CD7824" w:rsidRDefault="00CD7824" w:rsidP="00707761">
      <w:pPr>
        <w:widowControl w:val="0"/>
        <w:tabs>
          <w:tab w:val="left" w:pos="709"/>
          <w:tab w:val="left" w:pos="7200"/>
          <w:tab w:val="left" w:pos="8460"/>
        </w:tabs>
        <w:ind w:left="567" w:hanging="567"/>
        <w:rPr>
          <w:rFonts w:asciiTheme="minorHAnsi" w:hAnsiTheme="minorHAnsi" w:cs="Arial"/>
          <w:b/>
          <w:sz w:val="24"/>
          <w:szCs w:val="24"/>
        </w:rPr>
      </w:pPr>
      <w:bookmarkStart w:id="11" w:name="_Hlk106004662"/>
    </w:p>
    <w:p w14:paraId="51D8C96C" w14:textId="5F8240A8" w:rsidR="00707761" w:rsidRDefault="00707761" w:rsidP="00707761">
      <w:pPr>
        <w:widowControl w:val="0"/>
        <w:tabs>
          <w:tab w:val="left" w:pos="709"/>
          <w:tab w:val="left" w:pos="7200"/>
          <w:tab w:val="left" w:pos="8460"/>
        </w:tabs>
        <w:ind w:left="567" w:hanging="567"/>
        <w:rPr>
          <w:rFonts w:asciiTheme="minorHAnsi" w:hAnsiTheme="minorHAnsi" w:cs="Arial"/>
          <w:b/>
          <w:sz w:val="24"/>
          <w:szCs w:val="24"/>
        </w:rPr>
      </w:pPr>
      <w:r w:rsidRPr="00FB1124">
        <w:rPr>
          <w:rFonts w:asciiTheme="minorHAnsi" w:hAnsiTheme="minorHAnsi" w:cs="Arial"/>
          <w:b/>
          <w:sz w:val="24"/>
          <w:szCs w:val="24"/>
        </w:rPr>
        <w:t>Transfers between levels of the Fair Value Hierarchy</w:t>
      </w:r>
    </w:p>
    <w:p w14:paraId="435A72D3" w14:textId="64AC264B" w:rsidR="00672936" w:rsidRDefault="00672936" w:rsidP="00707761">
      <w:pPr>
        <w:widowControl w:val="0"/>
        <w:tabs>
          <w:tab w:val="left" w:pos="709"/>
          <w:tab w:val="left" w:pos="7200"/>
          <w:tab w:val="left" w:pos="8460"/>
        </w:tabs>
        <w:ind w:left="567" w:hanging="567"/>
        <w:rPr>
          <w:rFonts w:asciiTheme="minorHAnsi" w:hAnsiTheme="minorHAnsi" w:cs="Arial"/>
          <w:b/>
          <w:sz w:val="24"/>
          <w:szCs w:val="24"/>
        </w:rPr>
      </w:pPr>
    </w:p>
    <w:p w14:paraId="651C3C5A" w14:textId="3684B986" w:rsidR="00672936" w:rsidRPr="00672936" w:rsidRDefault="00235C74" w:rsidP="00007EC4">
      <w:pPr>
        <w:widowControl w:val="0"/>
        <w:tabs>
          <w:tab w:val="left" w:pos="709"/>
          <w:tab w:val="left" w:pos="7200"/>
          <w:tab w:val="left" w:pos="8460"/>
        </w:tabs>
        <w:jc w:val="both"/>
        <w:rPr>
          <w:rFonts w:asciiTheme="minorHAnsi" w:hAnsiTheme="minorHAnsi" w:cs="Arial"/>
          <w:sz w:val="24"/>
          <w:szCs w:val="24"/>
        </w:rPr>
      </w:pPr>
      <w:r w:rsidRPr="00CE1223">
        <w:rPr>
          <w:rFonts w:asciiTheme="minorHAnsi" w:hAnsiTheme="minorHAnsi" w:cs="Arial"/>
          <w:sz w:val="24"/>
          <w:szCs w:val="24"/>
        </w:rPr>
        <w:t>There were no transfers between Levels 1 and 2 during the year</w:t>
      </w:r>
      <w:r w:rsidR="00672936" w:rsidRPr="00CE1223">
        <w:rPr>
          <w:rFonts w:asciiTheme="minorHAnsi" w:hAnsiTheme="minorHAnsi" w:cs="Arial"/>
          <w:sz w:val="24"/>
          <w:szCs w:val="24"/>
        </w:rPr>
        <w:t>.</w:t>
      </w:r>
      <w:r w:rsidR="00672936">
        <w:rPr>
          <w:rFonts w:asciiTheme="minorHAnsi" w:hAnsiTheme="minorHAnsi" w:cs="Arial"/>
          <w:sz w:val="24"/>
          <w:szCs w:val="24"/>
        </w:rPr>
        <w:t xml:space="preserve"> The levels are decided by the external valuer opinion and therefore with a change in external valuers there is a change in judgement. The valuer has deemed that the properties are best suited to level 2 within the hierarchy due to the lack of ‘identical’ comparable assets although there is an active market</w:t>
      </w:r>
      <w:bookmarkEnd w:id="11"/>
      <w:r w:rsidR="00672936">
        <w:rPr>
          <w:rFonts w:asciiTheme="minorHAnsi" w:hAnsiTheme="minorHAnsi" w:cs="Arial"/>
          <w:sz w:val="24"/>
          <w:szCs w:val="24"/>
        </w:rPr>
        <w:t xml:space="preserve">.  </w:t>
      </w:r>
    </w:p>
    <w:p w14:paraId="4F5E8CEB" w14:textId="77777777" w:rsidR="005F0348" w:rsidRDefault="007221F5" w:rsidP="00672936">
      <w:pPr>
        <w:widowControl w:val="0"/>
        <w:tabs>
          <w:tab w:val="left" w:pos="709"/>
          <w:tab w:val="left" w:pos="7200"/>
          <w:tab w:val="left" w:pos="8460"/>
        </w:tabs>
        <w:rPr>
          <w:rFonts w:ascii="Arial" w:hAnsi="Arial" w:cs="Arial"/>
          <w:b/>
          <w:sz w:val="24"/>
          <w:szCs w:val="24"/>
        </w:rPr>
      </w:pPr>
      <w:r>
        <w:rPr>
          <w:rFonts w:ascii="Arial" w:hAnsi="Arial" w:cs="Arial"/>
          <w:b/>
          <w:sz w:val="24"/>
          <w:szCs w:val="24"/>
        </w:rPr>
        <w:t xml:space="preserve">                                                                             </w:t>
      </w:r>
    </w:p>
    <w:p w14:paraId="73C756CC" w14:textId="77777777" w:rsidR="00707761" w:rsidRPr="00FB1124" w:rsidRDefault="00707761" w:rsidP="00707761">
      <w:pPr>
        <w:widowControl w:val="0"/>
        <w:tabs>
          <w:tab w:val="left" w:pos="709"/>
          <w:tab w:val="left" w:pos="7200"/>
          <w:tab w:val="left" w:pos="8460"/>
        </w:tabs>
        <w:ind w:left="567" w:hanging="567"/>
        <w:rPr>
          <w:rFonts w:asciiTheme="minorHAnsi" w:hAnsiTheme="minorHAnsi" w:cs="Arial"/>
          <w:b/>
          <w:sz w:val="24"/>
          <w:szCs w:val="24"/>
        </w:rPr>
      </w:pPr>
      <w:r w:rsidRPr="00FB1124">
        <w:rPr>
          <w:rFonts w:asciiTheme="minorHAnsi" w:hAnsiTheme="minorHAnsi" w:cs="Arial"/>
          <w:b/>
          <w:sz w:val="24"/>
          <w:szCs w:val="24"/>
        </w:rPr>
        <w:t>Highest and Best Use of Investment Properties</w:t>
      </w:r>
    </w:p>
    <w:p w14:paraId="4159D3E9" w14:textId="77777777" w:rsidR="00707761" w:rsidRDefault="00707761" w:rsidP="00707761">
      <w:pPr>
        <w:widowControl w:val="0"/>
        <w:tabs>
          <w:tab w:val="left" w:pos="709"/>
          <w:tab w:val="left" w:pos="7200"/>
          <w:tab w:val="left" w:pos="8460"/>
        </w:tabs>
        <w:ind w:left="567" w:hanging="567"/>
        <w:rPr>
          <w:rFonts w:ascii="Arial" w:hAnsi="Arial" w:cs="Arial"/>
          <w:b/>
        </w:rPr>
      </w:pPr>
    </w:p>
    <w:p w14:paraId="2E23589A" w14:textId="77777777" w:rsidR="00707761" w:rsidRPr="00FB1124" w:rsidRDefault="00707761" w:rsidP="00ED61B7">
      <w:pPr>
        <w:widowControl w:val="0"/>
        <w:tabs>
          <w:tab w:val="left" w:pos="709"/>
          <w:tab w:val="left" w:pos="7200"/>
          <w:tab w:val="left" w:pos="8460"/>
        </w:tabs>
        <w:jc w:val="both"/>
        <w:rPr>
          <w:rFonts w:asciiTheme="minorHAnsi" w:hAnsiTheme="minorHAnsi" w:cs="Arial"/>
          <w:sz w:val="22"/>
          <w:szCs w:val="22"/>
        </w:rPr>
      </w:pPr>
      <w:r w:rsidRPr="00FB1124">
        <w:rPr>
          <w:rFonts w:asciiTheme="minorHAnsi" w:hAnsiTheme="minorHAnsi" w:cs="Arial"/>
          <w:sz w:val="22"/>
          <w:szCs w:val="22"/>
        </w:rPr>
        <w:t xml:space="preserve">In estimating the fair value of the Council’s investment properties, the highest and best use of the </w:t>
      </w:r>
      <w:r w:rsidR="00ED61B7">
        <w:rPr>
          <w:rFonts w:asciiTheme="minorHAnsi" w:hAnsiTheme="minorHAnsi" w:cs="Arial"/>
          <w:sz w:val="22"/>
          <w:szCs w:val="22"/>
        </w:rPr>
        <w:t>p</w:t>
      </w:r>
      <w:r w:rsidRPr="00FB1124">
        <w:rPr>
          <w:rFonts w:asciiTheme="minorHAnsi" w:hAnsiTheme="minorHAnsi" w:cs="Arial"/>
          <w:sz w:val="22"/>
          <w:szCs w:val="22"/>
        </w:rPr>
        <w:t xml:space="preserve">roperties is their current use. </w:t>
      </w:r>
    </w:p>
    <w:p w14:paraId="1D0AE650" w14:textId="77777777" w:rsidR="007A388C" w:rsidRPr="00FB1124" w:rsidRDefault="007A388C" w:rsidP="00707761">
      <w:pPr>
        <w:widowControl w:val="0"/>
        <w:tabs>
          <w:tab w:val="left" w:pos="709"/>
          <w:tab w:val="left" w:pos="7200"/>
          <w:tab w:val="left" w:pos="8460"/>
        </w:tabs>
        <w:ind w:left="567" w:hanging="567"/>
        <w:rPr>
          <w:rFonts w:asciiTheme="minorHAnsi" w:hAnsiTheme="minorHAnsi" w:cs="Arial"/>
          <w:b/>
          <w:sz w:val="22"/>
          <w:szCs w:val="22"/>
        </w:rPr>
      </w:pPr>
    </w:p>
    <w:p w14:paraId="463240C9" w14:textId="77777777" w:rsidR="00707761" w:rsidRPr="00FB1124" w:rsidRDefault="00707761" w:rsidP="00707761">
      <w:pPr>
        <w:widowControl w:val="0"/>
        <w:tabs>
          <w:tab w:val="left" w:pos="709"/>
          <w:tab w:val="left" w:pos="7200"/>
          <w:tab w:val="left" w:pos="8460"/>
        </w:tabs>
        <w:ind w:left="567" w:hanging="567"/>
        <w:rPr>
          <w:rFonts w:asciiTheme="minorHAnsi" w:hAnsiTheme="minorHAnsi" w:cs="Arial"/>
          <w:b/>
          <w:sz w:val="24"/>
          <w:szCs w:val="24"/>
        </w:rPr>
      </w:pPr>
      <w:r w:rsidRPr="00FB1124">
        <w:rPr>
          <w:rFonts w:asciiTheme="minorHAnsi" w:hAnsiTheme="minorHAnsi" w:cs="Arial"/>
          <w:b/>
          <w:sz w:val="24"/>
          <w:szCs w:val="24"/>
        </w:rPr>
        <w:t>Valuation Techniques</w:t>
      </w:r>
    </w:p>
    <w:p w14:paraId="10EC41EE" w14:textId="77777777" w:rsidR="00707761" w:rsidRPr="005E645A" w:rsidRDefault="00707761" w:rsidP="00707761">
      <w:pPr>
        <w:widowControl w:val="0"/>
        <w:tabs>
          <w:tab w:val="left" w:pos="709"/>
          <w:tab w:val="left" w:pos="7200"/>
          <w:tab w:val="left" w:pos="8460"/>
        </w:tabs>
        <w:ind w:left="567" w:hanging="567"/>
        <w:rPr>
          <w:rFonts w:ascii="Arial" w:hAnsi="Arial" w:cs="Arial"/>
          <w:b/>
        </w:rPr>
      </w:pPr>
    </w:p>
    <w:p w14:paraId="52A9F1F2" w14:textId="77777777" w:rsidR="00707761" w:rsidRDefault="00707761" w:rsidP="00707761">
      <w:pPr>
        <w:widowControl w:val="0"/>
        <w:tabs>
          <w:tab w:val="left" w:pos="709"/>
          <w:tab w:val="left" w:pos="7200"/>
          <w:tab w:val="left" w:pos="8460"/>
        </w:tabs>
        <w:ind w:left="567" w:hanging="567"/>
        <w:rPr>
          <w:rFonts w:asciiTheme="minorHAnsi" w:hAnsiTheme="minorHAnsi" w:cs="Arial"/>
          <w:sz w:val="22"/>
          <w:szCs w:val="22"/>
        </w:rPr>
      </w:pPr>
      <w:r w:rsidRPr="005F0348">
        <w:rPr>
          <w:rFonts w:asciiTheme="minorHAnsi" w:hAnsiTheme="minorHAnsi" w:cs="Arial"/>
          <w:sz w:val="22"/>
          <w:szCs w:val="22"/>
        </w:rPr>
        <w:t>There has been no change in the valuation techniques during the year for investment properties.</w:t>
      </w:r>
    </w:p>
    <w:p w14:paraId="5CB3AA61" w14:textId="77777777" w:rsidR="00BE5C19" w:rsidRDefault="00BE5C19" w:rsidP="00707761">
      <w:pPr>
        <w:widowControl w:val="0"/>
        <w:tabs>
          <w:tab w:val="left" w:pos="709"/>
          <w:tab w:val="left" w:pos="7200"/>
          <w:tab w:val="left" w:pos="8460"/>
        </w:tabs>
        <w:ind w:left="567" w:hanging="567"/>
        <w:rPr>
          <w:rFonts w:asciiTheme="minorHAnsi" w:hAnsiTheme="minorHAnsi" w:cs="Arial"/>
          <w:sz w:val="22"/>
          <w:szCs w:val="22"/>
        </w:rPr>
      </w:pPr>
    </w:p>
    <w:p w14:paraId="739C206E" w14:textId="77777777" w:rsidR="00BE5C19" w:rsidRDefault="00BE5C19" w:rsidP="00707761">
      <w:pPr>
        <w:widowControl w:val="0"/>
        <w:tabs>
          <w:tab w:val="left" w:pos="709"/>
          <w:tab w:val="left" w:pos="7200"/>
          <w:tab w:val="left" w:pos="8460"/>
        </w:tabs>
        <w:ind w:left="567" w:hanging="567"/>
        <w:rPr>
          <w:rFonts w:asciiTheme="minorHAnsi" w:hAnsiTheme="minorHAnsi" w:cs="Arial"/>
          <w:b/>
          <w:sz w:val="24"/>
          <w:szCs w:val="22"/>
        </w:rPr>
      </w:pPr>
      <w:r w:rsidRPr="00BE5C19">
        <w:rPr>
          <w:rFonts w:asciiTheme="minorHAnsi" w:hAnsiTheme="minorHAnsi" w:cs="Arial"/>
          <w:b/>
          <w:sz w:val="24"/>
          <w:szCs w:val="22"/>
        </w:rPr>
        <w:t xml:space="preserve">Valuation Process for Investment Properties </w:t>
      </w:r>
    </w:p>
    <w:p w14:paraId="479509F5" w14:textId="77777777" w:rsidR="00BE5C19" w:rsidRDefault="00BE5C19" w:rsidP="00707761">
      <w:pPr>
        <w:widowControl w:val="0"/>
        <w:tabs>
          <w:tab w:val="left" w:pos="709"/>
          <w:tab w:val="left" w:pos="7200"/>
          <w:tab w:val="left" w:pos="8460"/>
        </w:tabs>
        <w:ind w:left="567" w:hanging="567"/>
        <w:rPr>
          <w:rFonts w:asciiTheme="minorHAnsi" w:hAnsiTheme="minorHAnsi" w:cs="Arial"/>
          <w:b/>
          <w:sz w:val="22"/>
          <w:szCs w:val="22"/>
        </w:rPr>
      </w:pPr>
    </w:p>
    <w:p w14:paraId="3BABC85B" w14:textId="77777777" w:rsidR="00BE5C19" w:rsidRDefault="00BE5C19" w:rsidP="008B3132">
      <w:pPr>
        <w:widowControl w:val="0"/>
        <w:tabs>
          <w:tab w:val="left" w:pos="709"/>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The fair value of the Council’s investment property is measured annually at each reporting date. All valuations have been carried out externally, in accordance with the methodologies and bases for estimation set out in the professional standards of the Royal Institution of Chartered Surveyors. The Council’s valuation experts work closely with finance officers reporting directly to the </w:t>
      </w:r>
      <w:r w:rsidR="00ED47CD">
        <w:rPr>
          <w:rFonts w:asciiTheme="minorHAnsi" w:hAnsiTheme="minorHAnsi" w:cs="Arial"/>
          <w:sz w:val="22"/>
          <w:szCs w:val="22"/>
        </w:rPr>
        <w:t>C</w:t>
      </w:r>
      <w:r>
        <w:rPr>
          <w:rFonts w:asciiTheme="minorHAnsi" w:hAnsiTheme="minorHAnsi" w:cs="Arial"/>
          <w:sz w:val="22"/>
          <w:szCs w:val="22"/>
        </w:rPr>
        <w:t xml:space="preserve">hief </w:t>
      </w:r>
      <w:r w:rsidR="00ED47CD">
        <w:rPr>
          <w:rFonts w:asciiTheme="minorHAnsi" w:hAnsiTheme="minorHAnsi" w:cs="Arial"/>
          <w:sz w:val="22"/>
          <w:szCs w:val="22"/>
        </w:rPr>
        <w:t>Financial O</w:t>
      </w:r>
      <w:r>
        <w:rPr>
          <w:rFonts w:asciiTheme="minorHAnsi" w:hAnsiTheme="minorHAnsi" w:cs="Arial"/>
          <w:sz w:val="22"/>
          <w:szCs w:val="22"/>
        </w:rPr>
        <w:t xml:space="preserve">fficer on a regular basis regarding all valuation matters. </w:t>
      </w:r>
    </w:p>
    <w:p w14:paraId="4832286B" w14:textId="77777777" w:rsidR="00C57A0D" w:rsidRDefault="00C57A0D" w:rsidP="00BE5C19">
      <w:pPr>
        <w:widowControl w:val="0"/>
        <w:tabs>
          <w:tab w:val="left" w:pos="709"/>
          <w:tab w:val="left" w:pos="7200"/>
          <w:tab w:val="left" w:pos="8460"/>
        </w:tabs>
        <w:rPr>
          <w:rFonts w:asciiTheme="minorHAnsi" w:hAnsiTheme="minorHAnsi" w:cs="Arial"/>
          <w:sz w:val="22"/>
          <w:szCs w:val="22"/>
        </w:rPr>
      </w:pPr>
    </w:p>
    <w:p w14:paraId="47457726" w14:textId="72BA3A9F" w:rsidR="00707761" w:rsidRPr="00FB1124" w:rsidRDefault="001726F4" w:rsidP="00704A70">
      <w:pPr>
        <w:pStyle w:val="Heading2"/>
      </w:pPr>
      <w:r>
        <w:t>2</w:t>
      </w:r>
      <w:r w:rsidR="00D3279C">
        <w:t>1</w:t>
      </w:r>
      <w:r w:rsidR="00FB1124">
        <w:t xml:space="preserve"> </w:t>
      </w:r>
      <w:r w:rsidR="00FB1124">
        <w:tab/>
        <w:t>Intangible Assets</w:t>
      </w:r>
    </w:p>
    <w:p w14:paraId="4EF8C452" w14:textId="77777777" w:rsidR="00707761" w:rsidRDefault="00707761" w:rsidP="00707761">
      <w:pPr>
        <w:widowControl w:val="0"/>
        <w:tabs>
          <w:tab w:val="left" w:pos="709"/>
          <w:tab w:val="left" w:pos="7200"/>
          <w:tab w:val="left" w:pos="8460"/>
        </w:tabs>
        <w:rPr>
          <w:rFonts w:ascii="Arial" w:hAnsi="Arial" w:cs="Arial"/>
          <w:b/>
        </w:rPr>
      </w:pPr>
    </w:p>
    <w:p w14:paraId="38905DA0" w14:textId="77777777" w:rsidR="00536747" w:rsidRPr="00B921B9" w:rsidRDefault="00536747" w:rsidP="00536747">
      <w:pPr>
        <w:widowControl w:val="0"/>
        <w:spacing w:after="120" w:line="228" w:lineRule="auto"/>
        <w:jc w:val="both"/>
        <w:rPr>
          <w:rFonts w:asciiTheme="minorHAnsi" w:hAnsiTheme="minorHAnsi" w:cs="Arial"/>
          <w:sz w:val="22"/>
          <w:szCs w:val="22"/>
        </w:rPr>
      </w:pPr>
      <w:r w:rsidRPr="00B921B9">
        <w:rPr>
          <w:rFonts w:asciiTheme="minorHAnsi" w:hAnsiTheme="minorHAnsi" w:cs="Arial"/>
          <w:sz w:val="22"/>
          <w:szCs w:val="22"/>
        </w:rPr>
        <w:t>Expenditure on non-monetary assets that do not have physical substance but are controlled by the Council as a result of past events (</w:t>
      </w:r>
      <w:proofErr w:type="gramStart"/>
      <w:r w:rsidRPr="00B921B9">
        <w:rPr>
          <w:rFonts w:asciiTheme="minorHAnsi" w:hAnsiTheme="minorHAnsi" w:cs="Arial"/>
          <w:sz w:val="22"/>
          <w:szCs w:val="22"/>
        </w:rPr>
        <w:t>e.g.</w:t>
      </w:r>
      <w:proofErr w:type="gramEnd"/>
      <w:r w:rsidRPr="00B921B9">
        <w:rPr>
          <w:rFonts w:asciiTheme="minorHAnsi" w:hAnsiTheme="minorHAnsi" w:cs="Arial"/>
          <w:sz w:val="22"/>
          <w:szCs w:val="22"/>
        </w:rPr>
        <w:t xml:space="preserve"> software licences) is capitalised when it is expected that future economic benefits or service potential will flow from the intangible asset to the Council. This is</w:t>
      </w:r>
      <w:r w:rsidRPr="00B921B9">
        <w:rPr>
          <w:rStyle w:val="PageNumber"/>
          <w:rFonts w:asciiTheme="minorHAnsi" w:hAnsiTheme="minorHAnsi" w:cs="Arial"/>
          <w:sz w:val="22"/>
          <w:szCs w:val="22"/>
        </w:rPr>
        <w:t xml:space="preserve"> subject to a</w:t>
      </w:r>
      <w:r w:rsidRPr="00B921B9">
        <w:rPr>
          <w:rFonts w:asciiTheme="minorHAnsi" w:hAnsiTheme="minorHAnsi" w:cs="Arial"/>
          <w:sz w:val="22"/>
          <w:szCs w:val="22"/>
        </w:rPr>
        <w:t xml:space="preserve"> de-minim</w:t>
      </w:r>
      <w:r w:rsidR="00ED47CD">
        <w:rPr>
          <w:rFonts w:asciiTheme="minorHAnsi" w:hAnsiTheme="minorHAnsi" w:cs="Arial"/>
          <w:sz w:val="22"/>
          <w:szCs w:val="22"/>
        </w:rPr>
        <w:t>i</w:t>
      </w:r>
      <w:r w:rsidRPr="00B921B9">
        <w:rPr>
          <w:rFonts w:asciiTheme="minorHAnsi" w:hAnsiTheme="minorHAnsi" w:cs="Arial"/>
          <w:sz w:val="22"/>
          <w:szCs w:val="22"/>
        </w:rPr>
        <w:t>s level of £10k.</w:t>
      </w:r>
    </w:p>
    <w:p w14:paraId="156482D1" w14:textId="77777777" w:rsidR="00536747" w:rsidRPr="00B921B9" w:rsidRDefault="00536747" w:rsidP="00536747">
      <w:pPr>
        <w:widowControl w:val="0"/>
        <w:spacing w:after="120" w:line="228" w:lineRule="auto"/>
        <w:jc w:val="both"/>
        <w:rPr>
          <w:rFonts w:asciiTheme="minorHAnsi" w:hAnsiTheme="minorHAnsi" w:cs="Arial"/>
          <w:sz w:val="22"/>
          <w:szCs w:val="22"/>
        </w:rPr>
      </w:pPr>
      <w:r w:rsidRPr="00B921B9">
        <w:rPr>
          <w:rFonts w:asciiTheme="minorHAnsi" w:hAnsiTheme="minorHAnsi" w:cs="Arial"/>
          <w:sz w:val="22"/>
          <w:szCs w:val="22"/>
        </w:rPr>
        <w:t xml:space="preserve">Internally generated assets are capitalised where it is demonstrable that the project is technically </w:t>
      </w:r>
      <w:proofErr w:type="gramStart"/>
      <w:r w:rsidRPr="00B921B9">
        <w:rPr>
          <w:rFonts w:asciiTheme="minorHAnsi" w:hAnsiTheme="minorHAnsi" w:cs="Arial"/>
          <w:sz w:val="22"/>
          <w:szCs w:val="22"/>
        </w:rPr>
        <w:t>feasible</w:t>
      </w:r>
      <w:proofErr w:type="gramEnd"/>
      <w:r w:rsidRPr="00B921B9">
        <w:rPr>
          <w:rFonts w:asciiTheme="minorHAnsi" w:hAnsiTheme="minorHAnsi" w:cs="Arial"/>
          <w:sz w:val="22"/>
          <w:szCs w:val="22"/>
        </w:rPr>
        <w:t xml:space="preserve"> and it is intended to be completed (with adequate resources being available) and the Council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w:t>
      </w:r>
    </w:p>
    <w:p w14:paraId="4BFB4E89" w14:textId="77777777" w:rsidR="00536747" w:rsidRPr="00B921B9" w:rsidRDefault="00536747" w:rsidP="00536747">
      <w:pPr>
        <w:widowControl w:val="0"/>
        <w:spacing w:after="120" w:line="228" w:lineRule="auto"/>
        <w:jc w:val="both"/>
        <w:rPr>
          <w:rFonts w:asciiTheme="minorHAnsi" w:hAnsiTheme="minorHAnsi" w:cs="Arial"/>
          <w:sz w:val="22"/>
          <w:szCs w:val="22"/>
        </w:rPr>
      </w:pPr>
      <w:r w:rsidRPr="00B921B9">
        <w:rPr>
          <w:rFonts w:asciiTheme="minorHAnsi" w:hAnsiTheme="minorHAnsi" w:cs="Arial"/>
          <w:sz w:val="22"/>
          <w:szCs w:val="22"/>
        </w:rPr>
        <w:t>Expenditure on the development of websites is not capitalised if the website is solely or primarily intended to promote or advertise the Council’s goods or services.</w:t>
      </w:r>
    </w:p>
    <w:p w14:paraId="0300C9F8" w14:textId="77777777" w:rsidR="00536747" w:rsidRPr="00B921B9" w:rsidRDefault="00536747" w:rsidP="00536747">
      <w:pPr>
        <w:widowControl w:val="0"/>
        <w:spacing w:after="120" w:line="228" w:lineRule="auto"/>
        <w:jc w:val="both"/>
        <w:rPr>
          <w:rFonts w:asciiTheme="minorHAnsi" w:hAnsiTheme="minorHAnsi" w:cs="Arial"/>
          <w:sz w:val="22"/>
          <w:szCs w:val="22"/>
        </w:rPr>
      </w:pPr>
      <w:r w:rsidRPr="00B921B9">
        <w:rPr>
          <w:rFonts w:asciiTheme="minorHAnsi" w:hAnsiTheme="minorHAnsi" w:cs="Arial"/>
          <w:sz w:val="22"/>
          <w:szCs w:val="22"/>
        </w:rPr>
        <w:t xml:space="preserve">Intangible assets are measured initially at cost. Amounts are only re-valued where the fair value of the assets held by the Council can be determined by reference to an active market. In practice, no intangible asset held by the Council meets this criterion, and they are therefore carried at amortised cost. </w:t>
      </w:r>
    </w:p>
    <w:p w14:paraId="5050EDA9" w14:textId="77777777" w:rsidR="00536747" w:rsidRPr="00B921B9" w:rsidRDefault="00536747" w:rsidP="00536747">
      <w:pPr>
        <w:widowControl w:val="0"/>
        <w:spacing w:after="120" w:line="228" w:lineRule="auto"/>
        <w:jc w:val="both"/>
        <w:rPr>
          <w:rFonts w:asciiTheme="minorHAnsi" w:hAnsiTheme="minorHAnsi" w:cs="Arial"/>
          <w:sz w:val="22"/>
          <w:szCs w:val="22"/>
        </w:rPr>
      </w:pPr>
      <w:r w:rsidRPr="00B921B9">
        <w:rPr>
          <w:rFonts w:asciiTheme="minorHAnsi" w:hAnsiTheme="minorHAnsi" w:cs="Arial"/>
          <w:sz w:val="22"/>
          <w:szCs w:val="22"/>
        </w:rPr>
        <w:t xml:space="preserve">The depreciable amount of an intangible asset is amortised over its useful life to relevant service line(s) in the Comprehensive Income and Expenditure Statement. An asset is tested for impairment whenever there is an indication that the asset might be impaired – any losses recognised are posted to the relevant service line(s) in the </w:t>
      </w:r>
      <w:r w:rsidRPr="00B921B9">
        <w:rPr>
          <w:rFonts w:asciiTheme="minorHAnsi" w:hAnsiTheme="minorHAnsi" w:cs="Arial"/>
          <w:sz w:val="22"/>
          <w:szCs w:val="22"/>
        </w:rPr>
        <w:lastRenderedPageBreak/>
        <w:t xml:space="preserve">Comprehensive Income and Expenditure Statement. Any gain or loss arising on the disposal or abandonment of an intangible asset is posted to the Other Operating Expenditure line in the Comprehensive Income and Expenditure Statement. </w:t>
      </w:r>
    </w:p>
    <w:p w14:paraId="4BBA3993" w14:textId="77777777" w:rsidR="00536747" w:rsidRPr="00B921B9" w:rsidRDefault="00536747" w:rsidP="00536747">
      <w:pPr>
        <w:widowControl w:val="0"/>
        <w:spacing w:after="120" w:line="228" w:lineRule="auto"/>
        <w:jc w:val="both"/>
        <w:rPr>
          <w:rFonts w:asciiTheme="minorHAnsi" w:hAnsiTheme="minorHAnsi" w:cs="Arial"/>
          <w:b/>
          <w:sz w:val="22"/>
          <w:szCs w:val="22"/>
          <w:u w:val="single"/>
        </w:rPr>
      </w:pPr>
      <w:r w:rsidRPr="00B921B9">
        <w:rPr>
          <w:rFonts w:asciiTheme="minorHAnsi" w:hAnsiTheme="minorHAnsi" w:cs="Arial"/>
          <w:sz w:val="22"/>
          <w:szCs w:val="22"/>
        </w:rPr>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w:t>
      </w:r>
      <w:r w:rsidR="00AE4CF2">
        <w:rPr>
          <w:rFonts w:asciiTheme="minorHAnsi" w:hAnsiTheme="minorHAnsi" w:cs="Arial"/>
          <w:sz w:val="22"/>
          <w:szCs w:val="22"/>
        </w:rPr>
        <w:t xml:space="preserve"> the Capital Adjustment Account and (for any sale proceeds greater than £10</w:t>
      </w:r>
      <w:r w:rsidR="00170BF4">
        <w:rPr>
          <w:rFonts w:asciiTheme="minorHAnsi" w:hAnsiTheme="minorHAnsi" w:cs="Arial"/>
          <w:sz w:val="22"/>
          <w:szCs w:val="22"/>
        </w:rPr>
        <w:t>k</w:t>
      </w:r>
      <w:r w:rsidR="00AE4CF2">
        <w:rPr>
          <w:rFonts w:asciiTheme="minorHAnsi" w:hAnsiTheme="minorHAnsi" w:cs="Arial"/>
          <w:sz w:val="22"/>
          <w:szCs w:val="22"/>
        </w:rPr>
        <w:t xml:space="preserve">) the Capital Receipts Reserve. </w:t>
      </w:r>
      <w:r w:rsidRPr="00B921B9">
        <w:rPr>
          <w:rFonts w:asciiTheme="minorHAnsi" w:hAnsiTheme="minorHAnsi" w:cs="Arial"/>
          <w:sz w:val="22"/>
          <w:szCs w:val="22"/>
        </w:rPr>
        <w:t xml:space="preserve">    </w:t>
      </w:r>
    </w:p>
    <w:p w14:paraId="423F8A54" w14:textId="105772DB" w:rsidR="00894AE6" w:rsidRDefault="00707761" w:rsidP="00707761">
      <w:pPr>
        <w:widowControl w:val="0"/>
        <w:tabs>
          <w:tab w:val="left" w:pos="709"/>
          <w:tab w:val="left" w:pos="7200"/>
          <w:tab w:val="left" w:pos="8460"/>
        </w:tabs>
        <w:jc w:val="both"/>
        <w:rPr>
          <w:rFonts w:asciiTheme="minorHAnsi" w:hAnsiTheme="minorHAnsi" w:cs="Arial"/>
          <w:sz w:val="22"/>
          <w:szCs w:val="22"/>
        </w:rPr>
      </w:pPr>
      <w:r w:rsidRPr="00FB1124">
        <w:rPr>
          <w:rFonts w:asciiTheme="minorHAnsi" w:hAnsiTheme="minorHAnsi" w:cs="Arial"/>
          <w:sz w:val="22"/>
          <w:szCs w:val="22"/>
        </w:rPr>
        <w:t xml:space="preserve">The Council accounts for its software as intangible assets, to the extent that the software is not an integral part of a particular IT system and accounted for as part of the hardware item of Property, Plant </w:t>
      </w:r>
      <w:r w:rsidR="00704A70">
        <w:rPr>
          <w:rFonts w:asciiTheme="minorHAnsi" w:hAnsiTheme="minorHAnsi" w:cs="Arial"/>
          <w:sz w:val="22"/>
          <w:szCs w:val="22"/>
        </w:rPr>
        <w:t>and</w:t>
      </w:r>
      <w:r w:rsidRPr="00FB1124">
        <w:rPr>
          <w:rFonts w:asciiTheme="minorHAnsi" w:hAnsiTheme="minorHAnsi" w:cs="Arial"/>
          <w:sz w:val="22"/>
          <w:szCs w:val="22"/>
        </w:rPr>
        <w:t xml:space="preserve"> Equipment.  The intangible asset is purchased licences.  Intangible assets are given a finite useful life based on assessments of the period the software or licence is expected to be of use to the Council.  </w:t>
      </w:r>
    </w:p>
    <w:p w14:paraId="1AAA8EC3" w14:textId="77777777" w:rsidR="00894AE6" w:rsidRDefault="00894AE6" w:rsidP="00707761">
      <w:pPr>
        <w:widowControl w:val="0"/>
        <w:tabs>
          <w:tab w:val="left" w:pos="709"/>
          <w:tab w:val="left" w:pos="7200"/>
          <w:tab w:val="left" w:pos="8460"/>
        </w:tabs>
        <w:jc w:val="both"/>
        <w:rPr>
          <w:rFonts w:asciiTheme="minorHAnsi" w:hAnsiTheme="minorHAnsi" w:cs="Arial"/>
          <w:sz w:val="22"/>
          <w:szCs w:val="22"/>
        </w:rPr>
      </w:pPr>
    </w:p>
    <w:p w14:paraId="1C3384F1" w14:textId="77777777" w:rsidR="00787789" w:rsidRDefault="00707761" w:rsidP="00707761">
      <w:pPr>
        <w:widowControl w:val="0"/>
        <w:tabs>
          <w:tab w:val="left" w:pos="709"/>
          <w:tab w:val="left" w:pos="7200"/>
          <w:tab w:val="left" w:pos="8460"/>
        </w:tabs>
        <w:rPr>
          <w:rFonts w:asciiTheme="minorHAnsi" w:hAnsiTheme="minorHAnsi" w:cs="Arial"/>
          <w:sz w:val="22"/>
          <w:szCs w:val="22"/>
        </w:rPr>
      </w:pPr>
      <w:r w:rsidRPr="00FB1124">
        <w:rPr>
          <w:rFonts w:asciiTheme="minorHAnsi" w:hAnsiTheme="minorHAnsi" w:cs="Arial"/>
          <w:sz w:val="22"/>
          <w:szCs w:val="22"/>
        </w:rPr>
        <w:t>The movement on Intangible Assets in the year is as follows:</w:t>
      </w:r>
    </w:p>
    <w:p w14:paraId="7F7FCA91" w14:textId="77777777" w:rsidR="009735D9" w:rsidRDefault="009735D9" w:rsidP="00707761">
      <w:pPr>
        <w:widowControl w:val="0"/>
        <w:tabs>
          <w:tab w:val="left" w:pos="709"/>
          <w:tab w:val="left" w:pos="7200"/>
          <w:tab w:val="left" w:pos="8460"/>
        </w:tabs>
        <w:rPr>
          <w:rFonts w:asciiTheme="minorHAnsi" w:hAnsiTheme="minorHAnsi" w:cs="Arial"/>
          <w:sz w:val="22"/>
          <w:szCs w:val="22"/>
        </w:rPr>
      </w:pPr>
    </w:p>
    <w:tbl>
      <w:tblPr>
        <w:tblW w:w="10108" w:type="dxa"/>
        <w:tblInd w:w="93" w:type="dxa"/>
        <w:tblLook w:val="04A0" w:firstRow="1" w:lastRow="0" w:firstColumn="1" w:lastColumn="0" w:noHBand="0" w:noVBand="1"/>
        <w:tblCaption w:val="Intangible Assets"/>
        <w:tblDescription w:val="Movement on Intangible assets in the year"/>
      </w:tblPr>
      <w:tblGrid>
        <w:gridCol w:w="280"/>
        <w:gridCol w:w="3820"/>
        <w:gridCol w:w="1084"/>
        <w:gridCol w:w="960"/>
        <w:gridCol w:w="960"/>
        <w:gridCol w:w="1084"/>
        <w:gridCol w:w="960"/>
        <w:gridCol w:w="960"/>
      </w:tblGrid>
      <w:tr w:rsidR="007A388C" w:rsidRPr="007A388C" w14:paraId="5AA7D78F" w14:textId="77777777" w:rsidTr="00F367A2">
        <w:trPr>
          <w:cantSplit/>
          <w:trHeight w:val="300"/>
          <w:tblHeader/>
        </w:trPr>
        <w:tc>
          <w:tcPr>
            <w:tcW w:w="280" w:type="dxa"/>
            <w:tcBorders>
              <w:top w:val="nil"/>
              <w:left w:val="nil"/>
              <w:bottom w:val="nil"/>
              <w:right w:val="nil"/>
            </w:tcBorders>
            <w:shd w:val="clear" w:color="000000" w:fill="FABF8F"/>
            <w:noWrap/>
            <w:vAlign w:val="center"/>
            <w:hideMark/>
          </w:tcPr>
          <w:p w14:paraId="648B25A5"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nil"/>
              <w:right w:val="nil"/>
            </w:tcBorders>
            <w:shd w:val="clear" w:color="000000" w:fill="FABF8F"/>
            <w:noWrap/>
            <w:vAlign w:val="center"/>
            <w:hideMark/>
          </w:tcPr>
          <w:p w14:paraId="49300647"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004" w:type="dxa"/>
            <w:gridSpan w:val="3"/>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526DBBBE" w14:textId="3BA4DFDA" w:rsidR="007A388C" w:rsidRPr="007A388C" w:rsidRDefault="007A388C" w:rsidP="00C62A3D">
            <w:pPr>
              <w:jc w:val="center"/>
              <w:rPr>
                <w:rFonts w:ascii="Calibri" w:hAnsi="Calibri"/>
                <w:color w:val="000000"/>
                <w:lang w:eastAsia="en-GB"/>
              </w:rPr>
            </w:pPr>
            <w:r w:rsidRPr="007A388C">
              <w:rPr>
                <w:rFonts w:ascii="Calibri" w:hAnsi="Calibri"/>
                <w:color w:val="000000"/>
                <w:lang w:eastAsia="en-GB"/>
              </w:rPr>
              <w:t>20</w:t>
            </w:r>
            <w:r w:rsidR="00C10FB0">
              <w:rPr>
                <w:rFonts w:ascii="Calibri" w:hAnsi="Calibri"/>
                <w:color w:val="000000"/>
                <w:lang w:eastAsia="en-GB"/>
              </w:rPr>
              <w:t>2</w:t>
            </w:r>
            <w:r w:rsidR="00673238">
              <w:rPr>
                <w:rFonts w:ascii="Calibri" w:hAnsi="Calibri"/>
                <w:color w:val="000000"/>
                <w:lang w:eastAsia="en-GB"/>
              </w:rPr>
              <w:t>1</w:t>
            </w:r>
            <w:r w:rsidRPr="007A388C">
              <w:rPr>
                <w:rFonts w:ascii="Calibri" w:hAnsi="Calibri"/>
                <w:color w:val="000000"/>
                <w:lang w:eastAsia="en-GB"/>
              </w:rPr>
              <w:t>-</w:t>
            </w:r>
            <w:r w:rsidR="00C62A3D">
              <w:rPr>
                <w:rFonts w:ascii="Calibri" w:hAnsi="Calibri"/>
                <w:color w:val="000000"/>
                <w:lang w:eastAsia="en-GB"/>
              </w:rPr>
              <w:t>2</w:t>
            </w:r>
            <w:r w:rsidR="00673238">
              <w:rPr>
                <w:rFonts w:ascii="Calibri" w:hAnsi="Calibri"/>
                <w:color w:val="000000"/>
                <w:lang w:eastAsia="en-GB"/>
              </w:rPr>
              <w:t>2</w:t>
            </w:r>
          </w:p>
        </w:tc>
        <w:tc>
          <w:tcPr>
            <w:tcW w:w="3004" w:type="dxa"/>
            <w:gridSpan w:val="3"/>
            <w:tcBorders>
              <w:top w:val="single" w:sz="4" w:space="0" w:color="FFFFFF"/>
              <w:left w:val="nil"/>
              <w:bottom w:val="single" w:sz="4" w:space="0" w:color="FFFFFF"/>
              <w:right w:val="single" w:sz="4" w:space="0" w:color="FFFFFF"/>
            </w:tcBorders>
            <w:shd w:val="clear" w:color="000000" w:fill="FABF8F"/>
            <w:noWrap/>
            <w:vAlign w:val="center"/>
            <w:hideMark/>
          </w:tcPr>
          <w:p w14:paraId="56C83BB8" w14:textId="7E5F1DF2" w:rsidR="007A388C" w:rsidRPr="007A388C" w:rsidRDefault="007A388C" w:rsidP="00C62A3D">
            <w:pPr>
              <w:jc w:val="center"/>
              <w:rPr>
                <w:rFonts w:ascii="Calibri" w:hAnsi="Calibri"/>
                <w:color w:val="000000"/>
                <w:lang w:eastAsia="en-GB"/>
              </w:rPr>
            </w:pPr>
            <w:r w:rsidRPr="007A388C">
              <w:rPr>
                <w:rFonts w:ascii="Calibri" w:hAnsi="Calibri"/>
                <w:color w:val="000000"/>
                <w:lang w:eastAsia="en-GB"/>
              </w:rPr>
              <w:t>20</w:t>
            </w:r>
            <w:r w:rsidR="00C62A3D">
              <w:rPr>
                <w:rFonts w:ascii="Calibri" w:hAnsi="Calibri"/>
                <w:color w:val="000000"/>
                <w:lang w:eastAsia="en-GB"/>
              </w:rPr>
              <w:t>2</w:t>
            </w:r>
            <w:r w:rsidR="00673238">
              <w:rPr>
                <w:rFonts w:ascii="Calibri" w:hAnsi="Calibri"/>
                <w:color w:val="000000"/>
                <w:lang w:eastAsia="en-GB"/>
              </w:rPr>
              <w:t>2</w:t>
            </w:r>
            <w:r w:rsidRPr="007A388C">
              <w:rPr>
                <w:rFonts w:ascii="Calibri" w:hAnsi="Calibri"/>
                <w:color w:val="000000"/>
                <w:lang w:eastAsia="en-GB"/>
              </w:rPr>
              <w:t>-</w:t>
            </w:r>
            <w:r w:rsidR="00386594">
              <w:rPr>
                <w:rFonts w:ascii="Calibri" w:hAnsi="Calibri"/>
                <w:color w:val="000000"/>
                <w:lang w:eastAsia="en-GB"/>
              </w:rPr>
              <w:t>2</w:t>
            </w:r>
            <w:r w:rsidR="00673238">
              <w:rPr>
                <w:rFonts w:ascii="Calibri" w:hAnsi="Calibri"/>
                <w:color w:val="000000"/>
                <w:lang w:eastAsia="en-GB"/>
              </w:rPr>
              <w:t>3</w:t>
            </w:r>
          </w:p>
        </w:tc>
      </w:tr>
      <w:tr w:rsidR="007A388C" w:rsidRPr="007A388C" w14:paraId="0C86637E" w14:textId="77777777" w:rsidTr="006E6710">
        <w:trPr>
          <w:trHeight w:val="765"/>
        </w:trPr>
        <w:tc>
          <w:tcPr>
            <w:tcW w:w="280" w:type="dxa"/>
            <w:tcBorders>
              <w:top w:val="nil"/>
              <w:left w:val="nil"/>
              <w:bottom w:val="nil"/>
              <w:right w:val="nil"/>
            </w:tcBorders>
            <w:shd w:val="clear" w:color="000000" w:fill="FABF8F"/>
            <w:noWrap/>
            <w:vAlign w:val="center"/>
            <w:hideMark/>
          </w:tcPr>
          <w:p w14:paraId="7405815B"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nil"/>
              <w:right w:val="nil"/>
            </w:tcBorders>
            <w:shd w:val="clear" w:color="000000" w:fill="FABF8F"/>
            <w:noWrap/>
            <w:vAlign w:val="center"/>
            <w:hideMark/>
          </w:tcPr>
          <w:p w14:paraId="12407C4B"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1084" w:type="dxa"/>
            <w:tcBorders>
              <w:top w:val="nil"/>
              <w:left w:val="single" w:sz="4" w:space="0" w:color="FFFFFF"/>
              <w:bottom w:val="single" w:sz="4" w:space="0" w:color="FFFFFF"/>
              <w:right w:val="single" w:sz="4" w:space="0" w:color="FFFFFF"/>
            </w:tcBorders>
            <w:shd w:val="clear" w:color="000000" w:fill="FABF8F"/>
            <w:vAlign w:val="center"/>
            <w:hideMark/>
          </w:tcPr>
          <w:p w14:paraId="4EED0304"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Internally Generated Assets</w:t>
            </w:r>
          </w:p>
        </w:tc>
        <w:tc>
          <w:tcPr>
            <w:tcW w:w="960" w:type="dxa"/>
            <w:tcBorders>
              <w:top w:val="nil"/>
              <w:left w:val="nil"/>
              <w:bottom w:val="single" w:sz="4" w:space="0" w:color="FFFFFF"/>
              <w:right w:val="single" w:sz="4" w:space="0" w:color="FFFFFF"/>
            </w:tcBorders>
            <w:shd w:val="clear" w:color="000000" w:fill="FABF8F"/>
            <w:vAlign w:val="center"/>
            <w:hideMark/>
          </w:tcPr>
          <w:p w14:paraId="75998C03"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Other Assets</w:t>
            </w:r>
          </w:p>
        </w:tc>
        <w:tc>
          <w:tcPr>
            <w:tcW w:w="960" w:type="dxa"/>
            <w:tcBorders>
              <w:top w:val="nil"/>
              <w:left w:val="nil"/>
              <w:bottom w:val="single" w:sz="4" w:space="0" w:color="FFFFFF"/>
              <w:right w:val="single" w:sz="4" w:space="0" w:color="FFFFFF"/>
            </w:tcBorders>
            <w:shd w:val="clear" w:color="000000" w:fill="FABF8F"/>
            <w:vAlign w:val="center"/>
            <w:hideMark/>
          </w:tcPr>
          <w:p w14:paraId="1E9D4DF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Total</w:t>
            </w:r>
          </w:p>
        </w:tc>
        <w:tc>
          <w:tcPr>
            <w:tcW w:w="1084" w:type="dxa"/>
            <w:tcBorders>
              <w:top w:val="nil"/>
              <w:left w:val="nil"/>
              <w:bottom w:val="single" w:sz="4" w:space="0" w:color="FFFFFF"/>
              <w:right w:val="single" w:sz="4" w:space="0" w:color="FFFFFF"/>
            </w:tcBorders>
            <w:shd w:val="clear" w:color="000000" w:fill="FABF8F"/>
            <w:vAlign w:val="center"/>
            <w:hideMark/>
          </w:tcPr>
          <w:p w14:paraId="13C40453"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Internally Generated Assets</w:t>
            </w:r>
          </w:p>
        </w:tc>
        <w:tc>
          <w:tcPr>
            <w:tcW w:w="960" w:type="dxa"/>
            <w:tcBorders>
              <w:top w:val="nil"/>
              <w:left w:val="nil"/>
              <w:bottom w:val="single" w:sz="4" w:space="0" w:color="FFFFFF"/>
              <w:right w:val="single" w:sz="4" w:space="0" w:color="FFFFFF"/>
            </w:tcBorders>
            <w:shd w:val="clear" w:color="000000" w:fill="FABF8F"/>
            <w:vAlign w:val="center"/>
            <w:hideMark/>
          </w:tcPr>
          <w:p w14:paraId="61E69B99"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Other Assets</w:t>
            </w:r>
          </w:p>
        </w:tc>
        <w:tc>
          <w:tcPr>
            <w:tcW w:w="960" w:type="dxa"/>
            <w:tcBorders>
              <w:top w:val="nil"/>
              <w:left w:val="nil"/>
              <w:bottom w:val="single" w:sz="4" w:space="0" w:color="FFFFFF"/>
              <w:right w:val="single" w:sz="4" w:space="0" w:color="FFFFFF"/>
            </w:tcBorders>
            <w:shd w:val="clear" w:color="000000" w:fill="FABF8F"/>
            <w:vAlign w:val="center"/>
            <w:hideMark/>
          </w:tcPr>
          <w:p w14:paraId="66EC264E"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Total</w:t>
            </w:r>
          </w:p>
        </w:tc>
      </w:tr>
      <w:tr w:rsidR="007A388C" w:rsidRPr="007A388C" w14:paraId="2766B670" w14:textId="77777777" w:rsidTr="006E6710">
        <w:trPr>
          <w:trHeight w:val="300"/>
        </w:trPr>
        <w:tc>
          <w:tcPr>
            <w:tcW w:w="280" w:type="dxa"/>
            <w:tcBorders>
              <w:top w:val="nil"/>
              <w:left w:val="nil"/>
              <w:bottom w:val="single" w:sz="4" w:space="0" w:color="FFFFFF"/>
              <w:right w:val="nil"/>
            </w:tcBorders>
            <w:shd w:val="clear" w:color="000000" w:fill="FABF8F"/>
            <w:noWrap/>
            <w:vAlign w:val="center"/>
            <w:hideMark/>
          </w:tcPr>
          <w:p w14:paraId="1AA3947E"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000000" w:fill="FABF8F"/>
            <w:noWrap/>
            <w:vAlign w:val="center"/>
            <w:hideMark/>
          </w:tcPr>
          <w:p w14:paraId="108476B3"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1084" w:type="dxa"/>
            <w:tcBorders>
              <w:top w:val="nil"/>
              <w:left w:val="nil"/>
              <w:bottom w:val="single" w:sz="4" w:space="0" w:color="FFFFFF"/>
              <w:right w:val="single" w:sz="4" w:space="0" w:color="FFFFFF"/>
            </w:tcBorders>
            <w:shd w:val="clear" w:color="000000" w:fill="FABF8F"/>
            <w:noWrap/>
            <w:vAlign w:val="center"/>
            <w:hideMark/>
          </w:tcPr>
          <w:p w14:paraId="44CA6B19"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000000" w:fill="FABF8F"/>
            <w:noWrap/>
            <w:vAlign w:val="center"/>
            <w:hideMark/>
          </w:tcPr>
          <w:p w14:paraId="247B6F28"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000000" w:fill="FABF8F"/>
            <w:noWrap/>
            <w:vAlign w:val="center"/>
            <w:hideMark/>
          </w:tcPr>
          <w:p w14:paraId="2E64198A"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c>
          <w:tcPr>
            <w:tcW w:w="1084" w:type="dxa"/>
            <w:tcBorders>
              <w:top w:val="nil"/>
              <w:left w:val="nil"/>
              <w:bottom w:val="single" w:sz="4" w:space="0" w:color="FFFFFF"/>
              <w:right w:val="single" w:sz="4" w:space="0" w:color="FFFFFF"/>
            </w:tcBorders>
            <w:shd w:val="clear" w:color="000000" w:fill="FABF8F"/>
            <w:noWrap/>
            <w:vAlign w:val="center"/>
            <w:hideMark/>
          </w:tcPr>
          <w:p w14:paraId="51348BF6"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000000" w:fill="FABF8F"/>
            <w:noWrap/>
            <w:vAlign w:val="center"/>
            <w:hideMark/>
          </w:tcPr>
          <w:p w14:paraId="67EA4B7C"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000000" w:fill="FABF8F"/>
            <w:noWrap/>
            <w:vAlign w:val="center"/>
            <w:hideMark/>
          </w:tcPr>
          <w:p w14:paraId="225EBC33"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£’000</w:t>
            </w:r>
          </w:p>
        </w:tc>
      </w:tr>
      <w:tr w:rsidR="007A388C" w:rsidRPr="007A388C" w14:paraId="5C969351" w14:textId="77777777" w:rsidTr="006E6710">
        <w:trPr>
          <w:trHeight w:val="300"/>
        </w:trPr>
        <w:tc>
          <w:tcPr>
            <w:tcW w:w="4100" w:type="dxa"/>
            <w:gridSpan w:val="2"/>
            <w:tcBorders>
              <w:top w:val="nil"/>
              <w:left w:val="nil"/>
              <w:bottom w:val="nil"/>
              <w:right w:val="nil"/>
            </w:tcBorders>
            <w:shd w:val="clear" w:color="000000" w:fill="FDE9D9"/>
            <w:noWrap/>
            <w:vAlign w:val="center"/>
            <w:hideMark/>
          </w:tcPr>
          <w:p w14:paraId="2A71AC39"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Balance at year start:</w:t>
            </w:r>
          </w:p>
        </w:tc>
        <w:tc>
          <w:tcPr>
            <w:tcW w:w="1084" w:type="dxa"/>
            <w:tcBorders>
              <w:top w:val="nil"/>
              <w:left w:val="nil"/>
              <w:bottom w:val="nil"/>
              <w:right w:val="nil"/>
            </w:tcBorders>
            <w:shd w:val="clear" w:color="000000" w:fill="FDE9D9"/>
            <w:noWrap/>
            <w:vAlign w:val="center"/>
            <w:hideMark/>
          </w:tcPr>
          <w:p w14:paraId="65E8CFC3"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2F774980"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0E4B8F4A"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1084" w:type="dxa"/>
            <w:tcBorders>
              <w:top w:val="nil"/>
              <w:left w:val="nil"/>
              <w:bottom w:val="nil"/>
              <w:right w:val="nil"/>
            </w:tcBorders>
            <w:shd w:val="clear" w:color="000000" w:fill="FDE9D9"/>
            <w:noWrap/>
            <w:vAlign w:val="center"/>
            <w:hideMark/>
          </w:tcPr>
          <w:p w14:paraId="03C4D0EB"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308F8257"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0C881B93"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r>
      <w:tr w:rsidR="007A388C" w:rsidRPr="007A388C" w14:paraId="5A16E371" w14:textId="77777777" w:rsidTr="00386594">
        <w:trPr>
          <w:trHeight w:val="300"/>
        </w:trPr>
        <w:tc>
          <w:tcPr>
            <w:tcW w:w="280" w:type="dxa"/>
            <w:tcBorders>
              <w:top w:val="single" w:sz="4" w:space="0" w:color="FFFFFF"/>
              <w:left w:val="nil"/>
              <w:bottom w:val="single" w:sz="4" w:space="0" w:color="FFFFFF"/>
              <w:right w:val="nil"/>
            </w:tcBorders>
            <w:shd w:val="clear" w:color="000000" w:fill="FDE9D9"/>
            <w:noWrap/>
            <w:vAlign w:val="center"/>
            <w:hideMark/>
          </w:tcPr>
          <w:p w14:paraId="179E7E1E"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single" w:sz="4" w:space="0" w:color="FFFFFF"/>
              <w:left w:val="nil"/>
              <w:bottom w:val="single" w:sz="4" w:space="0" w:color="FFFFFF"/>
              <w:right w:val="single" w:sz="4" w:space="0" w:color="FFFFFF"/>
            </w:tcBorders>
            <w:shd w:val="clear" w:color="000000" w:fill="FDE9D9"/>
            <w:noWrap/>
            <w:vAlign w:val="center"/>
            <w:hideMark/>
          </w:tcPr>
          <w:p w14:paraId="365909C2"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Gross carrying amounts</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10D82E8C"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single" w:sz="4" w:space="0" w:color="FFFFFF"/>
              <w:left w:val="nil"/>
              <w:bottom w:val="single" w:sz="4" w:space="0" w:color="FFFFFF"/>
              <w:right w:val="single" w:sz="4" w:space="0" w:color="FFFFFF"/>
            </w:tcBorders>
            <w:shd w:val="clear" w:color="000000" w:fill="FDE9D9"/>
            <w:noWrap/>
            <w:vAlign w:val="center"/>
            <w:hideMark/>
          </w:tcPr>
          <w:p w14:paraId="507E66E2" w14:textId="365B6CFF"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1,</w:t>
            </w:r>
            <w:r w:rsidR="00673238">
              <w:rPr>
                <w:rFonts w:ascii="Calibri" w:hAnsi="Calibri"/>
                <w:color w:val="000000"/>
                <w:lang w:eastAsia="en-GB"/>
              </w:rPr>
              <w:t>413</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hideMark/>
          </w:tcPr>
          <w:p w14:paraId="1C3DC485" w14:textId="2AA023E9" w:rsidR="007A388C" w:rsidRPr="007A388C" w:rsidRDefault="007A388C" w:rsidP="00C62A3D">
            <w:pPr>
              <w:jc w:val="right"/>
              <w:rPr>
                <w:rFonts w:ascii="Calibri" w:hAnsi="Calibri"/>
                <w:color w:val="000000"/>
                <w:lang w:eastAsia="en-GB"/>
              </w:rPr>
            </w:pPr>
            <w:r w:rsidRPr="007A388C">
              <w:rPr>
                <w:rFonts w:ascii="Calibri" w:hAnsi="Calibri"/>
                <w:color w:val="000000"/>
                <w:lang w:eastAsia="en-GB"/>
              </w:rPr>
              <w:t>1,</w:t>
            </w:r>
            <w:r w:rsidR="00673238">
              <w:rPr>
                <w:rFonts w:ascii="Calibri" w:hAnsi="Calibri"/>
                <w:color w:val="000000"/>
                <w:lang w:eastAsia="en-GB"/>
              </w:rPr>
              <w:t>413</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08A8E2AF"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single" w:sz="4" w:space="0" w:color="FFFFFF"/>
              <w:left w:val="nil"/>
              <w:bottom w:val="single" w:sz="4" w:space="0" w:color="FFFFFF"/>
              <w:right w:val="single" w:sz="4" w:space="0" w:color="FFFFFF"/>
            </w:tcBorders>
            <w:shd w:val="clear" w:color="000000" w:fill="FDE9D9"/>
            <w:noWrap/>
            <w:vAlign w:val="center"/>
          </w:tcPr>
          <w:p w14:paraId="520D082C" w14:textId="10F1FE8F" w:rsidR="007A388C" w:rsidRPr="007A388C" w:rsidRDefault="00673238" w:rsidP="00C62A3D">
            <w:pPr>
              <w:jc w:val="right"/>
              <w:rPr>
                <w:rFonts w:ascii="Calibri" w:hAnsi="Calibri"/>
                <w:color w:val="000000"/>
                <w:lang w:eastAsia="en-GB"/>
              </w:rPr>
            </w:pPr>
            <w:r>
              <w:rPr>
                <w:rFonts w:ascii="Calibri" w:hAnsi="Calibri"/>
                <w:color w:val="000000"/>
                <w:lang w:eastAsia="en-GB"/>
              </w:rPr>
              <w:t>615</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tcPr>
          <w:p w14:paraId="58FF6D74" w14:textId="6BD1E6D8" w:rsidR="007A388C" w:rsidRPr="007A388C" w:rsidRDefault="00673238" w:rsidP="00C62A3D">
            <w:pPr>
              <w:jc w:val="right"/>
              <w:rPr>
                <w:rFonts w:ascii="Calibri" w:hAnsi="Calibri"/>
                <w:color w:val="000000"/>
                <w:lang w:eastAsia="en-GB"/>
              </w:rPr>
            </w:pPr>
            <w:r>
              <w:rPr>
                <w:rFonts w:ascii="Calibri" w:hAnsi="Calibri"/>
                <w:color w:val="000000"/>
                <w:lang w:eastAsia="en-GB"/>
              </w:rPr>
              <w:t>615</w:t>
            </w:r>
          </w:p>
        </w:tc>
      </w:tr>
      <w:tr w:rsidR="007A388C" w:rsidRPr="007A388C" w14:paraId="27B45103" w14:textId="77777777" w:rsidTr="00386594">
        <w:trPr>
          <w:trHeight w:val="300"/>
        </w:trPr>
        <w:tc>
          <w:tcPr>
            <w:tcW w:w="280" w:type="dxa"/>
            <w:tcBorders>
              <w:top w:val="nil"/>
              <w:left w:val="nil"/>
              <w:bottom w:val="single" w:sz="4" w:space="0" w:color="FFFFFF"/>
              <w:right w:val="nil"/>
            </w:tcBorders>
            <w:shd w:val="clear" w:color="000000" w:fill="FDE9D9"/>
            <w:noWrap/>
            <w:vAlign w:val="center"/>
            <w:hideMark/>
          </w:tcPr>
          <w:p w14:paraId="3B2039E5"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000000" w:fill="FDE9D9"/>
            <w:noWrap/>
            <w:vAlign w:val="center"/>
            <w:hideMark/>
          </w:tcPr>
          <w:p w14:paraId="5E59E9D8"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Accumulated amortisation</w:t>
            </w:r>
          </w:p>
        </w:tc>
        <w:tc>
          <w:tcPr>
            <w:tcW w:w="1084" w:type="dxa"/>
            <w:tcBorders>
              <w:top w:val="nil"/>
              <w:left w:val="nil"/>
              <w:bottom w:val="single" w:sz="4" w:space="0" w:color="FFFFFF"/>
              <w:right w:val="single" w:sz="4" w:space="0" w:color="FFFFFF"/>
            </w:tcBorders>
            <w:shd w:val="clear" w:color="000000" w:fill="FDE9D9"/>
            <w:noWrap/>
            <w:vAlign w:val="center"/>
            <w:hideMark/>
          </w:tcPr>
          <w:p w14:paraId="3A6CF3A3"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000000" w:fill="FDE9D9"/>
            <w:noWrap/>
            <w:vAlign w:val="center"/>
            <w:hideMark/>
          </w:tcPr>
          <w:p w14:paraId="00CB8AD6" w14:textId="01E3063A"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w:t>
            </w:r>
            <w:r w:rsidR="00C62A3D">
              <w:rPr>
                <w:rFonts w:ascii="Calibri" w:hAnsi="Calibri"/>
                <w:color w:val="000000"/>
                <w:lang w:eastAsia="en-GB"/>
              </w:rPr>
              <w:t>1,</w:t>
            </w:r>
            <w:r w:rsidR="00C10FB0">
              <w:rPr>
                <w:rFonts w:ascii="Calibri" w:hAnsi="Calibri"/>
                <w:color w:val="000000"/>
                <w:lang w:eastAsia="en-GB"/>
              </w:rPr>
              <w:t>1</w:t>
            </w:r>
            <w:r w:rsidR="00673238">
              <w:rPr>
                <w:rFonts w:ascii="Calibri" w:hAnsi="Calibri"/>
                <w:color w:val="000000"/>
                <w:lang w:eastAsia="en-GB"/>
              </w:rPr>
              <w:t>71</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1B99E652" w14:textId="334C48F8"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w:t>
            </w:r>
            <w:r w:rsidR="00C62A3D">
              <w:rPr>
                <w:rFonts w:ascii="Calibri" w:hAnsi="Calibri"/>
                <w:color w:val="000000"/>
                <w:lang w:eastAsia="en-GB"/>
              </w:rPr>
              <w:t>1,</w:t>
            </w:r>
            <w:r w:rsidR="00C10FB0">
              <w:rPr>
                <w:rFonts w:ascii="Calibri" w:hAnsi="Calibri"/>
                <w:color w:val="000000"/>
                <w:lang w:eastAsia="en-GB"/>
              </w:rPr>
              <w:t>1</w:t>
            </w:r>
            <w:r w:rsidR="00673238">
              <w:rPr>
                <w:rFonts w:ascii="Calibri" w:hAnsi="Calibri"/>
                <w:color w:val="000000"/>
                <w:lang w:eastAsia="en-GB"/>
              </w:rPr>
              <w:t>71</w:t>
            </w:r>
          </w:p>
        </w:tc>
        <w:tc>
          <w:tcPr>
            <w:tcW w:w="1084" w:type="dxa"/>
            <w:tcBorders>
              <w:top w:val="nil"/>
              <w:left w:val="nil"/>
              <w:bottom w:val="single" w:sz="4" w:space="0" w:color="FFFFFF"/>
              <w:right w:val="single" w:sz="4" w:space="0" w:color="FFFFFF"/>
            </w:tcBorders>
            <w:shd w:val="clear" w:color="000000" w:fill="FDE9D9"/>
            <w:noWrap/>
            <w:vAlign w:val="center"/>
            <w:hideMark/>
          </w:tcPr>
          <w:p w14:paraId="7A25A29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10DA84A9" w14:textId="08E31006" w:rsidR="007A388C" w:rsidRPr="007A388C" w:rsidRDefault="000D1CA5" w:rsidP="0060125D">
            <w:pPr>
              <w:jc w:val="right"/>
              <w:rPr>
                <w:rFonts w:ascii="Calibri" w:hAnsi="Calibri"/>
                <w:color w:val="000000"/>
                <w:lang w:eastAsia="en-GB"/>
              </w:rPr>
            </w:pPr>
            <w:r>
              <w:rPr>
                <w:rFonts w:ascii="Calibri" w:hAnsi="Calibri"/>
                <w:color w:val="000000"/>
                <w:lang w:eastAsia="en-GB"/>
              </w:rPr>
              <w:t>-</w:t>
            </w:r>
            <w:r w:rsidR="00673238">
              <w:rPr>
                <w:rFonts w:ascii="Calibri" w:hAnsi="Calibri"/>
                <w:color w:val="000000"/>
                <w:lang w:eastAsia="en-GB"/>
              </w:rPr>
              <w:t>352</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2A1FF986" w14:textId="1BFD6F54" w:rsidR="007A388C" w:rsidRPr="007A388C" w:rsidRDefault="000D1CA5" w:rsidP="0060125D">
            <w:pPr>
              <w:jc w:val="right"/>
              <w:rPr>
                <w:rFonts w:ascii="Calibri" w:hAnsi="Calibri"/>
                <w:color w:val="000000"/>
                <w:lang w:eastAsia="en-GB"/>
              </w:rPr>
            </w:pPr>
            <w:r>
              <w:rPr>
                <w:rFonts w:ascii="Calibri" w:hAnsi="Calibri"/>
                <w:color w:val="000000"/>
                <w:lang w:eastAsia="en-GB"/>
              </w:rPr>
              <w:t>-</w:t>
            </w:r>
            <w:r w:rsidR="00673238">
              <w:rPr>
                <w:rFonts w:ascii="Calibri" w:hAnsi="Calibri"/>
                <w:color w:val="000000"/>
                <w:lang w:eastAsia="en-GB"/>
              </w:rPr>
              <w:t>352</w:t>
            </w:r>
          </w:p>
        </w:tc>
      </w:tr>
      <w:tr w:rsidR="007A388C" w:rsidRPr="007A388C" w14:paraId="4D10DB01" w14:textId="77777777" w:rsidTr="00386594">
        <w:trPr>
          <w:trHeight w:val="300"/>
        </w:trPr>
        <w:tc>
          <w:tcPr>
            <w:tcW w:w="4100" w:type="dxa"/>
            <w:gridSpan w:val="2"/>
            <w:tcBorders>
              <w:top w:val="nil"/>
              <w:left w:val="single" w:sz="4" w:space="0" w:color="FFFFFF"/>
              <w:bottom w:val="single" w:sz="4" w:space="0" w:color="FFFFFF"/>
              <w:right w:val="single" w:sz="4" w:space="0" w:color="FFFFFF"/>
            </w:tcBorders>
            <w:shd w:val="clear" w:color="000000" w:fill="FCD5B4"/>
            <w:noWrap/>
            <w:vAlign w:val="center"/>
            <w:hideMark/>
          </w:tcPr>
          <w:p w14:paraId="4B94B6EE" w14:textId="77777777" w:rsidR="007A388C" w:rsidRPr="007A388C" w:rsidRDefault="007A388C" w:rsidP="007A388C">
            <w:pPr>
              <w:rPr>
                <w:rFonts w:ascii="Calibri" w:hAnsi="Calibri"/>
                <w:b/>
                <w:bCs/>
                <w:color w:val="000000"/>
                <w:lang w:eastAsia="en-GB"/>
              </w:rPr>
            </w:pPr>
            <w:r w:rsidRPr="007A388C">
              <w:rPr>
                <w:rFonts w:ascii="Calibri" w:hAnsi="Calibri"/>
                <w:b/>
                <w:bCs/>
                <w:color w:val="000000"/>
                <w:lang w:eastAsia="en-GB"/>
              </w:rPr>
              <w:t>Net carrying amount at year start</w:t>
            </w:r>
          </w:p>
        </w:tc>
        <w:tc>
          <w:tcPr>
            <w:tcW w:w="1084" w:type="dxa"/>
            <w:tcBorders>
              <w:top w:val="nil"/>
              <w:left w:val="nil"/>
              <w:bottom w:val="single" w:sz="4" w:space="0" w:color="FFFFFF"/>
              <w:right w:val="single" w:sz="4" w:space="0" w:color="FFFFFF"/>
            </w:tcBorders>
            <w:shd w:val="clear" w:color="000000" w:fill="FCD5B4"/>
            <w:noWrap/>
            <w:vAlign w:val="center"/>
            <w:hideMark/>
          </w:tcPr>
          <w:p w14:paraId="233AB64F"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0</w:t>
            </w:r>
          </w:p>
        </w:tc>
        <w:tc>
          <w:tcPr>
            <w:tcW w:w="960" w:type="dxa"/>
            <w:tcBorders>
              <w:top w:val="nil"/>
              <w:left w:val="nil"/>
              <w:bottom w:val="single" w:sz="4" w:space="0" w:color="FFFFFF"/>
              <w:right w:val="single" w:sz="4" w:space="0" w:color="FFFFFF"/>
            </w:tcBorders>
            <w:shd w:val="clear" w:color="000000" w:fill="FCD5B4"/>
            <w:noWrap/>
            <w:vAlign w:val="center"/>
            <w:hideMark/>
          </w:tcPr>
          <w:p w14:paraId="1E70B31E" w14:textId="0C2BB54D" w:rsidR="007A388C" w:rsidRPr="007A388C" w:rsidRDefault="00673238" w:rsidP="007A388C">
            <w:pPr>
              <w:jc w:val="right"/>
              <w:rPr>
                <w:rFonts w:ascii="Calibri" w:hAnsi="Calibri"/>
                <w:b/>
                <w:bCs/>
                <w:color w:val="000000"/>
                <w:lang w:eastAsia="en-GB"/>
              </w:rPr>
            </w:pPr>
            <w:r>
              <w:rPr>
                <w:rFonts w:ascii="Calibri" w:hAnsi="Calibri"/>
                <w:b/>
                <w:bCs/>
                <w:color w:val="000000"/>
                <w:lang w:eastAsia="en-GB"/>
              </w:rPr>
              <w:t>242</w:t>
            </w:r>
          </w:p>
        </w:tc>
        <w:tc>
          <w:tcPr>
            <w:tcW w:w="960" w:type="dxa"/>
            <w:tcBorders>
              <w:top w:val="nil"/>
              <w:left w:val="nil"/>
              <w:bottom w:val="single" w:sz="4" w:space="0" w:color="FFFFFF"/>
              <w:right w:val="single" w:sz="4" w:space="0" w:color="FFFFFF"/>
            </w:tcBorders>
            <w:shd w:val="clear" w:color="000000" w:fill="FCD5B4"/>
            <w:noWrap/>
            <w:vAlign w:val="center"/>
            <w:hideMark/>
          </w:tcPr>
          <w:p w14:paraId="64944523" w14:textId="19338532" w:rsidR="007A388C" w:rsidRPr="007A388C" w:rsidRDefault="00673238" w:rsidP="007A388C">
            <w:pPr>
              <w:jc w:val="right"/>
              <w:rPr>
                <w:rFonts w:ascii="Calibri" w:hAnsi="Calibri"/>
                <w:b/>
                <w:bCs/>
                <w:color w:val="000000"/>
                <w:lang w:eastAsia="en-GB"/>
              </w:rPr>
            </w:pPr>
            <w:r>
              <w:rPr>
                <w:rFonts w:ascii="Calibri" w:hAnsi="Calibri"/>
                <w:b/>
                <w:bCs/>
                <w:color w:val="000000"/>
                <w:lang w:eastAsia="en-GB"/>
              </w:rPr>
              <w:t>242</w:t>
            </w:r>
          </w:p>
        </w:tc>
        <w:tc>
          <w:tcPr>
            <w:tcW w:w="1084" w:type="dxa"/>
            <w:tcBorders>
              <w:top w:val="nil"/>
              <w:left w:val="nil"/>
              <w:bottom w:val="single" w:sz="4" w:space="0" w:color="FFFFFF"/>
              <w:right w:val="single" w:sz="4" w:space="0" w:color="FFFFFF"/>
            </w:tcBorders>
            <w:shd w:val="clear" w:color="000000" w:fill="FCD5B4"/>
            <w:noWrap/>
            <w:vAlign w:val="center"/>
            <w:hideMark/>
          </w:tcPr>
          <w:p w14:paraId="272D353F"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0</w:t>
            </w:r>
          </w:p>
        </w:tc>
        <w:tc>
          <w:tcPr>
            <w:tcW w:w="960" w:type="dxa"/>
            <w:tcBorders>
              <w:top w:val="nil"/>
              <w:left w:val="nil"/>
              <w:bottom w:val="single" w:sz="4" w:space="0" w:color="FFFFFF"/>
              <w:right w:val="single" w:sz="4" w:space="0" w:color="FFFFFF"/>
            </w:tcBorders>
            <w:shd w:val="clear" w:color="000000" w:fill="FCD5B4"/>
            <w:noWrap/>
            <w:vAlign w:val="center"/>
          </w:tcPr>
          <w:p w14:paraId="0C606A16" w14:textId="68537057" w:rsidR="007A388C" w:rsidRPr="004F35FB" w:rsidRDefault="00C10FB0" w:rsidP="007A388C">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c>
          <w:tcPr>
            <w:tcW w:w="960" w:type="dxa"/>
            <w:tcBorders>
              <w:top w:val="nil"/>
              <w:left w:val="nil"/>
              <w:bottom w:val="single" w:sz="4" w:space="0" w:color="FFFFFF"/>
              <w:right w:val="single" w:sz="4" w:space="0" w:color="FFFFFF"/>
            </w:tcBorders>
            <w:shd w:val="clear" w:color="000000" w:fill="FCD5B4"/>
            <w:noWrap/>
            <w:vAlign w:val="center"/>
          </w:tcPr>
          <w:p w14:paraId="69D28A4F" w14:textId="1372F14D" w:rsidR="007A388C" w:rsidRPr="004F35FB" w:rsidRDefault="00C10FB0" w:rsidP="007A388C">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r>
      <w:tr w:rsidR="007A388C" w:rsidRPr="007A388C" w14:paraId="403F0C5E" w14:textId="77777777" w:rsidTr="006E6710">
        <w:trPr>
          <w:trHeight w:val="300"/>
        </w:trPr>
        <w:tc>
          <w:tcPr>
            <w:tcW w:w="4100" w:type="dxa"/>
            <w:gridSpan w:val="2"/>
            <w:tcBorders>
              <w:top w:val="nil"/>
              <w:left w:val="nil"/>
              <w:bottom w:val="nil"/>
              <w:right w:val="nil"/>
            </w:tcBorders>
            <w:shd w:val="clear" w:color="000000" w:fill="FDE9D9"/>
            <w:noWrap/>
            <w:vAlign w:val="center"/>
            <w:hideMark/>
          </w:tcPr>
          <w:p w14:paraId="1AAE9B32"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Additions:</w:t>
            </w:r>
          </w:p>
        </w:tc>
        <w:tc>
          <w:tcPr>
            <w:tcW w:w="1084" w:type="dxa"/>
            <w:tcBorders>
              <w:top w:val="nil"/>
              <w:left w:val="nil"/>
              <w:bottom w:val="nil"/>
              <w:right w:val="nil"/>
            </w:tcBorders>
            <w:shd w:val="clear" w:color="000000" w:fill="FDE9D9"/>
            <w:noWrap/>
            <w:vAlign w:val="center"/>
            <w:hideMark/>
          </w:tcPr>
          <w:p w14:paraId="37847ADF"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706A8F35"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4304C80F"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1084" w:type="dxa"/>
            <w:tcBorders>
              <w:top w:val="nil"/>
              <w:left w:val="nil"/>
              <w:bottom w:val="nil"/>
              <w:right w:val="nil"/>
            </w:tcBorders>
            <w:shd w:val="clear" w:color="000000" w:fill="FDE9D9"/>
            <w:noWrap/>
            <w:vAlign w:val="center"/>
            <w:hideMark/>
          </w:tcPr>
          <w:p w14:paraId="297BBF3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0B62892E"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5E355D09"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r>
      <w:tr w:rsidR="007A388C" w:rsidRPr="007A388C" w14:paraId="5AA1354B" w14:textId="77777777" w:rsidTr="00C972CB">
        <w:trPr>
          <w:trHeight w:val="300"/>
        </w:trPr>
        <w:tc>
          <w:tcPr>
            <w:tcW w:w="280" w:type="dxa"/>
            <w:tcBorders>
              <w:top w:val="single" w:sz="4" w:space="0" w:color="FFFFFF"/>
              <w:left w:val="nil"/>
              <w:bottom w:val="single" w:sz="4" w:space="0" w:color="FFFFFF"/>
              <w:right w:val="nil"/>
            </w:tcBorders>
            <w:shd w:val="clear" w:color="000000" w:fill="FDE9D9"/>
            <w:noWrap/>
            <w:vAlign w:val="center"/>
            <w:hideMark/>
          </w:tcPr>
          <w:p w14:paraId="4DCA53C8"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single" w:sz="4" w:space="0" w:color="FFFFFF"/>
              <w:left w:val="nil"/>
              <w:bottom w:val="single" w:sz="4" w:space="0" w:color="FFFFFF"/>
              <w:right w:val="single" w:sz="4" w:space="0" w:color="FFFFFF"/>
            </w:tcBorders>
            <w:shd w:val="clear" w:color="000000" w:fill="FDE9D9"/>
            <w:noWrap/>
            <w:vAlign w:val="center"/>
            <w:hideMark/>
          </w:tcPr>
          <w:p w14:paraId="65FCED21"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Internal development</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33220426"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single" w:sz="4" w:space="0" w:color="FFFFFF"/>
              <w:left w:val="nil"/>
              <w:bottom w:val="single" w:sz="4" w:space="0" w:color="FFFFFF"/>
              <w:right w:val="single" w:sz="4" w:space="0" w:color="FFFFFF"/>
            </w:tcBorders>
            <w:shd w:val="clear" w:color="000000" w:fill="FDE9D9"/>
            <w:noWrap/>
            <w:vAlign w:val="center"/>
            <w:hideMark/>
          </w:tcPr>
          <w:p w14:paraId="3B05F4A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hideMark/>
          </w:tcPr>
          <w:p w14:paraId="6E86A19F"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3DF3487F"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single" w:sz="4" w:space="0" w:color="FFFFFF"/>
              <w:left w:val="nil"/>
              <w:bottom w:val="single" w:sz="4" w:space="0" w:color="FFFFFF"/>
              <w:right w:val="single" w:sz="4" w:space="0" w:color="FFFFFF"/>
            </w:tcBorders>
            <w:shd w:val="clear" w:color="000000" w:fill="FDE9D9"/>
            <w:noWrap/>
            <w:vAlign w:val="center"/>
          </w:tcPr>
          <w:p w14:paraId="3931142B" w14:textId="2AC14511" w:rsidR="00E76939" w:rsidRPr="007A388C" w:rsidRDefault="00375733">
            <w:pPr>
              <w:jc w:val="right"/>
              <w:rPr>
                <w:rFonts w:ascii="Calibri" w:hAnsi="Calibri"/>
                <w:color w:val="000000"/>
                <w:lang w:eastAsia="en-GB"/>
              </w:rPr>
            </w:pPr>
            <w:r>
              <w:rPr>
                <w:rFonts w:ascii="Calibri" w:hAnsi="Calibri"/>
                <w:color w:val="000000"/>
                <w:lang w:eastAsia="en-GB"/>
              </w:rPr>
              <w:t>0</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tcPr>
          <w:p w14:paraId="2ADF7BE8" w14:textId="53835F7D"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36BF9E16" w14:textId="77777777" w:rsidTr="00C972CB">
        <w:trPr>
          <w:trHeight w:val="300"/>
        </w:trPr>
        <w:tc>
          <w:tcPr>
            <w:tcW w:w="280" w:type="dxa"/>
            <w:tcBorders>
              <w:top w:val="nil"/>
              <w:left w:val="nil"/>
              <w:bottom w:val="single" w:sz="4" w:space="0" w:color="FFFFFF"/>
              <w:right w:val="nil"/>
            </w:tcBorders>
            <w:shd w:val="clear" w:color="000000" w:fill="FDE9D9"/>
            <w:noWrap/>
            <w:vAlign w:val="center"/>
            <w:hideMark/>
          </w:tcPr>
          <w:p w14:paraId="7586590E"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000000" w:fill="FDE9D9"/>
            <w:noWrap/>
            <w:vAlign w:val="center"/>
            <w:hideMark/>
          </w:tcPr>
          <w:p w14:paraId="3E1373FC"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Purchases</w:t>
            </w:r>
          </w:p>
        </w:tc>
        <w:tc>
          <w:tcPr>
            <w:tcW w:w="1084" w:type="dxa"/>
            <w:tcBorders>
              <w:top w:val="nil"/>
              <w:left w:val="nil"/>
              <w:bottom w:val="single" w:sz="4" w:space="0" w:color="FFFFFF"/>
              <w:right w:val="single" w:sz="4" w:space="0" w:color="FFFFFF"/>
            </w:tcBorders>
            <w:shd w:val="clear" w:color="000000" w:fill="FDE9D9"/>
            <w:noWrap/>
            <w:vAlign w:val="center"/>
            <w:hideMark/>
          </w:tcPr>
          <w:p w14:paraId="0B5554CE"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000000" w:fill="FDE9D9"/>
            <w:noWrap/>
            <w:vAlign w:val="center"/>
            <w:hideMark/>
          </w:tcPr>
          <w:p w14:paraId="63A31689" w14:textId="5352B549" w:rsidR="007A388C" w:rsidRPr="007A388C" w:rsidRDefault="00673238" w:rsidP="007A388C">
            <w:pPr>
              <w:jc w:val="right"/>
              <w:rPr>
                <w:rFonts w:ascii="Calibri" w:hAnsi="Calibri"/>
                <w:color w:val="000000"/>
                <w:lang w:eastAsia="en-GB"/>
              </w:rPr>
            </w:pPr>
            <w:r>
              <w:rPr>
                <w:rFonts w:ascii="Calibri" w:hAnsi="Calibri"/>
                <w:color w:val="000000"/>
                <w:lang w:eastAsia="en-GB"/>
              </w:rPr>
              <w:t>80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02A46C5A" w14:textId="1A160716" w:rsidR="007A388C" w:rsidRPr="007A388C" w:rsidRDefault="00673238" w:rsidP="007A388C">
            <w:pPr>
              <w:jc w:val="right"/>
              <w:rPr>
                <w:rFonts w:ascii="Calibri" w:hAnsi="Calibri"/>
                <w:color w:val="000000"/>
                <w:lang w:eastAsia="en-GB"/>
              </w:rPr>
            </w:pPr>
            <w:r>
              <w:rPr>
                <w:rFonts w:ascii="Calibri" w:hAnsi="Calibri"/>
                <w:color w:val="000000"/>
                <w:lang w:eastAsia="en-GB"/>
              </w:rPr>
              <w:t>80</w:t>
            </w:r>
          </w:p>
        </w:tc>
        <w:tc>
          <w:tcPr>
            <w:tcW w:w="1084" w:type="dxa"/>
            <w:tcBorders>
              <w:top w:val="nil"/>
              <w:left w:val="nil"/>
              <w:bottom w:val="single" w:sz="4" w:space="0" w:color="FFFFFF"/>
              <w:right w:val="single" w:sz="4" w:space="0" w:color="FFFFFF"/>
            </w:tcBorders>
            <w:shd w:val="clear" w:color="000000" w:fill="FDE9D9"/>
            <w:noWrap/>
            <w:vAlign w:val="center"/>
            <w:hideMark/>
          </w:tcPr>
          <w:p w14:paraId="78DD5F5B"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5FA01BC6" w14:textId="679D35E2" w:rsidR="007A388C" w:rsidRPr="00AF5FA0" w:rsidRDefault="003B2EB7" w:rsidP="00835831">
            <w:pPr>
              <w:jc w:val="right"/>
              <w:rPr>
                <w:rFonts w:ascii="Calibri" w:hAnsi="Calibri"/>
                <w:lang w:eastAsia="en-GB"/>
              </w:rPr>
            </w:pPr>
            <w:r>
              <w:rPr>
                <w:rFonts w:ascii="Calibri" w:hAnsi="Calibri"/>
                <w:lang w:eastAsia="en-GB"/>
              </w:rPr>
              <w:t>7</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1C56531F" w14:textId="15291A23" w:rsidR="007A388C" w:rsidRPr="00AF5FA0" w:rsidRDefault="003B2EB7" w:rsidP="00835831">
            <w:pPr>
              <w:jc w:val="right"/>
              <w:rPr>
                <w:rFonts w:ascii="Calibri" w:hAnsi="Calibri"/>
                <w:lang w:eastAsia="en-GB"/>
              </w:rPr>
            </w:pPr>
            <w:r>
              <w:rPr>
                <w:rFonts w:ascii="Calibri" w:hAnsi="Calibri"/>
                <w:lang w:eastAsia="en-GB"/>
              </w:rPr>
              <w:t>7</w:t>
            </w:r>
          </w:p>
        </w:tc>
      </w:tr>
      <w:tr w:rsidR="007A388C" w:rsidRPr="007A388C" w14:paraId="57BAA438"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702072F4"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Disposals</w:t>
            </w:r>
          </w:p>
        </w:tc>
        <w:tc>
          <w:tcPr>
            <w:tcW w:w="1084" w:type="dxa"/>
            <w:tcBorders>
              <w:top w:val="nil"/>
              <w:left w:val="nil"/>
              <w:bottom w:val="single" w:sz="4" w:space="0" w:color="FFFFFF"/>
              <w:right w:val="single" w:sz="4" w:space="0" w:color="FFFFFF"/>
            </w:tcBorders>
            <w:shd w:val="clear" w:color="000000" w:fill="FDE9D9"/>
            <w:noWrap/>
            <w:vAlign w:val="center"/>
            <w:hideMark/>
          </w:tcPr>
          <w:p w14:paraId="27E6E6FD"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6038448F" w14:textId="2544101E" w:rsidR="007A388C" w:rsidRPr="007A388C" w:rsidRDefault="00673238" w:rsidP="007A388C">
            <w:pPr>
              <w:jc w:val="right"/>
              <w:rPr>
                <w:rFonts w:ascii="Calibri" w:hAnsi="Calibri"/>
                <w:color w:val="000000"/>
                <w:lang w:eastAsia="en-GB"/>
              </w:rPr>
            </w:pPr>
            <w:r>
              <w:rPr>
                <w:rFonts w:ascii="Calibri" w:hAnsi="Calibri"/>
                <w:color w:val="000000"/>
                <w:lang w:eastAsia="en-GB"/>
              </w:rPr>
              <w:t>-878</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69AB1B2E" w14:textId="695ED3C4" w:rsidR="007A388C" w:rsidRPr="007A388C" w:rsidRDefault="00673238" w:rsidP="007A388C">
            <w:pPr>
              <w:jc w:val="right"/>
              <w:rPr>
                <w:rFonts w:ascii="Calibri" w:hAnsi="Calibri"/>
                <w:color w:val="000000"/>
                <w:lang w:eastAsia="en-GB"/>
              </w:rPr>
            </w:pPr>
            <w:r>
              <w:rPr>
                <w:rFonts w:ascii="Calibri" w:hAnsi="Calibri"/>
                <w:color w:val="000000"/>
                <w:lang w:eastAsia="en-GB"/>
              </w:rPr>
              <w:t>-878</w:t>
            </w:r>
          </w:p>
        </w:tc>
        <w:tc>
          <w:tcPr>
            <w:tcW w:w="1084" w:type="dxa"/>
            <w:tcBorders>
              <w:top w:val="nil"/>
              <w:left w:val="nil"/>
              <w:bottom w:val="single" w:sz="4" w:space="0" w:color="FFFFFF"/>
              <w:right w:val="single" w:sz="4" w:space="0" w:color="FFFFFF"/>
            </w:tcBorders>
            <w:shd w:val="clear" w:color="000000" w:fill="FDE9D9"/>
            <w:noWrap/>
            <w:vAlign w:val="center"/>
            <w:hideMark/>
          </w:tcPr>
          <w:p w14:paraId="643EAFDD"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53EDB0AA" w14:textId="71F30EBB"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609F3B81" w14:textId="14891159"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769DEB09"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2E3AE8D0"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Revaluations increases or decreases</w:t>
            </w:r>
          </w:p>
        </w:tc>
        <w:tc>
          <w:tcPr>
            <w:tcW w:w="1084" w:type="dxa"/>
            <w:tcBorders>
              <w:top w:val="nil"/>
              <w:left w:val="nil"/>
              <w:bottom w:val="single" w:sz="4" w:space="0" w:color="FFFFFF"/>
              <w:right w:val="single" w:sz="4" w:space="0" w:color="FFFFFF"/>
            </w:tcBorders>
            <w:shd w:val="clear" w:color="000000" w:fill="FDE9D9"/>
            <w:noWrap/>
            <w:vAlign w:val="center"/>
            <w:hideMark/>
          </w:tcPr>
          <w:p w14:paraId="25023FB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625231C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064BABC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hideMark/>
          </w:tcPr>
          <w:p w14:paraId="2008E18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0FBFFC44" w14:textId="696B4F15"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533D6D7B" w14:textId="54C5CAF8"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57D70" w:rsidRPr="007A388C" w14:paraId="5B00781C"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noWrap/>
            <w:vAlign w:val="center"/>
          </w:tcPr>
          <w:p w14:paraId="013EE394" w14:textId="724FE46C" w:rsidR="00757D70" w:rsidRPr="00757D70" w:rsidRDefault="00757D70" w:rsidP="007A388C">
            <w:pPr>
              <w:rPr>
                <w:rFonts w:ascii="Calibri" w:hAnsi="Calibri" w:cs="Calibri"/>
                <w:sz w:val="22"/>
                <w:szCs w:val="22"/>
                <w:lang w:eastAsia="en-GB"/>
              </w:rPr>
            </w:pPr>
            <w:r>
              <w:rPr>
                <w:rFonts w:ascii="Calibri" w:hAnsi="Calibri" w:cs="Calibri"/>
                <w:sz w:val="22"/>
                <w:szCs w:val="22"/>
              </w:rPr>
              <w:t>Assets reclassified from property, plant and equipment</w:t>
            </w:r>
          </w:p>
        </w:tc>
        <w:tc>
          <w:tcPr>
            <w:tcW w:w="1084" w:type="dxa"/>
            <w:tcBorders>
              <w:top w:val="nil"/>
              <w:left w:val="nil"/>
              <w:bottom w:val="single" w:sz="4" w:space="0" w:color="FFFFFF"/>
              <w:right w:val="single" w:sz="4" w:space="0" w:color="FFFFFF"/>
            </w:tcBorders>
            <w:shd w:val="clear" w:color="000000" w:fill="FDE9D9"/>
            <w:noWrap/>
            <w:vAlign w:val="center"/>
          </w:tcPr>
          <w:p w14:paraId="64AD64D4" w14:textId="7DFAE636" w:rsidR="00757D70" w:rsidRPr="007A388C" w:rsidRDefault="00757D70"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6B01FE78" w14:textId="1D5EA3E0" w:rsidR="00757D70" w:rsidRPr="007A388C" w:rsidRDefault="00757D70"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468C24A6" w14:textId="52C17E66" w:rsidR="00757D70" w:rsidRPr="007A388C" w:rsidRDefault="00757D70" w:rsidP="007A388C">
            <w:pPr>
              <w:jc w:val="right"/>
              <w:rPr>
                <w:rFonts w:ascii="Calibri" w:hAnsi="Calibri"/>
                <w:color w:val="000000"/>
                <w:lang w:eastAsia="en-GB"/>
              </w:rPr>
            </w:pPr>
            <w:r>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tcPr>
          <w:p w14:paraId="0966D33E" w14:textId="641AE778" w:rsidR="00757D70" w:rsidRPr="007A388C" w:rsidRDefault="00757D70"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48C2AA52" w14:textId="772ECD51" w:rsidR="00757D70" w:rsidRPr="007A388C" w:rsidRDefault="00757D70" w:rsidP="007A388C">
            <w:pPr>
              <w:jc w:val="right"/>
              <w:rPr>
                <w:rFonts w:ascii="Calibri" w:hAnsi="Calibri"/>
                <w:color w:val="000000"/>
                <w:lang w:eastAsia="en-GB"/>
              </w:rPr>
            </w:pPr>
            <w:r>
              <w:rPr>
                <w:rFonts w:ascii="Calibri" w:hAnsi="Calibri"/>
                <w:color w:val="000000"/>
                <w:lang w:eastAsia="en-GB"/>
              </w:rPr>
              <w:t>5</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6F0CD97D" w14:textId="59879DC0" w:rsidR="00757D70" w:rsidRPr="007A388C" w:rsidRDefault="00757D70" w:rsidP="007A388C">
            <w:pPr>
              <w:jc w:val="right"/>
              <w:rPr>
                <w:rFonts w:ascii="Calibri" w:hAnsi="Calibri"/>
                <w:color w:val="000000"/>
                <w:lang w:eastAsia="en-GB"/>
              </w:rPr>
            </w:pPr>
            <w:r>
              <w:rPr>
                <w:rFonts w:ascii="Calibri" w:hAnsi="Calibri"/>
                <w:color w:val="000000"/>
                <w:lang w:eastAsia="en-GB"/>
              </w:rPr>
              <w:t>5</w:t>
            </w:r>
          </w:p>
        </w:tc>
      </w:tr>
      <w:tr w:rsidR="007A388C" w:rsidRPr="007A388C" w14:paraId="705F6A2C" w14:textId="77777777" w:rsidTr="00C972CB">
        <w:trPr>
          <w:trHeight w:val="57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34EB2EE"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Impairment losses recognised or reversed directly in Revaluation Reserve</w:t>
            </w:r>
          </w:p>
        </w:tc>
        <w:tc>
          <w:tcPr>
            <w:tcW w:w="1084" w:type="dxa"/>
            <w:tcBorders>
              <w:top w:val="nil"/>
              <w:left w:val="nil"/>
              <w:bottom w:val="single" w:sz="4" w:space="0" w:color="FFFFFF"/>
              <w:right w:val="single" w:sz="4" w:space="0" w:color="FFFFFF"/>
            </w:tcBorders>
            <w:shd w:val="clear" w:color="000000" w:fill="FDE9D9"/>
            <w:noWrap/>
            <w:vAlign w:val="center"/>
            <w:hideMark/>
          </w:tcPr>
          <w:p w14:paraId="1D331547"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4BC3FCD7"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38C798DA"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hideMark/>
          </w:tcPr>
          <w:p w14:paraId="5C3FA76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11051952" w14:textId="43086CFA"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0BA9138B" w14:textId="35498757"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3A32B445" w14:textId="77777777" w:rsidTr="00C972CB">
        <w:trPr>
          <w:trHeight w:val="48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17792069"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Impairment losses recognised in Surplus/Deficit on the Provision of Services</w:t>
            </w:r>
          </w:p>
        </w:tc>
        <w:tc>
          <w:tcPr>
            <w:tcW w:w="1084" w:type="dxa"/>
            <w:tcBorders>
              <w:top w:val="nil"/>
              <w:left w:val="nil"/>
              <w:bottom w:val="single" w:sz="4" w:space="0" w:color="FFFFFF"/>
              <w:right w:val="single" w:sz="4" w:space="0" w:color="FFFFFF"/>
            </w:tcBorders>
            <w:shd w:val="clear" w:color="000000" w:fill="FDE9D9"/>
            <w:noWrap/>
            <w:vAlign w:val="center"/>
            <w:hideMark/>
          </w:tcPr>
          <w:p w14:paraId="1CDD0A87"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66E9A13A"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0 </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2BDB1326"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hideMark/>
          </w:tcPr>
          <w:p w14:paraId="0E7A73EC"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0ABDD36B" w14:textId="60D9EA3F"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2F646991" w14:textId="22FC6455"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25F5FABE" w14:textId="77777777" w:rsidTr="00C972CB">
        <w:trPr>
          <w:trHeight w:val="51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463A97AD"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Reversals of past impairment losses written back to the Surplus/Deficit on Provision of Services</w:t>
            </w:r>
          </w:p>
        </w:tc>
        <w:tc>
          <w:tcPr>
            <w:tcW w:w="1084" w:type="dxa"/>
            <w:tcBorders>
              <w:top w:val="nil"/>
              <w:left w:val="nil"/>
              <w:bottom w:val="single" w:sz="4" w:space="0" w:color="FFFFFF"/>
              <w:right w:val="single" w:sz="4" w:space="0" w:color="FFFFFF"/>
            </w:tcBorders>
            <w:shd w:val="clear" w:color="000000" w:fill="FDE9D9"/>
            <w:noWrap/>
            <w:vAlign w:val="center"/>
            <w:hideMark/>
          </w:tcPr>
          <w:p w14:paraId="50D9B52B"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4B080CFC"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0EE6FBA3"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hideMark/>
          </w:tcPr>
          <w:p w14:paraId="4E5058C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7B69DB52" w14:textId="47A1C481"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270FD89E" w14:textId="23FC6879"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468AE5EB"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68A12097"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Amortisation in period</w:t>
            </w:r>
          </w:p>
        </w:tc>
        <w:tc>
          <w:tcPr>
            <w:tcW w:w="1084" w:type="dxa"/>
            <w:tcBorders>
              <w:top w:val="nil"/>
              <w:left w:val="nil"/>
              <w:bottom w:val="single" w:sz="4" w:space="0" w:color="FFFFFF"/>
              <w:right w:val="single" w:sz="4" w:space="0" w:color="FFFFFF"/>
            </w:tcBorders>
            <w:shd w:val="clear" w:color="000000" w:fill="FDE9D9"/>
            <w:noWrap/>
            <w:vAlign w:val="center"/>
            <w:hideMark/>
          </w:tcPr>
          <w:p w14:paraId="086C2B55"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38C713A0" w14:textId="21490E0F"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w:t>
            </w:r>
            <w:r w:rsidR="00673238">
              <w:rPr>
                <w:rFonts w:ascii="Calibri" w:hAnsi="Calibri"/>
                <w:color w:val="000000"/>
                <w:lang w:eastAsia="en-GB"/>
              </w:rPr>
              <w:t>59</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4848C05C" w14:textId="70DB3260"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w:t>
            </w:r>
            <w:r w:rsidR="00673238">
              <w:rPr>
                <w:rFonts w:ascii="Calibri" w:hAnsi="Calibri"/>
                <w:color w:val="000000"/>
                <w:lang w:eastAsia="en-GB"/>
              </w:rPr>
              <w:t>59</w:t>
            </w:r>
          </w:p>
        </w:tc>
        <w:tc>
          <w:tcPr>
            <w:tcW w:w="1084" w:type="dxa"/>
            <w:tcBorders>
              <w:top w:val="nil"/>
              <w:left w:val="nil"/>
              <w:bottom w:val="single" w:sz="4" w:space="0" w:color="FFFFFF"/>
              <w:right w:val="single" w:sz="4" w:space="0" w:color="FFFFFF"/>
            </w:tcBorders>
            <w:shd w:val="clear" w:color="000000" w:fill="FDE9D9"/>
            <w:noWrap/>
            <w:vAlign w:val="center"/>
            <w:hideMark/>
          </w:tcPr>
          <w:p w14:paraId="2A085E18"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1E0E7BF0" w14:textId="3AE99991" w:rsidR="007A388C" w:rsidRPr="007A388C" w:rsidRDefault="00757D70" w:rsidP="00AF5FA0">
            <w:pPr>
              <w:jc w:val="right"/>
              <w:rPr>
                <w:rFonts w:ascii="Calibri" w:hAnsi="Calibri"/>
                <w:color w:val="000000"/>
                <w:lang w:eastAsia="en-GB"/>
              </w:rPr>
            </w:pPr>
            <w:r>
              <w:rPr>
                <w:rFonts w:ascii="Calibri" w:hAnsi="Calibri"/>
                <w:color w:val="000000"/>
                <w:lang w:eastAsia="en-GB"/>
              </w:rPr>
              <w:t>-72</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2CB56906" w14:textId="72282A21" w:rsidR="007A388C" w:rsidRPr="007A388C" w:rsidRDefault="003B2EB7" w:rsidP="007A388C">
            <w:pPr>
              <w:jc w:val="right"/>
              <w:rPr>
                <w:rFonts w:ascii="Calibri" w:hAnsi="Calibri"/>
                <w:color w:val="000000"/>
                <w:lang w:eastAsia="en-GB"/>
              </w:rPr>
            </w:pPr>
            <w:r>
              <w:rPr>
                <w:rFonts w:ascii="Calibri" w:hAnsi="Calibri"/>
                <w:color w:val="000000"/>
                <w:lang w:eastAsia="en-GB"/>
              </w:rPr>
              <w:t>-72</w:t>
            </w:r>
          </w:p>
        </w:tc>
      </w:tr>
      <w:tr w:rsidR="007A388C" w:rsidRPr="007A388C" w14:paraId="5ABBAA03"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59A340EF"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Amortisation De-recognition- Disposals</w:t>
            </w:r>
          </w:p>
        </w:tc>
        <w:tc>
          <w:tcPr>
            <w:tcW w:w="1084" w:type="dxa"/>
            <w:tcBorders>
              <w:top w:val="nil"/>
              <w:left w:val="nil"/>
              <w:bottom w:val="single" w:sz="4" w:space="0" w:color="FFFFFF"/>
              <w:right w:val="single" w:sz="4" w:space="0" w:color="FFFFFF"/>
            </w:tcBorders>
            <w:shd w:val="clear" w:color="000000" w:fill="FDE9D9"/>
            <w:noWrap/>
            <w:vAlign w:val="center"/>
            <w:hideMark/>
          </w:tcPr>
          <w:p w14:paraId="66FF057C"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60825F21" w14:textId="11586D73" w:rsidR="007A388C" w:rsidRPr="007A388C" w:rsidRDefault="00673238" w:rsidP="007A388C">
            <w:pPr>
              <w:jc w:val="right"/>
              <w:rPr>
                <w:rFonts w:ascii="Calibri" w:hAnsi="Calibri"/>
                <w:color w:val="000000"/>
                <w:lang w:eastAsia="en-GB"/>
              </w:rPr>
            </w:pPr>
            <w:r>
              <w:rPr>
                <w:rFonts w:ascii="Calibri" w:hAnsi="Calibri"/>
                <w:color w:val="000000"/>
                <w:lang w:eastAsia="en-GB"/>
              </w:rPr>
              <w:t>878</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04886336" w14:textId="0BE264A1" w:rsidR="007A388C" w:rsidRPr="007A388C" w:rsidRDefault="00673238" w:rsidP="007A388C">
            <w:pPr>
              <w:jc w:val="right"/>
              <w:rPr>
                <w:rFonts w:ascii="Calibri" w:hAnsi="Calibri"/>
                <w:color w:val="000000"/>
                <w:lang w:eastAsia="en-GB"/>
              </w:rPr>
            </w:pPr>
            <w:r>
              <w:rPr>
                <w:rFonts w:ascii="Calibri" w:hAnsi="Calibri"/>
                <w:color w:val="000000"/>
                <w:lang w:eastAsia="en-GB"/>
              </w:rPr>
              <w:t>878</w:t>
            </w:r>
          </w:p>
        </w:tc>
        <w:tc>
          <w:tcPr>
            <w:tcW w:w="1084" w:type="dxa"/>
            <w:tcBorders>
              <w:top w:val="nil"/>
              <w:left w:val="nil"/>
              <w:bottom w:val="single" w:sz="4" w:space="0" w:color="FFFFFF"/>
              <w:right w:val="single" w:sz="4" w:space="0" w:color="FFFFFF"/>
            </w:tcBorders>
            <w:shd w:val="clear" w:color="000000" w:fill="FDE9D9"/>
            <w:noWrap/>
            <w:vAlign w:val="center"/>
            <w:hideMark/>
          </w:tcPr>
          <w:p w14:paraId="7F52C98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26097797" w14:textId="2540BB1B"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543D9CF8" w14:textId="3F56C9C9"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085D0DBE" w14:textId="77777777" w:rsidTr="00C972CB">
        <w:trPr>
          <w:trHeight w:val="51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C761FB6"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Amortisation movement from property, plant and equipment on re-classification</w:t>
            </w:r>
          </w:p>
        </w:tc>
        <w:tc>
          <w:tcPr>
            <w:tcW w:w="1084" w:type="dxa"/>
            <w:tcBorders>
              <w:top w:val="nil"/>
              <w:left w:val="nil"/>
              <w:bottom w:val="single" w:sz="4" w:space="0" w:color="FFFFFF"/>
              <w:right w:val="single" w:sz="4" w:space="0" w:color="FFFFFF"/>
            </w:tcBorders>
            <w:shd w:val="clear" w:color="000000" w:fill="FDE9D9"/>
            <w:noWrap/>
            <w:vAlign w:val="center"/>
            <w:hideMark/>
          </w:tcPr>
          <w:p w14:paraId="0AAB752B"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hideMark/>
          </w:tcPr>
          <w:p w14:paraId="6EBAA366" w14:textId="77777777" w:rsidR="007A388C" w:rsidRPr="007A388C" w:rsidRDefault="00A112B8"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091B636A" w14:textId="77777777" w:rsidR="007A388C" w:rsidRPr="007A388C" w:rsidRDefault="00C972CB" w:rsidP="007A388C">
            <w:pPr>
              <w:jc w:val="right"/>
              <w:rPr>
                <w:rFonts w:ascii="Calibri" w:hAnsi="Calibri"/>
                <w:color w:val="000000"/>
                <w:lang w:eastAsia="en-GB"/>
              </w:rPr>
            </w:pPr>
            <w:r>
              <w:rPr>
                <w:rFonts w:ascii="Calibri" w:hAnsi="Calibri"/>
                <w:color w:val="000000"/>
                <w:lang w:eastAsia="en-GB"/>
              </w:rPr>
              <w:t>0</w:t>
            </w:r>
          </w:p>
        </w:tc>
        <w:tc>
          <w:tcPr>
            <w:tcW w:w="1084" w:type="dxa"/>
            <w:tcBorders>
              <w:top w:val="nil"/>
              <w:left w:val="nil"/>
              <w:bottom w:val="single" w:sz="4" w:space="0" w:color="FFFFFF"/>
              <w:right w:val="single" w:sz="4" w:space="0" w:color="FFFFFF"/>
            </w:tcBorders>
            <w:shd w:val="clear" w:color="000000" w:fill="FDE9D9"/>
            <w:noWrap/>
            <w:vAlign w:val="center"/>
            <w:hideMark/>
          </w:tcPr>
          <w:p w14:paraId="7AC18796"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6D7B7A87" w14:textId="7F87E8BA"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351882C2" w14:textId="1BF81711" w:rsidR="007A388C" w:rsidRPr="007A388C" w:rsidRDefault="00375733" w:rsidP="007A388C">
            <w:pPr>
              <w:jc w:val="right"/>
              <w:rPr>
                <w:rFonts w:ascii="Calibri" w:hAnsi="Calibri"/>
                <w:color w:val="000000"/>
                <w:lang w:eastAsia="en-GB"/>
              </w:rPr>
            </w:pPr>
            <w:r>
              <w:rPr>
                <w:rFonts w:ascii="Calibri" w:hAnsi="Calibri"/>
                <w:color w:val="000000"/>
                <w:lang w:eastAsia="en-GB"/>
              </w:rPr>
              <w:t>0</w:t>
            </w:r>
          </w:p>
        </w:tc>
      </w:tr>
      <w:tr w:rsidR="007A388C" w:rsidRPr="007A388C" w14:paraId="69C3749F" w14:textId="77777777" w:rsidTr="00C972CB">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000000" w:fill="FCD5B4"/>
            <w:noWrap/>
            <w:vAlign w:val="center"/>
            <w:hideMark/>
          </w:tcPr>
          <w:p w14:paraId="74E4ED83" w14:textId="77777777" w:rsidR="007A388C" w:rsidRPr="007A388C" w:rsidRDefault="007A388C" w:rsidP="007A388C">
            <w:pPr>
              <w:rPr>
                <w:rFonts w:ascii="Calibri" w:hAnsi="Calibri"/>
                <w:b/>
                <w:bCs/>
                <w:color w:val="000000"/>
                <w:lang w:eastAsia="en-GB"/>
              </w:rPr>
            </w:pPr>
            <w:r w:rsidRPr="007A388C">
              <w:rPr>
                <w:rFonts w:ascii="Calibri" w:hAnsi="Calibri"/>
                <w:b/>
                <w:bCs/>
                <w:color w:val="000000"/>
                <w:lang w:eastAsia="en-GB"/>
              </w:rPr>
              <w:t>Net Carrying Amount at year end</w:t>
            </w:r>
          </w:p>
        </w:tc>
        <w:tc>
          <w:tcPr>
            <w:tcW w:w="1084" w:type="dxa"/>
            <w:tcBorders>
              <w:top w:val="nil"/>
              <w:left w:val="nil"/>
              <w:bottom w:val="single" w:sz="4" w:space="0" w:color="FFFFFF"/>
              <w:right w:val="single" w:sz="4" w:space="0" w:color="FFFFFF"/>
            </w:tcBorders>
            <w:shd w:val="clear" w:color="000000" w:fill="FCD5B4"/>
            <w:noWrap/>
            <w:vAlign w:val="bottom"/>
            <w:hideMark/>
          </w:tcPr>
          <w:p w14:paraId="0D78C356"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0</w:t>
            </w:r>
          </w:p>
        </w:tc>
        <w:tc>
          <w:tcPr>
            <w:tcW w:w="960" w:type="dxa"/>
            <w:tcBorders>
              <w:top w:val="nil"/>
              <w:left w:val="nil"/>
              <w:bottom w:val="single" w:sz="4" w:space="0" w:color="FFFFFF"/>
              <w:right w:val="single" w:sz="4" w:space="0" w:color="FFFFFF"/>
            </w:tcBorders>
            <w:shd w:val="clear" w:color="000000" w:fill="FCD5B4"/>
            <w:noWrap/>
            <w:vAlign w:val="center"/>
            <w:hideMark/>
          </w:tcPr>
          <w:p w14:paraId="6CEA80BF" w14:textId="6E0AADB2" w:rsidR="007A388C" w:rsidRPr="007A388C" w:rsidRDefault="00C10FB0" w:rsidP="007A388C">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c>
          <w:tcPr>
            <w:tcW w:w="960" w:type="dxa"/>
            <w:tcBorders>
              <w:top w:val="nil"/>
              <w:left w:val="nil"/>
              <w:bottom w:val="single" w:sz="4" w:space="0" w:color="FFFFFF"/>
              <w:right w:val="single" w:sz="4" w:space="0" w:color="FFFFFF"/>
            </w:tcBorders>
            <w:shd w:val="clear" w:color="000000" w:fill="FCD5B4"/>
            <w:noWrap/>
            <w:vAlign w:val="center"/>
            <w:hideMark/>
          </w:tcPr>
          <w:p w14:paraId="7B5A1CAA" w14:textId="1E6C921A" w:rsidR="007A388C" w:rsidRPr="007A388C" w:rsidRDefault="00C10FB0" w:rsidP="007A388C">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c>
          <w:tcPr>
            <w:tcW w:w="1084" w:type="dxa"/>
            <w:tcBorders>
              <w:top w:val="nil"/>
              <w:left w:val="nil"/>
              <w:bottom w:val="single" w:sz="4" w:space="0" w:color="FFFFFF"/>
              <w:right w:val="single" w:sz="4" w:space="0" w:color="FFFFFF"/>
            </w:tcBorders>
            <w:shd w:val="clear" w:color="000000" w:fill="FCD5B4"/>
            <w:noWrap/>
            <w:vAlign w:val="center"/>
            <w:hideMark/>
          </w:tcPr>
          <w:p w14:paraId="4B0A9A92"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0</w:t>
            </w:r>
          </w:p>
        </w:tc>
        <w:tc>
          <w:tcPr>
            <w:tcW w:w="960" w:type="dxa"/>
            <w:tcBorders>
              <w:top w:val="nil"/>
              <w:left w:val="nil"/>
              <w:bottom w:val="single" w:sz="4" w:space="0" w:color="FFFFFF"/>
              <w:right w:val="single" w:sz="4" w:space="0" w:color="FFFFFF"/>
            </w:tcBorders>
            <w:shd w:val="clear" w:color="000000" w:fill="FCD5B4"/>
            <w:noWrap/>
            <w:vAlign w:val="center"/>
          </w:tcPr>
          <w:p w14:paraId="70D8B3C5" w14:textId="0BFCEC1A" w:rsidR="007A388C" w:rsidRPr="004F35FB" w:rsidRDefault="00757D70" w:rsidP="00835831">
            <w:pPr>
              <w:jc w:val="right"/>
              <w:rPr>
                <w:rFonts w:ascii="Calibri" w:hAnsi="Calibri"/>
                <w:b/>
                <w:bCs/>
                <w:color w:val="000000"/>
                <w:lang w:eastAsia="en-GB"/>
              </w:rPr>
            </w:pPr>
            <w:r>
              <w:rPr>
                <w:rFonts w:ascii="Calibri" w:hAnsi="Calibri"/>
                <w:b/>
                <w:bCs/>
                <w:color w:val="000000"/>
                <w:lang w:eastAsia="en-GB"/>
              </w:rPr>
              <w:t>203</w:t>
            </w:r>
          </w:p>
        </w:tc>
        <w:tc>
          <w:tcPr>
            <w:tcW w:w="960" w:type="dxa"/>
            <w:tcBorders>
              <w:top w:val="nil"/>
              <w:left w:val="nil"/>
              <w:bottom w:val="single" w:sz="4" w:space="0" w:color="FFFFFF"/>
              <w:right w:val="single" w:sz="4" w:space="0" w:color="FFFFFF"/>
            </w:tcBorders>
            <w:shd w:val="clear" w:color="000000" w:fill="FCD5B4"/>
            <w:noWrap/>
            <w:vAlign w:val="center"/>
          </w:tcPr>
          <w:p w14:paraId="44757983" w14:textId="537DF5F7" w:rsidR="007A388C" w:rsidRPr="004F35FB" w:rsidRDefault="003B2EB7" w:rsidP="00835831">
            <w:pPr>
              <w:jc w:val="right"/>
              <w:rPr>
                <w:rFonts w:ascii="Calibri" w:hAnsi="Calibri"/>
                <w:b/>
                <w:bCs/>
                <w:color w:val="000000"/>
                <w:lang w:eastAsia="en-GB"/>
              </w:rPr>
            </w:pPr>
            <w:r>
              <w:rPr>
                <w:rFonts w:ascii="Calibri" w:hAnsi="Calibri"/>
                <w:b/>
                <w:bCs/>
                <w:color w:val="000000"/>
                <w:lang w:eastAsia="en-GB"/>
              </w:rPr>
              <w:t>203</w:t>
            </w:r>
          </w:p>
        </w:tc>
      </w:tr>
      <w:tr w:rsidR="007A388C" w:rsidRPr="007A388C" w14:paraId="15646E28" w14:textId="77777777" w:rsidTr="00C972CB">
        <w:trPr>
          <w:trHeight w:val="300"/>
        </w:trPr>
        <w:tc>
          <w:tcPr>
            <w:tcW w:w="4100" w:type="dxa"/>
            <w:gridSpan w:val="2"/>
            <w:tcBorders>
              <w:top w:val="nil"/>
              <w:left w:val="nil"/>
              <w:bottom w:val="nil"/>
              <w:right w:val="nil"/>
            </w:tcBorders>
            <w:shd w:val="clear" w:color="000000" w:fill="FDE9D9"/>
            <w:noWrap/>
            <w:vAlign w:val="center"/>
            <w:hideMark/>
          </w:tcPr>
          <w:p w14:paraId="0A5DF665"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Comprising:</w:t>
            </w:r>
          </w:p>
        </w:tc>
        <w:tc>
          <w:tcPr>
            <w:tcW w:w="1084" w:type="dxa"/>
            <w:tcBorders>
              <w:top w:val="nil"/>
              <w:left w:val="nil"/>
              <w:bottom w:val="nil"/>
              <w:right w:val="nil"/>
            </w:tcBorders>
            <w:shd w:val="clear" w:color="000000" w:fill="FDE9D9"/>
            <w:noWrap/>
            <w:vAlign w:val="center"/>
            <w:hideMark/>
          </w:tcPr>
          <w:p w14:paraId="51C2331E"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222FE91B"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hideMark/>
          </w:tcPr>
          <w:p w14:paraId="230E772B"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w:t>
            </w:r>
          </w:p>
        </w:tc>
        <w:tc>
          <w:tcPr>
            <w:tcW w:w="1084" w:type="dxa"/>
            <w:tcBorders>
              <w:top w:val="nil"/>
              <w:left w:val="nil"/>
              <w:bottom w:val="nil"/>
              <w:right w:val="nil"/>
            </w:tcBorders>
            <w:shd w:val="clear" w:color="000000" w:fill="FDE9D9"/>
            <w:noWrap/>
            <w:vAlign w:val="center"/>
            <w:hideMark/>
          </w:tcPr>
          <w:p w14:paraId="7CFE7599"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960" w:type="dxa"/>
            <w:tcBorders>
              <w:top w:val="nil"/>
              <w:left w:val="nil"/>
              <w:bottom w:val="nil"/>
              <w:right w:val="nil"/>
            </w:tcBorders>
            <w:shd w:val="clear" w:color="000000" w:fill="FDE9D9"/>
            <w:noWrap/>
            <w:vAlign w:val="center"/>
          </w:tcPr>
          <w:p w14:paraId="48F26BA3" w14:textId="77777777" w:rsidR="007A388C" w:rsidRPr="007A388C" w:rsidRDefault="007A388C" w:rsidP="007A388C">
            <w:pPr>
              <w:rPr>
                <w:rFonts w:ascii="Calibri" w:hAnsi="Calibri"/>
                <w:color w:val="000000"/>
                <w:lang w:eastAsia="en-GB"/>
              </w:rPr>
            </w:pPr>
          </w:p>
        </w:tc>
        <w:tc>
          <w:tcPr>
            <w:tcW w:w="960" w:type="dxa"/>
            <w:tcBorders>
              <w:top w:val="nil"/>
              <w:left w:val="nil"/>
              <w:bottom w:val="nil"/>
              <w:right w:val="nil"/>
            </w:tcBorders>
            <w:shd w:val="clear" w:color="000000" w:fill="FDE9D9"/>
            <w:noWrap/>
            <w:vAlign w:val="center"/>
          </w:tcPr>
          <w:p w14:paraId="17182C33" w14:textId="77777777" w:rsidR="007A388C" w:rsidRPr="007A388C" w:rsidRDefault="007A388C" w:rsidP="007A388C">
            <w:pPr>
              <w:rPr>
                <w:rFonts w:ascii="Calibri" w:hAnsi="Calibri"/>
                <w:color w:val="000000"/>
                <w:lang w:eastAsia="en-GB"/>
              </w:rPr>
            </w:pPr>
          </w:p>
        </w:tc>
      </w:tr>
      <w:tr w:rsidR="007A388C" w:rsidRPr="007A388C" w14:paraId="6A6CCA15" w14:textId="77777777" w:rsidTr="00C972CB">
        <w:trPr>
          <w:trHeight w:val="300"/>
        </w:trPr>
        <w:tc>
          <w:tcPr>
            <w:tcW w:w="280" w:type="dxa"/>
            <w:tcBorders>
              <w:top w:val="single" w:sz="4" w:space="0" w:color="FFFFFF"/>
              <w:left w:val="nil"/>
              <w:bottom w:val="single" w:sz="4" w:space="0" w:color="FFFFFF"/>
              <w:right w:val="nil"/>
            </w:tcBorders>
            <w:shd w:val="clear" w:color="000000" w:fill="FDE9D9"/>
            <w:noWrap/>
            <w:vAlign w:val="center"/>
            <w:hideMark/>
          </w:tcPr>
          <w:p w14:paraId="48E2AEE6"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single" w:sz="4" w:space="0" w:color="FFFFFF"/>
              <w:left w:val="nil"/>
              <w:bottom w:val="single" w:sz="4" w:space="0" w:color="FFFFFF"/>
              <w:right w:val="single" w:sz="4" w:space="0" w:color="FFFFFF"/>
            </w:tcBorders>
            <w:shd w:val="clear" w:color="000000" w:fill="FDE9D9"/>
            <w:noWrap/>
            <w:vAlign w:val="center"/>
            <w:hideMark/>
          </w:tcPr>
          <w:p w14:paraId="3B5C9A80"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Gross Carrying Amounts</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6A9FFE62"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single" w:sz="4" w:space="0" w:color="FFFFFF"/>
              <w:left w:val="nil"/>
              <w:bottom w:val="single" w:sz="4" w:space="0" w:color="FFFFFF"/>
              <w:right w:val="single" w:sz="4" w:space="0" w:color="FFFFFF"/>
            </w:tcBorders>
            <w:shd w:val="clear" w:color="000000" w:fill="FDE9D9"/>
            <w:noWrap/>
            <w:vAlign w:val="center"/>
            <w:hideMark/>
          </w:tcPr>
          <w:p w14:paraId="16EEE64C" w14:textId="2ECFE564" w:rsidR="007A388C" w:rsidRPr="007A388C" w:rsidRDefault="00673238" w:rsidP="00C62A3D">
            <w:pPr>
              <w:jc w:val="right"/>
              <w:rPr>
                <w:rFonts w:ascii="Calibri" w:hAnsi="Calibri"/>
                <w:color w:val="000000"/>
                <w:lang w:eastAsia="en-GB"/>
              </w:rPr>
            </w:pPr>
            <w:r>
              <w:rPr>
                <w:rFonts w:ascii="Calibri" w:hAnsi="Calibri"/>
                <w:color w:val="000000"/>
                <w:lang w:eastAsia="en-GB"/>
              </w:rPr>
              <w:t>615</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hideMark/>
          </w:tcPr>
          <w:p w14:paraId="6605AC47" w14:textId="5296F673" w:rsidR="007A388C" w:rsidRPr="007A388C" w:rsidRDefault="00673238" w:rsidP="00386594">
            <w:pPr>
              <w:jc w:val="right"/>
              <w:rPr>
                <w:rFonts w:ascii="Calibri" w:hAnsi="Calibri"/>
                <w:color w:val="000000"/>
                <w:lang w:eastAsia="en-GB"/>
              </w:rPr>
            </w:pPr>
            <w:r>
              <w:rPr>
                <w:rFonts w:ascii="Calibri" w:hAnsi="Calibri"/>
                <w:color w:val="000000"/>
                <w:lang w:eastAsia="en-GB"/>
              </w:rPr>
              <w:t>615</w:t>
            </w:r>
          </w:p>
        </w:tc>
        <w:tc>
          <w:tcPr>
            <w:tcW w:w="1084" w:type="dxa"/>
            <w:tcBorders>
              <w:top w:val="single" w:sz="4" w:space="0" w:color="FFFFFF"/>
              <w:left w:val="nil"/>
              <w:bottom w:val="single" w:sz="4" w:space="0" w:color="FFFFFF"/>
              <w:right w:val="single" w:sz="4" w:space="0" w:color="FFFFFF"/>
            </w:tcBorders>
            <w:shd w:val="clear" w:color="000000" w:fill="FDE9D9"/>
            <w:noWrap/>
            <w:vAlign w:val="center"/>
            <w:hideMark/>
          </w:tcPr>
          <w:p w14:paraId="02AF0241"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single" w:sz="4" w:space="0" w:color="FFFFFF"/>
              <w:left w:val="nil"/>
              <w:bottom w:val="single" w:sz="4" w:space="0" w:color="FFFFFF"/>
              <w:right w:val="single" w:sz="4" w:space="0" w:color="FFFFFF"/>
            </w:tcBorders>
            <w:shd w:val="clear" w:color="000000" w:fill="FDE9D9"/>
            <w:noWrap/>
            <w:vAlign w:val="center"/>
          </w:tcPr>
          <w:p w14:paraId="0EF61EA7" w14:textId="7D7568AD" w:rsidR="007A388C" w:rsidRPr="004F35FB" w:rsidRDefault="001B4D9E" w:rsidP="004F35FB">
            <w:pPr>
              <w:jc w:val="right"/>
              <w:rPr>
                <w:rFonts w:ascii="Calibri" w:hAnsi="Calibri"/>
                <w:color w:val="000000"/>
                <w:lang w:eastAsia="en-GB"/>
              </w:rPr>
            </w:pPr>
            <w:r>
              <w:rPr>
                <w:rFonts w:ascii="Calibri" w:hAnsi="Calibri"/>
                <w:color w:val="000000"/>
                <w:lang w:eastAsia="en-GB"/>
              </w:rPr>
              <w:t>6</w:t>
            </w:r>
            <w:r w:rsidR="00375733">
              <w:rPr>
                <w:rFonts w:ascii="Calibri" w:hAnsi="Calibri"/>
                <w:color w:val="000000"/>
                <w:lang w:eastAsia="en-GB"/>
              </w:rPr>
              <w:t>27</w:t>
            </w:r>
          </w:p>
        </w:tc>
        <w:tc>
          <w:tcPr>
            <w:tcW w:w="960" w:type="dxa"/>
            <w:tcBorders>
              <w:top w:val="single" w:sz="4" w:space="0" w:color="FFFFFF"/>
              <w:left w:val="nil"/>
              <w:bottom w:val="single" w:sz="4" w:space="0" w:color="FFFFFF"/>
              <w:right w:val="single" w:sz="4" w:space="0" w:color="FFFFFF"/>
            </w:tcBorders>
            <w:shd w:val="clear" w:color="auto" w:fill="FBD4B4" w:themeFill="accent6" w:themeFillTint="66"/>
            <w:noWrap/>
            <w:vAlign w:val="center"/>
          </w:tcPr>
          <w:p w14:paraId="1302B880" w14:textId="46A4355D" w:rsidR="007A388C" w:rsidRPr="004F35FB" w:rsidRDefault="00726483" w:rsidP="004F35FB">
            <w:pPr>
              <w:jc w:val="right"/>
              <w:rPr>
                <w:rFonts w:ascii="Calibri" w:hAnsi="Calibri"/>
                <w:color w:val="000000"/>
                <w:lang w:eastAsia="en-GB"/>
              </w:rPr>
            </w:pPr>
            <w:r>
              <w:rPr>
                <w:rFonts w:ascii="Calibri" w:hAnsi="Calibri"/>
                <w:color w:val="000000"/>
                <w:lang w:eastAsia="en-GB"/>
              </w:rPr>
              <w:t>627</w:t>
            </w:r>
          </w:p>
        </w:tc>
      </w:tr>
      <w:tr w:rsidR="007A388C" w:rsidRPr="007A388C" w14:paraId="31BD9B2A" w14:textId="77777777" w:rsidTr="00C972CB">
        <w:trPr>
          <w:trHeight w:val="300"/>
        </w:trPr>
        <w:tc>
          <w:tcPr>
            <w:tcW w:w="280" w:type="dxa"/>
            <w:tcBorders>
              <w:top w:val="nil"/>
              <w:left w:val="nil"/>
              <w:bottom w:val="single" w:sz="4" w:space="0" w:color="FFFFFF"/>
              <w:right w:val="nil"/>
            </w:tcBorders>
            <w:shd w:val="clear" w:color="000000" w:fill="FDE9D9"/>
            <w:noWrap/>
            <w:vAlign w:val="center"/>
            <w:hideMark/>
          </w:tcPr>
          <w:p w14:paraId="6A9181AF"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000000" w:fill="FDE9D9"/>
            <w:noWrap/>
            <w:vAlign w:val="center"/>
            <w:hideMark/>
          </w:tcPr>
          <w:p w14:paraId="6B2912A7" w14:textId="77777777" w:rsidR="007A388C" w:rsidRPr="007A388C" w:rsidRDefault="007A388C" w:rsidP="007A388C">
            <w:pPr>
              <w:rPr>
                <w:rFonts w:ascii="Calibri" w:hAnsi="Calibri"/>
                <w:color w:val="000000"/>
                <w:lang w:eastAsia="en-GB"/>
              </w:rPr>
            </w:pPr>
            <w:r w:rsidRPr="007A388C">
              <w:rPr>
                <w:rFonts w:ascii="Calibri" w:hAnsi="Calibri"/>
                <w:color w:val="000000"/>
                <w:lang w:eastAsia="en-GB"/>
              </w:rPr>
              <w:t>Accumulated amortisation</w:t>
            </w:r>
          </w:p>
        </w:tc>
        <w:tc>
          <w:tcPr>
            <w:tcW w:w="1084" w:type="dxa"/>
            <w:tcBorders>
              <w:top w:val="nil"/>
              <w:left w:val="nil"/>
              <w:bottom w:val="single" w:sz="4" w:space="0" w:color="FFFFFF"/>
              <w:right w:val="single" w:sz="4" w:space="0" w:color="FFFFFF"/>
            </w:tcBorders>
            <w:shd w:val="clear" w:color="000000" w:fill="FDE9D9"/>
            <w:noWrap/>
            <w:vAlign w:val="center"/>
            <w:hideMark/>
          </w:tcPr>
          <w:p w14:paraId="21BD8914"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 0</w:t>
            </w:r>
          </w:p>
        </w:tc>
        <w:tc>
          <w:tcPr>
            <w:tcW w:w="960" w:type="dxa"/>
            <w:tcBorders>
              <w:top w:val="nil"/>
              <w:left w:val="nil"/>
              <w:bottom w:val="single" w:sz="4" w:space="0" w:color="FFFFFF"/>
              <w:right w:val="single" w:sz="4" w:space="0" w:color="FFFFFF"/>
            </w:tcBorders>
            <w:shd w:val="clear" w:color="000000" w:fill="FDE9D9"/>
            <w:noWrap/>
            <w:vAlign w:val="center"/>
            <w:hideMark/>
          </w:tcPr>
          <w:p w14:paraId="7F409A34" w14:textId="5B46915E"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w:t>
            </w:r>
            <w:r w:rsidR="00673238">
              <w:rPr>
                <w:rFonts w:ascii="Calibri" w:hAnsi="Calibri"/>
                <w:color w:val="000000"/>
                <w:lang w:eastAsia="en-GB"/>
              </w:rPr>
              <w:t>352</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hideMark/>
          </w:tcPr>
          <w:p w14:paraId="6C68CA34" w14:textId="3488D221" w:rsidR="007A388C" w:rsidRPr="007A388C" w:rsidRDefault="007A388C" w:rsidP="00386594">
            <w:pPr>
              <w:jc w:val="right"/>
              <w:rPr>
                <w:rFonts w:ascii="Calibri" w:hAnsi="Calibri"/>
                <w:color w:val="000000"/>
                <w:lang w:eastAsia="en-GB"/>
              </w:rPr>
            </w:pPr>
            <w:r w:rsidRPr="007A388C">
              <w:rPr>
                <w:rFonts w:ascii="Calibri" w:hAnsi="Calibri"/>
                <w:color w:val="000000"/>
                <w:lang w:eastAsia="en-GB"/>
              </w:rPr>
              <w:t>-</w:t>
            </w:r>
            <w:r w:rsidR="00673238">
              <w:rPr>
                <w:rFonts w:ascii="Calibri" w:hAnsi="Calibri"/>
                <w:color w:val="000000"/>
                <w:lang w:eastAsia="en-GB"/>
              </w:rPr>
              <w:t>352</w:t>
            </w:r>
          </w:p>
        </w:tc>
        <w:tc>
          <w:tcPr>
            <w:tcW w:w="1084" w:type="dxa"/>
            <w:tcBorders>
              <w:top w:val="nil"/>
              <w:left w:val="nil"/>
              <w:bottom w:val="single" w:sz="4" w:space="0" w:color="FFFFFF"/>
              <w:right w:val="single" w:sz="4" w:space="0" w:color="FFFFFF"/>
            </w:tcBorders>
            <w:shd w:val="clear" w:color="000000" w:fill="FDE9D9"/>
            <w:noWrap/>
            <w:vAlign w:val="center"/>
            <w:hideMark/>
          </w:tcPr>
          <w:p w14:paraId="0B221CE9" w14:textId="77777777" w:rsidR="007A388C" w:rsidRPr="007A388C" w:rsidRDefault="007A388C" w:rsidP="007A388C">
            <w:pPr>
              <w:jc w:val="right"/>
              <w:rPr>
                <w:rFonts w:ascii="Calibri" w:hAnsi="Calibri"/>
                <w:color w:val="000000"/>
                <w:lang w:eastAsia="en-GB"/>
              </w:rPr>
            </w:pPr>
            <w:r w:rsidRPr="007A388C">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000000" w:fill="FDE9D9"/>
            <w:noWrap/>
            <w:vAlign w:val="center"/>
          </w:tcPr>
          <w:p w14:paraId="36BBDF67" w14:textId="617F82C2" w:rsidR="007A388C" w:rsidRPr="004F35FB" w:rsidRDefault="00375733" w:rsidP="00046FC7">
            <w:pPr>
              <w:jc w:val="right"/>
              <w:rPr>
                <w:rFonts w:ascii="Calibri" w:hAnsi="Calibri"/>
                <w:color w:val="000000"/>
                <w:lang w:eastAsia="en-GB"/>
              </w:rPr>
            </w:pPr>
            <w:r>
              <w:rPr>
                <w:rFonts w:ascii="Calibri" w:hAnsi="Calibri"/>
                <w:color w:val="000000"/>
                <w:lang w:eastAsia="en-GB"/>
              </w:rPr>
              <w:t>-424</w:t>
            </w:r>
          </w:p>
        </w:tc>
        <w:tc>
          <w:tcPr>
            <w:tcW w:w="960" w:type="dxa"/>
            <w:tcBorders>
              <w:top w:val="nil"/>
              <w:left w:val="nil"/>
              <w:bottom w:val="single" w:sz="4" w:space="0" w:color="FFFFFF"/>
              <w:right w:val="single" w:sz="4" w:space="0" w:color="FFFFFF"/>
            </w:tcBorders>
            <w:shd w:val="clear" w:color="auto" w:fill="FBD4B4" w:themeFill="accent6" w:themeFillTint="66"/>
            <w:noWrap/>
            <w:vAlign w:val="center"/>
          </w:tcPr>
          <w:p w14:paraId="60763434" w14:textId="1E28AD77" w:rsidR="007A388C" w:rsidRPr="004F35FB" w:rsidRDefault="00726483" w:rsidP="00AF5FA0">
            <w:pPr>
              <w:jc w:val="right"/>
              <w:rPr>
                <w:rFonts w:ascii="Calibri" w:hAnsi="Calibri"/>
                <w:color w:val="000000"/>
                <w:lang w:eastAsia="en-GB"/>
              </w:rPr>
            </w:pPr>
            <w:r>
              <w:rPr>
                <w:rFonts w:ascii="Calibri" w:hAnsi="Calibri"/>
                <w:color w:val="000000"/>
                <w:lang w:eastAsia="en-GB"/>
              </w:rPr>
              <w:t>-424</w:t>
            </w:r>
          </w:p>
        </w:tc>
      </w:tr>
      <w:tr w:rsidR="007A388C" w:rsidRPr="007A388C" w14:paraId="0AA95100" w14:textId="77777777" w:rsidTr="00C972CB">
        <w:trPr>
          <w:trHeight w:val="300"/>
        </w:trPr>
        <w:tc>
          <w:tcPr>
            <w:tcW w:w="280" w:type="dxa"/>
            <w:tcBorders>
              <w:top w:val="nil"/>
              <w:left w:val="nil"/>
              <w:bottom w:val="nil"/>
              <w:right w:val="nil"/>
            </w:tcBorders>
            <w:shd w:val="clear" w:color="000000" w:fill="FCD5B4"/>
            <w:noWrap/>
            <w:vAlign w:val="center"/>
            <w:hideMark/>
          </w:tcPr>
          <w:p w14:paraId="51F65FCA" w14:textId="77777777" w:rsidR="007A388C" w:rsidRPr="007A388C" w:rsidRDefault="007A388C" w:rsidP="007A388C">
            <w:pPr>
              <w:rPr>
                <w:rFonts w:ascii="Calibri" w:hAnsi="Calibri"/>
                <w:b/>
                <w:bCs/>
                <w:color w:val="000000"/>
                <w:lang w:eastAsia="en-GB"/>
              </w:rPr>
            </w:pPr>
            <w:r w:rsidRPr="007A388C">
              <w:rPr>
                <w:rFonts w:ascii="Calibri" w:hAnsi="Calibri"/>
                <w:b/>
                <w:bCs/>
                <w:color w:val="000000"/>
                <w:lang w:eastAsia="en-GB"/>
              </w:rPr>
              <w:t> </w:t>
            </w:r>
          </w:p>
        </w:tc>
        <w:tc>
          <w:tcPr>
            <w:tcW w:w="3820" w:type="dxa"/>
            <w:tcBorders>
              <w:top w:val="nil"/>
              <w:left w:val="nil"/>
              <w:bottom w:val="nil"/>
              <w:right w:val="nil"/>
            </w:tcBorders>
            <w:shd w:val="clear" w:color="000000" w:fill="FCD5B4"/>
            <w:noWrap/>
            <w:vAlign w:val="center"/>
            <w:hideMark/>
          </w:tcPr>
          <w:p w14:paraId="73C5B7CC" w14:textId="77777777" w:rsidR="007A388C" w:rsidRPr="007A388C" w:rsidRDefault="007A388C" w:rsidP="007A388C">
            <w:pPr>
              <w:rPr>
                <w:rFonts w:ascii="Calibri" w:hAnsi="Calibri"/>
                <w:b/>
                <w:bCs/>
                <w:color w:val="000000"/>
                <w:lang w:eastAsia="en-GB"/>
              </w:rPr>
            </w:pPr>
            <w:r w:rsidRPr="007A388C">
              <w:rPr>
                <w:rFonts w:ascii="Calibri" w:hAnsi="Calibri"/>
                <w:b/>
                <w:bCs/>
                <w:color w:val="000000"/>
                <w:lang w:eastAsia="en-GB"/>
              </w:rPr>
              <w:t> </w:t>
            </w:r>
          </w:p>
        </w:tc>
        <w:tc>
          <w:tcPr>
            <w:tcW w:w="1084" w:type="dxa"/>
            <w:tcBorders>
              <w:top w:val="nil"/>
              <w:left w:val="single" w:sz="4" w:space="0" w:color="FFFFFF"/>
              <w:bottom w:val="single" w:sz="4" w:space="0" w:color="FFFFFF"/>
              <w:right w:val="single" w:sz="4" w:space="0" w:color="FFFFFF"/>
            </w:tcBorders>
            <w:shd w:val="clear" w:color="000000" w:fill="FCD5B4"/>
            <w:noWrap/>
            <w:vAlign w:val="center"/>
            <w:hideMark/>
          </w:tcPr>
          <w:p w14:paraId="03291123"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 0</w:t>
            </w:r>
          </w:p>
        </w:tc>
        <w:tc>
          <w:tcPr>
            <w:tcW w:w="960" w:type="dxa"/>
            <w:tcBorders>
              <w:top w:val="nil"/>
              <w:left w:val="nil"/>
              <w:bottom w:val="single" w:sz="4" w:space="0" w:color="FFFFFF"/>
              <w:right w:val="single" w:sz="4" w:space="0" w:color="FFFFFF"/>
            </w:tcBorders>
            <w:shd w:val="clear" w:color="000000" w:fill="FCD5B4"/>
            <w:noWrap/>
            <w:vAlign w:val="center"/>
            <w:hideMark/>
          </w:tcPr>
          <w:p w14:paraId="5983214A" w14:textId="1E580CD7" w:rsidR="007A388C" w:rsidRPr="007A388C" w:rsidRDefault="00C10FB0" w:rsidP="00386594">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c>
          <w:tcPr>
            <w:tcW w:w="960" w:type="dxa"/>
            <w:tcBorders>
              <w:top w:val="nil"/>
              <w:left w:val="nil"/>
              <w:bottom w:val="single" w:sz="4" w:space="0" w:color="FFFFFF"/>
              <w:right w:val="single" w:sz="4" w:space="0" w:color="FFFFFF"/>
            </w:tcBorders>
            <w:shd w:val="clear" w:color="000000" w:fill="FCD5B4"/>
            <w:noWrap/>
            <w:vAlign w:val="center"/>
            <w:hideMark/>
          </w:tcPr>
          <w:p w14:paraId="16A0E8DB" w14:textId="76C89AC4" w:rsidR="007A388C" w:rsidRPr="007A388C" w:rsidRDefault="00C10FB0" w:rsidP="007A388C">
            <w:pPr>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63</w:t>
            </w:r>
          </w:p>
        </w:tc>
        <w:tc>
          <w:tcPr>
            <w:tcW w:w="1084" w:type="dxa"/>
            <w:tcBorders>
              <w:top w:val="nil"/>
              <w:left w:val="nil"/>
              <w:bottom w:val="single" w:sz="4" w:space="0" w:color="FFFFFF"/>
              <w:right w:val="single" w:sz="4" w:space="0" w:color="FFFFFF"/>
            </w:tcBorders>
            <w:shd w:val="clear" w:color="000000" w:fill="FCD5B4"/>
            <w:noWrap/>
            <w:vAlign w:val="center"/>
            <w:hideMark/>
          </w:tcPr>
          <w:p w14:paraId="3611E34A" w14:textId="77777777" w:rsidR="007A388C" w:rsidRPr="007A388C" w:rsidRDefault="007A388C" w:rsidP="007A388C">
            <w:pPr>
              <w:jc w:val="right"/>
              <w:rPr>
                <w:rFonts w:ascii="Calibri" w:hAnsi="Calibri"/>
                <w:b/>
                <w:bCs/>
                <w:color w:val="000000"/>
                <w:lang w:eastAsia="en-GB"/>
              </w:rPr>
            </w:pPr>
            <w:r w:rsidRPr="007A388C">
              <w:rPr>
                <w:rFonts w:ascii="Calibri" w:hAnsi="Calibri"/>
                <w:b/>
                <w:bCs/>
                <w:color w:val="000000"/>
                <w:lang w:eastAsia="en-GB"/>
              </w:rPr>
              <w:t>0</w:t>
            </w:r>
          </w:p>
        </w:tc>
        <w:tc>
          <w:tcPr>
            <w:tcW w:w="960" w:type="dxa"/>
            <w:tcBorders>
              <w:top w:val="nil"/>
              <w:left w:val="nil"/>
              <w:bottom w:val="single" w:sz="4" w:space="0" w:color="FFFFFF"/>
              <w:right w:val="single" w:sz="4" w:space="0" w:color="FFFFFF"/>
            </w:tcBorders>
            <w:shd w:val="clear" w:color="000000" w:fill="FCD5B4"/>
            <w:noWrap/>
            <w:vAlign w:val="center"/>
          </w:tcPr>
          <w:p w14:paraId="67495D88" w14:textId="2F1DDF42" w:rsidR="007A388C" w:rsidRPr="004F35FB" w:rsidRDefault="00375733" w:rsidP="004F35FB">
            <w:pPr>
              <w:jc w:val="right"/>
              <w:rPr>
                <w:rFonts w:ascii="Calibri" w:hAnsi="Calibri"/>
                <w:b/>
                <w:bCs/>
                <w:color w:val="000000"/>
                <w:lang w:eastAsia="en-GB"/>
              </w:rPr>
            </w:pPr>
            <w:r>
              <w:rPr>
                <w:rFonts w:ascii="Calibri" w:hAnsi="Calibri"/>
                <w:b/>
                <w:bCs/>
                <w:color w:val="000000"/>
                <w:lang w:eastAsia="en-GB"/>
              </w:rPr>
              <w:t>203</w:t>
            </w:r>
          </w:p>
        </w:tc>
        <w:tc>
          <w:tcPr>
            <w:tcW w:w="960" w:type="dxa"/>
            <w:tcBorders>
              <w:top w:val="nil"/>
              <w:left w:val="nil"/>
              <w:bottom w:val="single" w:sz="4" w:space="0" w:color="FFFFFF"/>
              <w:right w:val="single" w:sz="4" w:space="0" w:color="FFFFFF"/>
            </w:tcBorders>
            <w:shd w:val="clear" w:color="000000" w:fill="FCD5B4"/>
            <w:noWrap/>
            <w:vAlign w:val="center"/>
          </w:tcPr>
          <w:p w14:paraId="04960779" w14:textId="2082C333" w:rsidR="007A388C" w:rsidRPr="004F35FB" w:rsidRDefault="00726483" w:rsidP="004F35FB">
            <w:pPr>
              <w:jc w:val="right"/>
              <w:rPr>
                <w:rFonts w:ascii="Calibri" w:hAnsi="Calibri"/>
                <w:b/>
                <w:bCs/>
                <w:color w:val="000000"/>
                <w:lang w:eastAsia="en-GB"/>
              </w:rPr>
            </w:pPr>
            <w:r>
              <w:rPr>
                <w:rFonts w:ascii="Calibri" w:hAnsi="Calibri"/>
                <w:b/>
                <w:bCs/>
                <w:color w:val="000000"/>
                <w:lang w:eastAsia="en-GB"/>
              </w:rPr>
              <w:t>203</w:t>
            </w:r>
          </w:p>
        </w:tc>
      </w:tr>
    </w:tbl>
    <w:p w14:paraId="3CD259C4" w14:textId="6CCA87D2" w:rsidR="00A60DFF" w:rsidRDefault="00A60DFF" w:rsidP="00707761">
      <w:pPr>
        <w:widowControl w:val="0"/>
        <w:tabs>
          <w:tab w:val="left" w:pos="2520"/>
          <w:tab w:val="left" w:pos="7200"/>
          <w:tab w:val="left" w:pos="8460"/>
        </w:tabs>
        <w:rPr>
          <w:rFonts w:asciiTheme="minorHAnsi" w:hAnsiTheme="minorHAnsi" w:cs="Arial"/>
          <w:sz w:val="22"/>
          <w:szCs w:val="22"/>
        </w:rPr>
      </w:pPr>
    </w:p>
    <w:p w14:paraId="0364252E" w14:textId="0ED3AF52" w:rsidR="00A60DFF" w:rsidRDefault="00A60DFF" w:rsidP="00A60DFF">
      <w:pPr>
        <w:autoSpaceDE w:val="0"/>
        <w:autoSpaceDN w:val="0"/>
        <w:adjustRightInd w:val="0"/>
        <w:rPr>
          <w:rFonts w:asciiTheme="minorHAnsi" w:hAnsiTheme="minorHAnsi" w:cs="Arial"/>
          <w:sz w:val="22"/>
          <w:szCs w:val="22"/>
        </w:rPr>
      </w:pPr>
      <w:r w:rsidRPr="00757D70">
        <w:rPr>
          <w:rFonts w:asciiTheme="minorHAnsi" w:hAnsiTheme="minorHAnsi" w:cs="Arial"/>
          <w:sz w:val="22"/>
          <w:szCs w:val="22"/>
        </w:rPr>
        <w:t>There are two items of capitalised software that are individually material to the</w:t>
      </w:r>
      <w:r w:rsidR="00F80793" w:rsidRPr="00757D70">
        <w:rPr>
          <w:rFonts w:asciiTheme="minorHAnsi" w:hAnsiTheme="minorHAnsi" w:cs="Arial"/>
          <w:sz w:val="22"/>
          <w:szCs w:val="22"/>
        </w:rPr>
        <w:t xml:space="preserve"> </w:t>
      </w:r>
      <w:r w:rsidRPr="00757D70">
        <w:rPr>
          <w:rFonts w:asciiTheme="minorHAnsi" w:hAnsiTheme="minorHAnsi" w:cs="Arial"/>
          <w:sz w:val="22"/>
          <w:szCs w:val="22"/>
        </w:rPr>
        <w:t>financial statements:</w:t>
      </w:r>
    </w:p>
    <w:p w14:paraId="539499AA" w14:textId="45F360CB" w:rsidR="00F80793" w:rsidRDefault="00F80793" w:rsidP="00A60DFF">
      <w:pPr>
        <w:autoSpaceDE w:val="0"/>
        <w:autoSpaceDN w:val="0"/>
        <w:adjustRightInd w:val="0"/>
        <w:rPr>
          <w:rFonts w:asciiTheme="minorHAnsi" w:hAnsiTheme="minorHAnsi" w:cs="Arial"/>
          <w:sz w:val="22"/>
          <w:szCs w:val="22"/>
        </w:rPr>
      </w:pPr>
    </w:p>
    <w:p w14:paraId="24D517F3" w14:textId="1E0494B4" w:rsidR="00B13E3B" w:rsidRDefault="00B13E3B" w:rsidP="00A60DFF">
      <w:pPr>
        <w:autoSpaceDE w:val="0"/>
        <w:autoSpaceDN w:val="0"/>
        <w:adjustRightInd w:val="0"/>
        <w:rPr>
          <w:rFonts w:asciiTheme="minorHAnsi" w:hAnsiTheme="minorHAnsi" w:cs="Arial"/>
          <w:sz w:val="22"/>
          <w:szCs w:val="22"/>
        </w:rPr>
      </w:pPr>
    </w:p>
    <w:tbl>
      <w:tblPr>
        <w:tblW w:w="7700" w:type="dxa"/>
        <w:tblLook w:val="04A0" w:firstRow="1" w:lastRow="0" w:firstColumn="1" w:lastColumn="0" w:noHBand="0" w:noVBand="1"/>
        <w:tblCaption w:val="Capitalised software"/>
        <w:tblDescription w:val="Carrying amount of capitalised software at 31 March 2023 and 31 March 2022 with the remaining amortisation period."/>
      </w:tblPr>
      <w:tblGrid>
        <w:gridCol w:w="2940"/>
        <w:gridCol w:w="1340"/>
        <w:gridCol w:w="1360"/>
        <w:gridCol w:w="2060"/>
      </w:tblGrid>
      <w:tr w:rsidR="00F80793" w:rsidRPr="00F80793" w14:paraId="372A598F" w14:textId="77777777" w:rsidTr="00592F4B">
        <w:trPr>
          <w:cantSplit/>
          <w:trHeight w:val="300"/>
          <w:tblHeader/>
        </w:trPr>
        <w:tc>
          <w:tcPr>
            <w:tcW w:w="2940" w:type="dxa"/>
            <w:tcBorders>
              <w:top w:val="nil"/>
              <w:left w:val="nil"/>
              <w:bottom w:val="nil"/>
              <w:right w:val="nil"/>
            </w:tcBorders>
            <w:shd w:val="clear" w:color="000000" w:fill="FABF8F"/>
            <w:noWrap/>
            <w:vAlign w:val="center"/>
            <w:hideMark/>
          </w:tcPr>
          <w:p w14:paraId="7A4D074E"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lastRenderedPageBreak/>
              <w:t> </w:t>
            </w:r>
          </w:p>
        </w:tc>
        <w:tc>
          <w:tcPr>
            <w:tcW w:w="4760" w:type="dxa"/>
            <w:gridSpan w:val="3"/>
            <w:tcBorders>
              <w:top w:val="single" w:sz="8" w:space="0" w:color="FFFFFF"/>
              <w:left w:val="single" w:sz="8" w:space="0" w:color="FFFFFF"/>
              <w:bottom w:val="single" w:sz="8" w:space="0" w:color="FFFFFF"/>
              <w:right w:val="nil"/>
            </w:tcBorders>
            <w:shd w:val="clear" w:color="000000" w:fill="FABF8F"/>
            <w:noWrap/>
            <w:vAlign w:val="center"/>
            <w:hideMark/>
          </w:tcPr>
          <w:p w14:paraId="781E22CF" w14:textId="77777777" w:rsidR="00F80793" w:rsidRPr="00F80793" w:rsidRDefault="00F80793" w:rsidP="00F80793">
            <w:pPr>
              <w:jc w:val="center"/>
              <w:rPr>
                <w:rFonts w:ascii="Calibri" w:hAnsi="Calibri" w:cs="Calibri"/>
                <w:color w:val="000000"/>
                <w:lang w:eastAsia="en-GB"/>
              </w:rPr>
            </w:pPr>
            <w:r w:rsidRPr="00F80793">
              <w:rPr>
                <w:rFonts w:ascii="Calibri" w:hAnsi="Calibri" w:cs="Calibri"/>
                <w:color w:val="000000"/>
                <w:lang w:eastAsia="en-GB"/>
              </w:rPr>
              <w:t>Carrying amount</w:t>
            </w:r>
          </w:p>
        </w:tc>
      </w:tr>
      <w:tr w:rsidR="00F80793" w:rsidRPr="00F80793" w14:paraId="04206008" w14:textId="77777777" w:rsidTr="00F80793">
        <w:trPr>
          <w:trHeight w:val="552"/>
        </w:trPr>
        <w:tc>
          <w:tcPr>
            <w:tcW w:w="2940" w:type="dxa"/>
            <w:tcBorders>
              <w:top w:val="nil"/>
              <w:left w:val="nil"/>
              <w:bottom w:val="nil"/>
              <w:right w:val="nil"/>
            </w:tcBorders>
            <w:shd w:val="clear" w:color="000000" w:fill="FABF8F"/>
            <w:noWrap/>
            <w:vAlign w:val="center"/>
            <w:hideMark/>
          </w:tcPr>
          <w:p w14:paraId="6EBA8E40"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 </w:t>
            </w:r>
          </w:p>
        </w:tc>
        <w:tc>
          <w:tcPr>
            <w:tcW w:w="1340" w:type="dxa"/>
            <w:tcBorders>
              <w:top w:val="nil"/>
              <w:left w:val="single" w:sz="8" w:space="0" w:color="FFFFFF"/>
              <w:bottom w:val="single" w:sz="8" w:space="0" w:color="FFFFFF"/>
              <w:right w:val="nil"/>
            </w:tcBorders>
            <w:shd w:val="clear" w:color="000000" w:fill="FABF8F"/>
            <w:vAlign w:val="center"/>
            <w:hideMark/>
          </w:tcPr>
          <w:p w14:paraId="05F01C26" w14:textId="6E3431AA" w:rsidR="00F80793" w:rsidRPr="00F80793" w:rsidRDefault="00F80793" w:rsidP="00F80793">
            <w:pPr>
              <w:jc w:val="right"/>
              <w:rPr>
                <w:rFonts w:ascii="Calibri" w:hAnsi="Calibri" w:cs="Calibri"/>
                <w:color w:val="000000"/>
                <w:lang w:eastAsia="en-GB"/>
              </w:rPr>
            </w:pPr>
            <w:r w:rsidRPr="00F80793">
              <w:rPr>
                <w:rFonts w:ascii="Calibri" w:hAnsi="Calibri" w:cs="Calibri"/>
                <w:color w:val="000000"/>
                <w:lang w:eastAsia="en-GB"/>
              </w:rPr>
              <w:t>31-Mar-2</w:t>
            </w:r>
            <w:r w:rsidR="00673238">
              <w:rPr>
                <w:rFonts w:ascii="Calibri" w:hAnsi="Calibri" w:cs="Calibri"/>
                <w:color w:val="000000"/>
                <w:lang w:eastAsia="en-GB"/>
              </w:rPr>
              <w:t>3</w:t>
            </w:r>
          </w:p>
        </w:tc>
        <w:tc>
          <w:tcPr>
            <w:tcW w:w="1360" w:type="dxa"/>
            <w:tcBorders>
              <w:top w:val="nil"/>
              <w:left w:val="single" w:sz="8" w:space="0" w:color="FFFFFF"/>
              <w:bottom w:val="single" w:sz="8" w:space="0" w:color="FFFFFF"/>
              <w:right w:val="nil"/>
            </w:tcBorders>
            <w:shd w:val="clear" w:color="000000" w:fill="FABF8F"/>
            <w:vAlign w:val="center"/>
            <w:hideMark/>
          </w:tcPr>
          <w:p w14:paraId="67748AAF" w14:textId="4CF2B58F" w:rsidR="00F80793" w:rsidRPr="00F80793" w:rsidRDefault="00F80793" w:rsidP="00F80793">
            <w:pPr>
              <w:jc w:val="right"/>
              <w:rPr>
                <w:rFonts w:ascii="Calibri" w:hAnsi="Calibri" w:cs="Calibri"/>
                <w:color w:val="000000"/>
                <w:lang w:eastAsia="en-GB"/>
              </w:rPr>
            </w:pPr>
            <w:r w:rsidRPr="00F80793">
              <w:rPr>
                <w:rFonts w:ascii="Calibri" w:hAnsi="Calibri" w:cs="Calibri"/>
                <w:color w:val="000000"/>
                <w:lang w:eastAsia="en-GB"/>
              </w:rPr>
              <w:t>31-Mar-2</w:t>
            </w:r>
            <w:r w:rsidR="00673238">
              <w:rPr>
                <w:rFonts w:ascii="Calibri" w:hAnsi="Calibri" w:cs="Calibri"/>
                <w:color w:val="000000"/>
                <w:lang w:eastAsia="en-GB"/>
              </w:rPr>
              <w:t>2</w:t>
            </w:r>
          </w:p>
        </w:tc>
        <w:tc>
          <w:tcPr>
            <w:tcW w:w="2060" w:type="dxa"/>
            <w:vMerge w:val="restart"/>
            <w:tcBorders>
              <w:top w:val="nil"/>
              <w:left w:val="single" w:sz="8" w:space="0" w:color="FFFFFF"/>
              <w:bottom w:val="single" w:sz="8" w:space="0" w:color="FFFFFF"/>
              <w:right w:val="nil"/>
            </w:tcBorders>
            <w:shd w:val="clear" w:color="000000" w:fill="FABF8F"/>
            <w:vAlign w:val="center"/>
            <w:hideMark/>
          </w:tcPr>
          <w:p w14:paraId="7CF95435" w14:textId="77777777" w:rsidR="00F80793" w:rsidRPr="00F80793" w:rsidRDefault="00F80793" w:rsidP="00F80793">
            <w:pPr>
              <w:jc w:val="center"/>
              <w:rPr>
                <w:rFonts w:ascii="Calibri" w:hAnsi="Calibri" w:cs="Calibri"/>
                <w:color w:val="000000"/>
                <w:lang w:eastAsia="en-GB"/>
              </w:rPr>
            </w:pPr>
            <w:r w:rsidRPr="00F80793">
              <w:rPr>
                <w:rFonts w:ascii="Calibri" w:hAnsi="Calibri" w:cs="Calibri"/>
                <w:color w:val="000000"/>
                <w:lang w:eastAsia="en-GB"/>
              </w:rPr>
              <w:t>Remaining amortisation period</w:t>
            </w:r>
          </w:p>
        </w:tc>
      </w:tr>
      <w:tr w:rsidR="00F80793" w:rsidRPr="00F80793" w14:paraId="3492B673" w14:textId="77777777" w:rsidTr="00F80793">
        <w:trPr>
          <w:trHeight w:val="300"/>
        </w:trPr>
        <w:tc>
          <w:tcPr>
            <w:tcW w:w="2940" w:type="dxa"/>
            <w:tcBorders>
              <w:top w:val="nil"/>
              <w:left w:val="nil"/>
              <w:bottom w:val="single" w:sz="8" w:space="0" w:color="FFFFFF"/>
              <w:right w:val="single" w:sz="8" w:space="0" w:color="FFFFFF"/>
            </w:tcBorders>
            <w:shd w:val="clear" w:color="000000" w:fill="FABF8F"/>
            <w:noWrap/>
            <w:vAlign w:val="center"/>
            <w:hideMark/>
          </w:tcPr>
          <w:p w14:paraId="6910C03C"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 </w:t>
            </w:r>
          </w:p>
        </w:tc>
        <w:tc>
          <w:tcPr>
            <w:tcW w:w="1340" w:type="dxa"/>
            <w:tcBorders>
              <w:top w:val="nil"/>
              <w:left w:val="nil"/>
              <w:bottom w:val="single" w:sz="8" w:space="0" w:color="FFFFFF"/>
              <w:right w:val="nil"/>
            </w:tcBorders>
            <w:shd w:val="clear" w:color="000000" w:fill="FABF8F"/>
            <w:noWrap/>
            <w:vAlign w:val="center"/>
            <w:hideMark/>
          </w:tcPr>
          <w:p w14:paraId="42ABB9E1"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£’000</w:t>
            </w:r>
          </w:p>
        </w:tc>
        <w:tc>
          <w:tcPr>
            <w:tcW w:w="1360" w:type="dxa"/>
            <w:tcBorders>
              <w:top w:val="nil"/>
              <w:left w:val="single" w:sz="8" w:space="0" w:color="FFFFFF"/>
              <w:bottom w:val="single" w:sz="8" w:space="0" w:color="FFFFFF"/>
              <w:right w:val="nil"/>
            </w:tcBorders>
            <w:shd w:val="clear" w:color="000000" w:fill="FABF8F"/>
            <w:noWrap/>
            <w:vAlign w:val="center"/>
            <w:hideMark/>
          </w:tcPr>
          <w:p w14:paraId="5106BEC9"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£’000</w:t>
            </w:r>
          </w:p>
        </w:tc>
        <w:tc>
          <w:tcPr>
            <w:tcW w:w="2060" w:type="dxa"/>
            <w:vMerge/>
            <w:tcBorders>
              <w:top w:val="nil"/>
              <w:left w:val="single" w:sz="8" w:space="0" w:color="FFFFFF"/>
              <w:bottom w:val="single" w:sz="8" w:space="0" w:color="FFFFFF"/>
              <w:right w:val="nil"/>
            </w:tcBorders>
            <w:vAlign w:val="center"/>
            <w:hideMark/>
          </w:tcPr>
          <w:p w14:paraId="0AD1FAE4" w14:textId="77777777" w:rsidR="00F80793" w:rsidRPr="00F80793" w:rsidRDefault="00F80793" w:rsidP="00F80793">
            <w:pPr>
              <w:rPr>
                <w:rFonts w:ascii="Calibri" w:hAnsi="Calibri" w:cs="Calibri"/>
                <w:color w:val="000000"/>
                <w:lang w:eastAsia="en-GB"/>
              </w:rPr>
            </w:pPr>
          </w:p>
        </w:tc>
      </w:tr>
      <w:tr w:rsidR="00F80793" w:rsidRPr="00F80793" w14:paraId="04AE4D97" w14:textId="77777777" w:rsidTr="00673238">
        <w:trPr>
          <w:trHeight w:val="300"/>
        </w:trPr>
        <w:tc>
          <w:tcPr>
            <w:tcW w:w="2940" w:type="dxa"/>
            <w:tcBorders>
              <w:top w:val="nil"/>
              <w:left w:val="nil"/>
              <w:bottom w:val="single" w:sz="8" w:space="0" w:color="FFFFFF"/>
              <w:right w:val="single" w:sz="8" w:space="0" w:color="FFFFFF"/>
            </w:tcBorders>
            <w:shd w:val="clear" w:color="000000" w:fill="FDE9D9"/>
            <w:noWrap/>
            <w:vAlign w:val="center"/>
            <w:hideMark/>
          </w:tcPr>
          <w:p w14:paraId="7B6E2766"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 xml:space="preserve">HIP IT Project </w:t>
            </w:r>
          </w:p>
        </w:tc>
        <w:tc>
          <w:tcPr>
            <w:tcW w:w="1340" w:type="dxa"/>
            <w:tcBorders>
              <w:top w:val="nil"/>
              <w:left w:val="nil"/>
              <w:bottom w:val="single" w:sz="8" w:space="0" w:color="FFFFFF"/>
              <w:right w:val="nil"/>
            </w:tcBorders>
            <w:shd w:val="clear" w:color="000000" w:fill="FDE9D9"/>
            <w:noWrap/>
            <w:vAlign w:val="center"/>
          </w:tcPr>
          <w:p w14:paraId="4BEA7B26" w14:textId="1614746A" w:rsidR="00F80793" w:rsidRPr="00F80793" w:rsidRDefault="007A13A3" w:rsidP="00F80793">
            <w:pPr>
              <w:jc w:val="right"/>
              <w:rPr>
                <w:rFonts w:ascii="Calibri" w:hAnsi="Calibri" w:cs="Calibri"/>
                <w:color w:val="000000"/>
                <w:lang w:eastAsia="en-GB"/>
              </w:rPr>
            </w:pPr>
            <w:r>
              <w:rPr>
                <w:rFonts w:ascii="Calibri" w:hAnsi="Calibri" w:cs="Calibri"/>
                <w:color w:val="000000"/>
                <w:lang w:eastAsia="en-GB"/>
              </w:rPr>
              <w:t>157</w:t>
            </w:r>
          </w:p>
        </w:tc>
        <w:tc>
          <w:tcPr>
            <w:tcW w:w="1360" w:type="dxa"/>
            <w:tcBorders>
              <w:top w:val="nil"/>
              <w:left w:val="single" w:sz="8" w:space="0" w:color="FFFFFF"/>
              <w:bottom w:val="single" w:sz="8" w:space="0" w:color="FFFFFF"/>
              <w:right w:val="nil"/>
            </w:tcBorders>
            <w:shd w:val="clear" w:color="000000" w:fill="FDE9D9"/>
            <w:noWrap/>
            <w:vAlign w:val="center"/>
            <w:hideMark/>
          </w:tcPr>
          <w:p w14:paraId="7D834DD2" w14:textId="326E1E27" w:rsidR="00F80793" w:rsidRPr="00F80793" w:rsidRDefault="00F80793" w:rsidP="00F80793">
            <w:pPr>
              <w:jc w:val="right"/>
              <w:rPr>
                <w:rFonts w:ascii="Calibri" w:hAnsi="Calibri" w:cs="Calibri"/>
                <w:color w:val="000000"/>
                <w:lang w:eastAsia="en-GB"/>
              </w:rPr>
            </w:pPr>
            <w:r w:rsidRPr="00F80793">
              <w:rPr>
                <w:rFonts w:ascii="Calibri" w:hAnsi="Calibri" w:cs="Calibri"/>
                <w:color w:val="000000"/>
                <w:lang w:eastAsia="en-GB"/>
              </w:rPr>
              <w:t>20</w:t>
            </w:r>
            <w:r w:rsidR="00673238">
              <w:rPr>
                <w:rFonts w:ascii="Calibri" w:hAnsi="Calibri" w:cs="Calibri"/>
                <w:color w:val="000000"/>
                <w:lang w:eastAsia="en-GB"/>
              </w:rPr>
              <w:t>2</w:t>
            </w:r>
          </w:p>
        </w:tc>
        <w:tc>
          <w:tcPr>
            <w:tcW w:w="2060" w:type="dxa"/>
            <w:tcBorders>
              <w:top w:val="nil"/>
              <w:left w:val="single" w:sz="8" w:space="0" w:color="FFFFFF"/>
              <w:bottom w:val="single" w:sz="8" w:space="0" w:color="FFFFFF"/>
              <w:right w:val="nil"/>
            </w:tcBorders>
            <w:shd w:val="clear" w:color="000000" w:fill="FDE9D9"/>
            <w:noWrap/>
            <w:vAlign w:val="center"/>
          </w:tcPr>
          <w:p w14:paraId="314D7C82" w14:textId="715B89A3" w:rsidR="00F80793" w:rsidRPr="00F80793" w:rsidRDefault="007A13A3" w:rsidP="00F80793">
            <w:pPr>
              <w:jc w:val="right"/>
              <w:rPr>
                <w:rFonts w:ascii="Calibri" w:hAnsi="Calibri" w:cs="Calibri"/>
                <w:color w:val="000000"/>
                <w:lang w:eastAsia="en-GB"/>
              </w:rPr>
            </w:pPr>
            <w:r>
              <w:rPr>
                <w:rFonts w:ascii="Calibri" w:hAnsi="Calibri" w:cs="Calibri"/>
                <w:color w:val="000000"/>
                <w:lang w:eastAsia="en-GB"/>
              </w:rPr>
              <w:t>4</w:t>
            </w:r>
          </w:p>
        </w:tc>
      </w:tr>
      <w:tr w:rsidR="00F80793" w:rsidRPr="00F80793" w14:paraId="04C66593" w14:textId="77777777" w:rsidTr="00673238">
        <w:trPr>
          <w:trHeight w:val="300"/>
        </w:trPr>
        <w:tc>
          <w:tcPr>
            <w:tcW w:w="2940" w:type="dxa"/>
            <w:tcBorders>
              <w:top w:val="nil"/>
              <w:left w:val="nil"/>
              <w:bottom w:val="single" w:sz="8" w:space="0" w:color="FFFFFF"/>
              <w:right w:val="single" w:sz="8" w:space="0" w:color="FFFFFF"/>
            </w:tcBorders>
            <w:shd w:val="clear" w:color="000000" w:fill="FDE9D9"/>
            <w:noWrap/>
            <w:vAlign w:val="center"/>
            <w:hideMark/>
          </w:tcPr>
          <w:p w14:paraId="2DE33C79" w14:textId="77777777" w:rsidR="00F80793" w:rsidRPr="00F80793" w:rsidRDefault="00F80793" w:rsidP="00F80793">
            <w:pPr>
              <w:rPr>
                <w:rFonts w:ascii="Calibri" w:hAnsi="Calibri" w:cs="Calibri"/>
                <w:color w:val="000000"/>
                <w:lang w:eastAsia="en-GB"/>
              </w:rPr>
            </w:pPr>
            <w:r w:rsidRPr="00F80793">
              <w:rPr>
                <w:rFonts w:ascii="Calibri" w:hAnsi="Calibri" w:cs="Calibri"/>
                <w:color w:val="000000"/>
                <w:lang w:eastAsia="en-GB"/>
              </w:rPr>
              <w:t>Replacement Content Management</w:t>
            </w:r>
          </w:p>
        </w:tc>
        <w:tc>
          <w:tcPr>
            <w:tcW w:w="1340" w:type="dxa"/>
            <w:tcBorders>
              <w:top w:val="nil"/>
              <w:left w:val="nil"/>
              <w:bottom w:val="single" w:sz="8" w:space="0" w:color="FFFFFF"/>
              <w:right w:val="nil"/>
            </w:tcBorders>
            <w:shd w:val="clear" w:color="000000" w:fill="FDE9D9"/>
            <w:noWrap/>
            <w:vAlign w:val="center"/>
          </w:tcPr>
          <w:p w14:paraId="0193C4A7" w14:textId="6B641841" w:rsidR="00F80793" w:rsidRPr="00F80793" w:rsidRDefault="007A13A3" w:rsidP="00F80793">
            <w:pPr>
              <w:jc w:val="right"/>
              <w:rPr>
                <w:rFonts w:ascii="Calibri" w:hAnsi="Calibri" w:cs="Calibri"/>
                <w:color w:val="000000"/>
                <w:lang w:eastAsia="en-GB"/>
              </w:rPr>
            </w:pPr>
            <w:r>
              <w:rPr>
                <w:rFonts w:ascii="Calibri" w:hAnsi="Calibri" w:cs="Calibri"/>
                <w:color w:val="000000"/>
                <w:lang w:eastAsia="en-GB"/>
              </w:rPr>
              <w:t>31</w:t>
            </w:r>
          </w:p>
        </w:tc>
        <w:tc>
          <w:tcPr>
            <w:tcW w:w="1360" w:type="dxa"/>
            <w:tcBorders>
              <w:top w:val="nil"/>
              <w:left w:val="single" w:sz="8" w:space="0" w:color="FFFFFF"/>
              <w:bottom w:val="single" w:sz="8" w:space="0" w:color="FFFFFF"/>
              <w:right w:val="nil"/>
            </w:tcBorders>
            <w:shd w:val="clear" w:color="000000" w:fill="FDE9D9"/>
            <w:noWrap/>
            <w:vAlign w:val="center"/>
            <w:hideMark/>
          </w:tcPr>
          <w:p w14:paraId="1CEBF437" w14:textId="0E76A533" w:rsidR="00F80793" w:rsidRPr="00F80793" w:rsidRDefault="00673238" w:rsidP="00F80793">
            <w:pPr>
              <w:jc w:val="right"/>
              <w:rPr>
                <w:rFonts w:ascii="Calibri" w:hAnsi="Calibri" w:cs="Calibri"/>
                <w:color w:val="000000"/>
                <w:lang w:eastAsia="en-GB"/>
              </w:rPr>
            </w:pPr>
            <w:r>
              <w:rPr>
                <w:rFonts w:ascii="Calibri" w:hAnsi="Calibri" w:cs="Calibri"/>
                <w:color w:val="000000"/>
                <w:lang w:eastAsia="en-GB"/>
              </w:rPr>
              <w:t>38</w:t>
            </w:r>
          </w:p>
        </w:tc>
        <w:tc>
          <w:tcPr>
            <w:tcW w:w="2060" w:type="dxa"/>
            <w:tcBorders>
              <w:top w:val="nil"/>
              <w:left w:val="single" w:sz="8" w:space="0" w:color="FFFFFF"/>
              <w:bottom w:val="single" w:sz="8" w:space="0" w:color="FFFFFF"/>
              <w:right w:val="nil"/>
            </w:tcBorders>
            <w:shd w:val="clear" w:color="000000" w:fill="FDE9D9"/>
            <w:noWrap/>
            <w:vAlign w:val="center"/>
          </w:tcPr>
          <w:p w14:paraId="2304A8A4" w14:textId="7A0372E4" w:rsidR="00F80793" w:rsidRPr="00F80793" w:rsidRDefault="007A13A3" w:rsidP="00F80793">
            <w:pPr>
              <w:jc w:val="right"/>
              <w:rPr>
                <w:rFonts w:ascii="Calibri" w:hAnsi="Calibri" w:cs="Calibri"/>
                <w:color w:val="000000"/>
                <w:lang w:eastAsia="en-GB"/>
              </w:rPr>
            </w:pPr>
            <w:r>
              <w:rPr>
                <w:rFonts w:ascii="Calibri" w:hAnsi="Calibri" w:cs="Calibri"/>
                <w:color w:val="000000"/>
                <w:lang w:eastAsia="en-GB"/>
              </w:rPr>
              <w:t>5</w:t>
            </w:r>
          </w:p>
        </w:tc>
      </w:tr>
    </w:tbl>
    <w:p w14:paraId="2602B03C" w14:textId="77777777" w:rsidR="00F80793" w:rsidRDefault="00F80793" w:rsidP="00A60DFF">
      <w:pPr>
        <w:autoSpaceDE w:val="0"/>
        <w:autoSpaceDN w:val="0"/>
        <w:adjustRightInd w:val="0"/>
        <w:rPr>
          <w:rFonts w:ascii="Muli-ExtraBold" w:hAnsi="Muli-ExtraBold" w:cs="Muli-ExtraBold"/>
          <w:b/>
          <w:bCs/>
          <w:color w:val="564495"/>
          <w:sz w:val="14"/>
          <w:szCs w:val="14"/>
          <w:lang w:eastAsia="en-GB"/>
        </w:rPr>
      </w:pPr>
    </w:p>
    <w:p w14:paraId="66E74BFF" w14:textId="77777777" w:rsidR="00707761" w:rsidRPr="0092051D" w:rsidRDefault="00707761" w:rsidP="00707761">
      <w:pPr>
        <w:widowControl w:val="0"/>
        <w:tabs>
          <w:tab w:val="left" w:pos="2520"/>
          <w:tab w:val="left" w:pos="7200"/>
          <w:tab w:val="left" w:pos="8460"/>
        </w:tabs>
        <w:rPr>
          <w:rFonts w:asciiTheme="minorHAnsi" w:hAnsiTheme="minorHAnsi" w:cs="Arial"/>
          <w:sz w:val="22"/>
          <w:szCs w:val="22"/>
        </w:rPr>
      </w:pPr>
    </w:p>
    <w:p w14:paraId="525B644E" w14:textId="77777777" w:rsidR="00707761" w:rsidRPr="0092051D" w:rsidRDefault="00707761" w:rsidP="000A74BA">
      <w:pPr>
        <w:widowControl w:val="0"/>
        <w:tabs>
          <w:tab w:val="left" w:pos="2520"/>
          <w:tab w:val="left" w:pos="7200"/>
          <w:tab w:val="left" w:pos="8460"/>
        </w:tabs>
        <w:jc w:val="both"/>
        <w:rPr>
          <w:rFonts w:asciiTheme="minorHAnsi" w:hAnsiTheme="minorHAnsi" w:cs="Arial"/>
          <w:sz w:val="22"/>
          <w:szCs w:val="22"/>
        </w:rPr>
      </w:pPr>
      <w:r w:rsidRPr="0092051D">
        <w:rPr>
          <w:rFonts w:asciiTheme="minorHAnsi" w:hAnsiTheme="minorHAnsi" w:cs="Arial"/>
          <w:sz w:val="22"/>
          <w:szCs w:val="22"/>
        </w:rPr>
        <w:t>The Council would revalue its software assets acquired under licence where comparable licences are currently commercially available for purchase.  Revaluations would be made at every year end based on the market price of the comparable licences at that date.  The Council does not have any intangible assets where a revaluation can be obtained as described above.</w:t>
      </w:r>
    </w:p>
    <w:p w14:paraId="1723E90B" w14:textId="77777777" w:rsidR="00707761" w:rsidRPr="0092051D" w:rsidRDefault="00707761" w:rsidP="00A30232">
      <w:pPr>
        <w:widowControl w:val="0"/>
        <w:tabs>
          <w:tab w:val="left" w:pos="2520"/>
          <w:tab w:val="left" w:pos="7200"/>
          <w:tab w:val="left" w:pos="8460"/>
        </w:tabs>
        <w:rPr>
          <w:rFonts w:asciiTheme="minorHAnsi" w:hAnsiTheme="minorHAnsi" w:cs="Arial"/>
          <w:sz w:val="22"/>
          <w:szCs w:val="22"/>
        </w:rPr>
      </w:pPr>
    </w:p>
    <w:p w14:paraId="57B00344" w14:textId="3BEF02EC" w:rsidR="00894AE6" w:rsidRDefault="00707761" w:rsidP="00A30232">
      <w:pPr>
        <w:widowControl w:val="0"/>
        <w:tabs>
          <w:tab w:val="left" w:pos="709"/>
          <w:tab w:val="left" w:pos="7200"/>
          <w:tab w:val="left" w:pos="8460"/>
        </w:tabs>
        <w:jc w:val="both"/>
        <w:rPr>
          <w:rFonts w:asciiTheme="minorHAnsi" w:hAnsiTheme="minorHAnsi" w:cs="Arial"/>
          <w:sz w:val="22"/>
          <w:szCs w:val="22"/>
        </w:rPr>
      </w:pPr>
      <w:r w:rsidRPr="00915AC4">
        <w:rPr>
          <w:rFonts w:asciiTheme="minorHAnsi" w:hAnsiTheme="minorHAnsi" w:cs="Arial"/>
          <w:sz w:val="22"/>
          <w:szCs w:val="22"/>
        </w:rPr>
        <w:t xml:space="preserve">The intangible assets of the Council </w:t>
      </w:r>
      <w:r w:rsidRPr="004F35FB">
        <w:rPr>
          <w:rFonts w:asciiTheme="minorHAnsi" w:hAnsiTheme="minorHAnsi" w:cs="Arial"/>
          <w:sz w:val="22"/>
          <w:szCs w:val="22"/>
        </w:rPr>
        <w:t xml:space="preserve">consist of items of software which are valued at amortised historic costs. </w:t>
      </w:r>
      <w:r w:rsidR="00894AE6" w:rsidRPr="004F35FB">
        <w:rPr>
          <w:rFonts w:asciiTheme="minorHAnsi" w:hAnsiTheme="minorHAnsi" w:cs="Arial"/>
          <w:sz w:val="22"/>
          <w:szCs w:val="22"/>
        </w:rPr>
        <w:t xml:space="preserve">There are intangible assets included with an </w:t>
      </w:r>
      <w:r w:rsidR="00894AE6" w:rsidRPr="00F80793">
        <w:rPr>
          <w:rFonts w:asciiTheme="minorHAnsi" w:hAnsiTheme="minorHAnsi" w:cs="Arial"/>
          <w:sz w:val="22"/>
          <w:szCs w:val="22"/>
        </w:rPr>
        <w:t xml:space="preserve">original value of </w:t>
      </w:r>
      <w:r w:rsidR="00894AE6" w:rsidRPr="008C6D82">
        <w:rPr>
          <w:rFonts w:asciiTheme="minorHAnsi" w:hAnsiTheme="minorHAnsi" w:cs="Arial"/>
          <w:sz w:val="22"/>
          <w:szCs w:val="22"/>
        </w:rPr>
        <w:t>£</w:t>
      </w:r>
      <w:r w:rsidR="00965DD9" w:rsidRPr="008C6D82">
        <w:rPr>
          <w:rFonts w:asciiTheme="minorHAnsi" w:hAnsiTheme="minorHAnsi" w:cs="Arial"/>
          <w:sz w:val="22"/>
          <w:szCs w:val="22"/>
        </w:rPr>
        <w:t>0</w:t>
      </w:r>
      <w:r w:rsidR="00580A02" w:rsidRPr="008C6D82">
        <w:rPr>
          <w:rFonts w:asciiTheme="minorHAnsi" w:hAnsiTheme="minorHAnsi" w:cs="Arial"/>
          <w:sz w:val="22"/>
          <w:szCs w:val="22"/>
        </w:rPr>
        <w:t>.</w:t>
      </w:r>
      <w:r w:rsidR="00965DD9" w:rsidRPr="008C6D82">
        <w:rPr>
          <w:rFonts w:asciiTheme="minorHAnsi" w:hAnsiTheme="minorHAnsi" w:cs="Arial"/>
          <w:sz w:val="22"/>
          <w:szCs w:val="22"/>
        </w:rPr>
        <w:t>281</w:t>
      </w:r>
      <w:r w:rsidR="00580A02" w:rsidRPr="008C6D82">
        <w:rPr>
          <w:rFonts w:asciiTheme="minorHAnsi" w:hAnsiTheme="minorHAnsi" w:cs="Arial"/>
          <w:sz w:val="22"/>
          <w:szCs w:val="22"/>
        </w:rPr>
        <w:t>m</w:t>
      </w:r>
      <w:r w:rsidR="00894AE6" w:rsidRPr="008C6D82">
        <w:rPr>
          <w:rFonts w:asciiTheme="minorHAnsi" w:hAnsiTheme="minorHAnsi" w:cs="Arial"/>
          <w:sz w:val="22"/>
          <w:szCs w:val="22"/>
        </w:rPr>
        <w:t xml:space="preserve"> which are still in use but have been fully amortised.</w:t>
      </w:r>
      <w:r w:rsidR="00894AE6">
        <w:rPr>
          <w:rFonts w:asciiTheme="minorHAnsi" w:hAnsiTheme="minorHAnsi" w:cs="Arial"/>
          <w:sz w:val="22"/>
          <w:szCs w:val="22"/>
        </w:rPr>
        <w:t xml:space="preserve"> </w:t>
      </w:r>
    </w:p>
    <w:p w14:paraId="167A315B" w14:textId="77777777" w:rsidR="00707761" w:rsidRPr="0092051D" w:rsidRDefault="00707761" w:rsidP="00A30232">
      <w:pPr>
        <w:widowControl w:val="0"/>
        <w:tabs>
          <w:tab w:val="left" w:pos="9923"/>
        </w:tabs>
        <w:ind w:right="-259"/>
        <w:jc w:val="both"/>
        <w:rPr>
          <w:rFonts w:asciiTheme="minorHAnsi" w:hAnsiTheme="minorHAnsi" w:cs="Arial"/>
          <w:sz w:val="22"/>
          <w:szCs w:val="22"/>
        </w:rPr>
      </w:pPr>
    </w:p>
    <w:p w14:paraId="68C427E1" w14:textId="272D289E" w:rsidR="00707761" w:rsidRPr="00386594" w:rsidRDefault="00652B18" w:rsidP="00704A70">
      <w:pPr>
        <w:pStyle w:val="Heading2"/>
        <w:rPr>
          <w:color w:val="FF0000"/>
        </w:rPr>
      </w:pPr>
      <w:r>
        <w:t>2</w:t>
      </w:r>
      <w:r w:rsidR="00D3279C">
        <w:t>2</w:t>
      </w:r>
      <w:r w:rsidR="00707761" w:rsidRPr="0092051D">
        <w:tab/>
        <w:t>F</w:t>
      </w:r>
      <w:r w:rsidR="0092051D" w:rsidRPr="0092051D">
        <w:t>inancial Instruments</w:t>
      </w:r>
    </w:p>
    <w:p w14:paraId="483AC8F1" w14:textId="77777777" w:rsidR="00707761" w:rsidRDefault="00707761" w:rsidP="00A30232">
      <w:pPr>
        <w:widowControl w:val="0"/>
        <w:tabs>
          <w:tab w:val="left" w:pos="2520"/>
          <w:tab w:val="left" w:pos="7200"/>
          <w:tab w:val="left" w:pos="8460"/>
        </w:tabs>
        <w:rPr>
          <w:rFonts w:ascii="Arial" w:hAnsi="Arial" w:cs="Arial"/>
          <w:b/>
        </w:rPr>
      </w:pPr>
    </w:p>
    <w:p w14:paraId="123B961A" w14:textId="77777777" w:rsidR="006F20B8" w:rsidRPr="00B921B9" w:rsidRDefault="006F20B8" w:rsidP="00A30232">
      <w:pPr>
        <w:widowControl w:val="0"/>
        <w:spacing w:line="228" w:lineRule="auto"/>
        <w:jc w:val="both"/>
        <w:rPr>
          <w:rFonts w:asciiTheme="minorHAnsi" w:hAnsiTheme="minorHAnsi" w:cs="Arial"/>
          <w:b/>
          <w:sz w:val="22"/>
          <w:szCs w:val="22"/>
        </w:rPr>
      </w:pPr>
      <w:r w:rsidRPr="00B921B9">
        <w:rPr>
          <w:rFonts w:asciiTheme="minorHAnsi" w:hAnsiTheme="minorHAnsi" w:cs="Arial"/>
          <w:b/>
          <w:sz w:val="22"/>
          <w:szCs w:val="22"/>
        </w:rPr>
        <w:t>Financial Liabilities</w:t>
      </w:r>
    </w:p>
    <w:p w14:paraId="12FA210A" w14:textId="77777777" w:rsidR="006F20B8" w:rsidRPr="00B921B9" w:rsidRDefault="006F20B8" w:rsidP="00A30232">
      <w:pPr>
        <w:widowControl w:val="0"/>
        <w:spacing w:line="228" w:lineRule="auto"/>
        <w:ind w:hanging="426"/>
        <w:jc w:val="both"/>
        <w:rPr>
          <w:rFonts w:asciiTheme="minorHAnsi" w:hAnsiTheme="minorHAnsi" w:cs="Arial"/>
          <w:b/>
          <w:sz w:val="22"/>
          <w:szCs w:val="22"/>
          <w:u w:val="single"/>
        </w:rPr>
      </w:pPr>
    </w:p>
    <w:p w14:paraId="20D23BF3" w14:textId="77777777" w:rsidR="006F20B8" w:rsidRPr="00B921B9" w:rsidRDefault="006F20B8" w:rsidP="00A30232">
      <w:pPr>
        <w:widowControl w:val="0"/>
        <w:spacing w:line="228" w:lineRule="auto"/>
        <w:ind w:hanging="426"/>
        <w:jc w:val="both"/>
        <w:rPr>
          <w:rFonts w:asciiTheme="minorHAnsi" w:hAnsiTheme="minorHAnsi" w:cs="Arial"/>
          <w:sz w:val="22"/>
          <w:szCs w:val="22"/>
        </w:rPr>
      </w:pPr>
      <w:r w:rsidRPr="00B921B9">
        <w:rPr>
          <w:rFonts w:asciiTheme="minorHAnsi" w:hAnsiTheme="minorHAnsi" w:cs="Arial"/>
          <w:sz w:val="22"/>
          <w:szCs w:val="22"/>
        </w:rPr>
        <w:tab/>
        <w:t xml:space="preserve">Financial liabilities are recognised on the Balance Sheet when the Council becomes a party to the contractual provisions of a financial instrument and are initially measured at fair value and are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 </w:t>
      </w:r>
    </w:p>
    <w:p w14:paraId="3C529F69" w14:textId="77777777" w:rsidR="006F20B8" w:rsidRPr="00B921B9" w:rsidRDefault="006F20B8" w:rsidP="006F20B8">
      <w:pPr>
        <w:widowControl w:val="0"/>
        <w:spacing w:line="228" w:lineRule="auto"/>
        <w:jc w:val="both"/>
        <w:rPr>
          <w:rFonts w:asciiTheme="minorHAnsi" w:hAnsiTheme="minorHAnsi" w:cs="Arial"/>
          <w:sz w:val="22"/>
          <w:szCs w:val="22"/>
        </w:rPr>
      </w:pPr>
    </w:p>
    <w:p w14:paraId="48BA5995" w14:textId="77777777" w:rsidR="006F20B8" w:rsidRPr="00B921B9" w:rsidRDefault="006F20B8" w:rsidP="006F20B8">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For the borrowings that the Council currently has, this means that the amount presented in the Balance Sheet is the outstanding principal repayable (plus accrued interest); and interest charged to the Comprehensive Income and Expenditure Statement is the amount payable for the year according to the loan agreement.</w:t>
      </w:r>
    </w:p>
    <w:p w14:paraId="300B8C2F" w14:textId="77777777" w:rsidR="006F20B8" w:rsidRPr="00B921B9" w:rsidRDefault="006F20B8" w:rsidP="006F20B8">
      <w:pPr>
        <w:widowControl w:val="0"/>
        <w:spacing w:line="228" w:lineRule="auto"/>
        <w:ind w:hanging="426"/>
        <w:jc w:val="both"/>
        <w:rPr>
          <w:rFonts w:asciiTheme="minorHAnsi" w:hAnsiTheme="minorHAnsi" w:cs="Arial"/>
          <w:sz w:val="22"/>
          <w:szCs w:val="22"/>
        </w:rPr>
      </w:pPr>
    </w:p>
    <w:p w14:paraId="460DC5DC" w14:textId="77777777" w:rsidR="006F20B8" w:rsidRPr="00B921B9" w:rsidRDefault="006F20B8" w:rsidP="006F20B8">
      <w:pPr>
        <w:widowControl w:val="0"/>
        <w:spacing w:line="228" w:lineRule="auto"/>
        <w:ind w:hanging="426"/>
        <w:jc w:val="both"/>
        <w:rPr>
          <w:rFonts w:asciiTheme="minorHAnsi" w:hAnsiTheme="minorHAnsi" w:cs="Arial"/>
          <w:sz w:val="22"/>
          <w:szCs w:val="22"/>
        </w:rPr>
      </w:pPr>
      <w:r w:rsidRPr="00B921B9">
        <w:rPr>
          <w:rFonts w:asciiTheme="minorHAnsi" w:hAnsiTheme="minorHAnsi" w:cs="Arial"/>
          <w:sz w:val="22"/>
          <w:szCs w:val="22"/>
        </w:rPr>
        <w:tab/>
        <w:t xml:space="preserve">Where premiums and discounts have been charged to the Comprehensive Income and Expenditure Statement, regulations allow the impact on the General Fund Balance to be spread over future years. The Council has a policy of spreading the gain or loss over the term that was remaining on the loan against which the premium was payable or discount receivable when it was repaid. The reconciliation of amounts charged to the Comprehensive Income and Expenditure Statement to the net charge required against the General Fund Balance is managed by a transfer to or from the Financial Instruments Adjustment Account in the Movement in Reserves Statement.  </w:t>
      </w:r>
    </w:p>
    <w:p w14:paraId="196C5A26" w14:textId="77777777" w:rsidR="006F20B8" w:rsidRPr="00B921B9" w:rsidRDefault="006F20B8" w:rsidP="006F20B8">
      <w:pPr>
        <w:widowControl w:val="0"/>
        <w:numPr>
          <w:ilvl w:val="12"/>
          <w:numId w:val="0"/>
        </w:numPr>
        <w:ind w:left="720"/>
        <w:jc w:val="both"/>
        <w:rPr>
          <w:rFonts w:asciiTheme="minorHAnsi" w:hAnsiTheme="minorHAnsi" w:cs="Arial"/>
          <w:sz w:val="22"/>
          <w:szCs w:val="22"/>
          <w:u w:val="single"/>
        </w:rPr>
      </w:pPr>
    </w:p>
    <w:p w14:paraId="6CCB1362" w14:textId="77777777" w:rsidR="006F20B8" w:rsidRPr="00B921B9" w:rsidRDefault="006F20B8" w:rsidP="006F20B8">
      <w:pPr>
        <w:widowControl w:val="0"/>
        <w:ind w:right="-144"/>
        <w:jc w:val="both"/>
        <w:rPr>
          <w:rFonts w:asciiTheme="minorHAnsi" w:hAnsiTheme="minorHAnsi" w:cs="Arial"/>
          <w:b/>
          <w:sz w:val="22"/>
          <w:szCs w:val="22"/>
        </w:rPr>
      </w:pPr>
      <w:r w:rsidRPr="00B921B9">
        <w:rPr>
          <w:rFonts w:asciiTheme="minorHAnsi" w:hAnsiTheme="minorHAnsi" w:cs="Arial"/>
          <w:b/>
          <w:sz w:val="22"/>
          <w:szCs w:val="22"/>
        </w:rPr>
        <w:t>Financial Assets</w:t>
      </w:r>
    </w:p>
    <w:p w14:paraId="45B37D8E" w14:textId="77777777" w:rsidR="006F20B8" w:rsidRPr="00B921B9" w:rsidRDefault="006F20B8" w:rsidP="006F20B8">
      <w:pPr>
        <w:widowControl w:val="0"/>
        <w:ind w:right="-144"/>
        <w:jc w:val="both"/>
        <w:rPr>
          <w:rFonts w:asciiTheme="minorHAnsi" w:hAnsiTheme="minorHAnsi" w:cs="Arial"/>
          <w:sz w:val="22"/>
          <w:szCs w:val="22"/>
        </w:rPr>
      </w:pPr>
    </w:p>
    <w:p w14:paraId="11E47A3E" w14:textId="77777777" w:rsidR="006F20B8" w:rsidRPr="00B921B9" w:rsidRDefault="001B7C6A" w:rsidP="000A74BA">
      <w:pPr>
        <w:widowControl w:val="0"/>
        <w:jc w:val="both"/>
        <w:rPr>
          <w:rFonts w:asciiTheme="minorHAnsi" w:hAnsiTheme="minorHAnsi" w:cs="Arial"/>
          <w:sz w:val="22"/>
          <w:szCs w:val="22"/>
        </w:rPr>
      </w:pPr>
      <w:r>
        <w:rPr>
          <w:rFonts w:asciiTheme="minorHAnsi" w:hAnsiTheme="minorHAnsi" w:cs="Arial"/>
          <w:sz w:val="22"/>
          <w:szCs w:val="22"/>
        </w:rPr>
        <w:t xml:space="preserve">Financial assets are classified based on a classification and measurement approach that reflects the business model for holding the financial assets and their </w:t>
      </w:r>
      <w:r w:rsidR="00F101DE">
        <w:rPr>
          <w:rFonts w:asciiTheme="minorHAnsi" w:hAnsiTheme="minorHAnsi" w:cs="Arial"/>
          <w:sz w:val="22"/>
          <w:szCs w:val="22"/>
        </w:rPr>
        <w:t>cash flow characteristics. The Council holds</w:t>
      </w:r>
      <w:r>
        <w:rPr>
          <w:rFonts w:asciiTheme="minorHAnsi" w:hAnsiTheme="minorHAnsi" w:cs="Arial"/>
          <w:sz w:val="22"/>
          <w:szCs w:val="22"/>
        </w:rPr>
        <w:t xml:space="preserve"> financial assets measured at:</w:t>
      </w:r>
    </w:p>
    <w:p w14:paraId="05326535" w14:textId="77777777" w:rsidR="006F20B8" w:rsidRPr="00B921B9" w:rsidRDefault="006F20B8" w:rsidP="006F20B8">
      <w:pPr>
        <w:widowControl w:val="0"/>
        <w:ind w:right="-144"/>
        <w:jc w:val="both"/>
        <w:rPr>
          <w:rFonts w:asciiTheme="minorHAnsi" w:hAnsiTheme="minorHAnsi" w:cs="Arial"/>
          <w:sz w:val="22"/>
          <w:szCs w:val="22"/>
        </w:rPr>
      </w:pPr>
    </w:p>
    <w:p w14:paraId="79615D12" w14:textId="77777777" w:rsidR="006F20B8" w:rsidRPr="007E2CDB" w:rsidRDefault="001B7C6A" w:rsidP="00C76AD3">
      <w:pPr>
        <w:pStyle w:val="ListParagraph"/>
        <w:widowControl w:val="0"/>
        <w:numPr>
          <w:ilvl w:val="0"/>
          <w:numId w:val="38"/>
        </w:numPr>
        <w:ind w:right="8"/>
        <w:jc w:val="both"/>
        <w:rPr>
          <w:rFonts w:asciiTheme="minorHAnsi" w:hAnsiTheme="minorHAnsi" w:cs="Arial"/>
          <w:sz w:val="22"/>
          <w:szCs w:val="22"/>
        </w:rPr>
      </w:pPr>
      <w:r w:rsidRPr="007E2CDB">
        <w:rPr>
          <w:rFonts w:asciiTheme="minorHAnsi" w:hAnsiTheme="minorHAnsi" w:cs="Arial"/>
          <w:sz w:val="22"/>
          <w:szCs w:val="22"/>
        </w:rPr>
        <w:t>amortised cost</w:t>
      </w:r>
      <w:r w:rsidR="00F101DE">
        <w:rPr>
          <w:rFonts w:asciiTheme="minorHAnsi" w:hAnsiTheme="minorHAnsi" w:cs="Arial"/>
          <w:sz w:val="22"/>
          <w:szCs w:val="22"/>
        </w:rPr>
        <w:t>, and</w:t>
      </w:r>
    </w:p>
    <w:p w14:paraId="273C6BEF" w14:textId="77777777" w:rsidR="001B7C6A" w:rsidRPr="00F101DE" w:rsidRDefault="001B7C6A" w:rsidP="00C76AD3">
      <w:pPr>
        <w:pStyle w:val="ListParagraph"/>
        <w:widowControl w:val="0"/>
        <w:numPr>
          <w:ilvl w:val="0"/>
          <w:numId w:val="38"/>
        </w:numPr>
        <w:ind w:right="8"/>
        <w:jc w:val="both"/>
        <w:rPr>
          <w:rFonts w:asciiTheme="minorHAnsi" w:hAnsiTheme="minorHAnsi" w:cs="Arial"/>
          <w:sz w:val="22"/>
          <w:szCs w:val="22"/>
        </w:rPr>
      </w:pPr>
      <w:r w:rsidRPr="007E2CDB">
        <w:rPr>
          <w:rFonts w:asciiTheme="minorHAnsi" w:hAnsiTheme="minorHAnsi" w:cs="Arial"/>
          <w:sz w:val="22"/>
          <w:szCs w:val="22"/>
        </w:rPr>
        <w:t>fair value through profit or loss (FVPL)</w:t>
      </w:r>
    </w:p>
    <w:p w14:paraId="540574FB" w14:textId="77777777" w:rsidR="001B7C6A" w:rsidRDefault="001B7C6A" w:rsidP="007E2CDB">
      <w:pPr>
        <w:widowControl w:val="0"/>
        <w:ind w:right="8"/>
        <w:jc w:val="both"/>
        <w:rPr>
          <w:rFonts w:asciiTheme="minorHAnsi" w:hAnsiTheme="minorHAnsi" w:cs="Arial"/>
          <w:sz w:val="22"/>
          <w:szCs w:val="22"/>
        </w:rPr>
      </w:pPr>
    </w:p>
    <w:p w14:paraId="7065B41F" w14:textId="1C3DB2CE" w:rsidR="001B7C6A" w:rsidRDefault="001B6CE8" w:rsidP="007E2CDB">
      <w:pPr>
        <w:widowControl w:val="0"/>
        <w:ind w:right="8"/>
        <w:jc w:val="both"/>
        <w:rPr>
          <w:rFonts w:asciiTheme="minorHAnsi" w:hAnsiTheme="minorHAnsi" w:cs="Arial"/>
          <w:sz w:val="22"/>
          <w:szCs w:val="22"/>
        </w:rPr>
      </w:pPr>
      <w:r>
        <w:rPr>
          <w:rFonts w:asciiTheme="minorHAnsi" w:hAnsiTheme="minorHAnsi" w:cs="Arial"/>
          <w:sz w:val="22"/>
          <w:szCs w:val="22"/>
        </w:rPr>
        <w:t>T</w:t>
      </w:r>
      <w:r w:rsidR="001B7C6A">
        <w:rPr>
          <w:rFonts w:asciiTheme="minorHAnsi" w:hAnsiTheme="minorHAnsi" w:cs="Arial"/>
          <w:sz w:val="22"/>
          <w:szCs w:val="22"/>
        </w:rPr>
        <w:t>he Council’s business model is to hold investments to collect contractual cash flows. Financial assets are therefore classified at amortised cost, except for those whose contractual payments are not solely payment of principal and interest (</w:t>
      </w:r>
      <w:r w:rsidR="00120BFE">
        <w:rPr>
          <w:rFonts w:asciiTheme="minorHAnsi" w:hAnsiTheme="minorHAnsi" w:cs="Arial"/>
          <w:sz w:val="22"/>
          <w:szCs w:val="22"/>
        </w:rPr>
        <w:t>for example,</w:t>
      </w:r>
      <w:r w:rsidR="001B7C6A">
        <w:rPr>
          <w:rFonts w:asciiTheme="minorHAnsi" w:hAnsiTheme="minorHAnsi" w:cs="Arial"/>
          <w:sz w:val="22"/>
          <w:szCs w:val="22"/>
        </w:rPr>
        <w:t xml:space="preserve"> where the cash flows do not take the form of a basic debt instrument).</w:t>
      </w:r>
    </w:p>
    <w:p w14:paraId="08BBFB88" w14:textId="77777777" w:rsidR="001B6CE8" w:rsidRDefault="001B6CE8" w:rsidP="007E2CDB">
      <w:pPr>
        <w:widowControl w:val="0"/>
        <w:ind w:right="8"/>
        <w:jc w:val="both"/>
        <w:rPr>
          <w:rFonts w:asciiTheme="minorHAnsi" w:hAnsiTheme="minorHAnsi" w:cs="Arial"/>
          <w:sz w:val="22"/>
          <w:szCs w:val="22"/>
        </w:rPr>
      </w:pPr>
    </w:p>
    <w:p w14:paraId="2EAD4409" w14:textId="77777777" w:rsidR="001B6CE8" w:rsidRDefault="001B6CE8" w:rsidP="007E2CDB">
      <w:pPr>
        <w:widowControl w:val="0"/>
        <w:ind w:right="8"/>
        <w:jc w:val="both"/>
        <w:rPr>
          <w:rFonts w:asciiTheme="minorHAnsi" w:hAnsiTheme="minorHAnsi" w:cs="Arial"/>
          <w:b/>
          <w:sz w:val="22"/>
          <w:szCs w:val="22"/>
        </w:rPr>
      </w:pPr>
      <w:r>
        <w:rPr>
          <w:rFonts w:asciiTheme="minorHAnsi" w:hAnsiTheme="minorHAnsi" w:cs="Arial"/>
          <w:b/>
          <w:sz w:val="22"/>
          <w:szCs w:val="22"/>
        </w:rPr>
        <w:t>Financial Assets Measured at Amortised Cost</w:t>
      </w:r>
    </w:p>
    <w:p w14:paraId="4817C684" w14:textId="77777777" w:rsidR="001B6CE8" w:rsidRDefault="001B6CE8" w:rsidP="007E2CDB">
      <w:pPr>
        <w:widowControl w:val="0"/>
        <w:ind w:right="8"/>
        <w:jc w:val="both"/>
        <w:rPr>
          <w:rFonts w:asciiTheme="minorHAnsi" w:hAnsiTheme="minorHAnsi" w:cs="Arial"/>
          <w:b/>
          <w:sz w:val="22"/>
          <w:szCs w:val="22"/>
        </w:rPr>
      </w:pPr>
    </w:p>
    <w:p w14:paraId="5327871A" w14:textId="00C70E55" w:rsidR="001B6CE8" w:rsidRDefault="001B6CE8" w:rsidP="007E2CDB">
      <w:pPr>
        <w:widowControl w:val="0"/>
        <w:ind w:right="8"/>
        <w:jc w:val="both"/>
        <w:rPr>
          <w:rFonts w:asciiTheme="minorHAnsi" w:hAnsiTheme="minorHAnsi" w:cs="Arial"/>
          <w:sz w:val="22"/>
          <w:szCs w:val="22"/>
        </w:rPr>
      </w:pPr>
      <w:r>
        <w:rPr>
          <w:rFonts w:asciiTheme="minorHAnsi" w:hAnsiTheme="minorHAnsi" w:cs="Arial"/>
          <w:sz w:val="22"/>
          <w:szCs w:val="22"/>
        </w:rPr>
        <w:t>Financial assets measured at amortised cost are recognised on the Balance Sheet when the Council becomes a party to the contractual provisions of a financial instrument</w:t>
      </w:r>
      <w:r w:rsidR="00171BEA">
        <w:rPr>
          <w:rFonts w:asciiTheme="minorHAnsi" w:hAnsiTheme="minorHAnsi" w:cs="Arial"/>
          <w:sz w:val="22"/>
          <w:szCs w:val="22"/>
        </w:rPr>
        <w:t xml:space="preserve"> and are initially measured at fair value. They are subsequently </w:t>
      </w:r>
      <w:r w:rsidR="00171BEA">
        <w:rPr>
          <w:rFonts w:asciiTheme="minorHAnsi" w:hAnsiTheme="minorHAnsi" w:cs="Arial"/>
          <w:sz w:val="22"/>
          <w:szCs w:val="22"/>
        </w:rPr>
        <w:lastRenderedPageBreak/>
        <w:t>measured at their amortised cost. Annual credits to the Financing and Investment Income and Expenditure line in the Comprehensive Income and Expenditure Statement (CIES) for interest receivable are based on the carrying amount of the asset multiplied by the effective interest rate for the instrument</w:t>
      </w:r>
      <w:r w:rsidR="00ED3C11">
        <w:rPr>
          <w:rFonts w:asciiTheme="minorHAnsi" w:hAnsiTheme="minorHAnsi" w:cs="Arial"/>
          <w:sz w:val="22"/>
          <w:szCs w:val="22"/>
        </w:rPr>
        <w:t>. For most of the financial assets held by the Council, this means that the amount presented in the Balance Sheet is the outstanding principal receivable</w:t>
      </w:r>
      <w:r w:rsidR="00570042">
        <w:rPr>
          <w:rFonts w:asciiTheme="minorHAnsi" w:hAnsiTheme="minorHAnsi" w:cs="Arial"/>
          <w:sz w:val="22"/>
          <w:szCs w:val="22"/>
        </w:rPr>
        <w:t xml:space="preserve"> </w:t>
      </w:r>
      <w:r w:rsidR="00ED3C11">
        <w:rPr>
          <w:rFonts w:asciiTheme="minorHAnsi" w:hAnsiTheme="minorHAnsi" w:cs="Arial"/>
          <w:sz w:val="22"/>
          <w:szCs w:val="22"/>
        </w:rPr>
        <w:t>(plus accrued interest) and interest credited to the CIES is the amount receivable for the year in the loan agreement.</w:t>
      </w:r>
    </w:p>
    <w:p w14:paraId="2E76BF6C" w14:textId="77777777" w:rsidR="00ED3C11" w:rsidRDefault="00ED3C11" w:rsidP="007E2CDB">
      <w:pPr>
        <w:widowControl w:val="0"/>
        <w:ind w:right="8"/>
        <w:jc w:val="both"/>
        <w:rPr>
          <w:rFonts w:asciiTheme="minorHAnsi" w:hAnsiTheme="minorHAnsi" w:cs="Arial"/>
          <w:sz w:val="22"/>
          <w:szCs w:val="22"/>
        </w:rPr>
      </w:pPr>
    </w:p>
    <w:p w14:paraId="1C9A56F2" w14:textId="0BD44F0D" w:rsidR="00ED3C11" w:rsidRDefault="00ED3C11" w:rsidP="007E2CDB">
      <w:pPr>
        <w:widowControl w:val="0"/>
        <w:ind w:right="8"/>
        <w:jc w:val="both"/>
        <w:rPr>
          <w:rFonts w:asciiTheme="minorHAnsi" w:hAnsiTheme="minorHAnsi" w:cs="Arial"/>
          <w:sz w:val="22"/>
          <w:szCs w:val="22"/>
        </w:rPr>
      </w:pPr>
      <w:r>
        <w:rPr>
          <w:rFonts w:asciiTheme="minorHAnsi" w:hAnsiTheme="minorHAnsi" w:cs="Arial"/>
          <w:sz w:val="22"/>
          <w:szCs w:val="22"/>
        </w:rPr>
        <w:t>Any gains or losses that arise on the de</w:t>
      </w:r>
      <w:r w:rsidR="00A75803">
        <w:rPr>
          <w:rFonts w:asciiTheme="minorHAnsi" w:hAnsiTheme="minorHAnsi" w:cs="Arial"/>
          <w:sz w:val="22"/>
          <w:szCs w:val="22"/>
        </w:rPr>
        <w:t>-</w:t>
      </w:r>
      <w:r>
        <w:rPr>
          <w:rFonts w:asciiTheme="minorHAnsi" w:hAnsiTheme="minorHAnsi" w:cs="Arial"/>
          <w:sz w:val="22"/>
          <w:szCs w:val="22"/>
        </w:rPr>
        <w:t xml:space="preserve">recognition of an asset are credited or debited to </w:t>
      </w:r>
      <w:r w:rsidRPr="006A5DAE">
        <w:rPr>
          <w:rFonts w:asciiTheme="minorHAnsi" w:hAnsiTheme="minorHAnsi" w:cs="Arial"/>
          <w:sz w:val="22"/>
          <w:szCs w:val="22"/>
        </w:rPr>
        <w:t xml:space="preserve">the </w:t>
      </w:r>
      <w:r w:rsidR="00F101DE" w:rsidRPr="006A5DAE">
        <w:rPr>
          <w:rFonts w:asciiTheme="minorHAnsi" w:hAnsiTheme="minorHAnsi" w:cs="Arial"/>
          <w:sz w:val="22"/>
          <w:szCs w:val="22"/>
        </w:rPr>
        <w:t xml:space="preserve">financing and investment income </w:t>
      </w:r>
      <w:r w:rsidRPr="006A5DAE">
        <w:rPr>
          <w:rFonts w:asciiTheme="minorHAnsi" w:hAnsiTheme="minorHAnsi" w:cs="Arial"/>
          <w:sz w:val="22"/>
          <w:szCs w:val="22"/>
        </w:rPr>
        <w:t>line</w:t>
      </w:r>
      <w:r>
        <w:rPr>
          <w:rFonts w:asciiTheme="minorHAnsi" w:hAnsiTheme="minorHAnsi" w:cs="Arial"/>
          <w:sz w:val="22"/>
          <w:szCs w:val="22"/>
        </w:rPr>
        <w:t xml:space="preserve"> in the </w:t>
      </w:r>
      <w:r w:rsidR="00AF7BF0">
        <w:rPr>
          <w:rFonts w:asciiTheme="minorHAnsi" w:hAnsiTheme="minorHAnsi" w:cs="Arial"/>
          <w:sz w:val="22"/>
          <w:szCs w:val="22"/>
        </w:rPr>
        <w:t xml:space="preserve">comprehensive income </w:t>
      </w:r>
      <w:r w:rsidR="00704A70">
        <w:rPr>
          <w:rFonts w:asciiTheme="minorHAnsi" w:hAnsiTheme="minorHAnsi" w:cs="Arial"/>
          <w:sz w:val="22"/>
          <w:szCs w:val="22"/>
        </w:rPr>
        <w:t>and</w:t>
      </w:r>
      <w:r w:rsidR="00AF7BF0">
        <w:rPr>
          <w:rFonts w:asciiTheme="minorHAnsi" w:hAnsiTheme="minorHAnsi" w:cs="Arial"/>
          <w:sz w:val="22"/>
          <w:szCs w:val="22"/>
        </w:rPr>
        <w:t xml:space="preserve"> expenditure statement</w:t>
      </w:r>
      <w:r>
        <w:rPr>
          <w:rFonts w:asciiTheme="minorHAnsi" w:hAnsiTheme="minorHAnsi" w:cs="Arial"/>
          <w:sz w:val="22"/>
          <w:szCs w:val="22"/>
        </w:rPr>
        <w:t>.</w:t>
      </w:r>
    </w:p>
    <w:p w14:paraId="68064B0B" w14:textId="77777777" w:rsidR="00F101DE" w:rsidRDefault="00F101DE" w:rsidP="007E2CDB">
      <w:pPr>
        <w:keepNext/>
        <w:keepLines/>
        <w:widowControl w:val="0"/>
        <w:ind w:right="6"/>
        <w:jc w:val="both"/>
        <w:rPr>
          <w:rFonts w:asciiTheme="minorHAnsi" w:hAnsiTheme="minorHAnsi" w:cs="Arial"/>
          <w:b/>
          <w:sz w:val="22"/>
          <w:szCs w:val="22"/>
        </w:rPr>
      </w:pPr>
    </w:p>
    <w:p w14:paraId="5479C9A0" w14:textId="77777777" w:rsidR="00ED3C11" w:rsidRDefault="00ED3C11" w:rsidP="007E2CDB">
      <w:pPr>
        <w:keepNext/>
        <w:keepLines/>
        <w:widowControl w:val="0"/>
        <w:ind w:right="6"/>
        <w:jc w:val="both"/>
        <w:rPr>
          <w:rFonts w:asciiTheme="minorHAnsi" w:hAnsiTheme="minorHAnsi" w:cs="Arial"/>
          <w:b/>
          <w:sz w:val="22"/>
          <w:szCs w:val="22"/>
        </w:rPr>
      </w:pPr>
      <w:r>
        <w:rPr>
          <w:rFonts w:asciiTheme="minorHAnsi" w:hAnsiTheme="minorHAnsi" w:cs="Arial"/>
          <w:b/>
          <w:sz w:val="22"/>
          <w:szCs w:val="22"/>
        </w:rPr>
        <w:t>Expected Credit Loss Model</w:t>
      </w:r>
    </w:p>
    <w:p w14:paraId="5F38D6CA" w14:textId="77777777" w:rsidR="00ED3C11" w:rsidRDefault="00ED3C11" w:rsidP="007E2CDB">
      <w:pPr>
        <w:keepNext/>
        <w:keepLines/>
        <w:widowControl w:val="0"/>
        <w:ind w:right="6"/>
        <w:jc w:val="both"/>
        <w:rPr>
          <w:rFonts w:asciiTheme="minorHAnsi" w:hAnsiTheme="minorHAnsi" w:cs="Arial"/>
          <w:b/>
          <w:sz w:val="22"/>
          <w:szCs w:val="22"/>
        </w:rPr>
      </w:pPr>
    </w:p>
    <w:p w14:paraId="2294F128" w14:textId="77777777" w:rsidR="00ED3C11" w:rsidRDefault="00ED3C11" w:rsidP="007E2CDB">
      <w:pPr>
        <w:widowControl w:val="0"/>
        <w:ind w:right="8"/>
        <w:jc w:val="both"/>
        <w:rPr>
          <w:rFonts w:asciiTheme="minorHAnsi" w:hAnsiTheme="minorHAnsi" w:cs="Arial"/>
          <w:sz w:val="22"/>
          <w:szCs w:val="22"/>
        </w:rPr>
      </w:pPr>
      <w:r>
        <w:rPr>
          <w:rFonts w:asciiTheme="minorHAnsi" w:hAnsiTheme="minorHAnsi" w:cs="Arial"/>
          <w:sz w:val="22"/>
          <w:szCs w:val="22"/>
        </w:rPr>
        <w:t>The Council recognises any material expected credit losses on all of its financial assets held at amortised cost</w:t>
      </w:r>
      <w:r w:rsidR="00C12B83">
        <w:rPr>
          <w:rFonts w:asciiTheme="minorHAnsi" w:hAnsiTheme="minorHAnsi" w:cs="Arial"/>
          <w:sz w:val="22"/>
          <w:szCs w:val="22"/>
        </w:rPr>
        <w:t xml:space="preserve"> either on a 12-month or lifetime basis. The expected credit loss model also applies to lease receivables and contract assets. Only lifetime losses are recognised for trade receivables (debtors</w:t>
      </w:r>
      <w:r w:rsidR="006A5DAE">
        <w:rPr>
          <w:rFonts w:asciiTheme="minorHAnsi" w:hAnsiTheme="minorHAnsi" w:cs="Arial"/>
          <w:sz w:val="22"/>
          <w:szCs w:val="22"/>
        </w:rPr>
        <w:t>)</w:t>
      </w:r>
      <w:r w:rsidR="00C12B83">
        <w:rPr>
          <w:rFonts w:asciiTheme="minorHAnsi" w:hAnsiTheme="minorHAnsi" w:cs="Arial"/>
          <w:sz w:val="22"/>
          <w:szCs w:val="22"/>
        </w:rPr>
        <w:t xml:space="preserve"> held by the Council.</w:t>
      </w:r>
    </w:p>
    <w:p w14:paraId="46F442FA" w14:textId="77777777" w:rsidR="00C12B83" w:rsidRDefault="00C12B83" w:rsidP="007E2CDB">
      <w:pPr>
        <w:widowControl w:val="0"/>
        <w:ind w:right="8"/>
        <w:jc w:val="both"/>
        <w:rPr>
          <w:rFonts w:asciiTheme="minorHAnsi" w:hAnsiTheme="minorHAnsi" w:cs="Arial"/>
          <w:sz w:val="22"/>
          <w:szCs w:val="22"/>
        </w:rPr>
      </w:pPr>
    </w:p>
    <w:p w14:paraId="23BA5A8C" w14:textId="77777777" w:rsidR="00C12B83" w:rsidRDefault="00C12B83" w:rsidP="007E2CDB">
      <w:pPr>
        <w:widowControl w:val="0"/>
        <w:ind w:right="8"/>
        <w:jc w:val="both"/>
        <w:rPr>
          <w:rFonts w:asciiTheme="minorHAnsi" w:hAnsiTheme="minorHAnsi" w:cs="Arial"/>
          <w:sz w:val="22"/>
          <w:szCs w:val="22"/>
        </w:rPr>
      </w:pPr>
      <w:r>
        <w:rPr>
          <w:rFonts w:asciiTheme="minorHAnsi" w:hAnsiTheme="minorHAnsi" w:cs="Arial"/>
          <w:sz w:val="22"/>
          <w:szCs w:val="22"/>
        </w:rPr>
        <w:t>Impairment losses are calculated to reflect the expectation that future cash flows might not take place because the borrower could default on their obligations. Credit risk plays a crucial part in assessing losses. Where risk has increased significantly since an instrument was initially recognised, losses are assessed on a lifetime basis. Where risk has not increased significantly or remains low, losses are assessed on the basis of 12-month expected losses.</w:t>
      </w:r>
    </w:p>
    <w:p w14:paraId="3F306BA6" w14:textId="77777777" w:rsidR="00C12B83" w:rsidRDefault="00C12B83" w:rsidP="007E2CDB">
      <w:pPr>
        <w:widowControl w:val="0"/>
        <w:ind w:right="8"/>
        <w:jc w:val="both"/>
        <w:rPr>
          <w:rFonts w:asciiTheme="minorHAnsi" w:hAnsiTheme="minorHAnsi" w:cs="Arial"/>
          <w:sz w:val="22"/>
          <w:szCs w:val="22"/>
        </w:rPr>
      </w:pPr>
    </w:p>
    <w:p w14:paraId="3F9EA163" w14:textId="77777777" w:rsidR="00C12B83" w:rsidRDefault="00C12B83" w:rsidP="007E2CDB">
      <w:pPr>
        <w:widowControl w:val="0"/>
        <w:ind w:right="8"/>
        <w:jc w:val="both"/>
        <w:rPr>
          <w:rFonts w:asciiTheme="minorHAnsi" w:hAnsiTheme="minorHAnsi" w:cs="Arial"/>
          <w:sz w:val="22"/>
          <w:szCs w:val="22"/>
        </w:rPr>
      </w:pPr>
      <w:r>
        <w:rPr>
          <w:rFonts w:asciiTheme="minorHAnsi" w:hAnsiTheme="minorHAnsi" w:cs="Arial"/>
          <w:sz w:val="22"/>
          <w:szCs w:val="22"/>
        </w:rPr>
        <w:t xml:space="preserve">The Council’s financial assets have been assessed for any expected credit losses </w:t>
      </w:r>
      <w:r w:rsidR="00383AEA">
        <w:rPr>
          <w:rFonts w:asciiTheme="minorHAnsi" w:hAnsiTheme="minorHAnsi" w:cs="Arial"/>
          <w:sz w:val="22"/>
          <w:szCs w:val="22"/>
        </w:rPr>
        <w:t>however it has been determined that there is no material adjustment needed to the Council’s accounts.</w:t>
      </w:r>
    </w:p>
    <w:p w14:paraId="43A223E3" w14:textId="77777777" w:rsidR="002627BE" w:rsidRDefault="002627BE" w:rsidP="007E2CDB">
      <w:pPr>
        <w:widowControl w:val="0"/>
        <w:ind w:right="8"/>
        <w:jc w:val="both"/>
        <w:rPr>
          <w:rFonts w:asciiTheme="minorHAnsi" w:hAnsiTheme="minorHAnsi" w:cs="Arial"/>
          <w:color w:val="FF0000"/>
          <w:sz w:val="22"/>
          <w:szCs w:val="22"/>
        </w:rPr>
      </w:pPr>
    </w:p>
    <w:p w14:paraId="68A9C37E" w14:textId="77777777" w:rsidR="002627BE" w:rsidRDefault="002627BE" w:rsidP="007E2CDB">
      <w:pPr>
        <w:widowControl w:val="0"/>
        <w:ind w:right="8"/>
        <w:jc w:val="both"/>
        <w:rPr>
          <w:rFonts w:asciiTheme="minorHAnsi" w:hAnsiTheme="minorHAnsi" w:cs="Arial"/>
          <w:b/>
          <w:sz w:val="22"/>
          <w:szCs w:val="22"/>
        </w:rPr>
      </w:pPr>
      <w:r>
        <w:rPr>
          <w:rFonts w:asciiTheme="minorHAnsi" w:hAnsiTheme="minorHAnsi" w:cs="Arial"/>
          <w:b/>
          <w:sz w:val="22"/>
          <w:szCs w:val="22"/>
        </w:rPr>
        <w:t>Financial Assets Measured at Fair Value through Profit or Loss</w:t>
      </w:r>
    </w:p>
    <w:p w14:paraId="53BDA7F7" w14:textId="77777777" w:rsidR="002627BE" w:rsidRDefault="002627BE" w:rsidP="007E2CDB">
      <w:pPr>
        <w:widowControl w:val="0"/>
        <w:ind w:right="8"/>
        <w:jc w:val="both"/>
        <w:rPr>
          <w:rFonts w:asciiTheme="minorHAnsi" w:hAnsiTheme="minorHAnsi" w:cs="Arial"/>
          <w:b/>
          <w:sz w:val="22"/>
          <w:szCs w:val="22"/>
        </w:rPr>
      </w:pPr>
    </w:p>
    <w:p w14:paraId="2DE19DDA" w14:textId="77777777" w:rsidR="002627BE" w:rsidRDefault="002627BE" w:rsidP="007E2CDB">
      <w:pPr>
        <w:widowControl w:val="0"/>
        <w:ind w:right="8"/>
        <w:jc w:val="both"/>
        <w:rPr>
          <w:rFonts w:asciiTheme="minorHAnsi" w:hAnsiTheme="minorHAnsi" w:cs="Arial"/>
          <w:sz w:val="22"/>
          <w:szCs w:val="22"/>
        </w:rPr>
      </w:pPr>
      <w:r>
        <w:rPr>
          <w:rFonts w:asciiTheme="minorHAnsi" w:hAnsiTheme="minorHAnsi" w:cs="Arial"/>
          <w:sz w:val="22"/>
          <w:szCs w:val="22"/>
        </w:rPr>
        <w:t>Financial assets</w:t>
      </w:r>
      <w:r w:rsidR="00522F27">
        <w:rPr>
          <w:rFonts w:asciiTheme="minorHAnsi" w:hAnsiTheme="minorHAnsi" w:cs="Arial"/>
          <w:sz w:val="22"/>
          <w:szCs w:val="22"/>
        </w:rPr>
        <w:t xml:space="preserve"> </w:t>
      </w:r>
      <w:r>
        <w:rPr>
          <w:rFonts w:asciiTheme="minorHAnsi" w:hAnsiTheme="minorHAnsi" w:cs="Arial"/>
          <w:sz w:val="22"/>
          <w:szCs w:val="22"/>
        </w:rPr>
        <w:t>that are measured at FVPL are recognised on the Balance Sheet when the Council becomes</w:t>
      </w:r>
      <w:r w:rsidR="00522F27">
        <w:rPr>
          <w:rFonts w:asciiTheme="minorHAnsi" w:hAnsiTheme="minorHAnsi" w:cs="Arial"/>
          <w:sz w:val="22"/>
          <w:szCs w:val="22"/>
        </w:rPr>
        <w:t xml:space="preserve"> </w:t>
      </w:r>
      <w:r>
        <w:rPr>
          <w:rFonts w:asciiTheme="minorHAnsi" w:hAnsiTheme="minorHAnsi" w:cs="Arial"/>
          <w:sz w:val="22"/>
          <w:szCs w:val="22"/>
        </w:rPr>
        <w:t>a party to the contractual provisions of a financial instrument and are initially measured and carried at fair value. Fair value gains and losses are recognised as they arrive in the Surplus or Deficit on the provision of Services.</w:t>
      </w:r>
    </w:p>
    <w:p w14:paraId="437175FC" w14:textId="77777777" w:rsidR="002627BE" w:rsidRDefault="002627BE" w:rsidP="007E2CDB">
      <w:pPr>
        <w:widowControl w:val="0"/>
        <w:ind w:right="8"/>
        <w:jc w:val="both"/>
        <w:rPr>
          <w:rFonts w:asciiTheme="minorHAnsi" w:hAnsiTheme="minorHAnsi" w:cs="Arial"/>
          <w:sz w:val="22"/>
          <w:szCs w:val="22"/>
        </w:rPr>
      </w:pPr>
    </w:p>
    <w:p w14:paraId="72C80A74" w14:textId="77777777" w:rsidR="006A5DAE" w:rsidRPr="006A5DAE" w:rsidRDefault="006A5DAE" w:rsidP="007E2CDB">
      <w:pPr>
        <w:widowControl w:val="0"/>
        <w:ind w:right="8"/>
        <w:jc w:val="both"/>
        <w:rPr>
          <w:rFonts w:asciiTheme="minorHAnsi" w:hAnsiTheme="minorHAnsi" w:cs="Arial"/>
          <w:b/>
          <w:sz w:val="22"/>
          <w:szCs w:val="22"/>
        </w:rPr>
      </w:pPr>
      <w:r>
        <w:rPr>
          <w:rFonts w:asciiTheme="minorHAnsi" w:hAnsiTheme="minorHAnsi" w:cs="Arial"/>
          <w:b/>
          <w:sz w:val="22"/>
          <w:szCs w:val="22"/>
        </w:rPr>
        <w:t>Fair Value Measurements of Financial Assets</w:t>
      </w:r>
    </w:p>
    <w:p w14:paraId="7F45F009" w14:textId="77777777" w:rsidR="006A5DAE" w:rsidRDefault="006A5DAE" w:rsidP="007E2CDB">
      <w:pPr>
        <w:widowControl w:val="0"/>
        <w:ind w:right="8"/>
        <w:jc w:val="both"/>
        <w:rPr>
          <w:rFonts w:asciiTheme="minorHAnsi" w:hAnsiTheme="minorHAnsi" w:cs="Arial"/>
          <w:sz w:val="22"/>
          <w:szCs w:val="22"/>
        </w:rPr>
      </w:pPr>
    </w:p>
    <w:p w14:paraId="391678B0" w14:textId="77777777" w:rsidR="002627BE" w:rsidRDefault="003619A6" w:rsidP="007E2CDB">
      <w:pPr>
        <w:widowControl w:val="0"/>
        <w:ind w:right="8"/>
        <w:jc w:val="both"/>
        <w:rPr>
          <w:rFonts w:asciiTheme="minorHAnsi" w:hAnsiTheme="minorHAnsi" w:cs="Arial"/>
          <w:sz w:val="22"/>
          <w:szCs w:val="22"/>
        </w:rPr>
      </w:pPr>
      <w:r>
        <w:rPr>
          <w:rFonts w:asciiTheme="minorHAnsi" w:hAnsiTheme="minorHAnsi" w:cs="Arial"/>
          <w:sz w:val="22"/>
          <w:szCs w:val="22"/>
        </w:rPr>
        <w:t xml:space="preserve">Fair value of an asset is price that would be received to sell an asset in an orderly transaction between market participants at the measurement date.  </w:t>
      </w:r>
      <w:r w:rsidR="002627BE">
        <w:rPr>
          <w:rFonts w:asciiTheme="minorHAnsi" w:hAnsiTheme="minorHAnsi" w:cs="Arial"/>
          <w:sz w:val="22"/>
          <w:szCs w:val="22"/>
        </w:rPr>
        <w:t>The fair value measurements of the financial assets are based on the following techniques:</w:t>
      </w:r>
    </w:p>
    <w:p w14:paraId="2E20D5AD" w14:textId="77777777" w:rsidR="002627BE" w:rsidRDefault="002627BE" w:rsidP="007E2CDB">
      <w:pPr>
        <w:widowControl w:val="0"/>
        <w:ind w:right="8"/>
        <w:jc w:val="both"/>
        <w:rPr>
          <w:rFonts w:asciiTheme="minorHAnsi" w:hAnsiTheme="minorHAnsi" w:cs="Arial"/>
          <w:sz w:val="22"/>
          <w:szCs w:val="22"/>
        </w:rPr>
      </w:pPr>
    </w:p>
    <w:p w14:paraId="3CB20A3E" w14:textId="77777777" w:rsidR="002627BE" w:rsidRDefault="002627BE" w:rsidP="00C76AD3">
      <w:pPr>
        <w:pStyle w:val="ListParagraph"/>
        <w:widowControl w:val="0"/>
        <w:numPr>
          <w:ilvl w:val="0"/>
          <w:numId w:val="39"/>
        </w:numPr>
        <w:ind w:right="8"/>
        <w:jc w:val="both"/>
        <w:rPr>
          <w:rFonts w:asciiTheme="minorHAnsi" w:hAnsiTheme="minorHAnsi" w:cs="Arial"/>
          <w:sz w:val="22"/>
          <w:szCs w:val="22"/>
        </w:rPr>
      </w:pPr>
      <w:r>
        <w:rPr>
          <w:rFonts w:asciiTheme="minorHAnsi" w:hAnsiTheme="minorHAnsi" w:cs="Arial"/>
          <w:sz w:val="22"/>
          <w:szCs w:val="22"/>
        </w:rPr>
        <w:t>instruments with quoted market prices – the market price</w:t>
      </w:r>
    </w:p>
    <w:p w14:paraId="153FAF70" w14:textId="77777777" w:rsidR="002627BE" w:rsidRDefault="002627BE" w:rsidP="00C76AD3">
      <w:pPr>
        <w:pStyle w:val="ListParagraph"/>
        <w:widowControl w:val="0"/>
        <w:numPr>
          <w:ilvl w:val="0"/>
          <w:numId w:val="39"/>
        </w:numPr>
        <w:ind w:right="8"/>
        <w:jc w:val="both"/>
        <w:rPr>
          <w:rFonts w:asciiTheme="minorHAnsi" w:hAnsiTheme="minorHAnsi" w:cs="Arial"/>
          <w:sz w:val="22"/>
          <w:szCs w:val="22"/>
        </w:rPr>
      </w:pPr>
      <w:r>
        <w:rPr>
          <w:rFonts w:asciiTheme="minorHAnsi" w:hAnsiTheme="minorHAnsi" w:cs="Arial"/>
          <w:sz w:val="22"/>
          <w:szCs w:val="22"/>
        </w:rPr>
        <w:t>other instruments with fixed and determinable payments – discounted cash flow analysis</w:t>
      </w:r>
    </w:p>
    <w:p w14:paraId="473A1708" w14:textId="77777777" w:rsidR="002627BE" w:rsidRPr="007E2CDB" w:rsidRDefault="002627BE" w:rsidP="007E2CDB">
      <w:pPr>
        <w:widowControl w:val="0"/>
        <w:ind w:right="8"/>
        <w:jc w:val="both"/>
        <w:rPr>
          <w:rFonts w:asciiTheme="minorHAnsi" w:hAnsiTheme="minorHAnsi" w:cs="Arial"/>
          <w:sz w:val="22"/>
          <w:szCs w:val="22"/>
        </w:rPr>
      </w:pPr>
    </w:p>
    <w:p w14:paraId="1A92625A" w14:textId="77777777" w:rsidR="002627BE" w:rsidRDefault="002627BE" w:rsidP="007E2CDB">
      <w:pPr>
        <w:widowControl w:val="0"/>
        <w:ind w:right="8"/>
        <w:jc w:val="both"/>
        <w:rPr>
          <w:rFonts w:asciiTheme="minorHAnsi" w:hAnsiTheme="minorHAnsi" w:cs="Arial"/>
          <w:sz w:val="22"/>
          <w:szCs w:val="22"/>
        </w:rPr>
      </w:pPr>
      <w:r>
        <w:rPr>
          <w:rFonts w:asciiTheme="minorHAnsi" w:hAnsiTheme="minorHAnsi" w:cs="Arial"/>
          <w:sz w:val="22"/>
          <w:szCs w:val="22"/>
        </w:rPr>
        <w:t>The inputs to the measurement techniques are categorised in accordance with the following three levels:</w:t>
      </w:r>
    </w:p>
    <w:p w14:paraId="7CD3E55E" w14:textId="77777777" w:rsidR="002627BE" w:rsidRDefault="002627BE" w:rsidP="007E2CDB">
      <w:pPr>
        <w:widowControl w:val="0"/>
        <w:ind w:right="8"/>
        <w:jc w:val="both"/>
        <w:rPr>
          <w:rFonts w:asciiTheme="minorHAnsi" w:hAnsiTheme="minorHAnsi" w:cs="Arial"/>
          <w:sz w:val="22"/>
          <w:szCs w:val="22"/>
        </w:rPr>
      </w:pPr>
    </w:p>
    <w:p w14:paraId="68133CB5" w14:textId="77777777" w:rsidR="002627BE" w:rsidRDefault="002627BE" w:rsidP="00C76AD3">
      <w:pPr>
        <w:pStyle w:val="ListParagraph"/>
        <w:widowControl w:val="0"/>
        <w:numPr>
          <w:ilvl w:val="0"/>
          <w:numId w:val="40"/>
        </w:numPr>
        <w:ind w:right="8"/>
        <w:jc w:val="both"/>
        <w:rPr>
          <w:rFonts w:asciiTheme="minorHAnsi" w:hAnsiTheme="minorHAnsi" w:cs="Arial"/>
          <w:sz w:val="22"/>
          <w:szCs w:val="22"/>
        </w:rPr>
      </w:pPr>
      <w:r>
        <w:rPr>
          <w:rFonts w:asciiTheme="minorHAnsi" w:hAnsiTheme="minorHAnsi" w:cs="Arial"/>
          <w:sz w:val="22"/>
          <w:szCs w:val="22"/>
        </w:rPr>
        <w:t xml:space="preserve">Level 1 inputs – quoted prices (unadjusted) in active markets for identical assets that the Council can access at the measurement </w:t>
      </w:r>
      <w:proofErr w:type="gramStart"/>
      <w:r>
        <w:rPr>
          <w:rFonts w:asciiTheme="minorHAnsi" w:hAnsiTheme="minorHAnsi" w:cs="Arial"/>
          <w:sz w:val="22"/>
          <w:szCs w:val="22"/>
        </w:rPr>
        <w:t>date</w:t>
      </w:r>
      <w:proofErr w:type="gramEnd"/>
    </w:p>
    <w:p w14:paraId="450CEBCE" w14:textId="77777777" w:rsidR="002627BE" w:rsidRDefault="002627BE" w:rsidP="00C76AD3">
      <w:pPr>
        <w:pStyle w:val="ListParagraph"/>
        <w:widowControl w:val="0"/>
        <w:numPr>
          <w:ilvl w:val="0"/>
          <w:numId w:val="40"/>
        </w:numPr>
        <w:ind w:right="8"/>
        <w:jc w:val="both"/>
        <w:rPr>
          <w:rFonts w:asciiTheme="minorHAnsi" w:hAnsiTheme="minorHAnsi" w:cs="Arial"/>
          <w:sz w:val="22"/>
          <w:szCs w:val="22"/>
        </w:rPr>
      </w:pPr>
      <w:r>
        <w:rPr>
          <w:rFonts w:asciiTheme="minorHAnsi" w:hAnsiTheme="minorHAnsi" w:cs="Arial"/>
          <w:sz w:val="22"/>
          <w:szCs w:val="22"/>
        </w:rPr>
        <w:t>Level 2 inputs – inputs other than quoted prices included within Level 1 that are observable for the asset</w:t>
      </w:r>
      <w:r w:rsidR="00522F27">
        <w:rPr>
          <w:rFonts w:asciiTheme="minorHAnsi" w:hAnsiTheme="minorHAnsi" w:cs="Arial"/>
          <w:sz w:val="22"/>
          <w:szCs w:val="22"/>
        </w:rPr>
        <w:t>, either directly or indirectly</w:t>
      </w:r>
    </w:p>
    <w:p w14:paraId="1BBF27F0" w14:textId="77777777" w:rsidR="00522F27" w:rsidRDefault="00522F27" w:rsidP="00C76AD3">
      <w:pPr>
        <w:pStyle w:val="ListParagraph"/>
        <w:widowControl w:val="0"/>
        <w:numPr>
          <w:ilvl w:val="0"/>
          <w:numId w:val="40"/>
        </w:numPr>
        <w:ind w:right="8"/>
        <w:jc w:val="both"/>
        <w:rPr>
          <w:rFonts w:asciiTheme="minorHAnsi" w:hAnsiTheme="minorHAnsi" w:cs="Arial"/>
          <w:sz w:val="22"/>
          <w:szCs w:val="22"/>
        </w:rPr>
      </w:pPr>
      <w:r>
        <w:rPr>
          <w:rFonts w:asciiTheme="minorHAnsi" w:hAnsiTheme="minorHAnsi" w:cs="Arial"/>
          <w:sz w:val="22"/>
          <w:szCs w:val="22"/>
        </w:rPr>
        <w:t>Level 3 inputs – unobservable inputs for the asset</w:t>
      </w:r>
    </w:p>
    <w:p w14:paraId="0F6BDD76" w14:textId="77777777" w:rsidR="00522F27" w:rsidRDefault="00522F27" w:rsidP="007E2CDB">
      <w:pPr>
        <w:widowControl w:val="0"/>
        <w:ind w:right="8"/>
        <w:jc w:val="both"/>
        <w:rPr>
          <w:rFonts w:asciiTheme="minorHAnsi" w:hAnsiTheme="minorHAnsi" w:cs="Arial"/>
          <w:sz w:val="22"/>
          <w:szCs w:val="22"/>
        </w:rPr>
      </w:pPr>
    </w:p>
    <w:p w14:paraId="381B9EFB" w14:textId="7F5B1ED4" w:rsidR="00522F27" w:rsidRDefault="00522F27" w:rsidP="007E2CDB">
      <w:pPr>
        <w:widowControl w:val="0"/>
        <w:ind w:right="8"/>
        <w:jc w:val="both"/>
        <w:rPr>
          <w:rFonts w:asciiTheme="minorHAnsi" w:hAnsiTheme="minorHAnsi" w:cs="Arial"/>
          <w:sz w:val="22"/>
          <w:szCs w:val="22"/>
        </w:rPr>
      </w:pPr>
      <w:r>
        <w:rPr>
          <w:rFonts w:asciiTheme="minorHAnsi" w:hAnsiTheme="minorHAnsi" w:cs="Arial"/>
          <w:sz w:val="22"/>
          <w:szCs w:val="22"/>
        </w:rPr>
        <w:t>Any gains or losses that arise on the de</w:t>
      </w:r>
      <w:r w:rsidR="00007EC4">
        <w:rPr>
          <w:rFonts w:asciiTheme="minorHAnsi" w:hAnsiTheme="minorHAnsi" w:cs="Arial"/>
          <w:sz w:val="22"/>
          <w:szCs w:val="22"/>
        </w:rPr>
        <w:t>-</w:t>
      </w:r>
      <w:r>
        <w:rPr>
          <w:rFonts w:asciiTheme="minorHAnsi" w:hAnsiTheme="minorHAnsi" w:cs="Arial"/>
          <w:sz w:val="22"/>
          <w:szCs w:val="22"/>
        </w:rPr>
        <w:t>recognition of the asset are credited or debited to the Financing and Investment Income and Expenditure line in the CIES.</w:t>
      </w:r>
    </w:p>
    <w:p w14:paraId="16AED5FB" w14:textId="77777777" w:rsidR="00522F27" w:rsidRDefault="00522F27" w:rsidP="007E2CDB">
      <w:pPr>
        <w:widowControl w:val="0"/>
        <w:ind w:right="8"/>
        <w:jc w:val="both"/>
        <w:rPr>
          <w:rFonts w:asciiTheme="minorHAnsi" w:hAnsiTheme="minorHAnsi" w:cs="Arial"/>
          <w:sz w:val="22"/>
          <w:szCs w:val="22"/>
        </w:rPr>
      </w:pPr>
    </w:p>
    <w:p w14:paraId="72166A5A" w14:textId="772E8049" w:rsidR="00431059" w:rsidRDefault="00522F27" w:rsidP="007E2CDB">
      <w:pPr>
        <w:widowControl w:val="0"/>
        <w:ind w:right="8"/>
        <w:jc w:val="both"/>
        <w:rPr>
          <w:rFonts w:asciiTheme="minorHAnsi" w:hAnsiTheme="minorHAnsi" w:cs="Arial"/>
          <w:sz w:val="22"/>
          <w:szCs w:val="22"/>
        </w:rPr>
      </w:pPr>
      <w:r w:rsidRPr="00FE114E">
        <w:rPr>
          <w:rFonts w:asciiTheme="minorHAnsi" w:hAnsiTheme="minorHAnsi" w:cs="Arial"/>
          <w:sz w:val="22"/>
          <w:szCs w:val="22"/>
        </w:rPr>
        <w:t xml:space="preserve">The Council holds an investment in a property fund which is measured at FVPL using </w:t>
      </w:r>
      <w:r w:rsidR="00C36535">
        <w:rPr>
          <w:rFonts w:asciiTheme="minorHAnsi" w:hAnsiTheme="minorHAnsi" w:cs="Arial"/>
          <w:sz w:val="22"/>
          <w:szCs w:val="22"/>
        </w:rPr>
        <w:t xml:space="preserve">inputs other than </w:t>
      </w:r>
      <w:r w:rsidRPr="00FE114E">
        <w:rPr>
          <w:rFonts w:asciiTheme="minorHAnsi" w:hAnsiTheme="minorHAnsi" w:cs="Arial"/>
          <w:sz w:val="22"/>
          <w:szCs w:val="22"/>
        </w:rPr>
        <w:t>quoted</w:t>
      </w:r>
      <w:r w:rsidR="00C36535">
        <w:rPr>
          <w:rFonts w:asciiTheme="minorHAnsi" w:hAnsiTheme="minorHAnsi" w:cs="Arial"/>
          <w:sz w:val="22"/>
          <w:szCs w:val="22"/>
        </w:rPr>
        <w:t xml:space="preserve"> prices (Level 2</w:t>
      </w:r>
      <w:r w:rsidRPr="00FE114E">
        <w:rPr>
          <w:rFonts w:asciiTheme="minorHAnsi" w:hAnsiTheme="minorHAnsi" w:cs="Arial"/>
          <w:sz w:val="22"/>
          <w:szCs w:val="22"/>
        </w:rPr>
        <w:t xml:space="preserve"> input).  </w:t>
      </w:r>
      <w:r w:rsidR="00431059" w:rsidRPr="00FE114E">
        <w:rPr>
          <w:rFonts w:asciiTheme="minorHAnsi" w:hAnsiTheme="minorHAnsi" w:cs="Arial"/>
          <w:sz w:val="22"/>
          <w:szCs w:val="22"/>
        </w:rPr>
        <w:t>The fund was valued</w:t>
      </w:r>
      <w:r w:rsidR="00B33F9C" w:rsidRPr="00FE114E">
        <w:rPr>
          <w:rFonts w:asciiTheme="minorHAnsi" w:hAnsiTheme="minorHAnsi" w:cs="Arial"/>
          <w:sz w:val="22"/>
          <w:szCs w:val="22"/>
        </w:rPr>
        <w:t xml:space="preserve"> at 31 March 202</w:t>
      </w:r>
      <w:r w:rsidR="00673238">
        <w:rPr>
          <w:rFonts w:asciiTheme="minorHAnsi" w:hAnsiTheme="minorHAnsi" w:cs="Arial"/>
          <w:sz w:val="22"/>
          <w:szCs w:val="22"/>
        </w:rPr>
        <w:t>3</w:t>
      </w:r>
      <w:r w:rsidR="00FE114E" w:rsidRPr="00FE114E">
        <w:rPr>
          <w:rFonts w:asciiTheme="minorHAnsi" w:hAnsiTheme="minorHAnsi" w:cs="Arial"/>
          <w:sz w:val="22"/>
          <w:szCs w:val="22"/>
        </w:rPr>
        <w:t xml:space="preserve">. </w:t>
      </w:r>
      <w:r w:rsidR="00431059" w:rsidRPr="00FE114E">
        <w:rPr>
          <w:rFonts w:asciiTheme="minorHAnsi" w:hAnsiTheme="minorHAnsi" w:cs="Arial"/>
          <w:sz w:val="22"/>
          <w:szCs w:val="22"/>
        </w:rPr>
        <w:t>Given the fact that the asset is currently held at below historic cost the Council did no</w:t>
      </w:r>
      <w:r w:rsidR="00FC7C22" w:rsidRPr="00FE114E">
        <w:rPr>
          <w:rFonts w:asciiTheme="minorHAnsi" w:hAnsiTheme="minorHAnsi" w:cs="Arial"/>
          <w:sz w:val="22"/>
          <w:szCs w:val="22"/>
        </w:rPr>
        <w:t>t feel that any alternative valuation technique could be used</w:t>
      </w:r>
      <w:r w:rsidR="00431059" w:rsidRPr="00FE114E">
        <w:rPr>
          <w:rFonts w:asciiTheme="minorHAnsi" w:hAnsiTheme="minorHAnsi" w:cs="Arial"/>
          <w:sz w:val="22"/>
          <w:szCs w:val="22"/>
        </w:rPr>
        <w:t>.</w:t>
      </w:r>
    </w:p>
    <w:p w14:paraId="4DFC5DFD" w14:textId="77777777" w:rsidR="00274A22" w:rsidRPr="007E2CDB" w:rsidRDefault="00274A22" w:rsidP="007E2CDB">
      <w:pPr>
        <w:widowControl w:val="0"/>
        <w:ind w:right="8"/>
        <w:jc w:val="both"/>
        <w:rPr>
          <w:rFonts w:asciiTheme="minorHAnsi" w:hAnsiTheme="minorHAnsi" w:cs="Arial"/>
          <w:sz w:val="22"/>
          <w:szCs w:val="22"/>
        </w:rPr>
      </w:pPr>
    </w:p>
    <w:p w14:paraId="60FAEF50" w14:textId="77777777" w:rsidR="006F20B8" w:rsidRPr="00B921B9" w:rsidRDefault="006F20B8" w:rsidP="006F20B8">
      <w:pPr>
        <w:widowControl w:val="0"/>
        <w:spacing w:before="180"/>
        <w:jc w:val="both"/>
        <w:rPr>
          <w:rFonts w:asciiTheme="minorHAnsi" w:hAnsiTheme="minorHAnsi" w:cs="Arial"/>
          <w:b/>
          <w:sz w:val="22"/>
          <w:szCs w:val="22"/>
        </w:rPr>
      </w:pPr>
      <w:r w:rsidRPr="00B921B9">
        <w:rPr>
          <w:rFonts w:asciiTheme="minorHAnsi" w:hAnsiTheme="minorHAnsi" w:cs="Arial"/>
          <w:b/>
          <w:sz w:val="22"/>
          <w:szCs w:val="22"/>
        </w:rPr>
        <w:lastRenderedPageBreak/>
        <w:t>Interest</w:t>
      </w:r>
    </w:p>
    <w:p w14:paraId="15BBAA34" w14:textId="77777777" w:rsidR="006F20B8" w:rsidRPr="00B921B9" w:rsidRDefault="006F20B8" w:rsidP="006F20B8">
      <w:pPr>
        <w:widowControl w:val="0"/>
        <w:ind w:hanging="425"/>
        <w:jc w:val="both"/>
        <w:rPr>
          <w:rFonts w:asciiTheme="minorHAnsi" w:hAnsiTheme="minorHAnsi" w:cs="Arial"/>
          <w:sz w:val="22"/>
          <w:szCs w:val="22"/>
        </w:rPr>
      </w:pPr>
      <w:r w:rsidRPr="00B921B9">
        <w:rPr>
          <w:rFonts w:asciiTheme="minorHAnsi" w:hAnsiTheme="minorHAnsi" w:cs="Arial"/>
          <w:sz w:val="22"/>
          <w:szCs w:val="22"/>
        </w:rPr>
        <w:tab/>
      </w:r>
    </w:p>
    <w:p w14:paraId="5B7D5412" w14:textId="16070014" w:rsidR="006F20B8" w:rsidRPr="00B921B9" w:rsidRDefault="006F20B8" w:rsidP="006F20B8">
      <w:pPr>
        <w:widowControl w:val="0"/>
        <w:tabs>
          <w:tab w:val="left" w:pos="426"/>
        </w:tabs>
        <w:spacing w:after="120"/>
        <w:ind w:hanging="426"/>
        <w:jc w:val="both"/>
        <w:rPr>
          <w:rFonts w:asciiTheme="minorHAnsi" w:hAnsiTheme="minorHAnsi" w:cs="Arial"/>
          <w:b/>
          <w:sz w:val="22"/>
          <w:szCs w:val="22"/>
          <w:u w:val="single"/>
        </w:rPr>
      </w:pPr>
      <w:r w:rsidRPr="00B921B9">
        <w:rPr>
          <w:rFonts w:asciiTheme="minorHAnsi" w:hAnsiTheme="minorHAnsi" w:cs="Arial"/>
          <w:sz w:val="22"/>
          <w:szCs w:val="22"/>
        </w:rPr>
        <w:tab/>
        <w:t xml:space="preserve">All external interest received is credited to the General Fund.  The amount credited to the Housing Revenue Account is determined in accordance with the Local Government </w:t>
      </w:r>
      <w:r w:rsidR="00704A70">
        <w:rPr>
          <w:rFonts w:asciiTheme="minorHAnsi" w:hAnsiTheme="minorHAnsi" w:cs="Arial"/>
          <w:sz w:val="22"/>
          <w:szCs w:val="22"/>
        </w:rPr>
        <w:t>and</w:t>
      </w:r>
      <w:r w:rsidRPr="00B921B9">
        <w:rPr>
          <w:rFonts w:asciiTheme="minorHAnsi" w:hAnsiTheme="minorHAnsi" w:cs="Arial"/>
          <w:sz w:val="22"/>
          <w:szCs w:val="22"/>
        </w:rPr>
        <w:t xml:space="preserve"> Housing Act 1989 and is offset against the amount credited to the General Fund.</w:t>
      </w:r>
    </w:p>
    <w:p w14:paraId="720F25CE" w14:textId="77777777" w:rsidR="006F20B8" w:rsidRDefault="006F20B8" w:rsidP="00707761">
      <w:pPr>
        <w:widowControl w:val="0"/>
        <w:tabs>
          <w:tab w:val="left" w:pos="2520"/>
          <w:tab w:val="left" w:pos="7200"/>
          <w:tab w:val="left" w:pos="8460"/>
        </w:tabs>
        <w:rPr>
          <w:rFonts w:ascii="Arial" w:hAnsi="Arial" w:cs="Arial"/>
          <w:b/>
        </w:rPr>
      </w:pPr>
    </w:p>
    <w:p w14:paraId="4A2A45EC" w14:textId="77777777" w:rsidR="00522F27" w:rsidRPr="00FC2D3A" w:rsidRDefault="00522F27" w:rsidP="007E2CDB">
      <w:pPr>
        <w:keepNext/>
        <w:keepLines/>
        <w:tabs>
          <w:tab w:val="left" w:pos="2520"/>
          <w:tab w:val="left" w:pos="7200"/>
          <w:tab w:val="left" w:pos="8460"/>
        </w:tabs>
        <w:rPr>
          <w:rFonts w:asciiTheme="minorHAnsi" w:hAnsiTheme="minorHAnsi" w:cs="Arial"/>
          <w:b/>
          <w:sz w:val="24"/>
          <w:szCs w:val="24"/>
        </w:rPr>
      </w:pPr>
      <w:r w:rsidRPr="00FC2D3A">
        <w:rPr>
          <w:rFonts w:asciiTheme="minorHAnsi" w:hAnsiTheme="minorHAnsi" w:cs="Arial"/>
          <w:b/>
          <w:sz w:val="24"/>
          <w:szCs w:val="24"/>
        </w:rPr>
        <w:t>Categories of financial assets and financial liabilities</w:t>
      </w:r>
    </w:p>
    <w:p w14:paraId="52C952C3" w14:textId="77777777" w:rsidR="00522F27" w:rsidRDefault="00522F27" w:rsidP="007E2CDB">
      <w:pPr>
        <w:keepNext/>
        <w:keepLines/>
        <w:tabs>
          <w:tab w:val="left" w:pos="2520"/>
          <w:tab w:val="left" w:pos="7200"/>
          <w:tab w:val="left" w:pos="8460"/>
        </w:tabs>
        <w:rPr>
          <w:rFonts w:asciiTheme="minorHAnsi" w:hAnsiTheme="minorHAnsi" w:cs="Arial"/>
          <w:sz w:val="22"/>
          <w:szCs w:val="22"/>
        </w:rPr>
      </w:pPr>
    </w:p>
    <w:p w14:paraId="1078EF7D" w14:textId="77777777" w:rsidR="00707761" w:rsidRDefault="00707761" w:rsidP="007E2CDB">
      <w:pPr>
        <w:keepNext/>
        <w:keepLines/>
        <w:tabs>
          <w:tab w:val="left" w:pos="2520"/>
          <w:tab w:val="left" w:pos="7200"/>
          <w:tab w:val="left" w:pos="8460"/>
        </w:tabs>
        <w:rPr>
          <w:rFonts w:asciiTheme="minorHAnsi" w:hAnsiTheme="minorHAnsi" w:cs="Arial"/>
          <w:sz w:val="22"/>
          <w:szCs w:val="22"/>
        </w:rPr>
      </w:pPr>
      <w:r w:rsidRPr="0092051D">
        <w:rPr>
          <w:rFonts w:asciiTheme="minorHAnsi" w:hAnsiTheme="minorHAnsi" w:cs="Arial"/>
          <w:sz w:val="22"/>
          <w:szCs w:val="22"/>
        </w:rPr>
        <w:t>The following categories of financial instrument are carried in the Balance Sheet:</w:t>
      </w:r>
    </w:p>
    <w:p w14:paraId="2A821A0D" w14:textId="77777777" w:rsidR="00FC2D3A" w:rsidRPr="0092051D" w:rsidRDefault="00FC2D3A" w:rsidP="007E2CDB">
      <w:pPr>
        <w:keepNext/>
        <w:keepLines/>
        <w:tabs>
          <w:tab w:val="left" w:pos="2520"/>
          <w:tab w:val="left" w:pos="7200"/>
          <w:tab w:val="left" w:pos="8460"/>
        </w:tabs>
        <w:rPr>
          <w:rFonts w:asciiTheme="minorHAnsi" w:hAnsiTheme="minorHAnsi" w:cs="Arial"/>
          <w:sz w:val="22"/>
          <w:szCs w:val="22"/>
        </w:rPr>
      </w:pPr>
    </w:p>
    <w:tbl>
      <w:tblPr>
        <w:tblW w:w="10221" w:type="dxa"/>
        <w:tblInd w:w="93" w:type="dxa"/>
        <w:tblLook w:val="04A0" w:firstRow="1" w:lastRow="0" w:firstColumn="1" w:lastColumn="0" w:noHBand="0" w:noVBand="1"/>
        <w:tblCaption w:val="Categories of Financial Assets and Financial Liabilities"/>
        <w:tblDescription w:val="Categories of Financial Assets and Financial Liabilities carried in the balance sheet"/>
      </w:tblPr>
      <w:tblGrid>
        <w:gridCol w:w="3980"/>
        <w:gridCol w:w="1564"/>
        <w:gridCol w:w="1559"/>
        <w:gridCol w:w="1559"/>
        <w:gridCol w:w="1559"/>
      </w:tblGrid>
      <w:tr w:rsidR="00EF4EB2" w:rsidRPr="0092051D" w14:paraId="76AC5C14" w14:textId="77777777" w:rsidTr="00F367A2">
        <w:trPr>
          <w:cantSplit/>
          <w:trHeight w:val="300"/>
          <w:tblHeader/>
        </w:trPr>
        <w:tc>
          <w:tcPr>
            <w:tcW w:w="3980" w:type="dxa"/>
            <w:tcBorders>
              <w:top w:val="nil"/>
              <w:left w:val="nil"/>
              <w:bottom w:val="nil"/>
              <w:right w:val="nil"/>
            </w:tcBorders>
            <w:shd w:val="clear" w:color="000000" w:fill="FABF8F"/>
            <w:noWrap/>
            <w:vAlign w:val="center"/>
            <w:hideMark/>
          </w:tcPr>
          <w:p w14:paraId="5C2E1DE4"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 </w:t>
            </w:r>
          </w:p>
        </w:tc>
        <w:tc>
          <w:tcPr>
            <w:tcW w:w="3123" w:type="dxa"/>
            <w:gridSpan w:val="2"/>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703DA45E" w14:textId="77777777" w:rsidR="00EF4EB2" w:rsidRPr="0092051D" w:rsidRDefault="00EF4EB2" w:rsidP="00EF4EB2">
            <w:pPr>
              <w:keepNext/>
              <w:keepLines/>
              <w:jc w:val="center"/>
              <w:rPr>
                <w:rFonts w:ascii="Calibri" w:hAnsi="Calibri"/>
                <w:bCs/>
                <w:color w:val="000000"/>
                <w:lang w:eastAsia="en-GB"/>
              </w:rPr>
            </w:pPr>
            <w:r>
              <w:rPr>
                <w:rFonts w:ascii="Calibri" w:hAnsi="Calibri"/>
                <w:bCs/>
                <w:color w:val="000000"/>
                <w:lang w:eastAsia="en-GB"/>
              </w:rPr>
              <w:t>Non-Current</w:t>
            </w:r>
          </w:p>
        </w:tc>
        <w:tc>
          <w:tcPr>
            <w:tcW w:w="3118" w:type="dxa"/>
            <w:gridSpan w:val="2"/>
            <w:tcBorders>
              <w:top w:val="single" w:sz="4" w:space="0" w:color="FFFFFF"/>
              <w:left w:val="nil"/>
              <w:bottom w:val="single" w:sz="4" w:space="0" w:color="FFFFFF"/>
              <w:right w:val="single" w:sz="4" w:space="0" w:color="FFFFFF"/>
            </w:tcBorders>
            <w:shd w:val="clear" w:color="000000" w:fill="FABF8F"/>
            <w:noWrap/>
            <w:vAlign w:val="center"/>
            <w:hideMark/>
          </w:tcPr>
          <w:p w14:paraId="07D7A39C" w14:textId="77777777" w:rsidR="00EF4EB2" w:rsidRPr="0092051D" w:rsidRDefault="00EF4EB2" w:rsidP="00EF4EB2">
            <w:pPr>
              <w:keepNext/>
              <w:keepLines/>
              <w:jc w:val="center"/>
              <w:rPr>
                <w:rFonts w:ascii="Calibri" w:hAnsi="Calibri"/>
                <w:bCs/>
                <w:color w:val="000000"/>
                <w:lang w:eastAsia="en-GB"/>
              </w:rPr>
            </w:pPr>
            <w:r w:rsidRPr="0092051D">
              <w:rPr>
                <w:rFonts w:ascii="Calibri" w:hAnsi="Calibri"/>
                <w:bCs/>
                <w:color w:val="000000"/>
                <w:lang w:eastAsia="en-GB"/>
              </w:rPr>
              <w:t>Current</w:t>
            </w:r>
          </w:p>
        </w:tc>
      </w:tr>
      <w:tr w:rsidR="00EF4EB2" w:rsidRPr="0092051D" w14:paraId="3AC4E1DD" w14:textId="77777777" w:rsidTr="00EF4EB2">
        <w:trPr>
          <w:trHeight w:val="300"/>
        </w:trPr>
        <w:tc>
          <w:tcPr>
            <w:tcW w:w="3980" w:type="dxa"/>
            <w:tcBorders>
              <w:top w:val="nil"/>
              <w:left w:val="nil"/>
              <w:bottom w:val="nil"/>
              <w:right w:val="single" w:sz="4" w:space="0" w:color="FFFFFF"/>
            </w:tcBorders>
            <w:shd w:val="clear" w:color="000000" w:fill="FABF8F"/>
            <w:noWrap/>
            <w:vAlign w:val="center"/>
            <w:hideMark/>
          </w:tcPr>
          <w:p w14:paraId="4D556540"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 </w:t>
            </w:r>
          </w:p>
        </w:tc>
        <w:tc>
          <w:tcPr>
            <w:tcW w:w="1564" w:type="dxa"/>
            <w:tcBorders>
              <w:top w:val="nil"/>
              <w:left w:val="nil"/>
              <w:bottom w:val="single" w:sz="4" w:space="0" w:color="FFFFFF"/>
              <w:right w:val="single" w:sz="4" w:space="0" w:color="FFFFFF"/>
            </w:tcBorders>
            <w:shd w:val="clear" w:color="000000" w:fill="FABF8F"/>
            <w:vAlign w:val="center"/>
            <w:hideMark/>
          </w:tcPr>
          <w:p w14:paraId="601A16FF" w14:textId="0D39439A" w:rsidR="00EF4EB2" w:rsidRPr="0092051D" w:rsidRDefault="00EF4EB2" w:rsidP="00C62A3D">
            <w:pPr>
              <w:keepNext/>
              <w:keepLines/>
              <w:jc w:val="right"/>
              <w:rPr>
                <w:rFonts w:ascii="Calibri" w:hAnsi="Calibri"/>
                <w:bCs/>
                <w:color w:val="000000"/>
                <w:lang w:eastAsia="en-GB"/>
              </w:rPr>
            </w:pPr>
            <w:r w:rsidRPr="0092051D">
              <w:rPr>
                <w:rFonts w:ascii="Calibri" w:hAnsi="Calibri"/>
                <w:bCs/>
                <w:color w:val="000000"/>
                <w:lang w:eastAsia="en-GB"/>
              </w:rPr>
              <w:t>31 March 20</w:t>
            </w:r>
            <w:r w:rsidR="00C62A3D">
              <w:rPr>
                <w:rFonts w:ascii="Calibri" w:hAnsi="Calibri"/>
                <w:bCs/>
                <w:color w:val="000000"/>
                <w:lang w:eastAsia="en-GB"/>
              </w:rPr>
              <w:t>2</w:t>
            </w:r>
            <w:r w:rsidR="00673238">
              <w:rPr>
                <w:rFonts w:ascii="Calibri" w:hAnsi="Calibri"/>
                <w:bCs/>
                <w:color w:val="000000"/>
                <w:lang w:eastAsia="en-GB"/>
              </w:rPr>
              <w:t>2</w:t>
            </w:r>
          </w:p>
        </w:tc>
        <w:tc>
          <w:tcPr>
            <w:tcW w:w="1559" w:type="dxa"/>
            <w:tcBorders>
              <w:top w:val="nil"/>
              <w:left w:val="nil"/>
              <w:bottom w:val="single" w:sz="4" w:space="0" w:color="FFFFFF"/>
              <w:right w:val="single" w:sz="4" w:space="0" w:color="FFFFFF"/>
            </w:tcBorders>
            <w:shd w:val="clear" w:color="000000" w:fill="FABF8F"/>
            <w:vAlign w:val="center"/>
            <w:hideMark/>
          </w:tcPr>
          <w:p w14:paraId="63F1312A" w14:textId="6D017C2B" w:rsidR="00EF4EB2" w:rsidRPr="0092051D" w:rsidRDefault="00EF4EB2" w:rsidP="00C62A3D">
            <w:pPr>
              <w:keepNext/>
              <w:keepLines/>
              <w:jc w:val="right"/>
              <w:rPr>
                <w:rFonts w:ascii="Calibri" w:hAnsi="Calibri"/>
                <w:bCs/>
                <w:color w:val="000000"/>
                <w:lang w:eastAsia="en-GB"/>
              </w:rPr>
            </w:pPr>
            <w:r>
              <w:rPr>
                <w:rFonts w:ascii="Calibri" w:hAnsi="Calibri"/>
                <w:bCs/>
                <w:color w:val="000000"/>
                <w:lang w:eastAsia="en-GB"/>
              </w:rPr>
              <w:t>31 March 202</w:t>
            </w:r>
            <w:r w:rsidR="00673238">
              <w:rPr>
                <w:rFonts w:ascii="Calibri" w:hAnsi="Calibri"/>
                <w:bCs/>
                <w:color w:val="000000"/>
                <w:lang w:eastAsia="en-GB"/>
              </w:rPr>
              <w:t>3</w:t>
            </w:r>
          </w:p>
        </w:tc>
        <w:tc>
          <w:tcPr>
            <w:tcW w:w="1559" w:type="dxa"/>
            <w:tcBorders>
              <w:top w:val="nil"/>
              <w:left w:val="nil"/>
              <w:bottom w:val="single" w:sz="4" w:space="0" w:color="FFFFFF"/>
              <w:right w:val="single" w:sz="4" w:space="0" w:color="FFFFFF"/>
            </w:tcBorders>
            <w:shd w:val="clear" w:color="000000" w:fill="FABF8F"/>
            <w:vAlign w:val="center"/>
            <w:hideMark/>
          </w:tcPr>
          <w:p w14:paraId="36F8141D" w14:textId="0723348B" w:rsidR="00EF4EB2" w:rsidRPr="0092051D" w:rsidRDefault="00EF4EB2" w:rsidP="00C62A3D">
            <w:pPr>
              <w:keepNext/>
              <w:keepLines/>
              <w:jc w:val="right"/>
              <w:rPr>
                <w:rFonts w:ascii="Calibri" w:hAnsi="Calibri"/>
                <w:bCs/>
                <w:color w:val="000000"/>
                <w:lang w:eastAsia="en-GB"/>
              </w:rPr>
            </w:pPr>
            <w:r w:rsidRPr="0092051D">
              <w:rPr>
                <w:rFonts w:ascii="Calibri" w:hAnsi="Calibri"/>
                <w:bCs/>
                <w:color w:val="000000"/>
                <w:lang w:eastAsia="en-GB"/>
              </w:rPr>
              <w:t>31 March 20</w:t>
            </w:r>
            <w:r w:rsidR="00C62A3D">
              <w:rPr>
                <w:rFonts w:ascii="Calibri" w:hAnsi="Calibri"/>
                <w:bCs/>
                <w:color w:val="000000"/>
                <w:lang w:eastAsia="en-GB"/>
              </w:rPr>
              <w:t>2</w:t>
            </w:r>
            <w:r w:rsidR="00673238">
              <w:rPr>
                <w:rFonts w:ascii="Calibri" w:hAnsi="Calibri"/>
                <w:bCs/>
                <w:color w:val="000000"/>
                <w:lang w:eastAsia="en-GB"/>
              </w:rPr>
              <w:t>2</w:t>
            </w:r>
          </w:p>
        </w:tc>
        <w:tc>
          <w:tcPr>
            <w:tcW w:w="1559" w:type="dxa"/>
            <w:tcBorders>
              <w:top w:val="nil"/>
              <w:left w:val="nil"/>
              <w:bottom w:val="single" w:sz="4" w:space="0" w:color="FFFFFF"/>
              <w:right w:val="single" w:sz="4" w:space="0" w:color="FFFFFF"/>
            </w:tcBorders>
            <w:shd w:val="clear" w:color="000000" w:fill="FABF8F"/>
            <w:vAlign w:val="center"/>
            <w:hideMark/>
          </w:tcPr>
          <w:p w14:paraId="6628800A" w14:textId="54890018" w:rsidR="00EF4EB2" w:rsidRPr="0092051D" w:rsidRDefault="00EF4EB2" w:rsidP="00C62A3D">
            <w:pPr>
              <w:keepNext/>
              <w:keepLines/>
              <w:jc w:val="right"/>
              <w:rPr>
                <w:rFonts w:ascii="Calibri" w:hAnsi="Calibri"/>
                <w:bCs/>
                <w:color w:val="000000"/>
                <w:lang w:eastAsia="en-GB"/>
              </w:rPr>
            </w:pPr>
            <w:r>
              <w:rPr>
                <w:rFonts w:ascii="Calibri" w:hAnsi="Calibri"/>
                <w:bCs/>
                <w:color w:val="000000"/>
                <w:lang w:eastAsia="en-GB"/>
              </w:rPr>
              <w:t>31 March 202</w:t>
            </w:r>
            <w:r w:rsidR="00673238">
              <w:rPr>
                <w:rFonts w:ascii="Calibri" w:hAnsi="Calibri"/>
                <w:bCs/>
                <w:color w:val="000000"/>
                <w:lang w:eastAsia="en-GB"/>
              </w:rPr>
              <w:t>3</w:t>
            </w:r>
          </w:p>
        </w:tc>
      </w:tr>
      <w:tr w:rsidR="00EF4EB2" w:rsidRPr="0092051D" w14:paraId="1AAFA683" w14:textId="77777777" w:rsidTr="00EF4EB2">
        <w:trPr>
          <w:trHeight w:val="300"/>
        </w:trPr>
        <w:tc>
          <w:tcPr>
            <w:tcW w:w="3980" w:type="dxa"/>
            <w:tcBorders>
              <w:top w:val="nil"/>
              <w:left w:val="nil"/>
              <w:bottom w:val="single" w:sz="4" w:space="0" w:color="FFFFFF"/>
              <w:right w:val="single" w:sz="4" w:space="0" w:color="FFFFFF"/>
            </w:tcBorders>
            <w:shd w:val="clear" w:color="000000" w:fill="FABF8F"/>
            <w:noWrap/>
            <w:vAlign w:val="center"/>
            <w:hideMark/>
          </w:tcPr>
          <w:p w14:paraId="2E19BA25"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 </w:t>
            </w:r>
          </w:p>
        </w:tc>
        <w:tc>
          <w:tcPr>
            <w:tcW w:w="1564" w:type="dxa"/>
            <w:tcBorders>
              <w:top w:val="nil"/>
              <w:left w:val="nil"/>
              <w:bottom w:val="single" w:sz="4" w:space="0" w:color="FFFFFF"/>
              <w:right w:val="single" w:sz="4" w:space="0" w:color="FFFFFF"/>
            </w:tcBorders>
            <w:shd w:val="clear" w:color="000000" w:fill="FABF8F"/>
            <w:noWrap/>
            <w:vAlign w:val="center"/>
            <w:hideMark/>
          </w:tcPr>
          <w:p w14:paraId="2C06F5A2" w14:textId="77777777" w:rsidR="00EF4EB2" w:rsidRPr="0092051D" w:rsidRDefault="00EF4EB2" w:rsidP="00EF4EB2">
            <w:pPr>
              <w:keepNext/>
              <w:keepLines/>
              <w:jc w:val="right"/>
              <w:rPr>
                <w:rFonts w:ascii="Calibri" w:hAnsi="Calibri"/>
                <w:bCs/>
                <w:color w:val="000000"/>
                <w:lang w:eastAsia="en-GB"/>
              </w:rPr>
            </w:pPr>
            <w:r w:rsidRPr="0092051D">
              <w:rPr>
                <w:rFonts w:ascii="Calibri" w:hAnsi="Calibri"/>
                <w:bCs/>
                <w:color w:val="000000"/>
                <w:lang w:eastAsia="en-GB"/>
              </w:rPr>
              <w:t>£’000</w:t>
            </w:r>
          </w:p>
        </w:tc>
        <w:tc>
          <w:tcPr>
            <w:tcW w:w="1559" w:type="dxa"/>
            <w:tcBorders>
              <w:top w:val="nil"/>
              <w:left w:val="nil"/>
              <w:bottom w:val="single" w:sz="4" w:space="0" w:color="FFFFFF"/>
              <w:right w:val="single" w:sz="4" w:space="0" w:color="FFFFFF"/>
            </w:tcBorders>
            <w:shd w:val="clear" w:color="000000" w:fill="FABF8F"/>
            <w:noWrap/>
            <w:vAlign w:val="center"/>
            <w:hideMark/>
          </w:tcPr>
          <w:p w14:paraId="220A19AD" w14:textId="77777777" w:rsidR="00EF4EB2" w:rsidRPr="0092051D" w:rsidRDefault="00EF4EB2" w:rsidP="00EF4EB2">
            <w:pPr>
              <w:keepNext/>
              <w:keepLines/>
              <w:jc w:val="right"/>
              <w:rPr>
                <w:rFonts w:ascii="Calibri" w:hAnsi="Calibri"/>
                <w:bCs/>
                <w:color w:val="000000"/>
                <w:lang w:eastAsia="en-GB"/>
              </w:rPr>
            </w:pPr>
            <w:r w:rsidRPr="0092051D">
              <w:rPr>
                <w:rFonts w:ascii="Calibri" w:hAnsi="Calibri"/>
                <w:bCs/>
                <w:color w:val="000000"/>
                <w:lang w:eastAsia="en-GB"/>
              </w:rPr>
              <w:t>£’000</w:t>
            </w:r>
          </w:p>
        </w:tc>
        <w:tc>
          <w:tcPr>
            <w:tcW w:w="1559" w:type="dxa"/>
            <w:tcBorders>
              <w:top w:val="nil"/>
              <w:left w:val="nil"/>
              <w:bottom w:val="single" w:sz="4" w:space="0" w:color="FFFFFF"/>
              <w:right w:val="single" w:sz="4" w:space="0" w:color="FFFFFF"/>
            </w:tcBorders>
            <w:shd w:val="clear" w:color="000000" w:fill="FABF8F"/>
            <w:noWrap/>
            <w:vAlign w:val="center"/>
            <w:hideMark/>
          </w:tcPr>
          <w:p w14:paraId="7887C2CF" w14:textId="77777777" w:rsidR="00EF4EB2" w:rsidRPr="0092051D" w:rsidRDefault="00EF4EB2" w:rsidP="00EF4EB2">
            <w:pPr>
              <w:keepNext/>
              <w:keepLines/>
              <w:jc w:val="right"/>
              <w:rPr>
                <w:rFonts w:ascii="Calibri" w:hAnsi="Calibri"/>
                <w:bCs/>
                <w:color w:val="000000"/>
                <w:lang w:eastAsia="en-GB"/>
              </w:rPr>
            </w:pPr>
            <w:r w:rsidRPr="0092051D">
              <w:rPr>
                <w:rFonts w:ascii="Calibri" w:hAnsi="Calibri"/>
                <w:bCs/>
                <w:color w:val="000000"/>
                <w:lang w:eastAsia="en-GB"/>
              </w:rPr>
              <w:t>£’000</w:t>
            </w:r>
          </w:p>
        </w:tc>
        <w:tc>
          <w:tcPr>
            <w:tcW w:w="1559" w:type="dxa"/>
            <w:tcBorders>
              <w:top w:val="nil"/>
              <w:left w:val="nil"/>
              <w:bottom w:val="single" w:sz="4" w:space="0" w:color="FFFFFF"/>
              <w:right w:val="single" w:sz="4" w:space="0" w:color="FFFFFF"/>
            </w:tcBorders>
            <w:shd w:val="clear" w:color="000000" w:fill="FABF8F"/>
            <w:noWrap/>
            <w:vAlign w:val="center"/>
            <w:hideMark/>
          </w:tcPr>
          <w:p w14:paraId="0B496B8D" w14:textId="77777777" w:rsidR="00EF4EB2" w:rsidRPr="0092051D" w:rsidRDefault="00EF4EB2" w:rsidP="00EF4EB2">
            <w:pPr>
              <w:keepNext/>
              <w:keepLines/>
              <w:jc w:val="right"/>
              <w:rPr>
                <w:rFonts w:ascii="Calibri" w:hAnsi="Calibri"/>
                <w:bCs/>
                <w:color w:val="000000"/>
                <w:lang w:eastAsia="en-GB"/>
              </w:rPr>
            </w:pPr>
            <w:r w:rsidRPr="0092051D">
              <w:rPr>
                <w:rFonts w:ascii="Calibri" w:hAnsi="Calibri"/>
                <w:bCs/>
                <w:color w:val="000000"/>
                <w:lang w:eastAsia="en-GB"/>
              </w:rPr>
              <w:t>£’000</w:t>
            </w:r>
          </w:p>
        </w:tc>
      </w:tr>
      <w:tr w:rsidR="00EF4EB2" w:rsidRPr="0092051D" w14:paraId="6AB7E98A" w14:textId="77777777" w:rsidTr="00EF4EB2">
        <w:trPr>
          <w:trHeight w:val="300"/>
        </w:trPr>
        <w:tc>
          <w:tcPr>
            <w:tcW w:w="3980" w:type="dxa"/>
            <w:tcBorders>
              <w:top w:val="nil"/>
              <w:left w:val="nil"/>
              <w:bottom w:val="nil"/>
              <w:right w:val="nil"/>
            </w:tcBorders>
            <w:shd w:val="clear" w:color="000000" w:fill="FDE9D9"/>
            <w:noWrap/>
            <w:vAlign w:val="center"/>
            <w:hideMark/>
          </w:tcPr>
          <w:p w14:paraId="5F93C275"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Investments</w:t>
            </w:r>
          </w:p>
        </w:tc>
        <w:tc>
          <w:tcPr>
            <w:tcW w:w="1564" w:type="dxa"/>
            <w:tcBorders>
              <w:top w:val="nil"/>
              <w:left w:val="nil"/>
              <w:bottom w:val="nil"/>
              <w:right w:val="nil"/>
            </w:tcBorders>
            <w:shd w:val="clear" w:color="000000" w:fill="FDE9D9"/>
            <w:noWrap/>
            <w:vAlign w:val="center"/>
            <w:hideMark/>
          </w:tcPr>
          <w:p w14:paraId="4297FEA9"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hideMark/>
          </w:tcPr>
          <w:p w14:paraId="5C117268"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hideMark/>
          </w:tcPr>
          <w:p w14:paraId="245EF7E5"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hideMark/>
          </w:tcPr>
          <w:p w14:paraId="6A58C62F"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r>
      <w:tr w:rsidR="00EF4EB2" w:rsidRPr="0092051D" w14:paraId="31316FBF" w14:textId="77777777" w:rsidTr="00EF4EB2">
        <w:trPr>
          <w:trHeight w:val="300"/>
        </w:trPr>
        <w:tc>
          <w:tcPr>
            <w:tcW w:w="39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2C8745A0"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At Amortised Cost</w:t>
            </w:r>
          </w:p>
        </w:tc>
        <w:tc>
          <w:tcPr>
            <w:tcW w:w="1564" w:type="dxa"/>
            <w:tcBorders>
              <w:top w:val="single" w:sz="4" w:space="0" w:color="FFFFFF"/>
              <w:left w:val="nil"/>
              <w:bottom w:val="single" w:sz="4" w:space="0" w:color="FFFFFF"/>
              <w:right w:val="single" w:sz="4" w:space="0" w:color="FFFFFF"/>
            </w:tcBorders>
            <w:shd w:val="clear" w:color="000000" w:fill="FDE9D9"/>
            <w:noWrap/>
            <w:vAlign w:val="center"/>
            <w:hideMark/>
          </w:tcPr>
          <w:p w14:paraId="5C86D394" w14:textId="77777777" w:rsidR="00EF4EB2" w:rsidRPr="0092051D" w:rsidRDefault="00EF4EB2" w:rsidP="00EF4EB2">
            <w:pPr>
              <w:keepNext/>
              <w:keepLines/>
              <w:jc w:val="right"/>
              <w:rPr>
                <w:rFonts w:ascii="Calibri" w:hAnsi="Calibri"/>
                <w:color w:val="000000"/>
                <w:lang w:eastAsia="en-GB"/>
              </w:rPr>
            </w:pPr>
            <w:r w:rsidRPr="0092051D">
              <w:rPr>
                <w:rFonts w:ascii="Calibri" w:hAnsi="Calibri"/>
                <w:color w:val="000000"/>
                <w:lang w:eastAsia="en-GB"/>
              </w:rPr>
              <w:t>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3B6FC768" w14:textId="6EF2F559" w:rsidR="00EF4EB2" w:rsidRPr="0092051D" w:rsidRDefault="008E16A8" w:rsidP="00EF4EB2">
            <w:pPr>
              <w:keepNext/>
              <w:keepLines/>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hideMark/>
          </w:tcPr>
          <w:p w14:paraId="4A41B72C" w14:textId="4B27D803" w:rsidR="00EF4EB2" w:rsidRPr="0092051D" w:rsidRDefault="00673238" w:rsidP="00C62A3D">
            <w:pPr>
              <w:keepNext/>
              <w:keepLines/>
              <w:jc w:val="right"/>
              <w:rPr>
                <w:rFonts w:ascii="Calibri" w:hAnsi="Calibri"/>
                <w:color w:val="000000"/>
                <w:lang w:eastAsia="en-GB"/>
              </w:rPr>
            </w:pPr>
            <w:r>
              <w:rPr>
                <w:rFonts w:ascii="Calibri" w:hAnsi="Calibri"/>
                <w:color w:val="000000"/>
                <w:lang w:eastAsia="en-GB"/>
              </w:rPr>
              <w:t>24</w:t>
            </w:r>
            <w:r w:rsidR="00EF4EB2">
              <w:rPr>
                <w:rFonts w:ascii="Calibri" w:hAnsi="Calibri"/>
                <w:color w:val="000000"/>
                <w:lang w:eastAsia="en-GB"/>
              </w:rPr>
              <w:t>,</w:t>
            </w:r>
            <w:r>
              <w:rPr>
                <w:rFonts w:ascii="Calibri" w:hAnsi="Calibri"/>
                <w:color w:val="000000"/>
                <w:lang w:eastAsia="en-GB"/>
              </w:rPr>
              <w:t>500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561CFD62" w14:textId="702058E9" w:rsidR="00EF4EB2" w:rsidRPr="0092051D" w:rsidRDefault="005C16BA" w:rsidP="00EF4EB2">
            <w:pPr>
              <w:keepNext/>
              <w:keepLines/>
              <w:jc w:val="right"/>
              <w:rPr>
                <w:rFonts w:ascii="Calibri" w:hAnsi="Calibri"/>
                <w:color w:val="000000"/>
                <w:lang w:eastAsia="en-GB"/>
              </w:rPr>
            </w:pPr>
            <w:r>
              <w:rPr>
                <w:rFonts w:ascii="Calibri" w:hAnsi="Calibri"/>
                <w:color w:val="000000"/>
                <w:lang w:eastAsia="en-GB"/>
              </w:rPr>
              <w:t>17,620</w:t>
            </w:r>
          </w:p>
        </w:tc>
      </w:tr>
      <w:tr w:rsidR="00EF4EB2" w:rsidRPr="0092051D" w14:paraId="586CFFB8"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DE9D9"/>
            <w:noWrap/>
            <w:vAlign w:val="center"/>
            <w:hideMark/>
          </w:tcPr>
          <w:p w14:paraId="5098AF61"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 xml:space="preserve">At </w:t>
            </w:r>
            <w:proofErr w:type="gramStart"/>
            <w:r>
              <w:rPr>
                <w:rFonts w:ascii="Calibri" w:hAnsi="Calibri"/>
                <w:color w:val="000000"/>
                <w:lang w:eastAsia="en-GB"/>
              </w:rPr>
              <w:t>Fair  Value</w:t>
            </w:r>
            <w:proofErr w:type="gramEnd"/>
            <w:r>
              <w:rPr>
                <w:rFonts w:ascii="Calibri" w:hAnsi="Calibri"/>
                <w:color w:val="000000"/>
                <w:lang w:eastAsia="en-GB"/>
              </w:rPr>
              <w:t xml:space="preserve"> through profit and loss</w:t>
            </w:r>
          </w:p>
        </w:tc>
        <w:tc>
          <w:tcPr>
            <w:tcW w:w="1564" w:type="dxa"/>
            <w:tcBorders>
              <w:top w:val="nil"/>
              <w:left w:val="nil"/>
              <w:bottom w:val="single" w:sz="4" w:space="0" w:color="FFFFFF"/>
              <w:right w:val="single" w:sz="4" w:space="0" w:color="FFFFFF"/>
            </w:tcBorders>
            <w:shd w:val="clear" w:color="000000" w:fill="FDE9D9"/>
            <w:noWrap/>
            <w:vAlign w:val="center"/>
            <w:hideMark/>
          </w:tcPr>
          <w:p w14:paraId="0C8CF089" w14:textId="067C62BA" w:rsidR="00EF4EB2" w:rsidRPr="0092051D" w:rsidRDefault="00673238" w:rsidP="00C62A3D">
            <w:pPr>
              <w:keepNext/>
              <w:keepLines/>
              <w:jc w:val="right"/>
              <w:rPr>
                <w:rFonts w:ascii="Calibri" w:hAnsi="Calibri"/>
                <w:color w:val="000000"/>
                <w:lang w:eastAsia="en-GB"/>
              </w:rPr>
            </w:pPr>
            <w:r>
              <w:rPr>
                <w:rFonts w:ascii="Calibri" w:hAnsi="Calibri"/>
                <w:color w:val="000000"/>
                <w:lang w:eastAsia="en-GB"/>
              </w:rPr>
              <w:t>2</w:t>
            </w:r>
            <w:r w:rsidR="00EF4EB2">
              <w:rPr>
                <w:rFonts w:ascii="Calibri" w:hAnsi="Calibri"/>
                <w:color w:val="000000"/>
                <w:lang w:eastAsia="en-GB"/>
              </w:rPr>
              <w:t>,</w:t>
            </w:r>
            <w:r>
              <w:rPr>
                <w:rFonts w:ascii="Calibri" w:hAnsi="Calibri"/>
                <w:color w:val="000000"/>
                <w:lang w:eastAsia="en-GB"/>
              </w:rPr>
              <w:t>212</w:t>
            </w:r>
          </w:p>
        </w:tc>
        <w:tc>
          <w:tcPr>
            <w:tcW w:w="1559" w:type="dxa"/>
            <w:tcBorders>
              <w:top w:val="nil"/>
              <w:left w:val="nil"/>
              <w:bottom w:val="single" w:sz="4" w:space="0" w:color="FFFFFF"/>
              <w:right w:val="single" w:sz="4" w:space="0" w:color="FFFFFF"/>
            </w:tcBorders>
            <w:shd w:val="clear" w:color="000000" w:fill="FDE9D9"/>
            <w:noWrap/>
            <w:vAlign w:val="center"/>
          </w:tcPr>
          <w:p w14:paraId="15F47883" w14:textId="757C6558" w:rsidR="00EF4EB2" w:rsidRPr="0092051D" w:rsidRDefault="005C16BA" w:rsidP="00A43D07">
            <w:pPr>
              <w:keepNext/>
              <w:keepLines/>
              <w:jc w:val="right"/>
              <w:rPr>
                <w:rFonts w:ascii="Calibri" w:hAnsi="Calibri"/>
                <w:color w:val="000000"/>
                <w:lang w:eastAsia="en-GB"/>
              </w:rPr>
            </w:pPr>
            <w:r>
              <w:rPr>
                <w:rFonts w:ascii="Calibri" w:hAnsi="Calibri"/>
                <w:color w:val="000000"/>
                <w:lang w:eastAsia="en-GB"/>
              </w:rPr>
              <w:t>1,848</w:t>
            </w:r>
          </w:p>
        </w:tc>
        <w:tc>
          <w:tcPr>
            <w:tcW w:w="1559" w:type="dxa"/>
            <w:tcBorders>
              <w:top w:val="nil"/>
              <w:left w:val="nil"/>
              <w:bottom w:val="single" w:sz="4" w:space="0" w:color="FFFFFF"/>
              <w:right w:val="single" w:sz="4" w:space="0" w:color="FFFFFF"/>
            </w:tcBorders>
            <w:shd w:val="clear" w:color="000000" w:fill="FDE9D9"/>
            <w:noWrap/>
            <w:vAlign w:val="center"/>
            <w:hideMark/>
          </w:tcPr>
          <w:p w14:paraId="5EBFEAAB" w14:textId="77777777" w:rsidR="00EF4EB2" w:rsidRPr="0092051D" w:rsidRDefault="00EF4EB2" w:rsidP="00EF4EB2">
            <w:pPr>
              <w:keepNext/>
              <w:keepLines/>
              <w:jc w:val="right"/>
              <w:rPr>
                <w:rFonts w:ascii="Calibri" w:hAnsi="Calibri"/>
                <w:color w:val="000000"/>
                <w:lang w:eastAsia="en-GB"/>
              </w:rPr>
            </w:pPr>
            <w:r w:rsidRPr="0092051D">
              <w:rPr>
                <w:rFonts w:ascii="Calibri" w:hAnsi="Calibri"/>
                <w:color w:val="000000"/>
                <w:lang w:eastAsia="en-GB"/>
              </w:rPr>
              <w:t>0</w:t>
            </w:r>
          </w:p>
        </w:tc>
        <w:tc>
          <w:tcPr>
            <w:tcW w:w="1559" w:type="dxa"/>
            <w:tcBorders>
              <w:top w:val="nil"/>
              <w:left w:val="nil"/>
              <w:bottom w:val="single" w:sz="4" w:space="0" w:color="FFFFFF"/>
              <w:right w:val="single" w:sz="4" w:space="0" w:color="FFFFFF"/>
            </w:tcBorders>
            <w:shd w:val="clear" w:color="000000" w:fill="FDE9D9"/>
            <w:noWrap/>
            <w:vAlign w:val="center"/>
          </w:tcPr>
          <w:p w14:paraId="039A7AFD" w14:textId="23FFCEFE" w:rsidR="00EF4EB2" w:rsidRPr="0092051D" w:rsidRDefault="005C16BA" w:rsidP="00EF4EB2">
            <w:pPr>
              <w:keepNext/>
              <w:keepLines/>
              <w:jc w:val="right"/>
              <w:rPr>
                <w:rFonts w:ascii="Calibri" w:hAnsi="Calibri"/>
                <w:color w:val="000000"/>
                <w:lang w:eastAsia="en-GB"/>
              </w:rPr>
            </w:pPr>
            <w:r>
              <w:rPr>
                <w:rFonts w:ascii="Calibri" w:hAnsi="Calibri"/>
                <w:color w:val="000000"/>
                <w:lang w:eastAsia="en-GB"/>
              </w:rPr>
              <w:t>0</w:t>
            </w:r>
          </w:p>
        </w:tc>
      </w:tr>
      <w:tr w:rsidR="00EF4EB2" w:rsidRPr="0092051D" w14:paraId="63145A74"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CD5B4"/>
            <w:noWrap/>
            <w:vAlign w:val="center"/>
            <w:hideMark/>
          </w:tcPr>
          <w:p w14:paraId="689B1E71"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Total Investments</w:t>
            </w:r>
          </w:p>
        </w:tc>
        <w:tc>
          <w:tcPr>
            <w:tcW w:w="1564" w:type="dxa"/>
            <w:tcBorders>
              <w:top w:val="nil"/>
              <w:left w:val="nil"/>
              <w:bottom w:val="single" w:sz="4" w:space="0" w:color="FFFFFF"/>
              <w:right w:val="single" w:sz="4" w:space="0" w:color="FFFFFF"/>
            </w:tcBorders>
            <w:shd w:val="clear" w:color="000000" w:fill="FCD5B4"/>
            <w:noWrap/>
            <w:vAlign w:val="center"/>
            <w:hideMark/>
          </w:tcPr>
          <w:p w14:paraId="21EBC4C5" w14:textId="37B285F1" w:rsidR="00EF4EB2" w:rsidRPr="0092051D" w:rsidRDefault="00673238" w:rsidP="00EF4EB2">
            <w:pPr>
              <w:keepNext/>
              <w:keepLines/>
              <w:jc w:val="right"/>
              <w:rPr>
                <w:rFonts w:ascii="Calibri" w:hAnsi="Calibri"/>
                <w:b/>
                <w:bCs/>
                <w:color w:val="000000"/>
                <w:lang w:eastAsia="en-GB"/>
              </w:rPr>
            </w:pPr>
            <w:r>
              <w:rPr>
                <w:rFonts w:ascii="Calibri" w:hAnsi="Calibri"/>
                <w:b/>
                <w:bCs/>
                <w:color w:val="000000"/>
                <w:lang w:eastAsia="en-GB"/>
              </w:rPr>
              <w:t>2,212</w:t>
            </w:r>
          </w:p>
        </w:tc>
        <w:tc>
          <w:tcPr>
            <w:tcW w:w="1559" w:type="dxa"/>
            <w:tcBorders>
              <w:top w:val="nil"/>
              <w:left w:val="nil"/>
              <w:bottom w:val="single" w:sz="4" w:space="0" w:color="FFFFFF"/>
              <w:right w:val="single" w:sz="4" w:space="0" w:color="FFFFFF"/>
            </w:tcBorders>
            <w:shd w:val="clear" w:color="000000" w:fill="FCD5B4"/>
            <w:noWrap/>
            <w:vAlign w:val="center"/>
          </w:tcPr>
          <w:p w14:paraId="6CE88CBC" w14:textId="355E400B" w:rsidR="00EF4EB2" w:rsidRPr="0092051D" w:rsidRDefault="005C16BA" w:rsidP="00EF4EB2">
            <w:pPr>
              <w:keepNext/>
              <w:keepLines/>
              <w:jc w:val="right"/>
              <w:rPr>
                <w:rFonts w:ascii="Calibri" w:hAnsi="Calibri"/>
                <w:b/>
                <w:bCs/>
                <w:color w:val="000000"/>
                <w:lang w:eastAsia="en-GB"/>
              </w:rPr>
            </w:pPr>
            <w:r>
              <w:rPr>
                <w:rFonts w:ascii="Calibri" w:hAnsi="Calibri"/>
                <w:b/>
                <w:bCs/>
                <w:color w:val="000000"/>
                <w:lang w:eastAsia="en-GB"/>
              </w:rPr>
              <w:t>1,848</w:t>
            </w:r>
          </w:p>
        </w:tc>
        <w:tc>
          <w:tcPr>
            <w:tcW w:w="1559" w:type="dxa"/>
            <w:tcBorders>
              <w:top w:val="nil"/>
              <w:left w:val="nil"/>
              <w:bottom w:val="single" w:sz="4" w:space="0" w:color="FFFFFF"/>
              <w:right w:val="single" w:sz="4" w:space="0" w:color="FFFFFF"/>
            </w:tcBorders>
            <w:shd w:val="clear" w:color="000000" w:fill="FCD5B4"/>
            <w:noWrap/>
            <w:vAlign w:val="center"/>
            <w:hideMark/>
          </w:tcPr>
          <w:p w14:paraId="306BF9F7" w14:textId="36E51209" w:rsidR="00EF4EB2" w:rsidRPr="0092051D" w:rsidRDefault="00BA709C" w:rsidP="00EF4EB2">
            <w:pPr>
              <w:keepNext/>
              <w:keepLines/>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4,500</w:t>
            </w:r>
          </w:p>
        </w:tc>
        <w:tc>
          <w:tcPr>
            <w:tcW w:w="1559" w:type="dxa"/>
            <w:tcBorders>
              <w:top w:val="nil"/>
              <w:left w:val="nil"/>
              <w:bottom w:val="single" w:sz="4" w:space="0" w:color="FFFFFF"/>
              <w:right w:val="single" w:sz="4" w:space="0" w:color="FFFFFF"/>
            </w:tcBorders>
            <w:shd w:val="clear" w:color="000000" w:fill="FCD5B4"/>
            <w:noWrap/>
            <w:vAlign w:val="center"/>
          </w:tcPr>
          <w:p w14:paraId="39614156" w14:textId="2FD0CF0C" w:rsidR="00EF4EB2" w:rsidRPr="0092051D" w:rsidRDefault="005C16BA" w:rsidP="00EF4EB2">
            <w:pPr>
              <w:keepNext/>
              <w:keepLines/>
              <w:jc w:val="right"/>
              <w:rPr>
                <w:rFonts w:ascii="Calibri" w:hAnsi="Calibri"/>
                <w:b/>
                <w:bCs/>
                <w:color w:val="000000"/>
                <w:lang w:eastAsia="en-GB"/>
              </w:rPr>
            </w:pPr>
            <w:r>
              <w:rPr>
                <w:rFonts w:ascii="Calibri" w:hAnsi="Calibri"/>
                <w:b/>
                <w:bCs/>
                <w:color w:val="000000"/>
                <w:lang w:eastAsia="en-GB"/>
              </w:rPr>
              <w:t>17,620</w:t>
            </w:r>
          </w:p>
        </w:tc>
      </w:tr>
      <w:tr w:rsidR="00EF4EB2" w:rsidRPr="0092051D" w14:paraId="409AEED5" w14:textId="77777777" w:rsidTr="00EF4EB2">
        <w:trPr>
          <w:trHeight w:val="300"/>
        </w:trPr>
        <w:tc>
          <w:tcPr>
            <w:tcW w:w="3980" w:type="dxa"/>
            <w:tcBorders>
              <w:top w:val="nil"/>
              <w:left w:val="nil"/>
              <w:bottom w:val="nil"/>
              <w:right w:val="nil"/>
            </w:tcBorders>
            <w:shd w:val="clear" w:color="000000" w:fill="FDE9D9"/>
            <w:noWrap/>
            <w:vAlign w:val="center"/>
            <w:hideMark/>
          </w:tcPr>
          <w:p w14:paraId="1EDF08A8"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Receivables</w:t>
            </w:r>
          </w:p>
        </w:tc>
        <w:tc>
          <w:tcPr>
            <w:tcW w:w="1564" w:type="dxa"/>
            <w:tcBorders>
              <w:top w:val="nil"/>
              <w:left w:val="nil"/>
              <w:bottom w:val="nil"/>
              <w:right w:val="nil"/>
            </w:tcBorders>
            <w:shd w:val="clear" w:color="000000" w:fill="FDE9D9"/>
            <w:noWrap/>
            <w:vAlign w:val="center"/>
            <w:hideMark/>
          </w:tcPr>
          <w:p w14:paraId="6D5BD9D0"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77BFF705" w14:textId="77777777" w:rsidR="00EF4EB2" w:rsidRPr="0092051D" w:rsidRDefault="00EF4EB2" w:rsidP="00EF4EB2">
            <w:pPr>
              <w:keepNext/>
              <w:keepLines/>
              <w:rPr>
                <w:rFonts w:ascii="Calibri" w:hAnsi="Calibri"/>
                <w:color w:val="000000"/>
                <w:lang w:eastAsia="en-GB"/>
              </w:rPr>
            </w:pPr>
          </w:p>
        </w:tc>
        <w:tc>
          <w:tcPr>
            <w:tcW w:w="1559" w:type="dxa"/>
            <w:tcBorders>
              <w:top w:val="nil"/>
              <w:left w:val="nil"/>
              <w:bottom w:val="nil"/>
              <w:right w:val="nil"/>
            </w:tcBorders>
            <w:shd w:val="clear" w:color="000000" w:fill="FDE9D9"/>
            <w:noWrap/>
            <w:vAlign w:val="center"/>
            <w:hideMark/>
          </w:tcPr>
          <w:p w14:paraId="1A7481C4"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02A2F4EE" w14:textId="77777777" w:rsidR="00EF4EB2" w:rsidRPr="0092051D" w:rsidRDefault="00EF4EB2" w:rsidP="00EF4EB2">
            <w:pPr>
              <w:keepNext/>
              <w:keepLines/>
              <w:rPr>
                <w:rFonts w:ascii="Calibri" w:hAnsi="Calibri"/>
                <w:color w:val="000000"/>
                <w:lang w:eastAsia="en-GB"/>
              </w:rPr>
            </w:pPr>
          </w:p>
        </w:tc>
      </w:tr>
      <w:tr w:rsidR="00EF4EB2" w:rsidRPr="0092051D" w14:paraId="07701795" w14:textId="77777777" w:rsidTr="00EF4EB2">
        <w:trPr>
          <w:trHeight w:val="300"/>
        </w:trPr>
        <w:tc>
          <w:tcPr>
            <w:tcW w:w="39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12C926D8"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At Amortised Cost</w:t>
            </w:r>
          </w:p>
        </w:tc>
        <w:tc>
          <w:tcPr>
            <w:tcW w:w="1564" w:type="dxa"/>
            <w:tcBorders>
              <w:top w:val="single" w:sz="4" w:space="0" w:color="FFFFFF"/>
              <w:left w:val="nil"/>
              <w:bottom w:val="single" w:sz="4" w:space="0" w:color="FFFFFF"/>
              <w:right w:val="single" w:sz="4" w:space="0" w:color="FFFFFF"/>
            </w:tcBorders>
            <w:shd w:val="clear" w:color="000000" w:fill="FDE9D9"/>
            <w:noWrap/>
            <w:vAlign w:val="center"/>
            <w:hideMark/>
          </w:tcPr>
          <w:p w14:paraId="49E3DF32" w14:textId="0245DC32" w:rsidR="00EF4EB2" w:rsidRPr="0092051D" w:rsidRDefault="00C62A3D" w:rsidP="00EF4EB2">
            <w:pPr>
              <w:keepNext/>
              <w:keepLines/>
              <w:jc w:val="right"/>
              <w:rPr>
                <w:rFonts w:ascii="Calibri" w:hAnsi="Calibri"/>
                <w:color w:val="000000"/>
                <w:lang w:eastAsia="en-GB"/>
              </w:rPr>
            </w:pPr>
            <w:r>
              <w:rPr>
                <w:rFonts w:ascii="Calibri" w:hAnsi="Calibri"/>
                <w:color w:val="000000"/>
                <w:lang w:eastAsia="en-GB"/>
              </w:rPr>
              <w:t>7</w:t>
            </w:r>
            <w:r w:rsidR="00673238">
              <w:rPr>
                <w:rFonts w:ascii="Calibri" w:hAnsi="Calibri"/>
                <w:color w:val="000000"/>
                <w:lang w:eastAsia="en-GB"/>
              </w:rPr>
              <w:t>95</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45F659E1" w14:textId="129C6B90" w:rsidR="00DA7E1B" w:rsidRPr="0092051D" w:rsidRDefault="005C16BA" w:rsidP="00DA7E1B">
            <w:pPr>
              <w:keepNext/>
              <w:keepLines/>
              <w:jc w:val="right"/>
              <w:rPr>
                <w:rFonts w:ascii="Calibri" w:hAnsi="Calibri"/>
                <w:color w:val="000000"/>
                <w:lang w:eastAsia="en-GB"/>
              </w:rPr>
            </w:pPr>
            <w:r>
              <w:rPr>
                <w:rFonts w:ascii="Calibri" w:hAnsi="Calibri"/>
                <w:color w:val="000000"/>
                <w:lang w:eastAsia="en-GB"/>
              </w:rPr>
              <w:t>817</w:t>
            </w:r>
          </w:p>
        </w:tc>
        <w:tc>
          <w:tcPr>
            <w:tcW w:w="1559" w:type="dxa"/>
            <w:tcBorders>
              <w:top w:val="single" w:sz="4" w:space="0" w:color="FFFFFF"/>
              <w:left w:val="nil"/>
              <w:bottom w:val="single" w:sz="4" w:space="0" w:color="FFFFFF"/>
              <w:right w:val="single" w:sz="4" w:space="0" w:color="FFFFFF"/>
            </w:tcBorders>
            <w:shd w:val="clear" w:color="000000" w:fill="FDE9D9"/>
            <w:noWrap/>
            <w:vAlign w:val="center"/>
            <w:hideMark/>
          </w:tcPr>
          <w:p w14:paraId="16E2E8FA" w14:textId="73C891EF" w:rsidR="00EF4EB2" w:rsidRPr="0092051D" w:rsidRDefault="00673238" w:rsidP="00EF4EB2">
            <w:pPr>
              <w:keepNext/>
              <w:keepLines/>
              <w:jc w:val="right"/>
              <w:rPr>
                <w:rFonts w:ascii="Calibri" w:hAnsi="Calibri"/>
                <w:color w:val="000000"/>
                <w:lang w:eastAsia="en-GB"/>
              </w:rPr>
            </w:pPr>
            <w:r>
              <w:rPr>
                <w:rFonts w:ascii="Calibri" w:hAnsi="Calibri"/>
                <w:color w:val="000000"/>
                <w:lang w:eastAsia="en-GB"/>
              </w:rPr>
              <w:t>2,500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1A10894D" w14:textId="3A064B94" w:rsidR="00EF4EB2" w:rsidRPr="0092051D" w:rsidRDefault="005C16BA" w:rsidP="00DB54AC">
            <w:pPr>
              <w:keepNext/>
              <w:keepLines/>
              <w:jc w:val="right"/>
              <w:rPr>
                <w:rFonts w:ascii="Calibri" w:hAnsi="Calibri"/>
                <w:color w:val="000000"/>
                <w:lang w:eastAsia="en-GB"/>
              </w:rPr>
            </w:pPr>
            <w:r>
              <w:rPr>
                <w:rFonts w:ascii="Calibri" w:hAnsi="Calibri"/>
                <w:color w:val="000000"/>
                <w:lang w:eastAsia="en-GB"/>
              </w:rPr>
              <w:t>2,402</w:t>
            </w:r>
          </w:p>
        </w:tc>
      </w:tr>
      <w:tr w:rsidR="00EF4EB2" w:rsidRPr="0092051D" w14:paraId="57EE1B20"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CD5B4"/>
            <w:noWrap/>
            <w:vAlign w:val="center"/>
            <w:hideMark/>
          </w:tcPr>
          <w:p w14:paraId="724562FA"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Total Included in Receivables</w:t>
            </w:r>
          </w:p>
        </w:tc>
        <w:tc>
          <w:tcPr>
            <w:tcW w:w="1564" w:type="dxa"/>
            <w:tcBorders>
              <w:top w:val="nil"/>
              <w:left w:val="nil"/>
              <w:bottom w:val="single" w:sz="4" w:space="0" w:color="FFFFFF"/>
              <w:right w:val="single" w:sz="4" w:space="0" w:color="FFFFFF"/>
            </w:tcBorders>
            <w:shd w:val="clear" w:color="000000" w:fill="FCD5B4"/>
            <w:noWrap/>
            <w:vAlign w:val="center"/>
            <w:hideMark/>
          </w:tcPr>
          <w:p w14:paraId="6AF30555" w14:textId="38FF4CDC" w:rsidR="00EF4EB2" w:rsidRPr="0092051D" w:rsidRDefault="00C62A3D" w:rsidP="00EF4EB2">
            <w:pPr>
              <w:keepNext/>
              <w:keepLines/>
              <w:jc w:val="right"/>
              <w:rPr>
                <w:rFonts w:ascii="Calibri" w:hAnsi="Calibri"/>
                <w:b/>
                <w:bCs/>
                <w:color w:val="000000"/>
                <w:lang w:eastAsia="en-GB"/>
              </w:rPr>
            </w:pPr>
            <w:r>
              <w:rPr>
                <w:rFonts w:ascii="Calibri" w:hAnsi="Calibri"/>
                <w:b/>
                <w:bCs/>
                <w:color w:val="000000"/>
                <w:lang w:eastAsia="en-GB"/>
              </w:rPr>
              <w:t>7</w:t>
            </w:r>
            <w:r w:rsidR="00673238">
              <w:rPr>
                <w:rFonts w:ascii="Calibri" w:hAnsi="Calibri"/>
                <w:b/>
                <w:bCs/>
                <w:color w:val="000000"/>
                <w:lang w:eastAsia="en-GB"/>
              </w:rPr>
              <w:t>95</w:t>
            </w:r>
          </w:p>
        </w:tc>
        <w:tc>
          <w:tcPr>
            <w:tcW w:w="1559" w:type="dxa"/>
            <w:tcBorders>
              <w:top w:val="nil"/>
              <w:left w:val="nil"/>
              <w:bottom w:val="single" w:sz="4" w:space="0" w:color="FFFFFF"/>
              <w:right w:val="single" w:sz="4" w:space="0" w:color="FFFFFF"/>
            </w:tcBorders>
            <w:shd w:val="clear" w:color="000000" w:fill="FCD5B4"/>
            <w:noWrap/>
            <w:vAlign w:val="center"/>
          </w:tcPr>
          <w:p w14:paraId="0820791B" w14:textId="1211315D" w:rsidR="00EF4EB2" w:rsidRPr="0092051D" w:rsidRDefault="005C16BA" w:rsidP="00DB54AC">
            <w:pPr>
              <w:keepNext/>
              <w:keepLines/>
              <w:jc w:val="right"/>
              <w:rPr>
                <w:rFonts w:ascii="Calibri" w:hAnsi="Calibri"/>
                <w:b/>
                <w:bCs/>
                <w:color w:val="000000"/>
                <w:lang w:eastAsia="en-GB"/>
              </w:rPr>
            </w:pPr>
            <w:r>
              <w:rPr>
                <w:rFonts w:ascii="Calibri" w:hAnsi="Calibri"/>
                <w:b/>
                <w:bCs/>
                <w:color w:val="000000"/>
                <w:lang w:eastAsia="en-GB"/>
              </w:rPr>
              <w:t>817</w:t>
            </w:r>
          </w:p>
        </w:tc>
        <w:tc>
          <w:tcPr>
            <w:tcW w:w="1559" w:type="dxa"/>
            <w:tcBorders>
              <w:top w:val="nil"/>
              <w:left w:val="nil"/>
              <w:bottom w:val="single" w:sz="4" w:space="0" w:color="FFFFFF"/>
              <w:right w:val="single" w:sz="4" w:space="0" w:color="FFFFFF"/>
            </w:tcBorders>
            <w:shd w:val="clear" w:color="000000" w:fill="FCD5B4"/>
            <w:noWrap/>
            <w:vAlign w:val="center"/>
            <w:hideMark/>
          </w:tcPr>
          <w:p w14:paraId="60D2B196" w14:textId="63962189" w:rsidR="00EF4EB2" w:rsidRPr="0092051D" w:rsidRDefault="00673238" w:rsidP="00EF4EB2">
            <w:pPr>
              <w:keepNext/>
              <w:keepLines/>
              <w:jc w:val="right"/>
              <w:rPr>
                <w:rFonts w:ascii="Calibri" w:hAnsi="Calibri"/>
                <w:b/>
                <w:bCs/>
                <w:color w:val="000000"/>
                <w:lang w:eastAsia="en-GB"/>
              </w:rPr>
            </w:pPr>
            <w:r>
              <w:rPr>
                <w:rFonts w:ascii="Calibri" w:hAnsi="Calibri"/>
                <w:b/>
                <w:bCs/>
                <w:color w:val="000000"/>
                <w:lang w:eastAsia="en-GB"/>
              </w:rPr>
              <w:t>2,500</w:t>
            </w:r>
          </w:p>
        </w:tc>
        <w:tc>
          <w:tcPr>
            <w:tcW w:w="1559" w:type="dxa"/>
            <w:tcBorders>
              <w:top w:val="nil"/>
              <w:left w:val="nil"/>
              <w:bottom w:val="single" w:sz="4" w:space="0" w:color="FFFFFF"/>
              <w:right w:val="single" w:sz="4" w:space="0" w:color="FFFFFF"/>
            </w:tcBorders>
            <w:shd w:val="clear" w:color="000000" w:fill="FCD5B4"/>
            <w:noWrap/>
            <w:vAlign w:val="center"/>
          </w:tcPr>
          <w:p w14:paraId="0DF3AADA" w14:textId="01DB9D21" w:rsidR="00EF4EB2" w:rsidRPr="0092051D" w:rsidRDefault="005C16BA" w:rsidP="00EF4EB2">
            <w:pPr>
              <w:keepNext/>
              <w:keepLines/>
              <w:jc w:val="right"/>
              <w:rPr>
                <w:rFonts w:ascii="Calibri" w:hAnsi="Calibri"/>
                <w:b/>
                <w:bCs/>
                <w:color w:val="000000"/>
                <w:lang w:eastAsia="en-GB"/>
              </w:rPr>
            </w:pPr>
            <w:r>
              <w:rPr>
                <w:rFonts w:ascii="Calibri" w:hAnsi="Calibri"/>
                <w:b/>
                <w:bCs/>
                <w:color w:val="000000"/>
                <w:lang w:eastAsia="en-GB"/>
              </w:rPr>
              <w:t>2,402</w:t>
            </w:r>
          </w:p>
        </w:tc>
      </w:tr>
      <w:tr w:rsidR="00EF4EB2" w:rsidRPr="0092051D" w14:paraId="31FC6D9D" w14:textId="77777777" w:rsidTr="00EF4EB2">
        <w:trPr>
          <w:trHeight w:val="300"/>
        </w:trPr>
        <w:tc>
          <w:tcPr>
            <w:tcW w:w="3980" w:type="dxa"/>
            <w:tcBorders>
              <w:top w:val="nil"/>
              <w:left w:val="nil"/>
              <w:bottom w:val="nil"/>
              <w:right w:val="nil"/>
            </w:tcBorders>
            <w:shd w:val="clear" w:color="000000" w:fill="FDE9D9"/>
            <w:noWrap/>
            <w:vAlign w:val="center"/>
            <w:hideMark/>
          </w:tcPr>
          <w:p w14:paraId="649381B9"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Borrowings</w:t>
            </w:r>
          </w:p>
        </w:tc>
        <w:tc>
          <w:tcPr>
            <w:tcW w:w="1564" w:type="dxa"/>
            <w:tcBorders>
              <w:top w:val="nil"/>
              <w:left w:val="nil"/>
              <w:bottom w:val="nil"/>
              <w:right w:val="nil"/>
            </w:tcBorders>
            <w:shd w:val="clear" w:color="000000" w:fill="FDE9D9"/>
            <w:noWrap/>
            <w:vAlign w:val="center"/>
            <w:hideMark/>
          </w:tcPr>
          <w:p w14:paraId="09E49404"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210F0FF5" w14:textId="77777777" w:rsidR="00EF4EB2" w:rsidRPr="0092051D" w:rsidRDefault="00EF4EB2" w:rsidP="00EF4EB2">
            <w:pPr>
              <w:keepNext/>
              <w:keepLines/>
              <w:rPr>
                <w:rFonts w:ascii="Calibri" w:hAnsi="Calibri"/>
                <w:color w:val="000000"/>
                <w:lang w:eastAsia="en-GB"/>
              </w:rPr>
            </w:pPr>
          </w:p>
        </w:tc>
        <w:tc>
          <w:tcPr>
            <w:tcW w:w="1559" w:type="dxa"/>
            <w:tcBorders>
              <w:top w:val="nil"/>
              <w:left w:val="nil"/>
              <w:bottom w:val="nil"/>
              <w:right w:val="nil"/>
            </w:tcBorders>
            <w:shd w:val="clear" w:color="000000" w:fill="FDE9D9"/>
            <w:noWrap/>
            <w:vAlign w:val="center"/>
            <w:hideMark/>
          </w:tcPr>
          <w:p w14:paraId="59E3EDD0"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18272D2A" w14:textId="77777777" w:rsidR="00EF4EB2" w:rsidRPr="0092051D" w:rsidRDefault="00EF4EB2" w:rsidP="00EF4EB2">
            <w:pPr>
              <w:keepNext/>
              <w:keepLines/>
              <w:rPr>
                <w:rFonts w:ascii="Calibri" w:hAnsi="Calibri"/>
                <w:color w:val="000000"/>
                <w:lang w:eastAsia="en-GB"/>
              </w:rPr>
            </w:pPr>
          </w:p>
        </w:tc>
      </w:tr>
      <w:tr w:rsidR="00EF4EB2" w:rsidRPr="0092051D" w14:paraId="5D1786DB" w14:textId="77777777" w:rsidTr="00EF4EB2">
        <w:trPr>
          <w:trHeight w:val="300"/>
        </w:trPr>
        <w:tc>
          <w:tcPr>
            <w:tcW w:w="39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3C05F335"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At Amortised Cost</w:t>
            </w:r>
          </w:p>
        </w:tc>
        <w:tc>
          <w:tcPr>
            <w:tcW w:w="1564" w:type="dxa"/>
            <w:tcBorders>
              <w:top w:val="single" w:sz="4" w:space="0" w:color="FFFFFF"/>
              <w:left w:val="nil"/>
              <w:bottom w:val="single" w:sz="4" w:space="0" w:color="FFFFFF"/>
              <w:right w:val="single" w:sz="4" w:space="0" w:color="FFFFFF"/>
            </w:tcBorders>
            <w:shd w:val="clear" w:color="000000" w:fill="FDE9D9"/>
            <w:noWrap/>
            <w:vAlign w:val="center"/>
            <w:hideMark/>
          </w:tcPr>
          <w:p w14:paraId="4B50038E" w14:textId="77777777" w:rsidR="00EF4EB2" w:rsidRPr="0092051D" w:rsidRDefault="00EF4EB2" w:rsidP="00EF4EB2">
            <w:pPr>
              <w:keepNext/>
              <w:keepLines/>
              <w:jc w:val="right"/>
              <w:rPr>
                <w:rFonts w:ascii="Calibri" w:hAnsi="Calibri"/>
                <w:color w:val="000000"/>
                <w:lang w:eastAsia="en-GB"/>
              </w:rPr>
            </w:pPr>
            <w:r>
              <w:rPr>
                <w:rFonts w:ascii="Calibri" w:hAnsi="Calibri"/>
                <w:color w:val="000000"/>
                <w:lang w:eastAsia="en-GB"/>
              </w:rPr>
              <w:t>31,413</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57A54D7B" w14:textId="654A9A25" w:rsidR="00EF4EB2" w:rsidRPr="0092051D" w:rsidRDefault="005C16BA" w:rsidP="00EF4EB2">
            <w:pPr>
              <w:keepNext/>
              <w:keepLines/>
              <w:jc w:val="right"/>
              <w:rPr>
                <w:rFonts w:ascii="Calibri" w:hAnsi="Calibri"/>
                <w:color w:val="000000"/>
                <w:lang w:eastAsia="en-GB"/>
              </w:rPr>
            </w:pPr>
            <w:r>
              <w:rPr>
                <w:rFonts w:ascii="Calibri" w:hAnsi="Calibri"/>
                <w:color w:val="000000"/>
                <w:lang w:eastAsia="en-GB"/>
              </w:rPr>
              <w:t>31,413</w:t>
            </w:r>
          </w:p>
        </w:tc>
        <w:tc>
          <w:tcPr>
            <w:tcW w:w="1559" w:type="dxa"/>
            <w:tcBorders>
              <w:top w:val="single" w:sz="4" w:space="0" w:color="FFFFFF"/>
              <w:left w:val="nil"/>
              <w:bottom w:val="single" w:sz="4" w:space="0" w:color="FFFFFF"/>
              <w:right w:val="single" w:sz="4" w:space="0" w:color="FFFFFF"/>
            </w:tcBorders>
            <w:shd w:val="clear" w:color="000000" w:fill="FDE9D9"/>
            <w:noWrap/>
            <w:vAlign w:val="center"/>
            <w:hideMark/>
          </w:tcPr>
          <w:p w14:paraId="7B9A3AED" w14:textId="77777777" w:rsidR="00EF4EB2" w:rsidRPr="0092051D" w:rsidRDefault="00EF4EB2" w:rsidP="00EF4EB2">
            <w:pPr>
              <w:keepNext/>
              <w:keepLines/>
              <w:jc w:val="right"/>
              <w:rPr>
                <w:rFonts w:ascii="Calibri" w:hAnsi="Calibri"/>
                <w:color w:val="000000"/>
                <w:lang w:eastAsia="en-GB"/>
              </w:rPr>
            </w:pPr>
            <w:r w:rsidRPr="0092051D">
              <w:rPr>
                <w:rFonts w:ascii="Calibri" w:hAnsi="Calibri"/>
                <w:color w:val="000000"/>
                <w:lang w:eastAsia="en-GB"/>
              </w:rPr>
              <w:t>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66D38EBB" w14:textId="238CD5AA" w:rsidR="00EF4EB2" w:rsidRPr="0092051D" w:rsidRDefault="008E16A8" w:rsidP="00EF4EB2">
            <w:pPr>
              <w:keepNext/>
              <w:keepLines/>
              <w:jc w:val="right"/>
              <w:rPr>
                <w:rFonts w:ascii="Calibri" w:hAnsi="Calibri"/>
                <w:color w:val="000000"/>
                <w:lang w:eastAsia="en-GB"/>
              </w:rPr>
            </w:pPr>
            <w:r>
              <w:rPr>
                <w:rFonts w:ascii="Calibri" w:hAnsi="Calibri"/>
                <w:color w:val="000000"/>
                <w:lang w:eastAsia="en-GB"/>
              </w:rPr>
              <w:t>0</w:t>
            </w:r>
          </w:p>
        </w:tc>
      </w:tr>
      <w:tr w:rsidR="00EF4EB2" w:rsidRPr="0092051D" w14:paraId="69278BCC"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CD5B4"/>
            <w:noWrap/>
            <w:vAlign w:val="center"/>
            <w:hideMark/>
          </w:tcPr>
          <w:p w14:paraId="6A9D611D"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Total Included in Borrowings</w:t>
            </w:r>
          </w:p>
        </w:tc>
        <w:tc>
          <w:tcPr>
            <w:tcW w:w="1564" w:type="dxa"/>
            <w:tcBorders>
              <w:top w:val="nil"/>
              <w:left w:val="nil"/>
              <w:bottom w:val="single" w:sz="4" w:space="0" w:color="FFFFFF"/>
              <w:right w:val="single" w:sz="4" w:space="0" w:color="FFFFFF"/>
            </w:tcBorders>
            <w:shd w:val="clear" w:color="000000" w:fill="FCD5B4"/>
            <w:noWrap/>
            <w:vAlign w:val="center"/>
            <w:hideMark/>
          </w:tcPr>
          <w:p w14:paraId="32A38268" w14:textId="77777777" w:rsidR="00EF4EB2" w:rsidRPr="0092051D" w:rsidRDefault="00EF4EB2" w:rsidP="00EF4EB2">
            <w:pPr>
              <w:keepNext/>
              <w:keepLines/>
              <w:jc w:val="right"/>
              <w:rPr>
                <w:rFonts w:ascii="Calibri" w:hAnsi="Calibri"/>
                <w:b/>
                <w:bCs/>
                <w:color w:val="000000"/>
                <w:lang w:eastAsia="en-GB"/>
              </w:rPr>
            </w:pPr>
            <w:r>
              <w:rPr>
                <w:rFonts w:ascii="Calibri" w:hAnsi="Calibri"/>
                <w:b/>
                <w:bCs/>
                <w:color w:val="000000"/>
                <w:lang w:eastAsia="en-GB"/>
              </w:rPr>
              <w:t>31,413</w:t>
            </w:r>
          </w:p>
        </w:tc>
        <w:tc>
          <w:tcPr>
            <w:tcW w:w="1559" w:type="dxa"/>
            <w:tcBorders>
              <w:top w:val="nil"/>
              <w:left w:val="nil"/>
              <w:bottom w:val="single" w:sz="4" w:space="0" w:color="FFFFFF"/>
              <w:right w:val="single" w:sz="4" w:space="0" w:color="FFFFFF"/>
            </w:tcBorders>
            <w:shd w:val="clear" w:color="000000" w:fill="FCD5B4"/>
            <w:noWrap/>
            <w:vAlign w:val="center"/>
          </w:tcPr>
          <w:p w14:paraId="45CEA6B3" w14:textId="7140799E" w:rsidR="00EF4EB2" w:rsidRPr="0092051D" w:rsidRDefault="005C16BA" w:rsidP="00EF4EB2">
            <w:pPr>
              <w:keepNext/>
              <w:keepLines/>
              <w:jc w:val="right"/>
              <w:rPr>
                <w:rFonts w:ascii="Calibri" w:hAnsi="Calibri"/>
                <w:b/>
                <w:bCs/>
                <w:color w:val="000000"/>
                <w:lang w:eastAsia="en-GB"/>
              </w:rPr>
            </w:pPr>
            <w:r>
              <w:rPr>
                <w:rFonts w:ascii="Calibri" w:hAnsi="Calibri"/>
                <w:b/>
                <w:bCs/>
                <w:color w:val="000000"/>
                <w:lang w:eastAsia="en-GB"/>
              </w:rPr>
              <w:t>31,413</w:t>
            </w:r>
          </w:p>
        </w:tc>
        <w:tc>
          <w:tcPr>
            <w:tcW w:w="1559" w:type="dxa"/>
            <w:tcBorders>
              <w:top w:val="nil"/>
              <w:left w:val="nil"/>
              <w:bottom w:val="single" w:sz="4" w:space="0" w:color="FFFFFF"/>
              <w:right w:val="single" w:sz="4" w:space="0" w:color="FFFFFF"/>
            </w:tcBorders>
            <w:shd w:val="clear" w:color="000000" w:fill="FCD5B4"/>
            <w:noWrap/>
            <w:vAlign w:val="center"/>
            <w:hideMark/>
          </w:tcPr>
          <w:p w14:paraId="23DDEF7B" w14:textId="77777777" w:rsidR="00EF4EB2" w:rsidRPr="0092051D" w:rsidRDefault="00EF4EB2" w:rsidP="00EF4EB2">
            <w:pPr>
              <w:keepNext/>
              <w:keepLines/>
              <w:jc w:val="right"/>
              <w:rPr>
                <w:rFonts w:ascii="Calibri" w:hAnsi="Calibri"/>
                <w:b/>
                <w:bCs/>
                <w:color w:val="000000"/>
                <w:lang w:eastAsia="en-GB"/>
              </w:rPr>
            </w:pPr>
            <w:r w:rsidRPr="0092051D">
              <w:rPr>
                <w:rFonts w:ascii="Calibri" w:hAnsi="Calibri"/>
                <w:b/>
                <w:bCs/>
                <w:color w:val="000000"/>
                <w:lang w:eastAsia="en-GB"/>
              </w:rPr>
              <w:t>0</w:t>
            </w:r>
          </w:p>
        </w:tc>
        <w:tc>
          <w:tcPr>
            <w:tcW w:w="1559" w:type="dxa"/>
            <w:tcBorders>
              <w:top w:val="nil"/>
              <w:left w:val="nil"/>
              <w:bottom w:val="single" w:sz="4" w:space="0" w:color="FFFFFF"/>
              <w:right w:val="single" w:sz="4" w:space="0" w:color="FFFFFF"/>
            </w:tcBorders>
            <w:shd w:val="clear" w:color="000000" w:fill="FCD5B4"/>
            <w:noWrap/>
            <w:vAlign w:val="center"/>
          </w:tcPr>
          <w:p w14:paraId="1438FBFB" w14:textId="6E85E3D5" w:rsidR="00EF4EB2" w:rsidRPr="0092051D" w:rsidRDefault="008E16A8" w:rsidP="00EF4EB2">
            <w:pPr>
              <w:keepNext/>
              <w:keepLines/>
              <w:jc w:val="right"/>
              <w:rPr>
                <w:rFonts w:ascii="Calibri" w:hAnsi="Calibri"/>
                <w:b/>
                <w:bCs/>
                <w:color w:val="000000"/>
                <w:lang w:eastAsia="en-GB"/>
              </w:rPr>
            </w:pPr>
            <w:r>
              <w:rPr>
                <w:rFonts w:ascii="Calibri" w:hAnsi="Calibri"/>
                <w:b/>
                <w:bCs/>
                <w:color w:val="000000"/>
                <w:lang w:eastAsia="en-GB"/>
              </w:rPr>
              <w:t>0</w:t>
            </w:r>
          </w:p>
        </w:tc>
      </w:tr>
      <w:tr w:rsidR="00EF4EB2" w:rsidRPr="0092051D" w14:paraId="6A5948A4" w14:textId="77777777" w:rsidTr="00EF4EB2">
        <w:trPr>
          <w:trHeight w:val="300"/>
        </w:trPr>
        <w:tc>
          <w:tcPr>
            <w:tcW w:w="3980" w:type="dxa"/>
            <w:tcBorders>
              <w:top w:val="nil"/>
              <w:left w:val="nil"/>
              <w:bottom w:val="nil"/>
              <w:right w:val="nil"/>
            </w:tcBorders>
            <w:shd w:val="clear" w:color="000000" w:fill="FDE9D9"/>
            <w:noWrap/>
            <w:vAlign w:val="center"/>
            <w:hideMark/>
          </w:tcPr>
          <w:p w14:paraId="2D2AF31E"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 xml:space="preserve">Other </w:t>
            </w:r>
            <w:proofErr w:type="gramStart"/>
            <w:r w:rsidRPr="0092051D">
              <w:rPr>
                <w:rFonts w:ascii="Calibri" w:hAnsi="Calibri"/>
                <w:b/>
                <w:bCs/>
                <w:color w:val="000000"/>
                <w:lang w:eastAsia="en-GB"/>
              </w:rPr>
              <w:t>Long Term</w:t>
            </w:r>
            <w:proofErr w:type="gramEnd"/>
            <w:r w:rsidRPr="0092051D">
              <w:rPr>
                <w:rFonts w:ascii="Calibri" w:hAnsi="Calibri"/>
                <w:b/>
                <w:bCs/>
                <w:color w:val="000000"/>
                <w:lang w:eastAsia="en-GB"/>
              </w:rPr>
              <w:t xml:space="preserve"> Liabilities</w:t>
            </w:r>
          </w:p>
        </w:tc>
        <w:tc>
          <w:tcPr>
            <w:tcW w:w="1564" w:type="dxa"/>
            <w:tcBorders>
              <w:top w:val="nil"/>
              <w:left w:val="nil"/>
              <w:bottom w:val="nil"/>
              <w:right w:val="nil"/>
            </w:tcBorders>
            <w:shd w:val="clear" w:color="000000" w:fill="FDE9D9"/>
            <w:noWrap/>
            <w:vAlign w:val="center"/>
            <w:hideMark/>
          </w:tcPr>
          <w:p w14:paraId="63BD8FDA"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7A4482BF" w14:textId="77777777" w:rsidR="00EF4EB2" w:rsidRPr="0092051D" w:rsidRDefault="00EF4EB2" w:rsidP="00EF4EB2">
            <w:pPr>
              <w:keepNext/>
              <w:keepLines/>
              <w:rPr>
                <w:rFonts w:ascii="Calibri" w:hAnsi="Calibri"/>
                <w:color w:val="000000"/>
                <w:lang w:eastAsia="en-GB"/>
              </w:rPr>
            </w:pPr>
          </w:p>
        </w:tc>
        <w:tc>
          <w:tcPr>
            <w:tcW w:w="1559" w:type="dxa"/>
            <w:tcBorders>
              <w:top w:val="nil"/>
              <w:left w:val="nil"/>
              <w:bottom w:val="nil"/>
              <w:right w:val="nil"/>
            </w:tcBorders>
            <w:shd w:val="clear" w:color="000000" w:fill="FDE9D9"/>
            <w:noWrap/>
            <w:vAlign w:val="center"/>
            <w:hideMark/>
          </w:tcPr>
          <w:p w14:paraId="3158D073"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37419761" w14:textId="77777777" w:rsidR="00EF4EB2" w:rsidRPr="0092051D" w:rsidRDefault="00EF4EB2" w:rsidP="00EF4EB2">
            <w:pPr>
              <w:keepNext/>
              <w:keepLines/>
              <w:rPr>
                <w:rFonts w:ascii="Calibri" w:hAnsi="Calibri"/>
                <w:color w:val="000000"/>
                <w:lang w:eastAsia="en-GB"/>
              </w:rPr>
            </w:pPr>
          </w:p>
        </w:tc>
      </w:tr>
      <w:tr w:rsidR="00EF4EB2" w:rsidRPr="0092051D" w14:paraId="1264CE63"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DE9D9"/>
            <w:noWrap/>
            <w:vAlign w:val="center"/>
            <w:hideMark/>
          </w:tcPr>
          <w:p w14:paraId="7E44A4B3"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At Fair value through profit and loss</w:t>
            </w:r>
          </w:p>
        </w:tc>
        <w:tc>
          <w:tcPr>
            <w:tcW w:w="1564" w:type="dxa"/>
            <w:tcBorders>
              <w:top w:val="nil"/>
              <w:left w:val="nil"/>
              <w:bottom w:val="single" w:sz="4" w:space="0" w:color="FFFFFF"/>
              <w:right w:val="single" w:sz="4" w:space="0" w:color="FFFFFF"/>
            </w:tcBorders>
            <w:shd w:val="clear" w:color="000000" w:fill="FDE9D9"/>
            <w:noWrap/>
            <w:vAlign w:val="center"/>
            <w:hideMark/>
          </w:tcPr>
          <w:p w14:paraId="2A6F612A" w14:textId="22262B61" w:rsidR="00EF4EB2" w:rsidRPr="0092051D" w:rsidRDefault="00673238" w:rsidP="00EF4EB2">
            <w:pPr>
              <w:keepNext/>
              <w:keepLines/>
              <w:jc w:val="right"/>
              <w:rPr>
                <w:rFonts w:ascii="Calibri" w:hAnsi="Calibri"/>
                <w:color w:val="000000"/>
                <w:lang w:eastAsia="en-GB"/>
              </w:rPr>
            </w:pPr>
            <w:r>
              <w:rPr>
                <w:rFonts w:ascii="Calibri" w:hAnsi="Calibri"/>
                <w:color w:val="000000"/>
                <w:lang w:eastAsia="en-GB"/>
              </w:rPr>
              <w:t>66</w:t>
            </w:r>
          </w:p>
        </w:tc>
        <w:tc>
          <w:tcPr>
            <w:tcW w:w="1559" w:type="dxa"/>
            <w:tcBorders>
              <w:top w:val="nil"/>
              <w:left w:val="nil"/>
              <w:bottom w:val="single" w:sz="4" w:space="0" w:color="FFFFFF"/>
              <w:right w:val="single" w:sz="4" w:space="0" w:color="FFFFFF"/>
            </w:tcBorders>
            <w:shd w:val="clear" w:color="000000" w:fill="FDE9D9"/>
            <w:noWrap/>
            <w:vAlign w:val="center"/>
          </w:tcPr>
          <w:p w14:paraId="0DEF3EBC" w14:textId="34C84350" w:rsidR="00EF4EB2" w:rsidRPr="0092051D" w:rsidRDefault="005C16BA" w:rsidP="00425D7E">
            <w:pPr>
              <w:keepNext/>
              <w:keepLines/>
              <w:jc w:val="right"/>
              <w:rPr>
                <w:rFonts w:ascii="Calibri" w:hAnsi="Calibri"/>
                <w:color w:val="000000"/>
                <w:lang w:eastAsia="en-GB"/>
              </w:rPr>
            </w:pPr>
            <w:r>
              <w:rPr>
                <w:rFonts w:ascii="Calibri" w:hAnsi="Calibri"/>
                <w:color w:val="000000"/>
                <w:lang w:eastAsia="en-GB"/>
              </w:rPr>
              <w:t>55</w:t>
            </w:r>
          </w:p>
        </w:tc>
        <w:tc>
          <w:tcPr>
            <w:tcW w:w="1559" w:type="dxa"/>
            <w:tcBorders>
              <w:top w:val="nil"/>
              <w:left w:val="nil"/>
              <w:bottom w:val="single" w:sz="4" w:space="0" w:color="FFFFFF"/>
              <w:right w:val="single" w:sz="4" w:space="0" w:color="FFFFFF"/>
            </w:tcBorders>
            <w:shd w:val="clear" w:color="000000" w:fill="FDE9D9"/>
            <w:noWrap/>
            <w:vAlign w:val="center"/>
            <w:hideMark/>
          </w:tcPr>
          <w:p w14:paraId="2E4667CC" w14:textId="77777777" w:rsidR="00EF4EB2" w:rsidRPr="0092051D" w:rsidRDefault="00EF4EB2" w:rsidP="00EF4EB2">
            <w:pPr>
              <w:keepNext/>
              <w:keepLines/>
              <w:jc w:val="right"/>
              <w:rPr>
                <w:rFonts w:ascii="Calibri" w:hAnsi="Calibri"/>
                <w:color w:val="000000"/>
                <w:lang w:eastAsia="en-GB"/>
              </w:rPr>
            </w:pPr>
            <w:r w:rsidRPr="0092051D">
              <w:rPr>
                <w:rFonts w:ascii="Calibri" w:hAnsi="Calibri"/>
                <w:color w:val="000000"/>
                <w:lang w:eastAsia="en-GB"/>
              </w:rPr>
              <w:t>0</w:t>
            </w:r>
          </w:p>
        </w:tc>
        <w:tc>
          <w:tcPr>
            <w:tcW w:w="1559" w:type="dxa"/>
            <w:tcBorders>
              <w:top w:val="nil"/>
              <w:left w:val="nil"/>
              <w:bottom w:val="single" w:sz="4" w:space="0" w:color="FFFFFF"/>
              <w:right w:val="single" w:sz="4" w:space="0" w:color="FFFFFF"/>
            </w:tcBorders>
            <w:shd w:val="clear" w:color="000000" w:fill="FDE9D9"/>
            <w:noWrap/>
            <w:vAlign w:val="center"/>
          </w:tcPr>
          <w:p w14:paraId="5E08CB1C" w14:textId="2931A31D" w:rsidR="00EF4EB2" w:rsidRPr="0092051D" w:rsidRDefault="008E16A8" w:rsidP="00EF4EB2">
            <w:pPr>
              <w:keepNext/>
              <w:keepLines/>
              <w:jc w:val="right"/>
              <w:rPr>
                <w:rFonts w:ascii="Calibri" w:hAnsi="Calibri"/>
                <w:color w:val="000000"/>
                <w:lang w:eastAsia="en-GB"/>
              </w:rPr>
            </w:pPr>
            <w:r>
              <w:rPr>
                <w:rFonts w:ascii="Calibri" w:hAnsi="Calibri"/>
                <w:color w:val="000000"/>
                <w:lang w:eastAsia="en-GB"/>
              </w:rPr>
              <w:t>0</w:t>
            </w:r>
          </w:p>
        </w:tc>
      </w:tr>
      <w:tr w:rsidR="00EF4EB2" w:rsidRPr="0092051D" w14:paraId="5BD2127D" w14:textId="77777777" w:rsidTr="00EF4EB2">
        <w:trPr>
          <w:trHeight w:val="300"/>
        </w:trPr>
        <w:tc>
          <w:tcPr>
            <w:tcW w:w="3980" w:type="dxa"/>
            <w:tcBorders>
              <w:top w:val="nil"/>
              <w:left w:val="single" w:sz="4" w:space="0" w:color="FFFFFF"/>
              <w:bottom w:val="single" w:sz="4" w:space="0" w:color="FFFFFF"/>
              <w:right w:val="single" w:sz="4" w:space="0" w:color="FFFFFF"/>
            </w:tcBorders>
            <w:shd w:val="clear" w:color="000000" w:fill="FCD5B4"/>
            <w:noWrap/>
            <w:vAlign w:val="center"/>
            <w:hideMark/>
          </w:tcPr>
          <w:p w14:paraId="404E5DF1"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 xml:space="preserve">Total Other </w:t>
            </w:r>
            <w:proofErr w:type="gramStart"/>
            <w:r w:rsidRPr="0092051D">
              <w:rPr>
                <w:rFonts w:ascii="Calibri" w:hAnsi="Calibri"/>
                <w:b/>
                <w:bCs/>
                <w:color w:val="000000"/>
                <w:lang w:eastAsia="en-GB"/>
              </w:rPr>
              <w:t>Long Term</w:t>
            </w:r>
            <w:proofErr w:type="gramEnd"/>
            <w:r w:rsidRPr="0092051D">
              <w:rPr>
                <w:rFonts w:ascii="Calibri" w:hAnsi="Calibri"/>
                <w:b/>
                <w:bCs/>
                <w:color w:val="000000"/>
                <w:lang w:eastAsia="en-GB"/>
              </w:rPr>
              <w:t xml:space="preserve"> Liabilities</w:t>
            </w:r>
          </w:p>
        </w:tc>
        <w:tc>
          <w:tcPr>
            <w:tcW w:w="1564" w:type="dxa"/>
            <w:tcBorders>
              <w:top w:val="nil"/>
              <w:left w:val="nil"/>
              <w:bottom w:val="single" w:sz="4" w:space="0" w:color="FFFFFF"/>
              <w:right w:val="single" w:sz="4" w:space="0" w:color="FFFFFF"/>
            </w:tcBorders>
            <w:shd w:val="clear" w:color="000000" w:fill="FCD5B4"/>
            <w:noWrap/>
            <w:vAlign w:val="center"/>
            <w:hideMark/>
          </w:tcPr>
          <w:p w14:paraId="1976C650" w14:textId="1E70B7B9" w:rsidR="00EF4EB2" w:rsidRPr="0092051D" w:rsidRDefault="00673238" w:rsidP="00EF4EB2">
            <w:pPr>
              <w:keepNext/>
              <w:keepLines/>
              <w:jc w:val="right"/>
              <w:rPr>
                <w:rFonts w:ascii="Calibri" w:hAnsi="Calibri"/>
                <w:b/>
                <w:bCs/>
                <w:color w:val="000000"/>
                <w:lang w:eastAsia="en-GB"/>
              </w:rPr>
            </w:pPr>
            <w:r>
              <w:rPr>
                <w:rFonts w:ascii="Calibri" w:hAnsi="Calibri"/>
                <w:b/>
                <w:bCs/>
                <w:color w:val="000000"/>
                <w:lang w:eastAsia="en-GB"/>
              </w:rPr>
              <w:t>66</w:t>
            </w:r>
          </w:p>
        </w:tc>
        <w:tc>
          <w:tcPr>
            <w:tcW w:w="1559" w:type="dxa"/>
            <w:tcBorders>
              <w:top w:val="nil"/>
              <w:left w:val="nil"/>
              <w:bottom w:val="single" w:sz="4" w:space="0" w:color="FFFFFF"/>
              <w:right w:val="single" w:sz="4" w:space="0" w:color="FFFFFF"/>
            </w:tcBorders>
            <w:shd w:val="clear" w:color="000000" w:fill="FCD5B4"/>
            <w:noWrap/>
            <w:vAlign w:val="center"/>
          </w:tcPr>
          <w:p w14:paraId="7CA2A3C8" w14:textId="6BB25CD2" w:rsidR="00EF4EB2" w:rsidRPr="0092051D" w:rsidRDefault="005C16BA" w:rsidP="000A74BA">
            <w:pPr>
              <w:keepNext/>
              <w:keepLines/>
              <w:jc w:val="right"/>
              <w:rPr>
                <w:rFonts w:ascii="Calibri" w:hAnsi="Calibri"/>
                <w:b/>
                <w:bCs/>
                <w:color w:val="000000"/>
                <w:lang w:eastAsia="en-GB"/>
              </w:rPr>
            </w:pPr>
            <w:r>
              <w:rPr>
                <w:rFonts w:ascii="Calibri" w:hAnsi="Calibri"/>
                <w:b/>
                <w:bCs/>
                <w:color w:val="000000"/>
                <w:lang w:eastAsia="en-GB"/>
              </w:rPr>
              <w:t>55</w:t>
            </w:r>
          </w:p>
        </w:tc>
        <w:tc>
          <w:tcPr>
            <w:tcW w:w="1559" w:type="dxa"/>
            <w:tcBorders>
              <w:top w:val="nil"/>
              <w:left w:val="nil"/>
              <w:bottom w:val="single" w:sz="4" w:space="0" w:color="FFFFFF"/>
              <w:right w:val="single" w:sz="4" w:space="0" w:color="FFFFFF"/>
            </w:tcBorders>
            <w:shd w:val="clear" w:color="000000" w:fill="FCD5B4"/>
            <w:noWrap/>
            <w:vAlign w:val="center"/>
            <w:hideMark/>
          </w:tcPr>
          <w:p w14:paraId="06721CC1" w14:textId="77777777" w:rsidR="00EF4EB2" w:rsidRPr="0092051D" w:rsidRDefault="00EF4EB2" w:rsidP="00EF4EB2">
            <w:pPr>
              <w:keepNext/>
              <w:keepLines/>
              <w:jc w:val="right"/>
              <w:rPr>
                <w:rFonts w:ascii="Calibri" w:hAnsi="Calibri"/>
                <w:b/>
                <w:bCs/>
                <w:color w:val="000000"/>
                <w:lang w:eastAsia="en-GB"/>
              </w:rPr>
            </w:pPr>
            <w:r w:rsidRPr="0092051D">
              <w:rPr>
                <w:rFonts w:ascii="Calibri" w:hAnsi="Calibri"/>
                <w:b/>
                <w:bCs/>
                <w:color w:val="000000"/>
                <w:lang w:eastAsia="en-GB"/>
              </w:rPr>
              <w:t>0</w:t>
            </w:r>
          </w:p>
        </w:tc>
        <w:tc>
          <w:tcPr>
            <w:tcW w:w="1559" w:type="dxa"/>
            <w:tcBorders>
              <w:top w:val="nil"/>
              <w:left w:val="nil"/>
              <w:bottom w:val="single" w:sz="4" w:space="0" w:color="FFFFFF"/>
              <w:right w:val="single" w:sz="4" w:space="0" w:color="FFFFFF"/>
            </w:tcBorders>
            <w:shd w:val="clear" w:color="000000" w:fill="FCD5B4"/>
            <w:noWrap/>
            <w:vAlign w:val="center"/>
          </w:tcPr>
          <w:p w14:paraId="62C5DD92" w14:textId="2EC783A2" w:rsidR="00EF4EB2" w:rsidRPr="0092051D" w:rsidRDefault="008E16A8" w:rsidP="00EF4EB2">
            <w:pPr>
              <w:keepNext/>
              <w:keepLines/>
              <w:jc w:val="right"/>
              <w:rPr>
                <w:rFonts w:ascii="Calibri" w:hAnsi="Calibri"/>
                <w:b/>
                <w:bCs/>
                <w:color w:val="000000"/>
                <w:lang w:eastAsia="en-GB"/>
              </w:rPr>
            </w:pPr>
            <w:r>
              <w:rPr>
                <w:rFonts w:ascii="Calibri" w:hAnsi="Calibri"/>
                <w:b/>
                <w:bCs/>
                <w:color w:val="000000"/>
                <w:lang w:eastAsia="en-GB"/>
              </w:rPr>
              <w:t>0</w:t>
            </w:r>
          </w:p>
        </w:tc>
      </w:tr>
      <w:tr w:rsidR="00EF4EB2" w:rsidRPr="0092051D" w14:paraId="57355714" w14:textId="77777777" w:rsidTr="00EF4EB2">
        <w:trPr>
          <w:trHeight w:val="300"/>
        </w:trPr>
        <w:tc>
          <w:tcPr>
            <w:tcW w:w="3980" w:type="dxa"/>
            <w:tcBorders>
              <w:top w:val="nil"/>
              <w:left w:val="nil"/>
              <w:bottom w:val="nil"/>
              <w:right w:val="nil"/>
            </w:tcBorders>
            <w:shd w:val="clear" w:color="000000" w:fill="FDE9D9"/>
            <w:noWrap/>
            <w:vAlign w:val="center"/>
            <w:hideMark/>
          </w:tcPr>
          <w:p w14:paraId="251C2732" w14:textId="77777777" w:rsidR="00EF4EB2" w:rsidRPr="0092051D" w:rsidRDefault="00EF4EB2" w:rsidP="00EF4EB2">
            <w:pPr>
              <w:keepNext/>
              <w:keepLines/>
              <w:rPr>
                <w:rFonts w:ascii="Calibri" w:hAnsi="Calibri"/>
                <w:b/>
                <w:bCs/>
                <w:color w:val="000000"/>
                <w:lang w:eastAsia="en-GB"/>
              </w:rPr>
            </w:pPr>
            <w:r w:rsidRPr="0092051D">
              <w:rPr>
                <w:rFonts w:ascii="Calibri" w:hAnsi="Calibri"/>
                <w:b/>
                <w:bCs/>
                <w:color w:val="000000"/>
                <w:lang w:eastAsia="en-GB"/>
              </w:rPr>
              <w:t>Payables</w:t>
            </w:r>
          </w:p>
        </w:tc>
        <w:tc>
          <w:tcPr>
            <w:tcW w:w="1564" w:type="dxa"/>
            <w:tcBorders>
              <w:top w:val="nil"/>
              <w:left w:val="nil"/>
              <w:bottom w:val="nil"/>
              <w:right w:val="nil"/>
            </w:tcBorders>
            <w:shd w:val="clear" w:color="000000" w:fill="FDE9D9"/>
            <w:noWrap/>
            <w:vAlign w:val="center"/>
            <w:hideMark/>
          </w:tcPr>
          <w:p w14:paraId="44185E37"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75E32E88" w14:textId="77777777" w:rsidR="00EF4EB2" w:rsidRPr="0092051D" w:rsidRDefault="00EF4EB2" w:rsidP="00EF4EB2">
            <w:pPr>
              <w:keepNext/>
              <w:keepLines/>
              <w:rPr>
                <w:rFonts w:ascii="Calibri" w:hAnsi="Calibri"/>
                <w:color w:val="000000"/>
                <w:lang w:eastAsia="en-GB"/>
              </w:rPr>
            </w:pPr>
          </w:p>
        </w:tc>
        <w:tc>
          <w:tcPr>
            <w:tcW w:w="1559" w:type="dxa"/>
            <w:tcBorders>
              <w:top w:val="nil"/>
              <w:left w:val="nil"/>
              <w:bottom w:val="nil"/>
              <w:right w:val="nil"/>
            </w:tcBorders>
            <w:shd w:val="clear" w:color="000000" w:fill="FDE9D9"/>
            <w:noWrap/>
            <w:vAlign w:val="center"/>
            <w:hideMark/>
          </w:tcPr>
          <w:p w14:paraId="277D0D58" w14:textId="77777777" w:rsidR="00EF4EB2" w:rsidRPr="0092051D" w:rsidRDefault="00EF4EB2" w:rsidP="00EF4EB2">
            <w:pPr>
              <w:keepNext/>
              <w:keepLines/>
              <w:rPr>
                <w:rFonts w:ascii="Calibri" w:hAnsi="Calibri"/>
                <w:color w:val="000000"/>
                <w:lang w:eastAsia="en-GB"/>
              </w:rPr>
            </w:pPr>
            <w:r w:rsidRPr="0092051D">
              <w:rPr>
                <w:rFonts w:ascii="Calibri" w:hAnsi="Calibri"/>
                <w:color w:val="000000"/>
                <w:lang w:eastAsia="en-GB"/>
              </w:rPr>
              <w:t> </w:t>
            </w:r>
          </w:p>
        </w:tc>
        <w:tc>
          <w:tcPr>
            <w:tcW w:w="1559" w:type="dxa"/>
            <w:tcBorders>
              <w:top w:val="nil"/>
              <w:left w:val="nil"/>
              <w:bottom w:val="nil"/>
              <w:right w:val="nil"/>
            </w:tcBorders>
            <w:shd w:val="clear" w:color="000000" w:fill="FDE9D9"/>
            <w:noWrap/>
            <w:vAlign w:val="center"/>
          </w:tcPr>
          <w:p w14:paraId="0375BF37" w14:textId="77777777" w:rsidR="00EF4EB2" w:rsidRPr="0092051D" w:rsidRDefault="00EF4EB2" w:rsidP="00EF4EB2">
            <w:pPr>
              <w:keepNext/>
              <w:keepLines/>
              <w:rPr>
                <w:rFonts w:ascii="Calibri" w:hAnsi="Calibri"/>
                <w:color w:val="000000"/>
                <w:lang w:eastAsia="en-GB"/>
              </w:rPr>
            </w:pPr>
          </w:p>
        </w:tc>
      </w:tr>
      <w:tr w:rsidR="00EF4EB2" w:rsidRPr="0092051D" w14:paraId="75469D26" w14:textId="77777777" w:rsidTr="00EF4EB2">
        <w:trPr>
          <w:trHeight w:val="300"/>
        </w:trPr>
        <w:tc>
          <w:tcPr>
            <w:tcW w:w="39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345A79A6" w14:textId="77777777" w:rsidR="00EF4EB2" w:rsidRPr="0092051D" w:rsidRDefault="00EF4EB2" w:rsidP="00EF4EB2">
            <w:pPr>
              <w:keepNext/>
              <w:keepLines/>
              <w:rPr>
                <w:rFonts w:ascii="Calibri" w:hAnsi="Calibri"/>
                <w:color w:val="000000"/>
                <w:lang w:eastAsia="en-GB"/>
              </w:rPr>
            </w:pPr>
            <w:r>
              <w:rPr>
                <w:rFonts w:ascii="Calibri" w:hAnsi="Calibri"/>
                <w:color w:val="000000"/>
                <w:lang w:eastAsia="en-GB"/>
              </w:rPr>
              <w:t>At Amortised Cost</w:t>
            </w:r>
          </w:p>
        </w:tc>
        <w:tc>
          <w:tcPr>
            <w:tcW w:w="1564" w:type="dxa"/>
            <w:tcBorders>
              <w:top w:val="single" w:sz="4" w:space="0" w:color="FFFFFF"/>
              <w:left w:val="nil"/>
              <w:bottom w:val="single" w:sz="4" w:space="0" w:color="FFFFFF"/>
              <w:right w:val="single" w:sz="4" w:space="0" w:color="FFFFFF"/>
            </w:tcBorders>
            <w:shd w:val="clear" w:color="000000" w:fill="FDE9D9"/>
            <w:noWrap/>
            <w:vAlign w:val="center"/>
            <w:hideMark/>
          </w:tcPr>
          <w:p w14:paraId="0DF9B7EA" w14:textId="77777777" w:rsidR="00EF4EB2" w:rsidRPr="0092051D" w:rsidRDefault="00EF4EB2" w:rsidP="00EF4EB2">
            <w:pPr>
              <w:keepNext/>
              <w:keepLines/>
              <w:jc w:val="right"/>
              <w:rPr>
                <w:rFonts w:ascii="Calibri" w:hAnsi="Calibri"/>
                <w:color w:val="000000"/>
                <w:lang w:eastAsia="en-GB"/>
              </w:rPr>
            </w:pPr>
            <w:r>
              <w:rPr>
                <w:rFonts w:ascii="Calibri" w:hAnsi="Calibri"/>
                <w:color w:val="000000"/>
                <w:lang w:eastAsia="en-GB"/>
              </w:rPr>
              <w:t>121</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401140FC" w14:textId="0DAEA00A" w:rsidR="00EF4EB2" w:rsidRPr="0092051D" w:rsidRDefault="005C16BA" w:rsidP="00EF4EB2">
            <w:pPr>
              <w:keepNext/>
              <w:keepLines/>
              <w:jc w:val="right"/>
              <w:rPr>
                <w:rFonts w:ascii="Calibri" w:hAnsi="Calibri"/>
                <w:color w:val="000000"/>
                <w:lang w:eastAsia="en-GB"/>
              </w:rPr>
            </w:pPr>
            <w:r>
              <w:rPr>
                <w:rFonts w:ascii="Calibri" w:hAnsi="Calibri"/>
                <w:color w:val="000000"/>
                <w:lang w:eastAsia="en-GB"/>
              </w:rPr>
              <w:t>121</w:t>
            </w:r>
          </w:p>
        </w:tc>
        <w:tc>
          <w:tcPr>
            <w:tcW w:w="1559" w:type="dxa"/>
            <w:tcBorders>
              <w:top w:val="single" w:sz="4" w:space="0" w:color="FFFFFF"/>
              <w:left w:val="nil"/>
              <w:bottom w:val="single" w:sz="4" w:space="0" w:color="FFFFFF"/>
              <w:right w:val="single" w:sz="4" w:space="0" w:color="FFFFFF"/>
            </w:tcBorders>
            <w:shd w:val="clear" w:color="000000" w:fill="FDE9D9"/>
            <w:noWrap/>
            <w:vAlign w:val="center"/>
            <w:hideMark/>
          </w:tcPr>
          <w:p w14:paraId="70F6C721" w14:textId="1392CE13" w:rsidR="00EF4EB2" w:rsidRPr="0092051D" w:rsidRDefault="00673238" w:rsidP="00EF4EB2">
            <w:pPr>
              <w:keepNext/>
              <w:keepLines/>
              <w:jc w:val="right"/>
              <w:rPr>
                <w:rFonts w:ascii="Calibri" w:hAnsi="Calibri"/>
                <w:color w:val="000000"/>
                <w:lang w:eastAsia="en-GB"/>
              </w:rPr>
            </w:pPr>
            <w:r>
              <w:rPr>
                <w:rFonts w:ascii="Calibri" w:hAnsi="Calibri"/>
                <w:color w:val="000000"/>
                <w:lang w:eastAsia="en-GB"/>
              </w:rPr>
              <w:t>2,560</w:t>
            </w:r>
          </w:p>
        </w:tc>
        <w:tc>
          <w:tcPr>
            <w:tcW w:w="1559" w:type="dxa"/>
            <w:tcBorders>
              <w:top w:val="single" w:sz="4" w:space="0" w:color="FFFFFF"/>
              <w:left w:val="nil"/>
              <w:bottom w:val="single" w:sz="4" w:space="0" w:color="FFFFFF"/>
              <w:right w:val="single" w:sz="4" w:space="0" w:color="FFFFFF"/>
            </w:tcBorders>
            <w:shd w:val="clear" w:color="000000" w:fill="FDE9D9"/>
            <w:noWrap/>
            <w:vAlign w:val="center"/>
          </w:tcPr>
          <w:p w14:paraId="4642370C" w14:textId="0A746121" w:rsidR="008E16A8" w:rsidRPr="0092051D" w:rsidRDefault="005C16BA" w:rsidP="008E16A8">
            <w:pPr>
              <w:keepNext/>
              <w:keepLines/>
              <w:jc w:val="right"/>
              <w:rPr>
                <w:rFonts w:ascii="Calibri" w:hAnsi="Calibri"/>
                <w:color w:val="000000"/>
                <w:lang w:eastAsia="en-GB"/>
              </w:rPr>
            </w:pPr>
            <w:r>
              <w:rPr>
                <w:rFonts w:ascii="Calibri" w:hAnsi="Calibri"/>
                <w:color w:val="000000"/>
                <w:lang w:eastAsia="en-GB"/>
              </w:rPr>
              <w:t>2,270</w:t>
            </w:r>
          </w:p>
        </w:tc>
      </w:tr>
      <w:tr w:rsidR="00EF4EB2" w:rsidRPr="0092051D" w14:paraId="6FD0ADE2" w14:textId="77777777" w:rsidTr="00EF4EB2">
        <w:trPr>
          <w:trHeight w:val="300"/>
        </w:trPr>
        <w:tc>
          <w:tcPr>
            <w:tcW w:w="3980" w:type="dxa"/>
            <w:tcBorders>
              <w:top w:val="nil"/>
              <w:left w:val="single" w:sz="4" w:space="0" w:color="FFFFFF"/>
              <w:bottom w:val="nil"/>
              <w:right w:val="single" w:sz="4" w:space="0" w:color="FFFFFF"/>
            </w:tcBorders>
            <w:shd w:val="clear" w:color="000000" w:fill="FCD5B4"/>
            <w:noWrap/>
            <w:vAlign w:val="center"/>
            <w:hideMark/>
          </w:tcPr>
          <w:p w14:paraId="3107BA2F" w14:textId="77777777" w:rsidR="00EF4EB2" w:rsidRPr="0092051D" w:rsidRDefault="00EF4EB2" w:rsidP="00EF4EB2">
            <w:pPr>
              <w:rPr>
                <w:rFonts w:ascii="Calibri" w:hAnsi="Calibri"/>
                <w:b/>
                <w:bCs/>
                <w:color w:val="000000"/>
                <w:lang w:eastAsia="en-GB"/>
              </w:rPr>
            </w:pPr>
            <w:r w:rsidRPr="0092051D">
              <w:rPr>
                <w:rFonts w:ascii="Calibri" w:hAnsi="Calibri"/>
                <w:b/>
                <w:bCs/>
                <w:color w:val="000000"/>
                <w:lang w:eastAsia="en-GB"/>
              </w:rPr>
              <w:t>Total Payables</w:t>
            </w:r>
          </w:p>
        </w:tc>
        <w:tc>
          <w:tcPr>
            <w:tcW w:w="1564" w:type="dxa"/>
            <w:tcBorders>
              <w:top w:val="nil"/>
              <w:left w:val="nil"/>
              <w:bottom w:val="nil"/>
              <w:right w:val="single" w:sz="4" w:space="0" w:color="FFFFFF"/>
            </w:tcBorders>
            <w:shd w:val="clear" w:color="000000" w:fill="FCD5B4"/>
            <w:noWrap/>
            <w:vAlign w:val="center"/>
            <w:hideMark/>
          </w:tcPr>
          <w:p w14:paraId="107E6ED3" w14:textId="77777777" w:rsidR="00EF4EB2" w:rsidRPr="0092051D" w:rsidRDefault="00EF4EB2" w:rsidP="00EF4EB2">
            <w:pPr>
              <w:jc w:val="right"/>
              <w:rPr>
                <w:rFonts w:ascii="Calibri" w:hAnsi="Calibri"/>
                <w:b/>
                <w:bCs/>
                <w:color w:val="000000"/>
                <w:lang w:eastAsia="en-GB"/>
              </w:rPr>
            </w:pPr>
            <w:r>
              <w:rPr>
                <w:rFonts w:ascii="Calibri" w:hAnsi="Calibri"/>
                <w:b/>
                <w:bCs/>
                <w:color w:val="000000"/>
                <w:lang w:eastAsia="en-GB"/>
              </w:rPr>
              <w:t>121</w:t>
            </w:r>
          </w:p>
        </w:tc>
        <w:tc>
          <w:tcPr>
            <w:tcW w:w="1559" w:type="dxa"/>
            <w:tcBorders>
              <w:top w:val="nil"/>
              <w:left w:val="nil"/>
              <w:bottom w:val="nil"/>
              <w:right w:val="single" w:sz="4" w:space="0" w:color="FFFFFF"/>
            </w:tcBorders>
            <w:shd w:val="clear" w:color="000000" w:fill="FCD5B4"/>
            <w:noWrap/>
            <w:vAlign w:val="center"/>
          </w:tcPr>
          <w:p w14:paraId="5D6E4EA5" w14:textId="29E7A3F1" w:rsidR="00EF4EB2" w:rsidRPr="0092051D" w:rsidRDefault="005C16BA" w:rsidP="00EF4EB2">
            <w:pPr>
              <w:jc w:val="right"/>
              <w:rPr>
                <w:rFonts w:ascii="Calibri" w:hAnsi="Calibri"/>
                <w:b/>
                <w:bCs/>
                <w:color w:val="000000"/>
                <w:lang w:eastAsia="en-GB"/>
              </w:rPr>
            </w:pPr>
            <w:r>
              <w:rPr>
                <w:rFonts w:ascii="Calibri" w:hAnsi="Calibri"/>
                <w:b/>
                <w:bCs/>
                <w:color w:val="000000"/>
                <w:lang w:eastAsia="en-GB"/>
              </w:rPr>
              <w:t>121</w:t>
            </w:r>
          </w:p>
        </w:tc>
        <w:tc>
          <w:tcPr>
            <w:tcW w:w="1559" w:type="dxa"/>
            <w:tcBorders>
              <w:top w:val="nil"/>
              <w:left w:val="nil"/>
              <w:bottom w:val="nil"/>
              <w:right w:val="single" w:sz="4" w:space="0" w:color="FFFFFF"/>
            </w:tcBorders>
            <w:shd w:val="clear" w:color="000000" w:fill="FCD5B4"/>
            <w:noWrap/>
            <w:vAlign w:val="center"/>
            <w:hideMark/>
          </w:tcPr>
          <w:p w14:paraId="6BCC0068" w14:textId="39978F87" w:rsidR="00EF4EB2" w:rsidRPr="0092051D" w:rsidRDefault="00673238" w:rsidP="00EF4EB2">
            <w:pPr>
              <w:jc w:val="right"/>
              <w:rPr>
                <w:rFonts w:ascii="Calibri" w:hAnsi="Calibri"/>
                <w:b/>
                <w:bCs/>
                <w:color w:val="000000"/>
                <w:lang w:eastAsia="en-GB"/>
              </w:rPr>
            </w:pPr>
            <w:r>
              <w:rPr>
                <w:rFonts w:ascii="Calibri" w:hAnsi="Calibri"/>
                <w:b/>
                <w:bCs/>
                <w:color w:val="000000"/>
                <w:lang w:eastAsia="en-GB"/>
              </w:rPr>
              <w:t>2,560</w:t>
            </w:r>
          </w:p>
        </w:tc>
        <w:tc>
          <w:tcPr>
            <w:tcW w:w="1559" w:type="dxa"/>
            <w:tcBorders>
              <w:top w:val="nil"/>
              <w:left w:val="nil"/>
              <w:bottom w:val="nil"/>
              <w:right w:val="single" w:sz="4" w:space="0" w:color="FFFFFF"/>
            </w:tcBorders>
            <w:shd w:val="clear" w:color="000000" w:fill="FCD5B4"/>
            <w:noWrap/>
            <w:vAlign w:val="center"/>
          </w:tcPr>
          <w:p w14:paraId="0C388846" w14:textId="105ECA8F" w:rsidR="00EF4EB2" w:rsidRPr="0092051D" w:rsidRDefault="005C16BA" w:rsidP="00EF4EB2">
            <w:pPr>
              <w:jc w:val="right"/>
              <w:rPr>
                <w:rFonts w:ascii="Calibri" w:hAnsi="Calibri"/>
                <w:b/>
                <w:bCs/>
                <w:color w:val="000000"/>
                <w:lang w:eastAsia="en-GB"/>
              </w:rPr>
            </w:pPr>
            <w:r>
              <w:rPr>
                <w:rFonts w:ascii="Calibri" w:hAnsi="Calibri"/>
                <w:b/>
                <w:bCs/>
                <w:color w:val="000000"/>
                <w:lang w:eastAsia="en-GB"/>
              </w:rPr>
              <w:t>2,270</w:t>
            </w:r>
          </w:p>
        </w:tc>
      </w:tr>
    </w:tbl>
    <w:p w14:paraId="33ABA9BE" w14:textId="77777777" w:rsidR="00FC2D3A" w:rsidRDefault="00FC2D3A" w:rsidP="00AA07D3">
      <w:pPr>
        <w:widowControl w:val="0"/>
        <w:tabs>
          <w:tab w:val="left" w:pos="2520"/>
          <w:tab w:val="left" w:pos="7200"/>
          <w:tab w:val="left" w:pos="8460"/>
        </w:tabs>
        <w:rPr>
          <w:rFonts w:ascii="Arial" w:hAnsi="Arial" w:cs="Arial"/>
        </w:rPr>
      </w:pPr>
    </w:p>
    <w:p w14:paraId="5B9BB490" w14:textId="77777777" w:rsidR="00707761" w:rsidRDefault="00A622A9" w:rsidP="00707761">
      <w:pPr>
        <w:widowControl w:val="0"/>
        <w:tabs>
          <w:tab w:val="left" w:pos="2520"/>
          <w:tab w:val="left" w:pos="7200"/>
          <w:tab w:val="left" w:pos="8460"/>
        </w:tabs>
        <w:rPr>
          <w:rFonts w:asciiTheme="minorHAnsi" w:hAnsiTheme="minorHAnsi" w:cs="Arial"/>
          <w:b/>
          <w:sz w:val="24"/>
          <w:szCs w:val="24"/>
        </w:rPr>
      </w:pPr>
      <w:r>
        <w:rPr>
          <w:rFonts w:asciiTheme="minorHAnsi" w:hAnsiTheme="minorHAnsi" w:cs="Arial"/>
          <w:b/>
          <w:sz w:val="24"/>
          <w:szCs w:val="24"/>
        </w:rPr>
        <w:t>Income, Expense, Gains and Losses</w:t>
      </w:r>
    </w:p>
    <w:p w14:paraId="7F6AF0A5" w14:textId="77777777" w:rsidR="00707761" w:rsidRPr="007E2CDB" w:rsidRDefault="00707761" w:rsidP="00D346B6">
      <w:pPr>
        <w:widowControl w:val="0"/>
        <w:tabs>
          <w:tab w:val="left" w:pos="2520"/>
          <w:tab w:val="left" w:pos="7200"/>
          <w:tab w:val="left" w:pos="8460"/>
        </w:tabs>
        <w:rPr>
          <w:rFonts w:ascii="Arial" w:hAnsi="Arial" w:cs="Arial"/>
          <w:b/>
        </w:rPr>
      </w:pPr>
    </w:p>
    <w:tbl>
      <w:tblPr>
        <w:tblStyle w:val="TableGrid"/>
        <w:tblW w:w="76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Income, Expense, Gains and Losses"/>
        <w:tblDescription w:val="Income, Expense, Gains and Losses on financial instruments"/>
      </w:tblPr>
      <w:tblGrid>
        <w:gridCol w:w="4786"/>
        <w:gridCol w:w="1418"/>
        <w:gridCol w:w="1417"/>
      </w:tblGrid>
      <w:tr w:rsidR="00C91C9A" w:rsidRPr="00ED3C11" w14:paraId="1974629D" w14:textId="77777777" w:rsidTr="00F367A2">
        <w:trPr>
          <w:cantSplit/>
          <w:tblHeader/>
        </w:trPr>
        <w:tc>
          <w:tcPr>
            <w:tcW w:w="4786" w:type="dxa"/>
            <w:tcBorders>
              <w:bottom w:val="nil"/>
            </w:tcBorders>
            <w:shd w:val="clear" w:color="auto" w:fill="FBD4B4" w:themeFill="accent6" w:themeFillTint="66"/>
          </w:tcPr>
          <w:p w14:paraId="449EDF34" w14:textId="77777777" w:rsidR="00C91C9A" w:rsidRPr="007E2CDB" w:rsidRDefault="00C91C9A" w:rsidP="00C91C9A">
            <w:pPr>
              <w:rPr>
                <w:rFonts w:asciiTheme="minorHAnsi" w:hAnsiTheme="minorHAnsi" w:cs="Arial"/>
                <w:b/>
              </w:rPr>
            </w:pPr>
          </w:p>
        </w:tc>
        <w:tc>
          <w:tcPr>
            <w:tcW w:w="1418" w:type="dxa"/>
            <w:shd w:val="clear" w:color="auto" w:fill="FBD4B4" w:themeFill="accent6" w:themeFillTint="66"/>
          </w:tcPr>
          <w:p w14:paraId="1DE5B212" w14:textId="454B8272" w:rsidR="00C91C9A" w:rsidRPr="007E2CDB" w:rsidRDefault="00C91C9A" w:rsidP="00C02E5E">
            <w:pPr>
              <w:widowControl w:val="0"/>
              <w:tabs>
                <w:tab w:val="left" w:pos="709"/>
                <w:tab w:val="left" w:pos="7200"/>
                <w:tab w:val="left" w:pos="8460"/>
              </w:tabs>
              <w:jc w:val="center"/>
              <w:rPr>
                <w:rFonts w:asciiTheme="minorHAnsi" w:hAnsiTheme="minorHAnsi" w:cs="Arial"/>
                <w:b/>
              </w:rPr>
            </w:pPr>
            <w:r>
              <w:rPr>
                <w:rFonts w:asciiTheme="minorHAnsi" w:hAnsiTheme="minorHAnsi" w:cs="Arial"/>
                <w:b/>
              </w:rPr>
              <w:t>20</w:t>
            </w:r>
            <w:r w:rsidR="00BA709C">
              <w:rPr>
                <w:rFonts w:asciiTheme="minorHAnsi" w:hAnsiTheme="minorHAnsi" w:cs="Arial"/>
                <w:b/>
              </w:rPr>
              <w:t>2</w:t>
            </w:r>
            <w:r w:rsidR="00673238">
              <w:rPr>
                <w:rFonts w:asciiTheme="minorHAnsi" w:hAnsiTheme="minorHAnsi" w:cs="Arial"/>
                <w:b/>
              </w:rPr>
              <w:t>1</w:t>
            </w:r>
            <w:r>
              <w:rPr>
                <w:rFonts w:asciiTheme="minorHAnsi" w:hAnsiTheme="minorHAnsi" w:cs="Arial"/>
                <w:b/>
              </w:rPr>
              <w:t>-</w:t>
            </w:r>
            <w:r w:rsidR="00C02E5E">
              <w:rPr>
                <w:rFonts w:asciiTheme="minorHAnsi" w:hAnsiTheme="minorHAnsi" w:cs="Arial"/>
                <w:b/>
              </w:rPr>
              <w:t>2</w:t>
            </w:r>
            <w:r w:rsidR="00673238">
              <w:rPr>
                <w:rFonts w:asciiTheme="minorHAnsi" w:hAnsiTheme="minorHAnsi" w:cs="Arial"/>
                <w:b/>
              </w:rPr>
              <w:t>2</w:t>
            </w:r>
          </w:p>
        </w:tc>
        <w:tc>
          <w:tcPr>
            <w:tcW w:w="1417" w:type="dxa"/>
            <w:shd w:val="clear" w:color="auto" w:fill="FBD4B4" w:themeFill="accent6" w:themeFillTint="66"/>
          </w:tcPr>
          <w:p w14:paraId="0FED30C3" w14:textId="45C30303" w:rsidR="00C91C9A" w:rsidRPr="007E2CDB" w:rsidRDefault="00C91C9A" w:rsidP="00C02E5E">
            <w:pPr>
              <w:widowControl w:val="0"/>
              <w:tabs>
                <w:tab w:val="left" w:pos="709"/>
                <w:tab w:val="left" w:pos="7200"/>
                <w:tab w:val="left" w:pos="8460"/>
              </w:tabs>
              <w:jc w:val="center"/>
              <w:rPr>
                <w:rFonts w:asciiTheme="minorHAnsi" w:hAnsiTheme="minorHAnsi" w:cs="Arial"/>
                <w:b/>
              </w:rPr>
            </w:pPr>
            <w:r>
              <w:rPr>
                <w:rFonts w:asciiTheme="minorHAnsi" w:hAnsiTheme="minorHAnsi" w:cs="Arial"/>
                <w:b/>
              </w:rPr>
              <w:t>20</w:t>
            </w:r>
            <w:r w:rsidR="00C02E5E">
              <w:rPr>
                <w:rFonts w:asciiTheme="minorHAnsi" w:hAnsiTheme="minorHAnsi" w:cs="Arial"/>
                <w:b/>
              </w:rPr>
              <w:t>2</w:t>
            </w:r>
            <w:r w:rsidR="00673238">
              <w:rPr>
                <w:rFonts w:asciiTheme="minorHAnsi" w:hAnsiTheme="minorHAnsi" w:cs="Arial"/>
                <w:b/>
              </w:rPr>
              <w:t>2</w:t>
            </w:r>
            <w:r>
              <w:rPr>
                <w:rFonts w:asciiTheme="minorHAnsi" w:hAnsiTheme="minorHAnsi" w:cs="Arial"/>
                <w:b/>
              </w:rPr>
              <w:t>-2</w:t>
            </w:r>
            <w:r w:rsidR="00673238">
              <w:rPr>
                <w:rFonts w:asciiTheme="minorHAnsi" w:hAnsiTheme="minorHAnsi" w:cs="Arial"/>
                <w:b/>
              </w:rPr>
              <w:t>3</w:t>
            </w:r>
          </w:p>
        </w:tc>
      </w:tr>
      <w:tr w:rsidR="00C91C9A" w14:paraId="30DEEED3" w14:textId="77777777" w:rsidTr="00C91C9A">
        <w:tc>
          <w:tcPr>
            <w:tcW w:w="4786" w:type="dxa"/>
            <w:tcBorders>
              <w:top w:val="nil"/>
              <w:bottom w:val="nil"/>
            </w:tcBorders>
            <w:shd w:val="clear" w:color="auto" w:fill="FBD4B4" w:themeFill="accent6" w:themeFillTint="66"/>
          </w:tcPr>
          <w:p w14:paraId="20F7D63D" w14:textId="77777777" w:rsidR="00C91C9A" w:rsidRPr="007E2CDB" w:rsidRDefault="00C91C9A" w:rsidP="00C91C9A">
            <w:pPr>
              <w:widowControl w:val="0"/>
              <w:tabs>
                <w:tab w:val="left" w:pos="709"/>
                <w:tab w:val="left" w:pos="7200"/>
                <w:tab w:val="left" w:pos="8460"/>
              </w:tabs>
              <w:rPr>
                <w:rFonts w:asciiTheme="minorHAnsi" w:hAnsiTheme="minorHAnsi" w:cs="Arial"/>
                <w:b/>
              </w:rPr>
            </w:pPr>
          </w:p>
        </w:tc>
        <w:tc>
          <w:tcPr>
            <w:tcW w:w="1418" w:type="dxa"/>
            <w:shd w:val="clear" w:color="auto" w:fill="FBD4B4" w:themeFill="accent6" w:themeFillTint="66"/>
          </w:tcPr>
          <w:p w14:paraId="5EE29449" w14:textId="77777777"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Surplus or Deficit on the Provision of Services</w:t>
            </w:r>
          </w:p>
        </w:tc>
        <w:tc>
          <w:tcPr>
            <w:tcW w:w="1417" w:type="dxa"/>
            <w:shd w:val="clear" w:color="auto" w:fill="FBD4B4" w:themeFill="accent6" w:themeFillTint="66"/>
          </w:tcPr>
          <w:p w14:paraId="355FA237" w14:textId="77777777"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Surplus or Deficit on the Provision of Services</w:t>
            </w:r>
          </w:p>
        </w:tc>
      </w:tr>
      <w:tr w:rsidR="00C91C9A" w14:paraId="03C47242" w14:textId="77777777" w:rsidTr="00C91C9A">
        <w:tc>
          <w:tcPr>
            <w:tcW w:w="4786" w:type="dxa"/>
            <w:tcBorders>
              <w:top w:val="nil"/>
            </w:tcBorders>
            <w:shd w:val="clear" w:color="auto" w:fill="FBD4B4" w:themeFill="accent6" w:themeFillTint="66"/>
          </w:tcPr>
          <w:p w14:paraId="737CDC22" w14:textId="77777777" w:rsidR="00C91C9A" w:rsidRPr="007E2CDB" w:rsidRDefault="00C91C9A" w:rsidP="00C91C9A">
            <w:pPr>
              <w:widowControl w:val="0"/>
              <w:tabs>
                <w:tab w:val="left" w:pos="709"/>
                <w:tab w:val="left" w:pos="7200"/>
                <w:tab w:val="left" w:pos="8460"/>
              </w:tabs>
              <w:rPr>
                <w:rFonts w:asciiTheme="minorHAnsi" w:hAnsiTheme="minorHAnsi" w:cs="Arial"/>
                <w:b/>
              </w:rPr>
            </w:pPr>
          </w:p>
        </w:tc>
        <w:tc>
          <w:tcPr>
            <w:tcW w:w="1418" w:type="dxa"/>
            <w:shd w:val="clear" w:color="auto" w:fill="FBD4B4" w:themeFill="accent6" w:themeFillTint="66"/>
          </w:tcPr>
          <w:p w14:paraId="1815E922" w14:textId="77777777"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£’000</w:t>
            </w:r>
          </w:p>
        </w:tc>
        <w:tc>
          <w:tcPr>
            <w:tcW w:w="1417" w:type="dxa"/>
            <w:shd w:val="clear" w:color="auto" w:fill="FBD4B4" w:themeFill="accent6" w:themeFillTint="66"/>
          </w:tcPr>
          <w:p w14:paraId="1B9D7CAB" w14:textId="77777777"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£’000</w:t>
            </w:r>
          </w:p>
        </w:tc>
      </w:tr>
      <w:tr w:rsidR="00C91C9A" w14:paraId="402E647D" w14:textId="77777777" w:rsidTr="00C91C9A">
        <w:tc>
          <w:tcPr>
            <w:tcW w:w="4786" w:type="dxa"/>
            <w:shd w:val="clear" w:color="auto" w:fill="FDE9D9" w:themeFill="accent6" w:themeFillTint="33"/>
          </w:tcPr>
          <w:p w14:paraId="2260020E" w14:textId="77777777" w:rsidR="00C91C9A" w:rsidRPr="007E2CDB" w:rsidRDefault="00C91C9A" w:rsidP="00C91C9A">
            <w:pPr>
              <w:widowControl w:val="0"/>
              <w:tabs>
                <w:tab w:val="left" w:pos="709"/>
                <w:tab w:val="left" w:pos="7200"/>
                <w:tab w:val="left" w:pos="8460"/>
              </w:tabs>
              <w:rPr>
                <w:rFonts w:asciiTheme="minorHAnsi" w:hAnsiTheme="minorHAnsi" w:cs="Arial"/>
                <w:b/>
              </w:rPr>
            </w:pPr>
            <w:r>
              <w:rPr>
                <w:rFonts w:asciiTheme="minorHAnsi" w:hAnsiTheme="minorHAnsi" w:cs="Arial"/>
                <w:b/>
              </w:rPr>
              <w:t>Net gains/losses on:</w:t>
            </w:r>
          </w:p>
        </w:tc>
        <w:tc>
          <w:tcPr>
            <w:tcW w:w="1418" w:type="dxa"/>
            <w:shd w:val="clear" w:color="auto" w:fill="FDE9D9" w:themeFill="accent6" w:themeFillTint="33"/>
          </w:tcPr>
          <w:p w14:paraId="583B8FC7" w14:textId="77777777" w:rsidR="00C91C9A" w:rsidRPr="007E2CDB" w:rsidRDefault="00C91C9A" w:rsidP="00C91C9A">
            <w:pPr>
              <w:widowControl w:val="0"/>
              <w:tabs>
                <w:tab w:val="left" w:pos="709"/>
                <w:tab w:val="left" w:pos="7200"/>
                <w:tab w:val="left" w:pos="8460"/>
              </w:tabs>
              <w:rPr>
                <w:rFonts w:asciiTheme="minorHAnsi" w:hAnsiTheme="minorHAnsi" w:cs="Arial"/>
                <w:b/>
              </w:rPr>
            </w:pPr>
          </w:p>
        </w:tc>
        <w:tc>
          <w:tcPr>
            <w:tcW w:w="1417" w:type="dxa"/>
            <w:shd w:val="clear" w:color="auto" w:fill="FDE9D9" w:themeFill="accent6" w:themeFillTint="33"/>
          </w:tcPr>
          <w:p w14:paraId="0007A415" w14:textId="77777777" w:rsidR="00C91C9A" w:rsidRPr="007E2CDB" w:rsidRDefault="00C91C9A" w:rsidP="00C91C9A">
            <w:pPr>
              <w:widowControl w:val="0"/>
              <w:tabs>
                <w:tab w:val="left" w:pos="709"/>
                <w:tab w:val="left" w:pos="7200"/>
                <w:tab w:val="left" w:pos="8460"/>
              </w:tabs>
              <w:rPr>
                <w:rFonts w:asciiTheme="minorHAnsi" w:hAnsiTheme="minorHAnsi" w:cs="Arial"/>
                <w:b/>
              </w:rPr>
            </w:pPr>
          </w:p>
        </w:tc>
      </w:tr>
      <w:tr w:rsidR="00C91C9A" w14:paraId="58CFC768" w14:textId="77777777" w:rsidTr="00C91C9A">
        <w:tc>
          <w:tcPr>
            <w:tcW w:w="4786" w:type="dxa"/>
            <w:shd w:val="clear" w:color="auto" w:fill="FDE9D9" w:themeFill="accent6" w:themeFillTint="33"/>
          </w:tcPr>
          <w:p w14:paraId="4ED1E55B" w14:textId="77777777" w:rsidR="00C91C9A" w:rsidRPr="007E2CDB" w:rsidRDefault="00C91C9A" w:rsidP="00C91C9A">
            <w:pPr>
              <w:widowControl w:val="0"/>
              <w:tabs>
                <w:tab w:val="left" w:pos="709"/>
                <w:tab w:val="left" w:pos="7200"/>
                <w:tab w:val="left" w:pos="8460"/>
              </w:tabs>
              <w:rPr>
                <w:rFonts w:asciiTheme="minorHAnsi" w:hAnsiTheme="minorHAnsi" w:cs="Arial"/>
              </w:rPr>
            </w:pPr>
            <w:r>
              <w:rPr>
                <w:rFonts w:asciiTheme="minorHAnsi" w:hAnsiTheme="minorHAnsi" w:cs="Arial"/>
              </w:rPr>
              <w:t>Financial Assets at fair value through Profit and Loss</w:t>
            </w:r>
          </w:p>
        </w:tc>
        <w:tc>
          <w:tcPr>
            <w:tcW w:w="1418" w:type="dxa"/>
            <w:shd w:val="clear" w:color="auto" w:fill="FDE9D9" w:themeFill="accent6" w:themeFillTint="33"/>
          </w:tcPr>
          <w:p w14:paraId="6558A248" w14:textId="34AF1BE8" w:rsidR="00C91C9A" w:rsidRPr="007E2CDB" w:rsidRDefault="00C91C9A" w:rsidP="00C02E5E">
            <w:pPr>
              <w:widowControl w:val="0"/>
              <w:tabs>
                <w:tab w:val="left" w:pos="709"/>
                <w:tab w:val="left" w:pos="7200"/>
                <w:tab w:val="left" w:pos="8460"/>
              </w:tabs>
              <w:jc w:val="right"/>
              <w:rPr>
                <w:rFonts w:asciiTheme="minorHAnsi" w:hAnsiTheme="minorHAnsi" w:cs="Arial"/>
              </w:rPr>
            </w:pPr>
            <w:r>
              <w:rPr>
                <w:rFonts w:asciiTheme="minorHAnsi" w:hAnsiTheme="minorHAnsi" w:cs="Arial"/>
              </w:rPr>
              <w:t>-</w:t>
            </w:r>
            <w:r w:rsidR="00673238">
              <w:rPr>
                <w:rFonts w:asciiTheme="minorHAnsi" w:hAnsiTheme="minorHAnsi" w:cs="Arial"/>
              </w:rPr>
              <w:t>403</w:t>
            </w:r>
          </w:p>
        </w:tc>
        <w:tc>
          <w:tcPr>
            <w:tcW w:w="1417" w:type="dxa"/>
            <w:shd w:val="clear" w:color="auto" w:fill="FDE9D9" w:themeFill="accent6" w:themeFillTint="33"/>
          </w:tcPr>
          <w:p w14:paraId="14569646" w14:textId="60A65DFD" w:rsidR="00C91C9A" w:rsidRPr="007E2CDB" w:rsidRDefault="005C16BA" w:rsidP="00C91C9A">
            <w:pPr>
              <w:widowControl w:val="0"/>
              <w:tabs>
                <w:tab w:val="left" w:pos="709"/>
                <w:tab w:val="left" w:pos="7200"/>
                <w:tab w:val="left" w:pos="8460"/>
              </w:tabs>
              <w:jc w:val="right"/>
              <w:rPr>
                <w:rFonts w:asciiTheme="minorHAnsi" w:hAnsiTheme="minorHAnsi" w:cs="Arial"/>
              </w:rPr>
            </w:pPr>
            <w:r>
              <w:rPr>
                <w:rFonts w:asciiTheme="minorHAnsi" w:hAnsiTheme="minorHAnsi" w:cs="Arial"/>
              </w:rPr>
              <w:t>285</w:t>
            </w:r>
          </w:p>
        </w:tc>
      </w:tr>
      <w:tr w:rsidR="00C91C9A" w14:paraId="39B48BC4" w14:textId="77777777" w:rsidTr="00C91C9A">
        <w:tc>
          <w:tcPr>
            <w:tcW w:w="4786" w:type="dxa"/>
            <w:shd w:val="clear" w:color="auto" w:fill="FBD4B4" w:themeFill="accent6" w:themeFillTint="66"/>
          </w:tcPr>
          <w:p w14:paraId="3621C1AA" w14:textId="77777777" w:rsidR="00C91C9A" w:rsidRPr="007E2CDB" w:rsidRDefault="00C91C9A" w:rsidP="00C91C9A">
            <w:pPr>
              <w:widowControl w:val="0"/>
              <w:tabs>
                <w:tab w:val="left" w:pos="709"/>
                <w:tab w:val="left" w:pos="7200"/>
                <w:tab w:val="left" w:pos="8460"/>
              </w:tabs>
              <w:rPr>
                <w:rFonts w:asciiTheme="minorHAnsi" w:hAnsiTheme="minorHAnsi" w:cs="Arial"/>
                <w:b/>
              </w:rPr>
            </w:pPr>
            <w:r>
              <w:rPr>
                <w:rFonts w:asciiTheme="minorHAnsi" w:hAnsiTheme="minorHAnsi" w:cs="Arial"/>
                <w:b/>
              </w:rPr>
              <w:t>Total net gains/losses</w:t>
            </w:r>
          </w:p>
        </w:tc>
        <w:tc>
          <w:tcPr>
            <w:tcW w:w="1418" w:type="dxa"/>
            <w:shd w:val="clear" w:color="auto" w:fill="FBD4B4" w:themeFill="accent6" w:themeFillTint="66"/>
          </w:tcPr>
          <w:p w14:paraId="480F6B47" w14:textId="0696377F"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w:t>
            </w:r>
            <w:r w:rsidR="00673238">
              <w:rPr>
                <w:rFonts w:asciiTheme="minorHAnsi" w:hAnsiTheme="minorHAnsi" w:cs="Arial"/>
                <w:b/>
              </w:rPr>
              <w:t>403</w:t>
            </w:r>
          </w:p>
        </w:tc>
        <w:tc>
          <w:tcPr>
            <w:tcW w:w="1417" w:type="dxa"/>
            <w:shd w:val="clear" w:color="auto" w:fill="FBD4B4" w:themeFill="accent6" w:themeFillTint="66"/>
          </w:tcPr>
          <w:p w14:paraId="12935870" w14:textId="3E827840" w:rsidR="00C91C9A" w:rsidRPr="007E2CDB" w:rsidRDefault="005C16B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285</w:t>
            </w:r>
          </w:p>
        </w:tc>
      </w:tr>
      <w:tr w:rsidR="00C91C9A" w14:paraId="098D0C39" w14:textId="77777777" w:rsidTr="00C91C9A">
        <w:tc>
          <w:tcPr>
            <w:tcW w:w="4786" w:type="dxa"/>
            <w:shd w:val="clear" w:color="auto" w:fill="FDE9D9" w:themeFill="accent6" w:themeFillTint="33"/>
          </w:tcPr>
          <w:p w14:paraId="5E62B831" w14:textId="77777777" w:rsidR="00C91C9A" w:rsidRPr="007E2CDB" w:rsidRDefault="00C91C9A" w:rsidP="00C91C9A">
            <w:pPr>
              <w:widowControl w:val="0"/>
              <w:tabs>
                <w:tab w:val="left" w:pos="709"/>
                <w:tab w:val="left" w:pos="7200"/>
                <w:tab w:val="left" w:pos="8460"/>
              </w:tabs>
              <w:rPr>
                <w:rFonts w:asciiTheme="minorHAnsi" w:hAnsiTheme="minorHAnsi" w:cs="Arial"/>
                <w:b/>
              </w:rPr>
            </w:pPr>
            <w:r>
              <w:rPr>
                <w:rFonts w:asciiTheme="minorHAnsi" w:hAnsiTheme="minorHAnsi" w:cs="Arial"/>
                <w:b/>
              </w:rPr>
              <w:t>Interest revenue:</w:t>
            </w:r>
          </w:p>
        </w:tc>
        <w:tc>
          <w:tcPr>
            <w:tcW w:w="1418" w:type="dxa"/>
            <w:shd w:val="clear" w:color="auto" w:fill="FDE9D9" w:themeFill="accent6" w:themeFillTint="33"/>
          </w:tcPr>
          <w:p w14:paraId="0C410F6A" w14:textId="77777777" w:rsidR="00C91C9A" w:rsidRPr="007E2CDB" w:rsidRDefault="00C91C9A" w:rsidP="00C91C9A">
            <w:pPr>
              <w:widowControl w:val="0"/>
              <w:tabs>
                <w:tab w:val="left" w:pos="709"/>
                <w:tab w:val="left" w:pos="7200"/>
                <w:tab w:val="left" w:pos="8460"/>
              </w:tabs>
              <w:jc w:val="right"/>
              <w:rPr>
                <w:rFonts w:asciiTheme="minorHAnsi" w:hAnsiTheme="minorHAnsi" w:cs="Arial"/>
              </w:rPr>
            </w:pPr>
          </w:p>
        </w:tc>
        <w:tc>
          <w:tcPr>
            <w:tcW w:w="1417" w:type="dxa"/>
            <w:shd w:val="clear" w:color="auto" w:fill="FDE9D9" w:themeFill="accent6" w:themeFillTint="33"/>
          </w:tcPr>
          <w:p w14:paraId="36F9004B" w14:textId="2B82CF70" w:rsidR="00C91C9A" w:rsidRPr="007E2CDB" w:rsidRDefault="00C91C9A" w:rsidP="00C91C9A">
            <w:pPr>
              <w:widowControl w:val="0"/>
              <w:tabs>
                <w:tab w:val="left" w:pos="709"/>
                <w:tab w:val="left" w:pos="7200"/>
                <w:tab w:val="left" w:pos="8460"/>
              </w:tabs>
              <w:jc w:val="right"/>
              <w:rPr>
                <w:rFonts w:asciiTheme="minorHAnsi" w:hAnsiTheme="minorHAnsi" w:cs="Arial"/>
              </w:rPr>
            </w:pPr>
          </w:p>
        </w:tc>
      </w:tr>
      <w:tr w:rsidR="00C91C9A" w14:paraId="6D741C28" w14:textId="77777777" w:rsidTr="00C91C9A">
        <w:tc>
          <w:tcPr>
            <w:tcW w:w="4786" w:type="dxa"/>
            <w:shd w:val="clear" w:color="auto" w:fill="FDE9D9" w:themeFill="accent6" w:themeFillTint="33"/>
          </w:tcPr>
          <w:p w14:paraId="031AAB6C" w14:textId="77777777" w:rsidR="00C91C9A" w:rsidRPr="007E2CDB" w:rsidRDefault="00C91C9A" w:rsidP="00C91C9A">
            <w:pPr>
              <w:widowControl w:val="0"/>
              <w:tabs>
                <w:tab w:val="left" w:pos="709"/>
                <w:tab w:val="left" w:pos="7200"/>
                <w:tab w:val="left" w:pos="8460"/>
              </w:tabs>
              <w:rPr>
                <w:rFonts w:asciiTheme="minorHAnsi" w:hAnsiTheme="minorHAnsi" w:cs="Arial"/>
              </w:rPr>
            </w:pPr>
            <w:r>
              <w:rPr>
                <w:rFonts w:asciiTheme="minorHAnsi" w:hAnsiTheme="minorHAnsi" w:cs="Arial"/>
              </w:rPr>
              <w:t>Financial Assets at amortised cost</w:t>
            </w:r>
          </w:p>
        </w:tc>
        <w:tc>
          <w:tcPr>
            <w:tcW w:w="1418" w:type="dxa"/>
            <w:shd w:val="clear" w:color="auto" w:fill="FDE9D9" w:themeFill="accent6" w:themeFillTint="33"/>
          </w:tcPr>
          <w:p w14:paraId="312EF101" w14:textId="48B3FE81" w:rsidR="00C91C9A" w:rsidRPr="007E2CDB" w:rsidRDefault="00C91C9A" w:rsidP="00C91C9A">
            <w:pPr>
              <w:widowControl w:val="0"/>
              <w:tabs>
                <w:tab w:val="left" w:pos="709"/>
                <w:tab w:val="left" w:pos="7200"/>
                <w:tab w:val="left" w:pos="8460"/>
              </w:tabs>
              <w:jc w:val="right"/>
              <w:rPr>
                <w:rFonts w:asciiTheme="minorHAnsi" w:hAnsiTheme="minorHAnsi" w:cs="Arial"/>
              </w:rPr>
            </w:pPr>
            <w:r>
              <w:rPr>
                <w:rFonts w:asciiTheme="minorHAnsi" w:hAnsiTheme="minorHAnsi" w:cs="Arial"/>
              </w:rPr>
              <w:t>-2</w:t>
            </w:r>
            <w:r w:rsidR="00673238">
              <w:rPr>
                <w:rFonts w:asciiTheme="minorHAnsi" w:hAnsiTheme="minorHAnsi" w:cs="Arial"/>
              </w:rPr>
              <w:t>13</w:t>
            </w:r>
          </w:p>
        </w:tc>
        <w:tc>
          <w:tcPr>
            <w:tcW w:w="1417" w:type="dxa"/>
            <w:shd w:val="clear" w:color="auto" w:fill="FDE9D9" w:themeFill="accent6" w:themeFillTint="33"/>
          </w:tcPr>
          <w:p w14:paraId="70E071A1" w14:textId="10904719" w:rsidR="00C91C9A" w:rsidRPr="007E2CDB" w:rsidRDefault="005C16BA" w:rsidP="00C91C9A">
            <w:pPr>
              <w:widowControl w:val="0"/>
              <w:tabs>
                <w:tab w:val="left" w:pos="709"/>
                <w:tab w:val="left" w:pos="7200"/>
                <w:tab w:val="left" w:pos="8460"/>
              </w:tabs>
              <w:jc w:val="right"/>
              <w:rPr>
                <w:rFonts w:asciiTheme="minorHAnsi" w:hAnsiTheme="minorHAnsi" w:cs="Arial"/>
              </w:rPr>
            </w:pPr>
            <w:r>
              <w:rPr>
                <w:rFonts w:asciiTheme="minorHAnsi" w:hAnsiTheme="minorHAnsi" w:cs="Arial"/>
              </w:rPr>
              <w:t>-582</w:t>
            </w:r>
          </w:p>
        </w:tc>
      </w:tr>
      <w:tr w:rsidR="00C91C9A" w14:paraId="43BDB0F3" w14:textId="77777777" w:rsidTr="00C91C9A">
        <w:tc>
          <w:tcPr>
            <w:tcW w:w="4786" w:type="dxa"/>
            <w:shd w:val="clear" w:color="auto" w:fill="FBD4B4" w:themeFill="accent6" w:themeFillTint="66"/>
          </w:tcPr>
          <w:p w14:paraId="1A690F50" w14:textId="77777777" w:rsidR="00C91C9A" w:rsidRPr="007E2CDB" w:rsidRDefault="00C91C9A" w:rsidP="00C91C9A">
            <w:pPr>
              <w:widowControl w:val="0"/>
              <w:tabs>
                <w:tab w:val="left" w:pos="709"/>
                <w:tab w:val="left" w:pos="7200"/>
                <w:tab w:val="left" w:pos="8460"/>
              </w:tabs>
              <w:rPr>
                <w:rFonts w:asciiTheme="minorHAnsi" w:hAnsiTheme="minorHAnsi" w:cs="Arial"/>
                <w:b/>
              </w:rPr>
            </w:pPr>
            <w:r>
              <w:rPr>
                <w:rFonts w:asciiTheme="minorHAnsi" w:hAnsiTheme="minorHAnsi" w:cs="Arial"/>
                <w:b/>
              </w:rPr>
              <w:t>Total interest revenue</w:t>
            </w:r>
          </w:p>
        </w:tc>
        <w:tc>
          <w:tcPr>
            <w:tcW w:w="1418" w:type="dxa"/>
            <w:shd w:val="clear" w:color="auto" w:fill="FBD4B4" w:themeFill="accent6" w:themeFillTint="66"/>
          </w:tcPr>
          <w:p w14:paraId="4B7D2F60" w14:textId="2B64EDB3"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-2</w:t>
            </w:r>
            <w:r w:rsidR="00673238">
              <w:rPr>
                <w:rFonts w:asciiTheme="minorHAnsi" w:hAnsiTheme="minorHAnsi" w:cs="Arial"/>
                <w:b/>
              </w:rPr>
              <w:t>13</w:t>
            </w:r>
          </w:p>
        </w:tc>
        <w:tc>
          <w:tcPr>
            <w:tcW w:w="1417" w:type="dxa"/>
            <w:shd w:val="clear" w:color="auto" w:fill="FBD4B4" w:themeFill="accent6" w:themeFillTint="66"/>
          </w:tcPr>
          <w:p w14:paraId="1C8F6260" w14:textId="4FA48F22" w:rsidR="00C91C9A" w:rsidRPr="007E2CDB" w:rsidRDefault="005C16B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-582</w:t>
            </w:r>
          </w:p>
        </w:tc>
      </w:tr>
      <w:tr w:rsidR="00C91C9A" w14:paraId="1D6C3921" w14:textId="77777777" w:rsidTr="00C91C9A">
        <w:tc>
          <w:tcPr>
            <w:tcW w:w="4786" w:type="dxa"/>
            <w:shd w:val="clear" w:color="auto" w:fill="FDE9D9" w:themeFill="accent6" w:themeFillTint="33"/>
          </w:tcPr>
          <w:p w14:paraId="5F3A3D55" w14:textId="77777777" w:rsidR="00C91C9A" w:rsidRPr="007E2CDB" w:rsidRDefault="00C91C9A" w:rsidP="00C91C9A">
            <w:pPr>
              <w:widowControl w:val="0"/>
              <w:tabs>
                <w:tab w:val="left" w:pos="709"/>
                <w:tab w:val="left" w:pos="7200"/>
                <w:tab w:val="left" w:pos="8460"/>
              </w:tabs>
              <w:rPr>
                <w:rFonts w:asciiTheme="minorHAnsi" w:hAnsiTheme="minorHAnsi" w:cs="Arial"/>
              </w:rPr>
            </w:pPr>
          </w:p>
        </w:tc>
        <w:tc>
          <w:tcPr>
            <w:tcW w:w="1418" w:type="dxa"/>
            <w:shd w:val="clear" w:color="auto" w:fill="FDE9D9" w:themeFill="accent6" w:themeFillTint="33"/>
          </w:tcPr>
          <w:p w14:paraId="584FC4A9" w14:textId="77777777" w:rsidR="00C91C9A" w:rsidRPr="007E2CDB" w:rsidRDefault="00C91C9A" w:rsidP="00C91C9A">
            <w:pPr>
              <w:widowControl w:val="0"/>
              <w:tabs>
                <w:tab w:val="left" w:pos="709"/>
                <w:tab w:val="left" w:pos="7200"/>
                <w:tab w:val="left" w:pos="8460"/>
              </w:tabs>
              <w:jc w:val="right"/>
              <w:rPr>
                <w:rFonts w:asciiTheme="minorHAnsi" w:hAnsiTheme="minorHAnsi" w:cs="Arial"/>
              </w:rPr>
            </w:pPr>
          </w:p>
        </w:tc>
        <w:tc>
          <w:tcPr>
            <w:tcW w:w="1417" w:type="dxa"/>
            <w:shd w:val="clear" w:color="auto" w:fill="FDE9D9" w:themeFill="accent6" w:themeFillTint="33"/>
          </w:tcPr>
          <w:p w14:paraId="07387EFC" w14:textId="77777777" w:rsidR="00C91C9A" w:rsidRPr="007E2CDB" w:rsidRDefault="00C91C9A" w:rsidP="00C4422E">
            <w:pPr>
              <w:widowControl w:val="0"/>
              <w:tabs>
                <w:tab w:val="left" w:pos="709"/>
                <w:tab w:val="left" w:pos="7200"/>
                <w:tab w:val="left" w:pos="8460"/>
              </w:tabs>
              <w:jc w:val="center"/>
              <w:rPr>
                <w:rFonts w:asciiTheme="minorHAnsi" w:hAnsiTheme="minorHAnsi" w:cs="Arial"/>
              </w:rPr>
            </w:pPr>
          </w:p>
        </w:tc>
      </w:tr>
      <w:tr w:rsidR="00C91C9A" w14:paraId="0D53CB69" w14:textId="77777777" w:rsidTr="00C91C9A">
        <w:tc>
          <w:tcPr>
            <w:tcW w:w="4786" w:type="dxa"/>
            <w:shd w:val="clear" w:color="auto" w:fill="FBD4B4" w:themeFill="accent6" w:themeFillTint="66"/>
          </w:tcPr>
          <w:p w14:paraId="5BD86793" w14:textId="77777777" w:rsidR="00C91C9A" w:rsidRPr="007E2CDB" w:rsidRDefault="00C91C9A" w:rsidP="00C91C9A">
            <w:pPr>
              <w:widowControl w:val="0"/>
              <w:tabs>
                <w:tab w:val="left" w:pos="709"/>
                <w:tab w:val="left" w:pos="7200"/>
                <w:tab w:val="left" w:pos="8460"/>
              </w:tabs>
              <w:rPr>
                <w:rFonts w:asciiTheme="minorHAnsi" w:hAnsiTheme="minorHAnsi" w:cs="Arial"/>
                <w:b/>
              </w:rPr>
            </w:pPr>
            <w:r w:rsidRPr="007E2CDB">
              <w:rPr>
                <w:rFonts w:asciiTheme="minorHAnsi" w:hAnsiTheme="minorHAnsi" w:cs="Arial"/>
                <w:b/>
              </w:rPr>
              <w:t>Total interest expense</w:t>
            </w:r>
          </w:p>
        </w:tc>
        <w:tc>
          <w:tcPr>
            <w:tcW w:w="1418" w:type="dxa"/>
            <w:shd w:val="clear" w:color="auto" w:fill="FBD4B4" w:themeFill="accent6" w:themeFillTint="66"/>
          </w:tcPr>
          <w:p w14:paraId="180A6246" w14:textId="77777777" w:rsidR="00C91C9A" w:rsidRPr="007E2CDB" w:rsidRDefault="00C91C9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1,168</w:t>
            </w:r>
          </w:p>
        </w:tc>
        <w:tc>
          <w:tcPr>
            <w:tcW w:w="1417" w:type="dxa"/>
            <w:shd w:val="clear" w:color="auto" w:fill="FBD4B4" w:themeFill="accent6" w:themeFillTint="66"/>
          </w:tcPr>
          <w:p w14:paraId="6168D22C" w14:textId="0A09E784" w:rsidR="00C91C9A" w:rsidRPr="007E2CDB" w:rsidRDefault="005C16B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1,168</w:t>
            </w:r>
          </w:p>
        </w:tc>
      </w:tr>
      <w:tr w:rsidR="00C91C9A" w14:paraId="40D187B6" w14:textId="77777777" w:rsidTr="00C91C9A">
        <w:tc>
          <w:tcPr>
            <w:tcW w:w="4786" w:type="dxa"/>
            <w:shd w:val="clear" w:color="auto" w:fill="FDE9D9" w:themeFill="accent6" w:themeFillTint="33"/>
          </w:tcPr>
          <w:p w14:paraId="62AF446C" w14:textId="77777777" w:rsidR="00C91C9A" w:rsidRPr="00ED3C11" w:rsidRDefault="00C91C9A" w:rsidP="00C91C9A">
            <w:pPr>
              <w:widowControl w:val="0"/>
              <w:tabs>
                <w:tab w:val="left" w:pos="709"/>
                <w:tab w:val="left" w:pos="7200"/>
                <w:tab w:val="left" w:pos="8460"/>
              </w:tabs>
              <w:rPr>
                <w:rFonts w:asciiTheme="minorHAnsi" w:hAnsiTheme="minorHAnsi" w:cs="Arial"/>
              </w:rPr>
            </w:pPr>
          </w:p>
        </w:tc>
        <w:tc>
          <w:tcPr>
            <w:tcW w:w="1418" w:type="dxa"/>
            <w:shd w:val="clear" w:color="auto" w:fill="FDE9D9" w:themeFill="accent6" w:themeFillTint="33"/>
          </w:tcPr>
          <w:p w14:paraId="78E0D5CC" w14:textId="77777777" w:rsidR="00C91C9A" w:rsidRPr="00ED3C11" w:rsidRDefault="00C91C9A" w:rsidP="00C91C9A">
            <w:pPr>
              <w:widowControl w:val="0"/>
              <w:tabs>
                <w:tab w:val="left" w:pos="709"/>
                <w:tab w:val="left" w:pos="7200"/>
                <w:tab w:val="left" w:pos="8460"/>
              </w:tabs>
              <w:jc w:val="right"/>
              <w:rPr>
                <w:rFonts w:asciiTheme="minorHAnsi" w:hAnsiTheme="minorHAnsi" w:cs="Arial"/>
              </w:rPr>
            </w:pPr>
          </w:p>
        </w:tc>
        <w:tc>
          <w:tcPr>
            <w:tcW w:w="1417" w:type="dxa"/>
            <w:shd w:val="clear" w:color="auto" w:fill="FDE9D9" w:themeFill="accent6" w:themeFillTint="33"/>
          </w:tcPr>
          <w:p w14:paraId="6476E8E5" w14:textId="77777777" w:rsidR="00C91C9A" w:rsidRPr="00ED3C11" w:rsidRDefault="00C91C9A" w:rsidP="00C91C9A">
            <w:pPr>
              <w:widowControl w:val="0"/>
              <w:tabs>
                <w:tab w:val="left" w:pos="709"/>
                <w:tab w:val="left" w:pos="7200"/>
                <w:tab w:val="left" w:pos="8460"/>
              </w:tabs>
              <w:jc w:val="right"/>
              <w:rPr>
                <w:rFonts w:asciiTheme="minorHAnsi" w:hAnsiTheme="minorHAnsi" w:cs="Arial"/>
              </w:rPr>
            </w:pPr>
          </w:p>
        </w:tc>
      </w:tr>
      <w:tr w:rsidR="00C91C9A" w14:paraId="1B03A213" w14:textId="77777777" w:rsidTr="00C91C9A">
        <w:tc>
          <w:tcPr>
            <w:tcW w:w="4786" w:type="dxa"/>
            <w:shd w:val="clear" w:color="auto" w:fill="FBD4B4" w:themeFill="accent6" w:themeFillTint="66"/>
          </w:tcPr>
          <w:p w14:paraId="415027E2" w14:textId="77777777" w:rsidR="00C91C9A" w:rsidRPr="007E2CDB" w:rsidRDefault="00C91C9A" w:rsidP="00C91C9A">
            <w:pPr>
              <w:widowControl w:val="0"/>
              <w:tabs>
                <w:tab w:val="left" w:pos="709"/>
                <w:tab w:val="left" w:pos="7200"/>
                <w:tab w:val="left" w:pos="8460"/>
              </w:tabs>
              <w:rPr>
                <w:rFonts w:asciiTheme="minorHAnsi" w:hAnsiTheme="minorHAnsi" w:cs="Arial"/>
                <w:b/>
              </w:rPr>
            </w:pPr>
            <w:r>
              <w:rPr>
                <w:rFonts w:asciiTheme="minorHAnsi" w:hAnsiTheme="minorHAnsi" w:cs="Arial"/>
                <w:b/>
              </w:rPr>
              <w:t>Total for the year</w:t>
            </w:r>
          </w:p>
        </w:tc>
        <w:tc>
          <w:tcPr>
            <w:tcW w:w="1418" w:type="dxa"/>
            <w:shd w:val="clear" w:color="auto" w:fill="FBD4B4" w:themeFill="accent6" w:themeFillTint="66"/>
          </w:tcPr>
          <w:p w14:paraId="3B16EFFB" w14:textId="0B86EC68" w:rsidR="00C91C9A" w:rsidRPr="007E2CDB" w:rsidRDefault="00673238"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552</w:t>
            </w:r>
          </w:p>
        </w:tc>
        <w:tc>
          <w:tcPr>
            <w:tcW w:w="1417" w:type="dxa"/>
            <w:shd w:val="clear" w:color="auto" w:fill="FBD4B4" w:themeFill="accent6" w:themeFillTint="66"/>
          </w:tcPr>
          <w:p w14:paraId="7A0132B7" w14:textId="70AE2E03" w:rsidR="00C91C9A" w:rsidRPr="007E2CDB" w:rsidRDefault="005C16BA" w:rsidP="00C91C9A">
            <w:pPr>
              <w:widowControl w:val="0"/>
              <w:tabs>
                <w:tab w:val="left" w:pos="709"/>
                <w:tab w:val="left" w:pos="7200"/>
                <w:tab w:val="left" w:pos="8460"/>
              </w:tabs>
              <w:jc w:val="right"/>
              <w:rPr>
                <w:rFonts w:asciiTheme="minorHAnsi" w:hAnsiTheme="minorHAnsi" w:cs="Arial"/>
                <w:b/>
              </w:rPr>
            </w:pPr>
            <w:r>
              <w:rPr>
                <w:rFonts w:asciiTheme="minorHAnsi" w:hAnsiTheme="minorHAnsi" w:cs="Arial"/>
                <w:b/>
              </w:rPr>
              <w:t>871</w:t>
            </w:r>
          </w:p>
        </w:tc>
      </w:tr>
    </w:tbl>
    <w:p w14:paraId="756D75A9" w14:textId="77777777" w:rsidR="00C164D4" w:rsidRDefault="00C164D4" w:rsidP="00707761">
      <w:pPr>
        <w:widowControl w:val="0"/>
        <w:tabs>
          <w:tab w:val="left" w:pos="2520"/>
          <w:tab w:val="left" w:pos="7200"/>
          <w:tab w:val="left" w:pos="8460"/>
        </w:tabs>
        <w:rPr>
          <w:rFonts w:asciiTheme="minorHAnsi" w:hAnsiTheme="minorHAnsi" w:cs="Arial"/>
          <w:b/>
          <w:sz w:val="24"/>
          <w:szCs w:val="24"/>
        </w:rPr>
      </w:pPr>
    </w:p>
    <w:p w14:paraId="0347CE88" w14:textId="7388E8EC" w:rsidR="00B533D2" w:rsidRDefault="00481F85" w:rsidP="00ED61B7">
      <w:pPr>
        <w:widowControl w:val="0"/>
        <w:tabs>
          <w:tab w:val="left" w:pos="2520"/>
          <w:tab w:val="left" w:pos="7200"/>
          <w:tab w:val="left" w:pos="8460"/>
        </w:tabs>
        <w:jc w:val="both"/>
        <w:rPr>
          <w:rFonts w:asciiTheme="minorHAnsi" w:hAnsiTheme="minorHAnsi" w:cs="Arial"/>
          <w:sz w:val="22"/>
          <w:szCs w:val="22"/>
        </w:rPr>
      </w:pPr>
      <w:r w:rsidRPr="007E2CDB">
        <w:rPr>
          <w:rFonts w:asciiTheme="minorHAnsi" w:hAnsiTheme="minorHAnsi" w:cs="Arial"/>
          <w:sz w:val="22"/>
          <w:szCs w:val="22"/>
        </w:rPr>
        <w:t xml:space="preserve">Available for sale assets – the Council holds an investment in the Churches Charities and Local Authorities (CCLA) pooled property fund, </w:t>
      </w:r>
      <w:r w:rsidRPr="00F804FC">
        <w:rPr>
          <w:rFonts w:asciiTheme="minorHAnsi" w:hAnsiTheme="minorHAnsi" w:cs="Arial"/>
          <w:sz w:val="22"/>
          <w:szCs w:val="22"/>
        </w:rPr>
        <w:t xml:space="preserve">which is classed as Available for Sale and is held in the balance sheet at fair value.  On the balance sheet </w:t>
      </w:r>
      <w:proofErr w:type="gramStart"/>
      <w:r w:rsidRPr="00F804FC">
        <w:rPr>
          <w:rFonts w:asciiTheme="minorHAnsi" w:hAnsiTheme="minorHAnsi" w:cs="Arial"/>
          <w:sz w:val="22"/>
          <w:szCs w:val="22"/>
        </w:rPr>
        <w:t>date</w:t>
      </w:r>
      <w:proofErr w:type="gramEnd"/>
      <w:r w:rsidRPr="00F804FC">
        <w:rPr>
          <w:rFonts w:asciiTheme="minorHAnsi" w:hAnsiTheme="minorHAnsi" w:cs="Arial"/>
          <w:sz w:val="22"/>
          <w:szCs w:val="22"/>
        </w:rPr>
        <w:t xml:space="preserve"> the fair value was £</w:t>
      </w:r>
      <w:r w:rsidR="00F804FC" w:rsidRPr="00F804FC">
        <w:rPr>
          <w:rFonts w:asciiTheme="minorHAnsi" w:hAnsiTheme="minorHAnsi" w:cs="Arial"/>
          <w:sz w:val="22"/>
          <w:szCs w:val="22"/>
        </w:rPr>
        <w:t>152</w:t>
      </w:r>
      <w:r w:rsidR="008E16A8" w:rsidRPr="00F804FC">
        <w:rPr>
          <w:rFonts w:asciiTheme="minorHAnsi" w:hAnsiTheme="minorHAnsi" w:cs="Arial"/>
          <w:sz w:val="22"/>
          <w:szCs w:val="22"/>
        </w:rPr>
        <w:t xml:space="preserve">k </w:t>
      </w:r>
      <w:r w:rsidR="00F804FC" w:rsidRPr="00F804FC">
        <w:rPr>
          <w:rFonts w:asciiTheme="minorHAnsi" w:hAnsiTheme="minorHAnsi" w:cs="Arial"/>
          <w:sz w:val="22"/>
          <w:szCs w:val="22"/>
        </w:rPr>
        <w:t>lower</w:t>
      </w:r>
      <w:r w:rsidRPr="00F804FC">
        <w:rPr>
          <w:rFonts w:asciiTheme="minorHAnsi" w:hAnsiTheme="minorHAnsi" w:cs="Arial"/>
          <w:sz w:val="22"/>
          <w:szCs w:val="22"/>
        </w:rPr>
        <w:t xml:space="preserve"> than</w:t>
      </w:r>
      <w:r w:rsidRPr="007E2CDB">
        <w:rPr>
          <w:rFonts w:asciiTheme="minorHAnsi" w:hAnsiTheme="minorHAnsi" w:cs="Arial"/>
          <w:sz w:val="22"/>
          <w:szCs w:val="22"/>
        </w:rPr>
        <w:t xml:space="preserve"> the purchase price due to changes in market conditions; this </w:t>
      </w:r>
      <w:r w:rsidRPr="007E2CDB">
        <w:rPr>
          <w:rFonts w:asciiTheme="minorHAnsi" w:hAnsiTheme="minorHAnsi" w:cs="Arial"/>
          <w:sz w:val="22"/>
          <w:szCs w:val="22"/>
        </w:rPr>
        <w:lastRenderedPageBreak/>
        <w:t xml:space="preserve">is held in the </w:t>
      </w:r>
      <w:r w:rsidR="00B533D2" w:rsidRPr="007E2CDB">
        <w:rPr>
          <w:rFonts w:asciiTheme="minorHAnsi" w:hAnsiTheme="minorHAnsi" w:cs="Arial"/>
          <w:sz w:val="22"/>
          <w:szCs w:val="22"/>
        </w:rPr>
        <w:t>Financial Instruments Revaluation Reserve</w:t>
      </w:r>
      <w:r w:rsidR="00CC1556">
        <w:rPr>
          <w:rFonts w:asciiTheme="minorHAnsi" w:hAnsiTheme="minorHAnsi" w:cs="Arial"/>
          <w:sz w:val="22"/>
          <w:szCs w:val="22"/>
        </w:rPr>
        <w:t>.</w:t>
      </w:r>
    </w:p>
    <w:p w14:paraId="19B1EFA2" w14:textId="5A42EBD2" w:rsidR="00CC1556" w:rsidRDefault="00CC1556" w:rsidP="00ED61B7">
      <w:pPr>
        <w:widowControl w:val="0"/>
        <w:tabs>
          <w:tab w:val="left" w:pos="2520"/>
          <w:tab w:val="left" w:pos="7200"/>
          <w:tab w:val="left" w:pos="8460"/>
        </w:tabs>
        <w:jc w:val="both"/>
        <w:rPr>
          <w:rFonts w:asciiTheme="minorHAnsi" w:hAnsiTheme="minorHAnsi" w:cs="Arial"/>
          <w:sz w:val="22"/>
          <w:szCs w:val="22"/>
        </w:rPr>
      </w:pPr>
    </w:p>
    <w:p w14:paraId="2814AC9B" w14:textId="77777777" w:rsidR="00707761" w:rsidRPr="00A55068" w:rsidRDefault="00A631F5" w:rsidP="00ED61B7">
      <w:pPr>
        <w:widowControl w:val="0"/>
        <w:tabs>
          <w:tab w:val="left" w:pos="2520"/>
          <w:tab w:val="left" w:pos="7200"/>
          <w:tab w:val="left" w:pos="8460"/>
        </w:tabs>
        <w:jc w:val="both"/>
        <w:rPr>
          <w:rFonts w:asciiTheme="minorHAnsi" w:hAnsiTheme="minorHAnsi" w:cs="Arial"/>
          <w:b/>
          <w:sz w:val="24"/>
          <w:szCs w:val="24"/>
        </w:rPr>
      </w:pPr>
      <w:r>
        <w:rPr>
          <w:rFonts w:asciiTheme="minorHAnsi" w:hAnsiTheme="minorHAnsi" w:cs="Arial"/>
          <w:b/>
          <w:sz w:val="22"/>
          <w:szCs w:val="22"/>
        </w:rPr>
        <w:t>T</w:t>
      </w:r>
      <w:r w:rsidR="00B533D2" w:rsidRPr="007E2CDB">
        <w:rPr>
          <w:rFonts w:asciiTheme="minorHAnsi" w:hAnsiTheme="minorHAnsi" w:cs="Arial"/>
          <w:b/>
          <w:sz w:val="22"/>
          <w:szCs w:val="22"/>
        </w:rPr>
        <w:t>h</w:t>
      </w:r>
      <w:r w:rsidR="00707761" w:rsidRPr="00A55068">
        <w:rPr>
          <w:rFonts w:asciiTheme="minorHAnsi" w:hAnsiTheme="minorHAnsi" w:cs="Arial"/>
          <w:b/>
          <w:sz w:val="24"/>
          <w:szCs w:val="24"/>
        </w:rPr>
        <w:t xml:space="preserve">e Fair Values of Financial Assets and Financial Liabilities </w:t>
      </w:r>
    </w:p>
    <w:p w14:paraId="3C2E7506" w14:textId="77777777" w:rsidR="00707761" w:rsidRPr="001F16B0" w:rsidRDefault="00707761" w:rsidP="00707761">
      <w:pPr>
        <w:widowControl w:val="0"/>
        <w:tabs>
          <w:tab w:val="left" w:pos="2520"/>
          <w:tab w:val="left" w:pos="7200"/>
          <w:tab w:val="left" w:pos="8460"/>
        </w:tabs>
        <w:rPr>
          <w:rFonts w:ascii="Arial" w:hAnsi="Arial" w:cs="Arial"/>
          <w:b/>
        </w:rPr>
      </w:pPr>
    </w:p>
    <w:p w14:paraId="5D4C424B" w14:textId="77777777" w:rsidR="00C543B9" w:rsidRDefault="00C543B9" w:rsidP="00C543B9">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One of the Council’</w:t>
      </w:r>
      <w:r w:rsidR="0008359B">
        <w:rPr>
          <w:rFonts w:asciiTheme="minorHAnsi" w:hAnsiTheme="minorHAnsi" w:cs="Arial"/>
          <w:sz w:val="22"/>
          <w:szCs w:val="22"/>
        </w:rPr>
        <w:t>s financial assets is measured at fair value</w:t>
      </w:r>
      <w:r w:rsidR="00AA07D3">
        <w:rPr>
          <w:rFonts w:asciiTheme="minorHAnsi" w:hAnsiTheme="minorHAnsi" w:cs="Arial"/>
          <w:sz w:val="22"/>
          <w:szCs w:val="22"/>
        </w:rPr>
        <w:t xml:space="preserve"> through Profit and Loss</w:t>
      </w:r>
      <w:r w:rsidR="0008359B">
        <w:rPr>
          <w:rFonts w:asciiTheme="minorHAnsi" w:hAnsiTheme="minorHAnsi" w:cs="Arial"/>
          <w:sz w:val="22"/>
          <w:szCs w:val="22"/>
        </w:rPr>
        <w:t xml:space="preserve"> on a recurring basis and is described in the following table, including the valuation techniques used to measure it.</w:t>
      </w:r>
    </w:p>
    <w:p w14:paraId="51980C4A" w14:textId="77777777" w:rsidR="00481F85" w:rsidRDefault="00481F85" w:rsidP="00C543B9">
      <w:pPr>
        <w:widowControl w:val="0"/>
        <w:tabs>
          <w:tab w:val="left" w:pos="2520"/>
          <w:tab w:val="left" w:pos="7200"/>
          <w:tab w:val="left" w:pos="8460"/>
        </w:tabs>
        <w:jc w:val="both"/>
        <w:rPr>
          <w:rFonts w:asciiTheme="minorHAnsi" w:hAnsiTheme="minorHAnsi" w:cs="Arial"/>
          <w:sz w:val="22"/>
          <w:szCs w:val="22"/>
        </w:rPr>
      </w:pPr>
    </w:p>
    <w:p w14:paraId="511C52F1" w14:textId="320C4B0E" w:rsidR="0008359B" w:rsidRDefault="0008359B" w:rsidP="00C543B9">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In 2017</w:t>
      </w:r>
      <w:r w:rsidR="00170BF4">
        <w:rPr>
          <w:rFonts w:asciiTheme="minorHAnsi" w:hAnsiTheme="minorHAnsi" w:cs="Arial"/>
          <w:sz w:val="22"/>
          <w:szCs w:val="22"/>
        </w:rPr>
        <w:t>-</w:t>
      </w:r>
      <w:r>
        <w:rPr>
          <w:rFonts w:asciiTheme="minorHAnsi" w:hAnsiTheme="minorHAnsi" w:cs="Arial"/>
          <w:sz w:val="22"/>
          <w:szCs w:val="22"/>
        </w:rPr>
        <w:t xml:space="preserve">18 the Council invested £2m in the CCLA pooled property fund. </w:t>
      </w:r>
      <w:r w:rsidR="001A5861">
        <w:rPr>
          <w:rFonts w:asciiTheme="minorHAnsi" w:hAnsiTheme="minorHAnsi" w:cs="Arial"/>
          <w:sz w:val="22"/>
          <w:szCs w:val="22"/>
        </w:rPr>
        <w:t xml:space="preserve">The valuation as </w:t>
      </w:r>
      <w:proofErr w:type="gramStart"/>
      <w:r w:rsidR="001A5861">
        <w:rPr>
          <w:rFonts w:asciiTheme="minorHAnsi" w:hAnsiTheme="minorHAnsi" w:cs="Arial"/>
          <w:sz w:val="22"/>
          <w:szCs w:val="22"/>
        </w:rPr>
        <w:t>at</w:t>
      </w:r>
      <w:proofErr w:type="gramEnd"/>
      <w:r w:rsidR="001A5861">
        <w:rPr>
          <w:rFonts w:asciiTheme="minorHAnsi" w:hAnsiTheme="minorHAnsi" w:cs="Arial"/>
          <w:sz w:val="22"/>
          <w:szCs w:val="22"/>
        </w:rPr>
        <w:t xml:space="preserve"> 31 March 202</w:t>
      </w:r>
      <w:r w:rsidR="00673238">
        <w:rPr>
          <w:rFonts w:asciiTheme="minorHAnsi" w:hAnsiTheme="minorHAnsi" w:cs="Arial"/>
          <w:sz w:val="22"/>
          <w:szCs w:val="22"/>
        </w:rPr>
        <w:t>3</w:t>
      </w:r>
      <w:r>
        <w:rPr>
          <w:rFonts w:asciiTheme="minorHAnsi" w:hAnsiTheme="minorHAnsi" w:cs="Arial"/>
          <w:sz w:val="22"/>
          <w:szCs w:val="22"/>
        </w:rPr>
        <w:t xml:space="preserve"> is based</w:t>
      </w:r>
      <w:r w:rsidR="00481F85">
        <w:rPr>
          <w:rFonts w:asciiTheme="minorHAnsi" w:hAnsiTheme="minorHAnsi" w:cs="Arial"/>
          <w:sz w:val="22"/>
          <w:szCs w:val="22"/>
        </w:rPr>
        <w:t xml:space="preserve"> on the published bid price</w:t>
      </w:r>
      <w:r>
        <w:rPr>
          <w:rFonts w:asciiTheme="minorHAnsi" w:hAnsiTheme="minorHAnsi" w:cs="Arial"/>
          <w:sz w:val="22"/>
          <w:szCs w:val="22"/>
        </w:rPr>
        <w:t>.</w:t>
      </w:r>
    </w:p>
    <w:p w14:paraId="46A6BC25" w14:textId="77777777" w:rsidR="00D346B6" w:rsidRDefault="00D346B6" w:rsidP="00C543B9">
      <w:pPr>
        <w:widowControl w:val="0"/>
        <w:tabs>
          <w:tab w:val="left" w:pos="2520"/>
          <w:tab w:val="left" w:pos="7200"/>
          <w:tab w:val="left" w:pos="8460"/>
        </w:tabs>
        <w:jc w:val="both"/>
        <w:rPr>
          <w:rFonts w:asciiTheme="minorHAnsi" w:hAnsiTheme="minorHAnsi" w:cs="Arial"/>
          <w:sz w:val="22"/>
          <w:szCs w:val="22"/>
        </w:rPr>
      </w:pPr>
    </w:p>
    <w:tbl>
      <w:tblPr>
        <w:tblW w:w="8945" w:type="dxa"/>
        <w:tblInd w:w="93" w:type="dxa"/>
        <w:tblLook w:val="04A0" w:firstRow="1" w:lastRow="0" w:firstColumn="1" w:lastColumn="0" w:noHBand="0" w:noVBand="1"/>
        <w:tblCaption w:val="Fair Values of Financial Assets and FInancial Liabilities"/>
        <w:tblDescription w:val="Fair Values of Financial Assets and FInancial Liabilities"/>
      </w:tblPr>
      <w:tblGrid>
        <w:gridCol w:w="3134"/>
        <w:gridCol w:w="1134"/>
        <w:gridCol w:w="2693"/>
        <w:gridCol w:w="850"/>
        <w:gridCol w:w="1134"/>
      </w:tblGrid>
      <w:tr w:rsidR="00C91C9A" w:rsidRPr="00894595" w14:paraId="09739A6E" w14:textId="77777777" w:rsidTr="00F367A2">
        <w:trPr>
          <w:cantSplit/>
          <w:trHeight w:val="300"/>
          <w:tblHeader/>
        </w:trPr>
        <w:tc>
          <w:tcPr>
            <w:tcW w:w="3134" w:type="dxa"/>
            <w:tcBorders>
              <w:top w:val="single" w:sz="4" w:space="0" w:color="FFFFFF"/>
              <w:left w:val="single" w:sz="4" w:space="0" w:color="FFFFFF"/>
              <w:bottom w:val="nil"/>
              <w:right w:val="single" w:sz="4" w:space="0" w:color="FFFFFF"/>
            </w:tcBorders>
            <w:shd w:val="clear" w:color="000000" w:fill="FABF8F"/>
            <w:noWrap/>
            <w:vAlign w:val="bottom"/>
            <w:hideMark/>
          </w:tcPr>
          <w:p w14:paraId="058CB40F" w14:textId="77777777" w:rsidR="00C91C9A" w:rsidRPr="00894595" w:rsidRDefault="00C91C9A" w:rsidP="00C91C9A">
            <w:pPr>
              <w:rPr>
                <w:rFonts w:ascii="Calibri" w:hAnsi="Calibri"/>
                <w:color w:val="000000"/>
                <w:lang w:eastAsia="en-GB"/>
              </w:rPr>
            </w:pPr>
            <w:r w:rsidRPr="00894595">
              <w:rPr>
                <w:rFonts w:ascii="Calibri" w:hAnsi="Calibri"/>
                <w:color w:val="000000"/>
                <w:lang w:eastAsia="en-GB"/>
              </w:rPr>
              <w:t> </w:t>
            </w:r>
            <w:r>
              <w:rPr>
                <w:rFonts w:ascii="Calibri" w:hAnsi="Calibri"/>
                <w:color w:val="000000"/>
                <w:lang w:eastAsia="en-GB"/>
              </w:rPr>
              <w:t>Recurring fair value measurements: Available for sale.</w:t>
            </w:r>
          </w:p>
        </w:tc>
        <w:tc>
          <w:tcPr>
            <w:tcW w:w="1134" w:type="dxa"/>
            <w:tcBorders>
              <w:top w:val="single" w:sz="4" w:space="0" w:color="FFFFFF"/>
              <w:left w:val="nil"/>
              <w:bottom w:val="single" w:sz="4" w:space="0" w:color="FFFFFF"/>
              <w:right w:val="nil"/>
            </w:tcBorders>
            <w:shd w:val="clear" w:color="000000" w:fill="FABF8F"/>
          </w:tcPr>
          <w:p w14:paraId="01E4440C" w14:textId="77777777" w:rsidR="00C91C9A" w:rsidRPr="00894595" w:rsidRDefault="00C91C9A" w:rsidP="00C91C9A">
            <w:pPr>
              <w:jc w:val="right"/>
              <w:rPr>
                <w:rFonts w:ascii="Calibri" w:hAnsi="Calibri"/>
                <w:color w:val="000000"/>
                <w:lang w:eastAsia="en-GB"/>
              </w:rPr>
            </w:pPr>
            <w:r>
              <w:rPr>
                <w:rFonts w:ascii="Calibri" w:hAnsi="Calibri"/>
                <w:color w:val="000000"/>
                <w:lang w:eastAsia="en-GB"/>
              </w:rPr>
              <w:t>Input level in fair value hierarchy</w:t>
            </w:r>
          </w:p>
        </w:tc>
        <w:tc>
          <w:tcPr>
            <w:tcW w:w="2693" w:type="dxa"/>
            <w:tcBorders>
              <w:top w:val="single" w:sz="4" w:space="0" w:color="FFFFFF"/>
              <w:left w:val="nil"/>
              <w:bottom w:val="single" w:sz="4" w:space="0" w:color="FFFFFF"/>
              <w:right w:val="single" w:sz="4" w:space="0" w:color="FFFFFF" w:themeColor="background1"/>
            </w:tcBorders>
            <w:shd w:val="clear" w:color="000000" w:fill="FABF8F"/>
          </w:tcPr>
          <w:p w14:paraId="2D13345C" w14:textId="77777777" w:rsidR="00C91C9A" w:rsidRPr="00894595" w:rsidRDefault="00C91C9A" w:rsidP="00C91C9A">
            <w:pPr>
              <w:jc w:val="right"/>
              <w:rPr>
                <w:rFonts w:ascii="Calibri" w:hAnsi="Calibri"/>
                <w:color w:val="000000"/>
                <w:lang w:eastAsia="en-GB"/>
              </w:rPr>
            </w:pPr>
            <w:r>
              <w:rPr>
                <w:rFonts w:ascii="Calibri" w:hAnsi="Calibri"/>
                <w:color w:val="000000"/>
                <w:lang w:eastAsia="en-GB"/>
              </w:rPr>
              <w:t>Valuation Technique used to measure fair value</w:t>
            </w:r>
          </w:p>
        </w:tc>
        <w:tc>
          <w:tcPr>
            <w:tcW w:w="850" w:type="dxa"/>
            <w:tcBorders>
              <w:top w:val="single" w:sz="4" w:space="0" w:color="FFFFFF"/>
              <w:left w:val="single" w:sz="4" w:space="0" w:color="FFFFFF" w:themeColor="background1"/>
              <w:bottom w:val="single" w:sz="4" w:space="0" w:color="FFFFFF"/>
              <w:right w:val="single" w:sz="4" w:space="0" w:color="FFFFFF"/>
            </w:tcBorders>
            <w:shd w:val="clear" w:color="000000" w:fill="FABF8F"/>
            <w:noWrap/>
            <w:vAlign w:val="center"/>
            <w:hideMark/>
          </w:tcPr>
          <w:p w14:paraId="54CC8983" w14:textId="7706D704" w:rsidR="00C91C9A" w:rsidRPr="00894595" w:rsidRDefault="00C91C9A" w:rsidP="00C02E5E">
            <w:pPr>
              <w:jc w:val="right"/>
              <w:rPr>
                <w:rFonts w:ascii="Calibri" w:hAnsi="Calibri"/>
                <w:color w:val="000000"/>
                <w:lang w:eastAsia="en-GB"/>
              </w:rPr>
            </w:pPr>
            <w:r w:rsidRPr="00894595">
              <w:rPr>
                <w:rFonts w:ascii="Calibri" w:hAnsi="Calibri"/>
                <w:color w:val="000000"/>
                <w:lang w:eastAsia="en-GB"/>
              </w:rPr>
              <w:t xml:space="preserve">           31 Mar 20</w:t>
            </w:r>
            <w:r w:rsidR="00C02E5E">
              <w:rPr>
                <w:rFonts w:ascii="Calibri" w:hAnsi="Calibri"/>
                <w:color w:val="000000"/>
                <w:lang w:eastAsia="en-GB"/>
              </w:rPr>
              <w:t>2</w:t>
            </w:r>
            <w:r w:rsidR="00673238">
              <w:rPr>
                <w:rFonts w:ascii="Calibri" w:hAnsi="Calibri"/>
                <w:color w:val="000000"/>
                <w:lang w:eastAsia="en-GB"/>
              </w:rPr>
              <w:t>2</w:t>
            </w:r>
          </w:p>
        </w:tc>
        <w:tc>
          <w:tcPr>
            <w:tcW w:w="1134" w:type="dxa"/>
            <w:tcBorders>
              <w:top w:val="single" w:sz="4" w:space="0" w:color="FFFFFF"/>
              <w:left w:val="nil"/>
              <w:bottom w:val="single" w:sz="4" w:space="0" w:color="FFFFFF"/>
              <w:right w:val="single" w:sz="4" w:space="0" w:color="FFFFFF"/>
            </w:tcBorders>
            <w:shd w:val="clear" w:color="000000" w:fill="FABF8F"/>
            <w:noWrap/>
            <w:vAlign w:val="center"/>
            <w:hideMark/>
          </w:tcPr>
          <w:p w14:paraId="45C43A23" w14:textId="77777777" w:rsidR="00E742B1" w:rsidRDefault="00C91C9A" w:rsidP="00E742B1">
            <w:pPr>
              <w:jc w:val="right"/>
              <w:rPr>
                <w:rFonts w:ascii="Calibri" w:hAnsi="Calibri"/>
                <w:color w:val="000000"/>
                <w:lang w:eastAsia="en-GB"/>
              </w:rPr>
            </w:pPr>
            <w:r w:rsidRPr="00894595">
              <w:rPr>
                <w:rFonts w:ascii="Calibri" w:hAnsi="Calibri"/>
                <w:color w:val="000000"/>
                <w:lang w:eastAsia="en-GB"/>
              </w:rPr>
              <w:t xml:space="preserve">     </w:t>
            </w:r>
          </w:p>
          <w:p w14:paraId="13F71880" w14:textId="5A5FCB63" w:rsidR="00C91C9A" w:rsidRPr="00894595" w:rsidRDefault="00C91C9A" w:rsidP="00C02E5E">
            <w:pPr>
              <w:jc w:val="right"/>
              <w:rPr>
                <w:rFonts w:ascii="Calibri" w:hAnsi="Calibri"/>
                <w:color w:val="000000"/>
                <w:lang w:eastAsia="en-GB"/>
              </w:rPr>
            </w:pPr>
            <w:r w:rsidRPr="00894595">
              <w:rPr>
                <w:rFonts w:ascii="Calibri" w:hAnsi="Calibri"/>
                <w:color w:val="000000"/>
                <w:lang w:eastAsia="en-GB"/>
              </w:rPr>
              <w:t>31 Mar 20</w:t>
            </w:r>
            <w:r w:rsidR="00E742B1">
              <w:rPr>
                <w:rFonts w:ascii="Calibri" w:hAnsi="Calibri"/>
                <w:color w:val="000000"/>
                <w:lang w:eastAsia="en-GB"/>
              </w:rPr>
              <w:t>2</w:t>
            </w:r>
            <w:r w:rsidR="00673238">
              <w:rPr>
                <w:rFonts w:ascii="Calibri" w:hAnsi="Calibri"/>
                <w:color w:val="000000"/>
                <w:lang w:eastAsia="en-GB"/>
              </w:rPr>
              <w:t>3</w:t>
            </w:r>
          </w:p>
        </w:tc>
      </w:tr>
      <w:tr w:rsidR="00C91C9A" w:rsidRPr="00894595" w14:paraId="7B23865D" w14:textId="77777777" w:rsidTr="00C91C9A">
        <w:trPr>
          <w:trHeight w:val="300"/>
        </w:trPr>
        <w:tc>
          <w:tcPr>
            <w:tcW w:w="3134" w:type="dxa"/>
            <w:tcBorders>
              <w:top w:val="nil"/>
              <w:left w:val="single" w:sz="4" w:space="0" w:color="FFFFFF"/>
              <w:bottom w:val="single" w:sz="4" w:space="0" w:color="FFFFFF"/>
              <w:right w:val="single" w:sz="4" w:space="0" w:color="FFFFFF"/>
            </w:tcBorders>
            <w:shd w:val="clear" w:color="000000" w:fill="FABF8F"/>
            <w:noWrap/>
            <w:vAlign w:val="bottom"/>
            <w:hideMark/>
          </w:tcPr>
          <w:p w14:paraId="32F81CB8" w14:textId="77777777" w:rsidR="00C91C9A" w:rsidRPr="00894595" w:rsidRDefault="00C91C9A" w:rsidP="00C91C9A">
            <w:pPr>
              <w:rPr>
                <w:rFonts w:ascii="Calibri" w:hAnsi="Calibri"/>
                <w:color w:val="000000"/>
                <w:lang w:eastAsia="en-GB"/>
              </w:rPr>
            </w:pPr>
            <w:r w:rsidRPr="00894595">
              <w:rPr>
                <w:rFonts w:ascii="Calibri" w:hAnsi="Calibri"/>
                <w:color w:val="000000"/>
                <w:lang w:eastAsia="en-GB"/>
              </w:rPr>
              <w:t> </w:t>
            </w:r>
          </w:p>
        </w:tc>
        <w:tc>
          <w:tcPr>
            <w:tcW w:w="1134" w:type="dxa"/>
            <w:tcBorders>
              <w:top w:val="nil"/>
              <w:left w:val="nil"/>
              <w:bottom w:val="single" w:sz="4" w:space="0" w:color="FFFFFF"/>
              <w:right w:val="nil"/>
            </w:tcBorders>
            <w:shd w:val="clear" w:color="000000" w:fill="FABF8F"/>
          </w:tcPr>
          <w:p w14:paraId="73727F81" w14:textId="77777777" w:rsidR="00C91C9A" w:rsidRPr="00894595" w:rsidRDefault="00C91C9A" w:rsidP="00C91C9A">
            <w:pPr>
              <w:jc w:val="right"/>
              <w:rPr>
                <w:rFonts w:ascii="Calibri" w:hAnsi="Calibri"/>
                <w:color w:val="000000"/>
                <w:lang w:eastAsia="en-GB"/>
              </w:rPr>
            </w:pPr>
          </w:p>
        </w:tc>
        <w:tc>
          <w:tcPr>
            <w:tcW w:w="2693" w:type="dxa"/>
            <w:tcBorders>
              <w:top w:val="nil"/>
              <w:left w:val="nil"/>
              <w:bottom w:val="single" w:sz="4" w:space="0" w:color="FFFFFF"/>
              <w:right w:val="single" w:sz="4" w:space="0" w:color="FFFFFF" w:themeColor="background1"/>
            </w:tcBorders>
            <w:shd w:val="clear" w:color="000000" w:fill="FABF8F"/>
          </w:tcPr>
          <w:p w14:paraId="0A926EB4" w14:textId="77777777" w:rsidR="00C91C9A" w:rsidRPr="00894595" w:rsidRDefault="00C91C9A" w:rsidP="00C91C9A">
            <w:pPr>
              <w:jc w:val="right"/>
              <w:rPr>
                <w:rFonts w:ascii="Calibri" w:hAnsi="Calibri"/>
                <w:color w:val="000000"/>
                <w:lang w:eastAsia="en-GB"/>
              </w:rPr>
            </w:pPr>
          </w:p>
        </w:tc>
        <w:tc>
          <w:tcPr>
            <w:tcW w:w="850" w:type="dxa"/>
            <w:tcBorders>
              <w:top w:val="single" w:sz="4" w:space="0" w:color="FFFFFF"/>
              <w:left w:val="single" w:sz="4" w:space="0" w:color="FFFFFF" w:themeColor="background1"/>
              <w:bottom w:val="single" w:sz="4" w:space="0" w:color="FFFFFF"/>
              <w:right w:val="single" w:sz="4" w:space="0" w:color="FFFFFF"/>
            </w:tcBorders>
            <w:shd w:val="clear" w:color="000000" w:fill="FABF8F"/>
            <w:noWrap/>
            <w:vAlign w:val="center"/>
            <w:hideMark/>
          </w:tcPr>
          <w:p w14:paraId="2EADA62A" w14:textId="77777777" w:rsidR="00C91C9A" w:rsidRPr="00894595" w:rsidRDefault="00C91C9A" w:rsidP="00C91C9A">
            <w:pPr>
              <w:jc w:val="right"/>
              <w:rPr>
                <w:rFonts w:ascii="Calibri" w:hAnsi="Calibri"/>
                <w:color w:val="000000"/>
                <w:lang w:eastAsia="en-GB"/>
              </w:rPr>
            </w:pPr>
            <w:r w:rsidRPr="00894595">
              <w:rPr>
                <w:rFonts w:ascii="Calibri" w:hAnsi="Calibri"/>
                <w:color w:val="000000"/>
                <w:lang w:eastAsia="en-GB"/>
              </w:rPr>
              <w:t xml:space="preserve"> £’000</w:t>
            </w:r>
          </w:p>
        </w:tc>
        <w:tc>
          <w:tcPr>
            <w:tcW w:w="1134" w:type="dxa"/>
            <w:tcBorders>
              <w:top w:val="nil"/>
              <w:left w:val="nil"/>
              <w:bottom w:val="single" w:sz="4" w:space="0" w:color="FFFFFF"/>
              <w:right w:val="single" w:sz="4" w:space="0" w:color="FFFFFF"/>
            </w:tcBorders>
            <w:shd w:val="clear" w:color="000000" w:fill="FABF8F"/>
            <w:noWrap/>
            <w:vAlign w:val="bottom"/>
            <w:hideMark/>
          </w:tcPr>
          <w:p w14:paraId="56CC6AA1" w14:textId="77777777" w:rsidR="00C91C9A" w:rsidRPr="00894595" w:rsidRDefault="00C91C9A" w:rsidP="00C91C9A">
            <w:pPr>
              <w:jc w:val="right"/>
              <w:rPr>
                <w:rFonts w:ascii="Calibri" w:hAnsi="Calibri"/>
                <w:color w:val="000000"/>
                <w:lang w:eastAsia="en-GB"/>
              </w:rPr>
            </w:pPr>
            <w:r w:rsidRPr="00894595">
              <w:rPr>
                <w:rFonts w:ascii="Calibri" w:hAnsi="Calibri"/>
                <w:color w:val="000000"/>
                <w:lang w:eastAsia="en-GB"/>
              </w:rPr>
              <w:t xml:space="preserve">    £’000</w:t>
            </w:r>
          </w:p>
        </w:tc>
      </w:tr>
      <w:tr w:rsidR="00C91C9A" w:rsidRPr="00894595" w14:paraId="7BCF0125" w14:textId="77777777" w:rsidTr="00C91C9A">
        <w:trPr>
          <w:trHeight w:val="300"/>
        </w:trPr>
        <w:tc>
          <w:tcPr>
            <w:tcW w:w="3134" w:type="dxa"/>
            <w:tcBorders>
              <w:top w:val="nil"/>
              <w:left w:val="single" w:sz="4" w:space="0" w:color="FFFFFF"/>
              <w:bottom w:val="single" w:sz="4" w:space="0" w:color="FFFFFF"/>
              <w:right w:val="single" w:sz="4" w:space="0" w:color="FFFFFF"/>
            </w:tcBorders>
            <w:shd w:val="clear" w:color="000000" w:fill="FDE9D9"/>
            <w:noWrap/>
            <w:vAlign w:val="center"/>
            <w:hideMark/>
          </w:tcPr>
          <w:p w14:paraId="1CE6A2DC" w14:textId="77777777" w:rsidR="00C91C9A" w:rsidRPr="00894595" w:rsidRDefault="00C91C9A" w:rsidP="00C91C9A">
            <w:pPr>
              <w:rPr>
                <w:rFonts w:ascii="Calibri" w:hAnsi="Calibri"/>
                <w:color w:val="000000"/>
                <w:lang w:eastAsia="en-GB"/>
              </w:rPr>
            </w:pPr>
            <w:r w:rsidRPr="00894595">
              <w:rPr>
                <w:rFonts w:ascii="Calibri" w:hAnsi="Calibri"/>
                <w:color w:val="000000"/>
                <w:lang w:eastAsia="en-GB"/>
              </w:rPr>
              <w:t>Not later than 1 year</w:t>
            </w:r>
          </w:p>
        </w:tc>
        <w:tc>
          <w:tcPr>
            <w:tcW w:w="1134" w:type="dxa"/>
            <w:tcBorders>
              <w:top w:val="nil"/>
              <w:left w:val="nil"/>
              <w:bottom w:val="single" w:sz="4" w:space="0" w:color="FFFFFF"/>
              <w:right w:val="nil"/>
            </w:tcBorders>
            <w:shd w:val="clear" w:color="000000" w:fill="FDE9D9"/>
          </w:tcPr>
          <w:p w14:paraId="57029C2D" w14:textId="77777777" w:rsidR="00C91C9A" w:rsidRDefault="00C91C9A" w:rsidP="00C91C9A">
            <w:pPr>
              <w:jc w:val="right"/>
              <w:rPr>
                <w:rFonts w:ascii="Calibri" w:hAnsi="Calibri"/>
                <w:color w:val="000000"/>
                <w:lang w:eastAsia="en-GB"/>
              </w:rPr>
            </w:pPr>
            <w:r>
              <w:rPr>
                <w:rFonts w:ascii="Calibri" w:hAnsi="Calibri"/>
                <w:color w:val="000000"/>
                <w:lang w:eastAsia="en-GB"/>
              </w:rPr>
              <w:t>Level 1</w:t>
            </w:r>
          </w:p>
        </w:tc>
        <w:tc>
          <w:tcPr>
            <w:tcW w:w="2693" w:type="dxa"/>
            <w:tcBorders>
              <w:top w:val="nil"/>
              <w:left w:val="nil"/>
              <w:bottom w:val="single" w:sz="4" w:space="0" w:color="FFFFFF"/>
              <w:right w:val="single" w:sz="4" w:space="0" w:color="FFFFFF" w:themeColor="background1"/>
            </w:tcBorders>
            <w:shd w:val="clear" w:color="000000" w:fill="FDE9D9"/>
          </w:tcPr>
          <w:p w14:paraId="1A2E446A" w14:textId="77777777" w:rsidR="00C91C9A" w:rsidRDefault="00C91C9A" w:rsidP="00C91C9A">
            <w:pPr>
              <w:jc w:val="right"/>
              <w:rPr>
                <w:rFonts w:ascii="Calibri" w:hAnsi="Calibri"/>
                <w:color w:val="000000"/>
                <w:lang w:eastAsia="en-GB"/>
              </w:rPr>
            </w:pPr>
            <w:r>
              <w:rPr>
                <w:rFonts w:ascii="Calibri" w:hAnsi="Calibri"/>
                <w:color w:val="000000"/>
                <w:lang w:eastAsia="en-GB"/>
              </w:rPr>
              <w:t xml:space="preserve">Unadjusted </w:t>
            </w:r>
            <w:proofErr w:type="gramStart"/>
            <w:r>
              <w:rPr>
                <w:rFonts w:ascii="Calibri" w:hAnsi="Calibri"/>
                <w:color w:val="000000"/>
                <w:lang w:eastAsia="en-GB"/>
              </w:rPr>
              <w:t>quoted  prices</w:t>
            </w:r>
            <w:proofErr w:type="gramEnd"/>
            <w:r>
              <w:rPr>
                <w:rFonts w:ascii="Calibri" w:hAnsi="Calibri"/>
                <w:color w:val="000000"/>
                <w:lang w:eastAsia="en-GB"/>
              </w:rPr>
              <w:t xml:space="preserve"> in active market</w:t>
            </w:r>
          </w:p>
        </w:tc>
        <w:tc>
          <w:tcPr>
            <w:tcW w:w="850" w:type="dxa"/>
            <w:tcBorders>
              <w:top w:val="single" w:sz="4" w:space="0" w:color="FFFFFF"/>
              <w:left w:val="single" w:sz="4" w:space="0" w:color="FFFFFF" w:themeColor="background1"/>
              <w:bottom w:val="single" w:sz="4" w:space="0" w:color="FFFFFF"/>
              <w:right w:val="single" w:sz="4" w:space="0" w:color="FFFFFF"/>
            </w:tcBorders>
            <w:shd w:val="clear" w:color="000000" w:fill="FDE9D9"/>
            <w:noWrap/>
            <w:vAlign w:val="center"/>
            <w:hideMark/>
          </w:tcPr>
          <w:p w14:paraId="7C0356B8" w14:textId="4BDD633A" w:rsidR="00C91C9A" w:rsidRPr="00894595" w:rsidRDefault="00673238" w:rsidP="00C02E5E">
            <w:pPr>
              <w:jc w:val="right"/>
              <w:rPr>
                <w:rFonts w:ascii="Calibri" w:hAnsi="Calibri"/>
                <w:color w:val="000000"/>
                <w:lang w:eastAsia="en-GB"/>
              </w:rPr>
            </w:pPr>
            <w:r>
              <w:rPr>
                <w:rFonts w:ascii="Calibri" w:hAnsi="Calibri"/>
                <w:color w:val="000000"/>
                <w:lang w:eastAsia="en-GB"/>
              </w:rPr>
              <w:t>2</w:t>
            </w:r>
            <w:r w:rsidR="00C91C9A">
              <w:rPr>
                <w:rFonts w:ascii="Calibri" w:hAnsi="Calibri"/>
                <w:color w:val="000000"/>
                <w:lang w:eastAsia="en-GB"/>
              </w:rPr>
              <w:t>,</w:t>
            </w:r>
            <w:r>
              <w:rPr>
                <w:rFonts w:ascii="Calibri" w:hAnsi="Calibri"/>
                <w:color w:val="000000"/>
                <w:lang w:eastAsia="en-GB"/>
              </w:rPr>
              <w:t>212</w:t>
            </w:r>
          </w:p>
        </w:tc>
        <w:tc>
          <w:tcPr>
            <w:tcW w:w="1134" w:type="dxa"/>
            <w:tcBorders>
              <w:top w:val="nil"/>
              <w:left w:val="nil"/>
              <w:bottom w:val="single" w:sz="4" w:space="0" w:color="FFFFFF"/>
              <w:right w:val="single" w:sz="4" w:space="0" w:color="FFFFFF"/>
            </w:tcBorders>
            <w:shd w:val="clear" w:color="000000" w:fill="FDE9D9"/>
            <w:noWrap/>
            <w:vAlign w:val="center"/>
          </w:tcPr>
          <w:p w14:paraId="2722C43C" w14:textId="42DE6FD8" w:rsidR="00C91C9A" w:rsidRPr="00894595" w:rsidRDefault="00F804FC" w:rsidP="007F601D">
            <w:pPr>
              <w:jc w:val="right"/>
              <w:rPr>
                <w:rFonts w:ascii="Calibri" w:hAnsi="Calibri"/>
                <w:color w:val="000000"/>
                <w:lang w:eastAsia="en-GB"/>
              </w:rPr>
            </w:pPr>
            <w:r>
              <w:rPr>
                <w:rFonts w:ascii="Calibri" w:hAnsi="Calibri"/>
                <w:color w:val="000000"/>
                <w:lang w:eastAsia="en-GB"/>
              </w:rPr>
              <w:t>1,848</w:t>
            </w:r>
          </w:p>
        </w:tc>
      </w:tr>
    </w:tbl>
    <w:p w14:paraId="76171E4F" w14:textId="77777777" w:rsidR="00D62293" w:rsidRDefault="00D62293" w:rsidP="00C543B9">
      <w:pPr>
        <w:widowControl w:val="0"/>
        <w:tabs>
          <w:tab w:val="left" w:pos="2520"/>
          <w:tab w:val="left" w:pos="7200"/>
          <w:tab w:val="left" w:pos="8460"/>
        </w:tabs>
        <w:jc w:val="both"/>
        <w:rPr>
          <w:rFonts w:asciiTheme="minorHAnsi" w:hAnsiTheme="minorHAnsi" w:cs="Arial"/>
          <w:sz w:val="22"/>
          <w:szCs w:val="22"/>
        </w:rPr>
      </w:pPr>
    </w:p>
    <w:p w14:paraId="6FF2B123" w14:textId="77777777" w:rsidR="0078101E" w:rsidRPr="00A55068" w:rsidRDefault="0078101E" w:rsidP="0078101E">
      <w:pPr>
        <w:widowControl w:val="0"/>
        <w:tabs>
          <w:tab w:val="left" w:pos="2520"/>
          <w:tab w:val="left" w:pos="7200"/>
          <w:tab w:val="left" w:pos="8460"/>
        </w:tabs>
        <w:jc w:val="both"/>
        <w:rPr>
          <w:rFonts w:asciiTheme="minorHAnsi" w:hAnsiTheme="minorHAnsi" w:cs="Arial"/>
          <w:b/>
          <w:sz w:val="24"/>
          <w:szCs w:val="24"/>
        </w:rPr>
      </w:pPr>
      <w:r w:rsidRPr="00A55068">
        <w:rPr>
          <w:rFonts w:asciiTheme="minorHAnsi" w:hAnsiTheme="minorHAnsi" w:cs="Arial"/>
          <w:b/>
          <w:sz w:val="24"/>
          <w:szCs w:val="24"/>
        </w:rPr>
        <w:t xml:space="preserve">The Fair Values of Financial Assets and Financial Liabilities that are not measured at Fair Value </w:t>
      </w:r>
    </w:p>
    <w:p w14:paraId="4C82700B" w14:textId="77777777" w:rsidR="0008359B" w:rsidRDefault="0008359B" w:rsidP="00C543B9">
      <w:pPr>
        <w:widowControl w:val="0"/>
        <w:tabs>
          <w:tab w:val="left" w:pos="2520"/>
          <w:tab w:val="left" w:pos="7200"/>
          <w:tab w:val="left" w:pos="8460"/>
        </w:tabs>
        <w:jc w:val="both"/>
        <w:rPr>
          <w:rFonts w:asciiTheme="minorHAnsi" w:hAnsiTheme="minorHAnsi" w:cs="Arial"/>
          <w:sz w:val="22"/>
          <w:szCs w:val="22"/>
        </w:rPr>
      </w:pPr>
    </w:p>
    <w:p w14:paraId="4311383A" w14:textId="77777777" w:rsidR="0078101E" w:rsidRDefault="00957E82" w:rsidP="00C543B9">
      <w:pPr>
        <w:widowControl w:val="0"/>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Except for the financial assets carried at fair value (described in the table above), all other financial liabilities and financial assets represented by loans and receivables and </w:t>
      </w:r>
      <w:proofErr w:type="gramStart"/>
      <w:r>
        <w:rPr>
          <w:rFonts w:asciiTheme="minorHAnsi" w:hAnsiTheme="minorHAnsi" w:cs="Arial"/>
          <w:sz w:val="22"/>
          <w:szCs w:val="22"/>
        </w:rPr>
        <w:t>long term</w:t>
      </w:r>
      <w:proofErr w:type="gramEnd"/>
      <w:r>
        <w:rPr>
          <w:rFonts w:asciiTheme="minorHAnsi" w:hAnsiTheme="minorHAnsi" w:cs="Arial"/>
          <w:sz w:val="22"/>
          <w:szCs w:val="22"/>
        </w:rPr>
        <w:t xml:space="preserve"> debtors and creditors are carried on the balance sheet at amortised cost. Their fair value can be assessed by calculating present value </w:t>
      </w:r>
      <w:r w:rsidR="007C430A">
        <w:rPr>
          <w:rFonts w:asciiTheme="minorHAnsi" w:hAnsiTheme="minorHAnsi" w:cs="Arial"/>
          <w:sz w:val="22"/>
          <w:szCs w:val="22"/>
        </w:rPr>
        <w:t xml:space="preserve">of the cash flows that take place over the remaining life of the instruments, using the following assumptions: </w:t>
      </w:r>
    </w:p>
    <w:p w14:paraId="06A6E7EF" w14:textId="77777777" w:rsidR="007C430A" w:rsidRDefault="007C430A" w:rsidP="00C543B9">
      <w:pPr>
        <w:widowControl w:val="0"/>
        <w:tabs>
          <w:tab w:val="left" w:pos="2520"/>
          <w:tab w:val="left" w:pos="7200"/>
          <w:tab w:val="left" w:pos="8460"/>
        </w:tabs>
        <w:jc w:val="both"/>
        <w:rPr>
          <w:rFonts w:asciiTheme="minorHAnsi" w:hAnsiTheme="minorHAnsi" w:cs="Arial"/>
          <w:sz w:val="22"/>
          <w:szCs w:val="22"/>
        </w:rPr>
      </w:pPr>
    </w:p>
    <w:p w14:paraId="4C1C6DA7" w14:textId="77777777" w:rsidR="007C430A" w:rsidRDefault="00EA2919" w:rsidP="00C76AD3">
      <w:pPr>
        <w:pStyle w:val="ListParagraph"/>
        <w:widowControl w:val="0"/>
        <w:numPr>
          <w:ilvl w:val="0"/>
          <w:numId w:val="37"/>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For loans from the PWLB, premature repayment rates from the PWLB have been applied to provide the fair value under PWLB debt redemption procedures. An additional note to the tables sets out the alternative fair value measurement applying the new borrowing rates, highlighting the impact of the alternative </w:t>
      </w:r>
      <w:proofErr w:type="gramStart"/>
      <w:r>
        <w:rPr>
          <w:rFonts w:asciiTheme="minorHAnsi" w:hAnsiTheme="minorHAnsi" w:cs="Arial"/>
          <w:sz w:val="22"/>
          <w:szCs w:val="22"/>
        </w:rPr>
        <w:t>valuation;</w:t>
      </w:r>
      <w:proofErr w:type="gramEnd"/>
    </w:p>
    <w:p w14:paraId="79A7717D" w14:textId="77777777" w:rsidR="00EA2919" w:rsidRDefault="00EA2919" w:rsidP="00C76AD3">
      <w:pPr>
        <w:pStyle w:val="ListParagraph"/>
        <w:widowControl w:val="0"/>
        <w:numPr>
          <w:ilvl w:val="0"/>
          <w:numId w:val="37"/>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No early repayment or impairment is </w:t>
      </w:r>
      <w:proofErr w:type="gramStart"/>
      <w:r>
        <w:rPr>
          <w:rFonts w:asciiTheme="minorHAnsi" w:hAnsiTheme="minorHAnsi" w:cs="Arial"/>
          <w:sz w:val="22"/>
          <w:szCs w:val="22"/>
        </w:rPr>
        <w:t>recognised;</w:t>
      </w:r>
      <w:proofErr w:type="gramEnd"/>
      <w:r>
        <w:rPr>
          <w:rFonts w:asciiTheme="minorHAnsi" w:hAnsiTheme="minorHAnsi" w:cs="Arial"/>
          <w:sz w:val="22"/>
          <w:szCs w:val="22"/>
        </w:rPr>
        <w:t xml:space="preserve"> </w:t>
      </w:r>
    </w:p>
    <w:p w14:paraId="27B9AFBD" w14:textId="77777777" w:rsidR="00EA2919" w:rsidRDefault="00EA2919" w:rsidP="00C76AD3">
      <w:pPr>
        <w:pStyle w:val="ListParagraph"/>
        <w:widowControl w:val="0"/>
        <w:numPr>
          <w:ilvl w:val="0"/>
          <w:numId w:val="37"/>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Where an instrument has a maturity of less than 12 months or is a trade or other receivable the fair value is taken to be the carrying amount or the billed </w:t>
      </w:r>
      <w:proofErr w:type="gramStart"/>
      <w:r>
        <w:rPr>
          <w:rFonts w:asciiTheme="minorHAnsi" w:hAnsiTheme="minorHAnsi" w:cs="Arial"/>
          <w:sz w:val="22"/>
          <w:szCs w:val="22"/>
        </w:rPr>
        <w:t>amount;</w:t>
      </w:r>
      <w:proofErr w:type="gramEnd"/>
    </w:p>
    <w:p w14:paraId="1997ABB9" w14:textId="77777777" w:rsidR="00EA2919" w:rsidRDefault="00EA2919" w:rsidP="00C76AD3">
      <w:pPr>
        <w:pStyle w:val="ListParagraph"/>
        <w:widowControl w:val="0"/>
        <w:numPr>
          <w:ilvl w:val="0"/>
          <w:numId w:val="37"/>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The fair value of trade and other receivables is taken to be the invoiced or billed </w:t>
      </w:r>
      <w:proofErr w:type="gramStart"/>
      <w:r>
        <w:rPr>
          <w:rFonts w:asciiTheme="minorHAnsi" w:hAnsiTheme="minorHAnsi" w:cs="Arial"/>
          <w:sz w:val="22"/>
          <w:szCs w:val="22"/>
        </w:rPr>
        <w:t>amount;</w:t>
      </w:r>
      <w:proofErr w:type="gramEnd"/>
    </w:p>
    <w:p w14:paraId="6AA38550" w14:textId="77777777" w:rsidR="00EA2919" w:rsidRDefault="00EA2919" w:rsidP="00C76AD3">
      <w:pPr>
        <w:pStyle w:val="ListParagraph"/>
        <w:widowControl w:val="0"/>
        <w:numPr>
          <w:ilvl w:val="0"/>
          <w:numId w:val="37"/>
        </w:numPr>
        <w:tabs>
          <w:tab w:val="left" w:pos="2520"/>
          <w:tab w:val="left" w:pos="7200"/>
          <w:tab w:val="left" w:pos="8460"/>
        </w:tabs>
        <w:jc w:val="both"/>
        <w:rPr>
          <w:rFonts w:asciiTheme="minorHAnsi" w:hAnsiTheme="minorHAnsi" w:cs="Arial"/>
          <w:sz w:val="22"/>
          <w:szCs w:val="22"/>
        </w:rPr>
      </w:pPr>
      <w:r>
        <w:rPr>
          <w:rFonts w:asciiTheme="minorHAnsi" w:hAnsiTheme="minorHAnsi" w:cs="Arial"/>
          <w:sz w:val="22"/>
          <w:szCs w:val="22"/>
        </w:rPr>
        <w:t xml:space="preserve">The fair value for financial liabilities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arrived at under Level 2 of the Fair Value Hierarchy using a discounted cash flow analysis with the most significant inputs being the net present value of cash flows that are expected to take place over the remaining life of the instruments.</w:t>
      </w:r>
    </w:p>
    <w:p w14:paraId="1E3E353E" w14:textId="77777777" w:rsidR="00EA2919" w:rsidRDefault="00EA2919" w:rsidP="00EA2919">
      <w:pPr>
        <w:pStyle w:val="ListParagraph"/>
        <w:widowControl w:val="0"/>
        <w:tabs>
          <w:tab w:val="left" w:pos="2520"/>
          <w:tab w:val="left" w:pos="7200"/>
          <w:tab w:val="left" w:pos="8460"/>
        </w:tabs>
        <w:jc w:val="both"/>
        <w:rPr>
          <w:rFonts w:asciiTheme="minorHAnsi" w:hAnsiTheme="minorHAnsi" w:cs="Arial"/>
          <w:sz w:val="22"/>
          <w:szCs w:val="22"/>
        </w:rPr>
      </w:pPr>
    </w:p>
    <w:p w14:paraId="538D4392" w14:textId="77777777" w:rsidR="00481F85" w:rsidRDefault="00481F85" w:rsidP="00481F85">
      <w:pPr>
        <w:pStyle w:val="ListParagraph"/>
        <w:widowControl w:val="0"/>
        <w:tabs>
          <w:tab w:val="left" w:pos="2520"/>
          <w:tab w:val="left" w:pos="7200"/>
          <w:tab w:val="left" w:pos="8460"/>
        </w:tabs>
        <w:ind w:left="0"/>
        <w:jc w:val="both"/>
        <w:rPr>
          <w:rFonts w:asciiTheme="minorHAnsi" w:hAnsiTheme="minorHAnsi" w:cs="Arial"/>
          <w:sz w:val="22"/>
          <w:szCs w:val="22"/>
        </w:rPr>
      </w:pPr>
      <w:r>
        <w:rPr>
          <w:rFonts w:asciiTheme="minorHAnsi" w:hAnsiTheme="minorHAnsi" w:cs="Arial"/>
          <w:sz w:val="22"/>
          <w:szCs w:val="22"/>
        </w:rPr>
        <w:t>The fair values calculated are as follows:</w:t>
      </w:r>
    </w:p>
    <w:p w14:paraId="6D660CC8" w14:textId="77777777" w:rsidR="00620887" w:rsidRPr="007C430A" w:rsidRDefault="00620887" w:rsidP="00481F85">
      <w:pPr>
        <w:pStyle w:val="ListParagraph"/>
        <w:widowControl w:val="0"/>
        <w:tabs>
          <w:tab w:val="left" w:pos="2520"/>
          <w:tab w:val="left" w:pos="7200"/>
          <w:tab w:val="left" w:pos="8460"/>
        </w:tabs>
        <w:ind w:left="0"/>
        <w:jc w:val="both"/>
        <w:rPr>
          <w:rFonts w:asciiTheme="minorHAnsi" w:hAnsiTheme="minorHAnsi" w:cs="Arial"/>
          <w:sz w:val="22"/>
          <w:szCs w:val="22"/>
        </w:rPr>
      </w:pPr>
    </w:p>
    <w:tbl>
      <w:tblPr>
        <w:tblW w:w="9520" w:type="dxa"/>
        <w:tblInd w:w="93" w:type="dxa"/>
        <w:tblLook w:val="04A0" w:firstRow="1" w:lastRow="0" w:firstColumn="1" w:lastColumn="0" w:noHBand="0" w:noVBand="1"/>
        <w:tblCaption w:val="Fair Values of FInancial Liabiltities that are not measured at fair value"/>
        <w:tblDescription w:val="Fair Values of FInancial Liabiltities that are not measured at fair value"/>
      </w:tblPr>
      <w:tblGrid>
        <w:gridCol w:w="3980"/>
        <w:gridCol w:w="1400"/>
        <w:gridCol w:w="1360"/>
        <w:gridCol w:w="1360"/>
        <w:gridCol w:w="1420"/>
      </w:tblGrid>
      <w:tr w:rsidR="00E742B1" w:rsidRPr="00A55068" w14:paraId="6050ECF3" w14:textId="77777777" w:rsidTr="00F367A2">
        <w:trPr>
          <w:cantSplit/>
          <w:trHeight w:val="300"/>
          <w:tblHeader/>
        </w:trPr>
        <w:tc>
          <w:tcPr>
            <w:tcW w:w="3980" w:type="dxa"/>
            <w:tcBorders>
              <w:top w:val="nil"/>
              <w:left w:val="nil"/>
              <w:bottom w:val="nil"/>
              <w:right w:val="nil"/>
            </w:tcBorders>
            <w:shd w:val="clear" w:color="000000" w:fill="FABF8F"/>
            <w:noWrap/>
            <w:vAlign w:val="center"/>
            <w:hideMark/>
          </w:tcPr>
          <w:p w14:paraId="7F053F33"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Financial Liabilities</w:t>
            </w:r>
          </w:p>
        </w:tc>
        <w:tc>
          <w:tcPr>
            <w:tcW w:w="2760" w:type="dxa"/>
            <w:gridSpan w:val="2"/>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0756931F" w14:textId="6D2D8C03" w:rsidR="00E742B1" w:rsidRPr="00A55068" w:rsidRDefault="00E742B1" w:rsidP="00C02E5E">
            <w:pPr>
              <w:jc w:val="center"/>
              <w:rPr>
                <w:rFonts w:ascii="Calibri" w:hAnsi="Calibri"/>
                <w:color w:val="000000"/>
                <w:lang w:eastAsia="en-GB"/>
              </w:rPr>
            </w:pPr>
            <w:r>
              <w:rPr>
                <w:rFonts w:ascii="Calibri" w:hAnsi="Calibri"/>
                <w:color w:val="000000"/>
                <w:lang w:eastAsia="en-GB"/>
              </w:rPr>
              <w:t>31 March 20</w:t>
            </w:r>
            <w:r w:rsidR="00C02E5E">
              <w:rPr>
                <w:rFonts w:ascii="Calibri" w:hAnsi="Calibri"/>
                <w:color w:val="000000"/>
                <w:lang w:eastAsia="en-GB"/>
              </w:rPr>
              <w:t>2</w:t>
            </w:r>
            <w:r w:rsidR="00673238">
              <w:rPr>
                <w:rFonts w:ascii="Calibri" w:hAnsi="Calibri"/>
                <w:color w:val="000000"/>
                <w:lang w:eastAsia="en-GB"/>
              </w:rPr>
              <w:t>2</w:t>
            </w:r>
          </w:p>
        </w:tc>
        <w:tc>
          <w:tcPr>
            <w:tcW w:w="2780" w:type="dxa"/>
            <w:gridSpan w:val="2"/>
            <w:tcBorders>
              <w:top w:val="single" w:sz="4" w:space="0" w:color="FFFFFF"/>
              <w:left w:val="nil"/>
              <w:bottom w:val="single" w:sz="4" w:space="0" w:color="FFFFFF"/>
              <w:right w:val="single" w:sz="4" w:space="0" w:color="FFFFFF"/>
            </w:tcBorders>
            <w:shd w:val="clear" w:color="000000" w:fill="FABF8F"/>
            <w:noWrap/>
            <w:vAlign w:val="center"/>
            <w:hideMark/>
          </w:tcPr>
          <w:p w14:paraId="1F56CF06" w14:textId="3AF80452" w:rsidR="00E742B1" w:rsidRPr="00A55068" w:rsidRDefault="00E742B1" w:rsidP="00C02E5E">
            <w:pPr>
              <w:jc w:val="center"/>
              <w:rPr>
                <w:rFonts w:ascii="Calibri" w:hAnsi="Calibri"/>
                <w:color w:val="000000"/>
                <w:lang w:eastAsia="en-GB"/>
              </w:rPr>
            </w:pPr>
            <w:r>
              <w:rPr>
                <w:rFonts w:ascii="Calibri" w:hAnsi="Calibri"/>
                <w:color w:val="000000"/>
                <w:lang w:eastAsia="en-GB"/>
              </w:rPr>
              <w:t xml:space="preserve">31 </w:t>
            </w:r>
            <w:r w:rsidRPr="00A55068">
              <w:rPr>
                <w:rFonts w:ascii="Calibri" w:hAnsi="Calibri"/>
                <w:color w:val="000000"/>
                <w:lang w:eastAsia="en-GB"/>
              </w:rPr>
              <w:t>Mar</w:t>
            </w:r>
            <w:r>
              <w:rPr>
                <w:rFonts w:ascii="Calibri" w:hAnsi="Calibri"/>
                <w:color w:val="000000"/>
                <w:lang w:eastAsia="en-GB"/>
              </w:rPr>
              <w:t>ch 202</w:t>
            </w:r>
            <w:r w:rsidR="00673238">
              <w:rPr>
                <w:rFonts w:ascii="Calibri" w:hAnsi="Calibri"/>
                <w:color w:val="000000"/>
                <w:lang w:eastAsia="en-GB"/>
              </w:rPr>
              <w:t>3</w:t>
            </w:r>
          </w:p>
        </w:tc>
      </w:tr>
      <w:tr w:rsidR="00E742B1" w:rsidRPr="00A55068" w14:paraId="253CC6F7" w14:textId="77777777" w:rsidTr="00E742B1">
        <w:trPr>
          <w:trHeight w:val="300"/>
        </w:trPr>
        <w:tc>
          <w:tcPr>
            <w:tcW w:w="3980" w:type="dxa"/>
            <w:vMerge w:val="restart"/>
            <w:tcBorders>
              <w:top w:val="nil"/>
              <w:left w:val="nil"/>
              <w:bottom w:val="nil"/>
              <w:right w:val="nil"/>
            </w:tcBorders>
            <w:shd w:val="clear" w:color="000000" w:fill="FABF8F"/>
            <w:noWrap/>
            <w:vAlign w:val="center"/>
            <w:hideMark/>
          </w:tcPr>
          <w:p w14:paraId="1B9F02F7"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 </w:t>
            </w:r>
          </w:p>
        </w:tc>
        <w:tc>
          <w:tcPr>
            <w:tcW w:w="1400" w:type="dxa"/>
            <w:vMerge w:val="restart"/>
            <w:tcBorders>
              <w:top w:val="nil"/>
              <w:left w:val="single" w:sz="4" w:space="0" w:color="FFFFFF"/>
              <w:bottom w:val="single" w:sz="4" w:space="0" w:color="FFFFFF"/>
              <w:right w:val="single" w:sz="4" w:space="0" w:color="FFFFFF"/>
            </w:tcBorders>
            <w:shd w:val="clear" w:color="000000" w:fill="FABF8F"/>
            <w:vAlign w:val="center"/>
            <w:hideMark/>
          </w:tcPr>
          <w:p w14:paraId="3E418BA8"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Carrying Amount</w:t>
            </w:r>
          </w:p>
        </w:tc>
        <w:tc>
          <w:tcPr>
            <w:tcW w:w="1360" w:type="dxa"/>
            <w:vMerge w:val="restart"/>
            <w:tcBorders>
              <w:top w:val="nil"/>
              <w:left w:val="single" w:sz="4" w:space="0" w:color="FFFFFF"/>
              <w:bottom w:val="single" w:sz="4" w:space="0" w:color="FFFFFF"/>
              <w:right w:val="single" w:sz="4" w:space="0" w:color="FFFFFF"/>
            </w:tcBorders>
            <w:shd w:val="clear" w:color="000000" w:fill="FABF8F"/>
            <w:noWrap/>
            <w:vAlign w:val="center"/>
            <w:hideMark/>
          </w:tcPr>
          <w:p w14:paraId="73978245"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Fair Value</w:t>
            </w:r>
          </w:p>
        </w:tc>
        <w:tc>
          <w:tcPr>
            <w:tcW w:w="1360" w:type="dxa"/>
            <w:vMerge w:val="restart"/>
            <w:tcBorders>
              <w:top w:val="nil"/>
              <w:left w:val="single" w:sz="4" w:space="0" w:color="FFFFFF"/>
              <w:bottom w:val="single" w:sz="4" w:space="0" w:color="FFFFFF"/>
              <w:right w:val="single" w:sz="4" w:space="0" w:color="FFFFFF"/>
            </w:tcBorders>
            <w:shd w:val="clear" w:color="000000" w:fill="FABF8F"/>
            <w:vAlign w:val="center"/>
            <w:hideMark/>
          </w:tcPr>
          <w:p w14:paraId="166D93E5"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Carrying Amount</w:t>
            </w:r>
          </w:p>
        </w:tc>
        <w:tc>
          <w:tcPr>
            <w:tcW w:w="1420" w:type="dxa"/>
            <w:vMerge w:val="restart"/>
            <w:tcBorders>
              <w:top w:val="nil"/>
              <w:left w:val="single" w:sz="4" w:space="0" w:color="FFFFFF"/>
              <w:bottom w:val="single" w:sz="4" w:space="0" w:color="FFFFFF"/>
              <w:right w:val="single" w:sz="4" w:space="0" w:color="FFFFFF"/>
            </w:tcBorders>
            <w:shd w:val="clear" w:color="000000" w:fill="FABF8F"/>
            <w:noWrap/>
            <w:vAlign w:val="center"/>
            <w:hideMark/>
          </w:tcPr>
          <w:p w14:paraId="04CF715E"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Fair Value</w:t>
            </w:r>
          </w:p>
        </w:tc>
      </w:tr>
      <w:tr w:rsidR="00E742B1" w:rsidRPr="00A55068" w14:paraId="42551D97" w14:textId="77777777" w:rsidTr="00E742B1">
        <w:trPr>
          <w:trHeight w:val="300"/>
        </w:trPr>
        <w:tc>
          <w:tcPr>
            <w:tcW w:w="3980" w:type="dxa"/>
            <w:vMerge/>
            <w:tcBorders>
              <w:top w:val="nil"/>
              <w:left w:val="nil"/>
              <w:bottom w:val="nil"/>
              <w:right w:val="nil"/>
            </w:tcBorders>
            <w:vAlign w:val="center"/>
            <w:hideMark/>
          </w:tcPr>
          <w:p w14:paraId="27A9C4D4" w14:textId="77777777" w:rsidR="00E742B1" w:rsidRPr="00A55068" w:rsidRDefault="00E742B1" w:rsidP="00E742B1">
            <w:pPr>
              <w:rPr>
                <w:rFonts w:ascii="Calibri" w:hAnsi="Calibri"/>
                <w:color w:val="000000"/>
                <w:lang w:eastAsia="en-GB"/>
              </w:rPr>
            </w:pPr>
          </w:p>
        </w:tc>
        <w:tc>
          <w:tcPr>
            <w:tcW w:w="1400" w:type="dxa"/>
            <w:vMerge/>
            <w:tcBorders>
              <w:top w:val="nil"/>
              <w:left w:val="single" w:sz="4" w:space="0" w:color="FFFFFF"/>
              <w:bottom w:val="single" w:sz="4" w:space="0" w:color="FFFFFF"/>
              <w:right w:val="single" w:sz="4" w:space="0" w:color="FFFFFF"/>
            </w:tcBorders>
            <w:vAlign w:val="center"/>
            <w:hideMark/>
          </w:tcPr>
          <w:p w14:paraId="36F0BD5A" w14:textId="77777777" w:rsidR="00E742B1" w:rsidRPr="00A55068" w:rsidRDefault="00E742B1" w:rsidP="00E742B1">
            <w:pPr>
              <w:rPr>
                <w:rFonts w:ascii="Calibri" w:hAnsi="Calibri"/>
                <w:color w:val="000000"/>
                <w:lang w:eastAsia="en-GB"/>
              </w:rPr>
            </w:pPr>
          </w:p>
        </w:tc>
        <w:tc>
          <w:tcPr>
            <w:tcW w:w="1360" w:type="dxa"/>
            <w:vMerge/>
            <w:tcBorders>
              <w:top w:val="nil"/>
              <w:left w:val="single" w:sz="4" w:space="0" w:color="FFFFFF"/>
              <w:bottom w:val="single" w:sz="4" w:space="0" w:color="FFFFFF"/>
              <w:right w:val="single" w:sz="4" w:space="0" w:color="FFFFFF"/>
            </w:tcBorders>
            <w:vAlign w:val="center"/>
            <w:hideMark/>
          </w:tcPr>
          <w:p w14:paraId="4C9CF259" w14:textId="77777777" w:rsidR="00E742B1" w:rsidRPr="00A55068" w:rsidRDefault="00E742B1" w:rsidP="00E742B1">
            <w:pPr>
              <w:rPr>
                <w:rFonts w:ascii="Calibri" w:hAnsi="Calibri"/>
                <w:color w:val="000000"/>
                <w:lang w:eastAsia="en-GB"/>
              </w:rPr>
            </w:pPr>
          </w:p>
        </w:tc>
        <w:tc>
          <w:tcPr>
            <w:tcW w:w="1360" w:type="dxa"/>
            <w:vMerge/>
            <w:tcBorders>
              <w:top w:val="nil"/>
              <w:left w:val="single" w:sz="4" w:space="0" w:color="FFFFFF"/>
              <w:bottom w:val="single" w:sz="4" w:space="0" w:color="FFFFFF"/>
              <w:right w:val="single" w:sz="4" w:space="0" w:color="FFFFFF"/>
            </w:tcBorders>
            <w:vAlign w:val="center"/>
            <w:hideMark/>
          </w:tcPr>
          <w:p w14:paraId="3C0A1334" w14:textId="77777777" w:rsidR="00E742B1" w:rsidRPr="00A55068" w:rsidRDefault="00E742B1" w:rsidP="00E742B1">
            <w:pPr>
              <w:rPr>
                <w:rFonts w:ascii="Calibri" w:hAnsi="Calibri"/>
                <w:color w:val="000000"/>
                <w:lang w:eastAsia="en-GB"/>
              </w:rPr>
            </w:pPr>
          </w:p>
        </w:tc>
        <w:tc>
          <w:tcPr>
            <w:tcW w:w="1420" w:type="dxa"/>
            <w:vMerge/>
            <w:tcBorders>
              <w:top w:val="nil"/>
              <w:left w:val="single" w:sz="4" w:space="0" w:color="FFFFFF"/>
              <w:bottom w:val="single" w:sz="4" w:space="0" w:color="FFFFFF"/>
              <w:right w:val="single" w:sz="4" w:space="0" w:color="FFFFFF"/>
            </w:tcBorders>
            <w:vAlign w:val="center"/>
            <w:hideMark/>
          </w:tcPr>
          <w:p w14:paraId="698F87AE" w14:textId="77777777" w:rsidR="00E742B1" w:rsidRPr="00A55068" w:rsidRDefault="00E742B1" w:rsidP="00E742B1">
            <w:pPr>
              <w:rPr>
                <w:rFonts w:ascii="Calibri" w:hAnsi="Calibri"/>
                <w:color w:val="000000"/>
                <w:lang w:eastAsia="en-GB"/>
              </w:rPr>
            </w:pPr>
          </w:p>
        </w:tc>
      </w:tr>
      <w:tr w:rsidR="00E742B1" w:rsidRPr="00A55068" w14:paraId="4A06DEE6" w14:textId="77777777" w:rsidTr="00E742B1">
        <w:trPr>
          <w:trHeight w:val="300"/>
        </w:trPr>
        <w:tc>
          <w:tcPr>
            <w:tcW w:w="3980" w:type="dxa"/>
            <w:tcBorders>
              <w:top w:val="nil"/>
              <w:left w:val="nil"/>
              <w:bottom w:val="nil"/>
              <w:right w:val="nil"/>
            </w:tcBorders>
            <w:shd w:val="clear" w:color="000000" w:fill="FABF8F"/>
            <w:noWrap/>
            <w:vAlign w:val="center"/>
            <w:hideMark/>
          </w:tcPr>
          <w:p w14:paraId="565CFB9A"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 </w:t>
            </w:r>
          </w:p>
        </w:tc>
        <w:tc>
          <w:tcPr>
            <w:tcW w:w="1400" w:type="dxa"/>
            <w:tcBorders>
              <w:top w:val="nil"/>
              <w:left w:val="single" w:sz="4" w:space="0" w:color="FFFFFF"/>
              <w:bottom w:val="single" w:sz="4" w:space="0" w:color="FFFFFF"/>
              <w:right w:val="single" w:sz="4" w:space="0" w:color="FFFFFF"/>
            </w:tcBorders>
            <w:shd w:val="clear" w:color="000000" w:fill="FABF8F"/>
            <w:noWrap/>
            <w:vAlign w:val="center"/>
            <w:hideMark/>
          </w:tcPr>
          <w:p w14:paraId="482D234E"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360" w:type="dxa"/>
            <w:tcBorders>
              <w:top w:val="nil"/>
              <w:left w:val="nil"/>
              <w:bottom w:val="single" w:sz="4" w:space="0" w:color="FFFFFF"/>
              <w:right w:val="single" w:sz="4" w:space="0" w:color="FFFFFF"/>
            </w:tcBorders>
            <w:shd w:val="clear" w:color="000000" w:fill="FABF8F"/>
            <w:noWrap/>
            <w:vAlign w:val="center"/>
            <w:hideMark/>
          </w:tcPr>
          <w:p w14:paraId="06B03172"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360" w:type="dxa"/>
            <w:tcBorders>
              <w:top w:val="nil"/>
              <w:left w:val="nil"/>
              <w:bottom w:val="single" w:sz="4" w:space="0" w:color="FFFFFF"/>
              <w:right w:val="single" w:sz="4" w:space="0" w:color="FFFFFF"/>
            </w:tcBorders>
            <w:shd w:val="clear" w:color="000000" w:fill="FABF8F"/>
            <w:noWrap/>
            <w:vAlign w:val="center"/>
            <w:hideMark/>
          </w:tcPr>
          <w:p w14:paraId="3065882E"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420" w:type="dxa"/>
            <w:tcBorders>
              <w:top w:val="nil"/>
              <w:left w:val="nil"/>
              <w:bottom w:val="single" w:sz="4" w:space="0" w:color="FFFFFF"/>
              <w:right w:val="single" w:sz="4" w:space="0" w:color="FFFFFF"/>
            </w:tcBorders>
            <w:shd w:val="clear" w:color="000000" w:fill="FABF8F"/>
            <w:noWrap/>
            <w:vAlign w:val="center"/>
            <w:hideMark/>
          </w:tcPr>
          <w:p w14:paraId="4226152B"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r>
      <w:tr w:rsidR="00E742B1" w:rsidRPr="00A55068" w14:paraId="624223D0" w14:textId="77777777" w:rsidTr="00E742B1">
        <w:trPr>
          <w:trHeight w:val="300"/>
        </w:trPr>
        <w:tc>
          <w:tcPr>
            <w:tcW w:w="39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04A1F3F3"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Financial Liabilities- PWLB Loans</w:t>
            </w:r>
          </w:p>
        </w:tc>
        <w:tc>
          <w:tcPr>
            <w:tcW w:w="1400" w:type="dxa"/>
            <w:tcBorders>
              <w:top w:val="nil"/>
              <w:left w:val="nil"/>
              <w:bottom w:val="single" w:sz="4" w:space="0" w:color="FFFFFF"/>
              <w:right w:val="single" w:sz="4" w:space="0" w:color="FFFFFF"/>
            </w:tcBorders>
            <w:shd w:val="clear" w:color="000000" w:fill="FDE9D9"/>
            <w:noWrap/>
            <w:vAlign w:val="center"/>
            <w:hideMark/>
          </w:tcPr>
          <w:p w14:paraId="54187550"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31,413</w:t>
            </w:r>
          </w:p>
        </w:tc>
        <w:tc>
          <w:tcPr>
            <w:tcW w:w="1360" w:type="dxa"/>
            <w:tcBorders>
              <w:top w:val="nil"/>
              <w:left w:val="nil"/>
              <w:bottom w:val="single" w:sz="4" w:space="0" w:color="FFFFFF"/>
              <w:right w:val="single" w:sz="4" w:space="0" w:color="FFFFFF"/>
            </w:tcBorders>
            <w:shd w:val="clear" w:color="000000" w:fill="FDE9D9"/>
            <w:noWrap/>
            <w:vAlign w:val="center"/>
            <w:hideMark/>
          </w:tcPr>
          <w:p w14:paraId="49595534" w14:textId="396469BE" w:rsidR="00E742B1" w:rsidRPr="00A55068" w:rsidRDefault="00BA709C" w:rsidP="00C02E5E">
            <w:pPr>
              <w:jc w:val="right"/>
              <w:rPr>
                <w:rFonts w:ascii="Calibri" w:hAnsi="Calibri"/>
                <w:color w:val="000000"/>
                <w:lang w:eastAsia="en-GB"/>
              </w:rPr>
            </w:pPr>
            <w:r>
              <w:rPr>
                <w:rFonts w:ascii="Calibri" w:hAnsi="Calibri"/>
                <w:color w:val="000000"/>
                <w:lang w:eastAsia="en-GB"/>
              </w:rPr>
              <w:t>4</w:t>
            </w:r>
            <w:r w:rsidR="00673238">
              <w:rPr>
                <w:rFonts w:ascii="Calibri" w:hAnsi="Calibri"/>
                <w:color w:val="000000"/>
                <w:lang w:eastAsia="en-GB"/>
              </w:rPr>
              <w:t>4</w:t>
            </w:r>
            <w:r w:rsidR="00E742B1" w:rsidRPr="00A55068">
              <w:rPr>
                <w:rFonts w:ascii="Calibri" w:hAnsi="Calibri"/>
                <w:color w:val="000000"/>
                <w:lang w:eastAsia="en-GB"/>
              </w:rPr>
              <w:t>,</w:t>
            </w:r>
            <w:r w:rsidR="00673238">
              <w:rPr>
                <w:rFonts w:ascii="Calibri" w:hAnsi="Calibri"/>
                <w:color w:val="000000"/>
                <w:lang w:eastAsia="en-GB"/>
              </w:rPr>
              <w:t>188</w:t>
            </w:r>
          </w:p>
        </w:tc>
        <w:tc>
          <w:tcPr>
            <w:tcW w:w="1360" w:type="dxa"/>
            <w:tcBorders>
              <w:top w:val="nil"/>
              <w:left w:val="nil"/>
              <w:bottom w:val="single" w:sz="4" w:space="0" w:color="FFFFFF"/>
              <w:right w:val="single" w:sz="4" w:space="0" w:color="FFFFFF"/>
            </w:tcBorders>
            <w:shd w:val="clear" w:color="000000" w:fill="FDE9D9"/>
            <w:noWrap/>
            <w:vAlign w:val="center"/>
          </w:tcPr>
          <w:p w14:paraId="03268F40" w14:textId="04857F3F" w:rsidR="00E742B1" w:rsidRPr="00A55068" w:rsidRDefault="00C4422E" w:rsidP="00E742B1">
            <w:pPr>
              <w:jc w:val="right"/>
              <w:rPr>
                <w:rFonts w:ascii="Calibri" w:hAnsi="Calibri"/>
                <w:color w:val="000000"/>
                <w:lang w:eastAsia="en-GB"/>
              </w:rPr>
            </w:pPr>
            <w:r>
              <w:rPr>
                <w:rFonts w:ascii="Calibri" w:hAnsi="Calibri"/>
                <w:color w:val="000000"/>
                <w:lang w:eastAsia="en-GB"/>
              </w:rPr>
              <w:t>31,413</w:t>
            </w:r>
          </w:p>
        </w:tc>
        <w:tc>
          <w:tcPr>
            <w:tcW w:w="1420" w:type="dxa"/>
            <w:tcBorders>
              <w:top w:val="nil"/>
              <w:left w:val="nil"/>
              <w:bottom w:val="single" w:sz="4" w:space="0" w:color="FFFFFF"/>
              <w:right w:val="single" w:sz="4" w:space="0" w:color="FFFFFF"/>
            </w:tcBorders>
            <w:shd w:val="clear" w:color="000000" w:fill="FDE9D9"/>
            <w:noWrap/>
            <w:vAlign w:val="center"/>
          </w:tcPr>
          <w:p w14:paraId="7952382E" w14:textId="694B42C9" w:rsidR="00E742B1" w:rsidRPr="00A55068" w:rsidRDefault="00F804FC" w:rsidP="00E742B1">
            <w:pPr>
              <w:jc w:val="right"/>
              <w:rPr>
                <w:rFonts w:ascii="Calibri" w:hAnsi="Calibri"/>
                <w:color w:val="000000"/>
                <w:lang w:eastAsia="en-GB"/>
              </w:rPr>
            </w:pPr>
            <w:r>
              <w:rPr>
                <w:rFonts w:ascii="Calibri" w:hAnsi="Calibri"/>
                <w:color w:val="000000"/>
                <w:lang w:eastAsia="en-GB"/>
              </w:rPr>
              <w:t>30,837</w:t>
            </w:r>
          </w:p>
        </w:tc>
      </w:tr>
    </w:tbl>
    <w:p w14:paraId="1E64D116" w14:textId="77777777" w:rsidR="00A55068" w:rsidRDefault="00A55068" w:rsidP="00707761">
      <w:pPr>
        <w:widowControl w:val="0"/>
        <w:tabs>
          <w:tab w:val="left" w:pos="2520"/>
          <w:tab w:val="left" w:pos="7200"/>
          <w:tab w:val="left" w:pos="8460"/>
        </w:tabs>
        <w:rPr>
          <w:rFonts w:ascii="Arial" w:hAnsi="Arial" w:cs="Arial"/>
        </w:rPr>
      </w:pPr>
    </w:p>
    <w:p w14:paraId="1CB5E966" w14:textId="1E34E060" w:rsidR="00EA2919" w:rsidRDefault="00EA2919" w:rsidP="002D5F70">
      <w:pPr>
        <w:jc w:val="both"/>
        <w:rPr>
          <w:rFonts w:asciiTheme="minorHAnsi" w:hAnsiTheme="minorHAnsi" w:cs="Arial"/>
          <w:sz w:val="22"/>
          <w:szCs w:val="22"/>
        </w:rPr>
      </w:pPr>
      <w:r>
        <w:rPr>
          <w:rFonts w:asciiTheme="minorHAnsi" w:hAnsiTheme="minorHAnsi" w:cs="Arial"/>
          <w:sz w:val="22"/>
          <w:szCs w:val="22"/>
        </w:rPr>
        <w:t xml:space="preserve">The fair value of the liabilities is </w:t>
      </w:r>
      <w:r w:rsidR="003A4445">
        <w:rPr>
          <w:rFonts w:asciiTheme="minorHAnsi" w:hAnsiTheme="minorHAnsi" w:cs="Arial"/>
          <w:sz w:val="22"/>
          <w:szCs w:val="22"/>
        </w:rPr>
        <w:t>low</w:t>
      </w:r>
      <w:r>
        <w:rPr>
          <w:rFonts w:asciiTheme="minorHAnsi" w:hAnsiTheme="minorHAnsi" w:cs="Arial"/>
          <w:sz w:val="22"/>
          <w:szCs w:val="22"/>
        </w:rPr>
        <w:t xml:space="preserve">er than the carrying amount because the Council’s portfolio of loans includes a number of fixed rate loans where the interest rate payable is </w:t>
      </w:r>
      <w:r w:rsidR="003A4445">
        <w:rPr>
          <w:rFonts w:asciiTheme="minorHAnsi" w:hAnsiTheme="minorHAnsi" w:cs="Arial"/>
          <w:sz w:val="22"/>
          <w:szCs w:val="22"/>
        </w:rPr>
        <w:t>lowe</w:t>
      </w:r>
      <w:r>
        <w:rPr>
          <w:rFonts w:asciiTheme="minorHAnsi" w:hAnsiTheme="minorHAnsi" w:cs="Arial"/>
          <w:sz w:val="22"/>
          <w:szCs w:val="22"/>
        </w:rPr>
        <w:t xml:space="preserve">r than the rates available for similar loans in the market at the balance sheet date. </w:t>
      </w:r>
      <w:r w:rsidR="003A4445">
        <w:rPr>
          <w:rFonts w:asciiTheme="minorHAnsi" w:hAnsiTheme="minorHAnsi" w:cs="Arial"/>
          <w:sz w:val="22"/>
          <w:szCs w:val="22"/>
        </w:rPr>
        <w:t xml:space="preserve"> This shows a notional future gain (based on economic conditions </w:t>
      </w:r>
      <w:proofErr w:type="gramStart"/>
      <w:r w:rsidR="003A4445">
        <w:rPr>
          <w:rFonts w:asciiTheme="minorHAnsi" w:hAnsiTheme="minorHAnsi" w:cs="Arial"/>
          <w:sz w:val="22"/>
          <w:szCs w:val="22"/>
        </w:rPr>
        <w:t>at</w:t>
      </w:r>
      <w:proofErr w:type="gramEnd"/>
      <w:r w:rsidR="003A4445">
        <w:rPr>
          <w:rFonts w:asciiTheme="minorHAnsi" w:hAnsiTheme="minorHAnsi" w:cs="Arial"/>
          <w:sz w:val="22"/>
          <w:szCs w:val="22"/>
        </w:rPr>
        <w:t xml:space="preserve"> 31 March 2023) arising from a commitment to pay interest to lenders below current market rates.</w:t>
      </w:r>
    </w:p>
    <w:p w14:paraId="09C7AE92" w14:textId="77777777" w:rsidR="00EA2919" w:rsidRDefault="00EA2919" w:rsidP="002D5F70">
      <w:pPr>
        <w:jc w:val="both"/>
        <w:rPr>
          <w:rFonts w:asciiTheme="minorHAnsi" w:hAnsiTheme="minorHAnsi" w:cs="Arial"/>
          <w:sz w:val="22"/>
          <w:szCs w:val="22"/>
        </w:rPr>
      </w:pPr>
    </w:p>
    <w:p w14:paraId="4C80D993" w14:textId="78D0A18E" w:rsidR="00707761" w:rsidRPr="00A55068" w:rsidRDefault="00707761" w:rsidP="002D5F70">
      <w:pPr>
        <w:jc w:val="both"/>
        <w:rPr>
          <w:rFonts w:asciiTheme="minorHAnsi" w:hAnsiTheme="minorHAnsi" w:cs="Arial"/>
          <w:sz w:val="22"/>
          <w:szCs w:val="22"/>
        </w:rPr>
      </w:pPr>
      <w:r w:rsidRPr="00F804FC">
        <w:rPr>
          <w:rFonts w:asciiTheme="minorHAnsi" w:hAnsiTheme="minorHAnsi" w:cs="Arial"/>
          <w:sz w:val="22"/>
          <w:szCs w:val="22"/>
        </w:rPr>
        <w:t xml:space="preserve">The fair value of the Public Works Loans Board (PWLB) loans </w:t>
      </w:r>
      <w:r w:rsidR="00C4422E" w:rsidRPr="00F804FC">
        <w:rPr>
          <w:rFonts w:asciiTheme="minorHAnsi" w:hAnsiTheme="minorHAnsi" w:cs="Arial"/>
          <w:sz w:val="22"/>
          <w:szCs w:val="22"/>
        </w:rPr>
        <w:t xml:space="preserve">of </w:t>
      </w:r>
      <w:r w:rsidR="00F34D41" w:rsidRPr="00F804FC">
        <w:rPr>
          <w:rFonts w:asciiTheme="minorHAnsi" w:hAnsiTheme="minorHAnsi" w:cs="Arial"/>
          <w:sz w:val="22"/>
          <w:szCs w:val="22"/>
        </w:rPr>
        <w:t>£</w:t>
      </w:r>
      <w:r w:rsidR="00F804FC" w:rsidRPr="00F804FC">
        <w:rPr>
          <w:rFonts w:asciiTheme="minorHAnsi" w:hAnsiTheme="minorHAnsi" w:cs="Arial"/>
          <w:sz w:val="22"/>
          <w:szCs w:val="22"/>
        </w:rPr>
        <w:t>30.837m</w:t>
      </w:r>
      <w:r w:rsidRPr="00F804FC">
        <w:rPr>
          <w:rFonts w:asciiTheme="minorHAnsi" w:hAnsiTheme="minorHAnsi" w:cs="Arial"/>
          <w:sz w:val="22"/>
          <w:szCs w:val="22"/>
        </w:rPr>
        <w:t xml:space="preserve"> measures the economic effect of the terms agreed with the PWLB compared with estimates of the terms that would be offered for market transactions undertaken at the Balance Sheet date. The difference between the carrying amount and the fair value measures the additional interest that the authority will pay over the remaining terms of the loans under the agreements with the PWLB, against what would be paid if the loans were at prevailing market rates.</w:t>
      </w:r>
    </w:p>
    <w:p w14:paraId="0627C1A2" w14:textId="77777777" w:rsidR="00707761" w:rsidRPr="001F16B0" w:rsidRDefault="00707761" w:rsidP="002D5F70">
      <w:pPr>
        <w:jc w:val="both"/>
        <w:rPr>
          <w:rFonts w:ascii="Arial" w:hAnsi="Arial" w:cs="Arial"/>
        </w:rPr>
      </w:pPr>
    </w:p>
    <w:p w14:paraId="3E3C268A" w14:textId="2212ABAB" w:rsidR="00707761" w:rsidRDefault="00707761" w:rsidP="002D5F70">
      <w:pPr>
        <w:jc w:val="both"/>
        <w:rPr>
          <w:rFonts w:asciiTheme="minorHAnsi" w:hAnsiTheme="minorHAnsi" w:cs="Arial"/>
          <w:sz w:val="22"/>
          <w:szCs w:val="22"/>
        </w:rPr>
      </w:pPr>
      <w:proofErr w:type="gramStart"/>
      <w:r w:rsidRPr="00A55068">
        <w:rPr>
          <w:rFonts w:asciiTheme="minorHAnsi" w:hAnsiTheme="minorHAnsi" w:cs="Arial"/>
          <w:sz w:val="22"/>
          <w:szCs w:val="22"/>
        </w:rPr>
        <w:t>However</w:t>
      </w:r>
      <w:proofErr w:type="gramEnd"/>
      <w:r w:rsidRPr="00A55068">
        <w:rPr>
          <w:rFonts w:asciiTheme="minorHAnsi" w:hAnsiTheme="minorHAnsi" w:cs="Arial"/>
          <w:sz w:val="22"/>
          <w:szCs w:val="22"/>
        </w:rPr>
        <w:t xml:space="preserve"> the authority has a continuing ability to borrow at concessionary rates from the PWLB rather than from the markets. A supplementary measure of the </w:t>
      </w:r>
      <w:r w:rsidR="003A4445">
        <w:rPr>
          <w:rFonts w:asciiTheme="minorHAnsi" w:hAnsiTheme="minorHAnsi" w:cs="Arial"/>
          <w:sz w:val="22"/>
          <w:szCs w:val="22"/>
        </w:rPr>
        <w:t>reduced</w:t>
      </w:r>
      <w:r w:rsidRPr="00A55068">
        <w:rPr>
          <w:rFonts w:asciiTheme="minorHAnsi" w:hAnsiTheme="minorHAnsi" w:cs="Arial"/>
          <w:sz w:val="22"/>
          <w:szCs w:val="22"/>
        </w:rPr>
        <w:t xml:space="preserve"> interest that the authority will pay as a result of its PWLB commitments for fixed rate loans is to compare the </w:t>
      </w:r>
      <w:r w:rsidRPr="00BF523D">
        <w:rPr>
          <w:rFonts w:asciiTheme="minorHAnsi" w:hAnsiTheme="minorHAnsi" w:cs="Arial"/>
          <w:sz w:val="22"/>
          <w:szCs w:val="22"/>
        </w:rPr>
        <w:t xml:space="preserve">terms of these </w:t>
      </w:r>
      <w:r w:rsidRPr="00394CFB">
        <w:rPr>
          <w:rFonts w:asciiTheme="minorHAnsi" w:hAnsiTheme="minorHAnsi" w:cs="Arial"/>
          <w:sz w:val="22"/>
          <w:szCs w:val="22"/>
        </w:rPr>
        <w:t>loans with the new borrowing rates available from the PWLB. If a value i</w:t>
      </w:r>
      <w:r w:rsidR="003A4445">
        <w:rPr>
          <w:rFonts w:asciiTheme="minorHAnsi" w:hAnsiTheme="minorHAnsi" w:cs="Arial"/>
          <w:sz w:val="22"/>
          <w:szCs w:val="22"/>
        </w:rPr>
        <w:t>s</w:t>
      </w:r>
      <w:r w:rsidRPr="00394CFB">
        <w:rPr>
          <w:rFonts w:asciiTheme="minorHAnsi" w:hAnsiTheme="minorHAnsi" w:cs="Arial"/>
          <w:sz w:val="22"/>
          <w:szCs w:val="22"/>
        </w:rPr>
        <w:t xml:space="preserve"> calculated on this basis the carrying amount of £31.413m is </w:t>
      </w:r>
      <w:r w:rsidRPr="00C22AE0">
        <w:rPr>
          <w:rFonts w:asciiTheme="minorHAnsi" w:hAnsiTheme="minorHAnsi" w:cs="Arial"/>
          <w:sz w:val="22"/>
          <w:szCs w:val="22"/>
        </w:rPr>
        <w:t xml:space="preserve">valued at </w:t>
      </w:r>
      <w:r w:rsidR="00F34D41" w:rsidRPr="00C22AE0">
        <w:rPr>
          <w:rFonts w:asciiTheme="minorHAnsi" w:hAnsiTheme="minorHAnsi" w:cs="Arial"/>
          <w:sz w:val="22"/>
          <w:szCs w:val="22"/>
        </w:rPr>
        <w:t>£</w:t>
      </w:r>
      <w:r w:rsidR="00C22AE0" w:rsidRPr="00C22AE0">
        <w:rPr>
          <w:rFonts w:asciiTheme="minorHAnsi" w:hAnsiTheme="minorHAnsi" w:cs="Arial"/>
          <w:sz w:val="22"/>
          <w:szCs w:val="22"/>
        </w:rPr>
        <w:t>26.</w:t>
      </w:r>
      <w:r w:rsidR="00C22AE0">
        <w:rPr>
          <w:rFonts w:asciiTheme="minorHAnsi" w:hAnsiTheme="minorHAnsi" w:cs="Arial"/>
          <w:sz w:val="22"/>
          <w:szCs w:val="22"/>
        </w:rPr>
        <w:t>910m</w:t>
      </w:r>
      <w:r w:rsidRPr="00F34D41">
        <w:rPr>
          <w:rFonts w:asciiTheme="minorHAnsi" w:hAnsiTheme="minorHAnsi" w:cs="Arial"/>
          <w:sz w:val="22"/>
          <w:szCs w:val="22"/>
        </w:rPr>
        <w:t>. But</w:t>
      </w:r>
      <w:r w:rsidRPr="00A55068">
        <w:rPr>
          <w:rFonts w:asciiTheme="minorHAnsi" w:hAnsiTheme="minorHAnsi" w:cs="Arial"/>
          <w:sz w:val="22"/>
          <w:szCs w:val="22"/>
        </w:rPr>
        <w:t xml:space="preserve"> if the authority were to seek t</w:t>
      </w:r>
      <w:r w:rsidR="00ED61B7">
        <w:rPr>
          <w:rFonts w:asciiTheme="minorHAnsi" w:hAnsiTheme="minorHAnsi" w:cs="Arial"/>
          <w:sz w:val="22"/>
          <w:szCs w:val="22"/>
        </w:rPr>
        <w:t>o</w:t>
      </w:r>
      <w:r w:rsidRPr="00A55068">
        <w:rPr>
          <w:rFonts w:asciiTheme="minorHAnsi" w:hAnsiTheme="minorHAnsi" w:cs="Arial"/>
          <w:sz w:val="22"/>
          <w:szCs w:val="22"/>
        </w:rPr>
        <w:t xml:space="preserve"> </w:t>
      </w:r>
      <w:r w:rsidR="003A4445">
        <w:rPr>
          <w:rFonts w:asciiTheme="minorHAnsi" w:hAnsiTheme="minorHAnsi" w:cs="Arial"/>
          <w:sz w:val="22"/>
          <w:szCs w:val="22"/>
        </w:rPr>
        <w:t>realise</w:t>
      </w:r>
      <w:r w:rsidRPr="00A55068">
        <w:rPr>
          <w:rFonts w:asciiTheme="minorHAnsi" w:hAnsiTheme="minorHAnsi" w:cs="Arial"/>
          <w:sz w:val="22"/>
          <w:szCs w:val="22"/>
        </w:rPr>
        <w:t xml:space="preserve"> the projected </w:t>
      </w:r>
      <w:r w:rsidR="003A4445">
        <w:rPr>
          <w:rFonts w:asciiTheme="minorHAnsi" w:hAnsiTheme="minorHAnsi" w:cs="Arial"/>
          <w:sz w:val="22"/>
          <w:szCs w:val="22"/>
        </w:rPr>
        <w:t>gain</w:t>
      </w:r>
      <w:r w:rsidRPr="00A55068">
        <w:rPr>
          <w:rFonts w:asciiTheme="minorHAnsi" w:hAnsiTheme="minorHAnsi" w:cs="Arial"/>
          <w:sz w:val="22"/>
          <w:szCs w:val="22"/>
        </w:rPr>
        <w:t xml:space="preserve"> by repaying the loans to the PWLB, the PWLB would raise a pena</w:t>
      </w:r>
      <w:r w:rsidR="00236C80">
        <w:rPr>
          <w:rFonts w:asciiTheme="minorHAnsi" w:hAnsiTheme="minorHAnsi" w:cs="Arial"/>
          <w:sz w:val="22"/>
          <w:szCs w:val="22"/>
        </w:rPr>
        <w:t>lty charge for early redemption</w:t>
      </w:r>
      <w:r w:rsidR="003A4445">
        <w:rPr>
          <w:rFonts w:asciiTheme="minorHAnsi" w:hAnsiTheme="minorHAnsi" w:cs="Arial"/>
          <w:sz w:val="22"/>
          <w:szCs w:val="22"/>
        </w:rPr>
        <w:t xml:space="preserve"> in addition to giving a discount for the reduced income that will be avoided</w:t>
      </w:r>
      <w:r w:rsidR="00236C80">
        <w:rPr>
          <w:rFonts w:asciiTheme="minorHAnsi" w:hAnsiTheme="minorHAnsi" w:cs="Arial"/>
          <w:sz w:val="22"/>
          <w:szCs w:val="22"/>
        </w:rPr>
        <w:t xml:space="preserve">. Should the Council wish to repay its loans the exit </w:t>
      </w:r>
      <w:r w:rsidR="00394CFB">
        <w:rPr>
          <w:rFonts w:asciiTheme="minorHAnsi" w:hAnsiTheme="minorHAnsi" w:cs="Arial"/>
          <w:sz w:val="22"/>
          <w:szCs w:val="22"/>
        </w:rPr>
        <w:t>discount from</w:t>
      </w:r>
      <w:r w:rsidR="00236C80">
        <w:rPr>
          <w:rFonts w:asciiTheme="minorHAnsi" w:hAnsiTheme="minorHAnsi" w:cs="Arial"/>
          <w:sz w:val="22"/>
          <w:szCs w:val="22"/>
        </w:rPr>
        <w:t xml:space="preserve"> the PWLB </w:t>
      </w:r>
      <w:r w:rsidR="00236C80" w:rsidRPr="009A24E3">
        <w:rPr>
          <w:rFonts w:asciiTheme="minorHAnsi" w:hAnsiTheme="minorHAnsi" w:cs="Arial"/>
          <w:sz w:val="22"/>
          <w:szCs w:val="22"/>
        </w:rPr>
        <w:t xml:space="preserve">would be </w:t>
      </w:r>
      <w:r w:rsidR="00394CFB">
        <w:rPr>
          <w:rFonts w:asciiTheme="minorHAnsi" w:hAnsiTheme="minorHAnsi" w:cs="Arial"/>
          <w:sz w:val="22"/>
          <w:szCs w:val="22"/>
        </w:rPr>
        <w:t>£</w:t>
      </w:r>
      <w:proofErr w:type="gramStart"/>
      <w:r w:rsidR="00394CFB">
        <w:rPr>
          <w:rFonts w:asciiTheme="minorHAnsi" w:hAnsiTheme="minorHAnsi" w:cs="Arial"/>
          <w:sz w:val="22"/>
          <w:szCs w:val="22"/>
        </w:rPr>
        <w:t>698k</w:t>
      </w:r>
      <w:proofErr w:type="gramEnd"/>
    </w:p>
    <w:p w14:paraId="0DBDD9A3" w14:textId="77777777" w:rsidR="0049657A" w:rsidRDefault="0049657A" w:rsidP="0049657A">
      <w:pPr>
        <w:widowControl w:val="0"/>
        <w:tabs>
          <w:tab w:val="left" w:pos="2520"/>
          <w:tab w:val="left" w:pos="7200"/>
          <w:tab w:val="left" w:pos="8460"/>
        </w:tabs>
        <w:rPr>
          <w:rFonts w:ascii="Arial" w:hAnsi="Arial" w:cs="Arial"/>
          <w:b/>
          <w:highlight w:val="yellow"/>
        </w:rPr>
      </w:pPr>
    </w:p>
    <w:tbl>
      <w:tblPr>
        <w:tblW w:w="9938" w:type="dxa"/>
        <w:tblInd w:w="93" w:type="dxa"/>
        <w:tblLook w:val="04A0" w:firstRow="1" w:lastRow="0" w:firstColumn="1" w:lastColumn="0" w:noHBand="0" w:noVBand="1"/>
        <w:tblCaption w:val="Fair Values of FInancial assets that are not measured at fair value"/>
        <w:tblDescription w:val="Fair Values of FInancial assets that are not measured at fair value"/>
      </w:tblPr>
      <w:tblGrid>
        <w:gridCol w:w="3701"/>
        <w:gridCol w:w="1564"/>
        <w:gridCol w:w="1559"/>
        <w:gridCol w:w="1555"/>
        <w:gridCol w:w="1559"/>
      </w:tblGrid>
      <w:tr w:rsidR="00373B1A" w:rsidRPr="00A55068" w14:paraId="3ABDEECE" w14:textId="77777777" w:rsidTr="00373B1A">
        <w:trPr>
          <w:cantSplit/>
          <w:trHeight w:val="300"/>
          <w:tblHeader/>
        </w:trPr>
        <w:tc>
          <w:tcPr>
            <w:tcW w:w="3701" w:type="dxa"/>
            <w:tcBorders>
              <w:top w:val="nil"/>
              <w:left w:val="nil"/>
              <w:bottom w:val="nil"/>
              <w:right w:val="single" w:sz="4" w:space="0" w:color="FFFFFF" w:themeColor="background1"/>
            </w:tcBorders>
            <w:shd w:val="clear" w:color="000000" w:fill="FABF8F"/>
            <w:noWrap/>
            <w:vAlign w:val="center"/>
            <w:hideMark/>
          </w:tcPr>
          <w:p w14:paraId="4752E967" w14:textId="77777777" w:rsidR="00373B1A" w:rsidRPr="00A55068" w:rsidRDefault="00373B1A" w:rsidP="00E742B1">
            <w:pPr>
              <w:rPr>
                <w:rFonts w:ascii="Calibri" w:hAnsi="Calibri"/>
                <w:color w:val="000000"/>
                <w:lang w:eastAsia="en-GB"/>
              </w:rPr>
            </w:pPr>
            <w:r w:rsidRPr="00A55068">
              <w:rPr>
                <w:rFonts w:ascii="Calibri" w:hAnsi="Calibri"/>
                <w:color w:val="000000"/>
                <w:lang w:eastAsia="en-GB"/>
              </w:rPr>
              <w:t>Financial Assets</w:t>
            </w:r>
          </w:p>
        </w:tc>
        <w:tc>
          <w:tcPr>
            <w:tcW w:w="1564" w:type="dxa"/>
            <w:tcBorders>
              <w:left w:val="single" w:sz="4" w:space="0" w:color="FFFFFF" w:themeColor="background1"/>
              <w:bottom w:val="single" w:sz="4" w:space="0" w:color="FFFFFF" w:themeColor="background1"/>
            </w:tcBorders>
            <w:shd w:val="clear" w:color="000000" w:fill="FABF8F"/>
            <w:noWrap/>
            <w:vAlign w:val="center"/>
            <w:hideMark/>
          </w:tcPr>
          <w:p w14:paraId="1265093E" w14:textId="63F77C5A" w:rsidR="00373B1A" w:rsidRPr="00A55068" w:rsidRDefault="00373B1A" w:rsidP="00234228">
            <w:pPr>
              <w:jc w:val="center"/>
              <w:rPr>
                <w:rFonts w:ascii="Calibri" w:hAnsi="Calibri"/>
                <w:color w:val="000000"/>
                <w:lang w:eastAsia="en-GB"/>
              </w:rPr>
            </w:pPr>
            <w:r>
              <w:rPr>
                <w:rFonts w:ascii="Calibri" w:hAnsi="Calibri"/>
                <w:color w:val="000000"/>
                <w:lang w:eastAsia="en-GB"/>
              </w:rPr>
              <w:t>31 March 202</w:t>
            </w:r>
            <w:r w:rsidR="00673238">
              <w:rPr>
                <w:rFonts w:ascii="Calibri" w:hAnsi="Calibri"/>
                <w:color w:val="000000"/>
                <w:lang w:eastAsia="en-GB"/>
              </w:rPr>
              <w:t>2</w:t>
            </w:r>
          </w:p>
        </w:tc>
        <w:tc>
          <w:tcPr>
            <w:tcW w:w="1559" w:type="dxa"/>
            <w:tcBorders>
              <w:bottom w:val="single" w:sz="4" w:space="0" w:color="FFFFFF" w:themeColor="background1"/>
              <w:right w:val="single" w:sz="4" w:space="0" w:color="FFFFFF" w:themeColor="background1"/>
            </w:tcBorders>
            <w:shd w:val="clear" w:color="000000" w:fill="FABF8F"/>
            <w:vAlign w:val="center"/>
          </w:tcPr>
          <w:p w14:paraId="52D0EE2E" w14:textId="14729206" w:rsidR="00373B1A" w:rsidRPr="00A55068" w:rsidRDefault="00373B1A" w:rsidP="00234228">
            <w:pPr>
              <w:jc w:val="center"/>
              <w:rPr>
                <w:rFonts w:ascii="Calibri" w:hAnsi="Calibri"/>
                <w:color w:val="000000"/>
                <w:lang w:eastAsia="en-GB"/>
              </w:rPr>
            </w:pPr>
            <w:r>
              <w:rPr>
                <w:rFonts w:ascii="Calibri" w:hAnsi="Calibri"/>
                <w:color w:val="000000"/>
                <w:lang w:eastAsia="en-GB"/>
              </w:rPr>
              <w:t>31 March 202</w:t>
            </w:r>
            <w:r w:rsidR="00673238">
              <w:rPr>
                <w:rFonts w:ascii="Calibri" w:hAnsi="Calibri"/>
                <w:color w:val="000000"/>
                <w:lang w:eastAsia="en-GB"/>
              </w:rPr>
              <w:t>2</w:t>
            </w:r>
          </w:p>
        </w:tc>
        <w:tc>
          <w:tcPr>
            <w:tcW w:w="1555" w:type="dxa"/>
            <w:tcBorders>
              <w:left w:val="single" w:sz="4" w:space="0" w:color="FFFFFF" w:themeColor="background1"/>
              <w:bottom w:val="single" w:sz="4" w:space="0" w:color="FFFFFF" w:themeColor="background1"/>
            </w:tcBorders>
            <w:shd w:val="clear" w:color="000000" w:fill="FABF8F"/>
            <w:noWrap/>
            <w:vAlign w:val="center"/>
            <w:hideMark/>
          </w:tcPr>
          <w:p w14:paraId="45FCA589" w14:textId="046EA283" w:rsidR="00373B1A" w:rsidRPr="00A55068" w:rsidRDefault="00373B1A" w:rsidP="00234228">
            <w:pPr>
              <w:jc w:val="center"/>
              <w:rPr>
                <w:rFonts w:ascii="Calibri" w:hAnsi="Calibri"/>
                <w:color w:val="000000"/>
                <w:lang w:eastAsia="en-GB"/>
              </w:rPr>
            </w:pPr>
            <w:r w:rsidRPr="00A55068">
              <w:rPr>
                <w:rFonts w:ascii="Calibri" w:hAnsi="Calibri"/>
                <w:color w:val="000000"/>
                <w:lang w:eastAsia="en-GB"/>
              </w:rPr>
              <w:t>31</w:t>
            </w:r>
            <w:r>
              <w:rPr>
                <w:rFonts w:ascii="Calibri" w:hAnsi="Calibri"/>
                <w:color w:val="000000"/>
                <w:lang w:eastAsia="en-GB"/>
              </w:rPr>
              <w:t xml:space="preserve"> </w:t>
            </w:r>
            <w:r w:rsidRPr="00A55068">
              <w:rPr>
                <w:rFonts w:ascii="Calibri" w:hAnsi="Calibri"/>
                <w:color w:val="000000"/>
                <w:lang w:eastAsia="en-GB"/>
              </w:rPr>
              <w:t>Mar</w:t>
            </w:r>
            <w:r>
              <w:rPr>
                <w:rFonts w:ascii="Calibri" w:hAnsi="Calibri"/>
                <w:color w:val="000000"/>
                <w:lang w:eastAsia="en-GB"/>
              </w:rPr>
              <w:t>ch 202</w:t>
            </w:r>
            <w:r w:rsidR="00673238">
              <w:rPr>
                <w:rFonts w:ascii="Calibri" w:hAnsi="Calibri"/>
                <w:color w:val="000000"/>
                <w:lang w:eastAsia="en-GB"/>
              </w:rPr>
              <w:t>3</w:t>
            </w:r>
          </w:p>
        </w:tc>
        <w:tc>
          <w:tcPr>
            <w:tcW w:w="1559" w:type="dxa"/>
            <w:tcBorders>
              <w:bottom w:val="single" w:sz="4" w:space="0" w:color="FFFFFF" w:themeColor="background1"/>
            </w:tcBorders>
            <w:shd w:val="clear" w:color="000000" w:fill="FABF8F"/>
            <w:vAlign w:val="center"/>
          </w:tcPr>
          <w:p w14:paraId="344E4BC7" w14:textId="46B8A9CF" w:rsidR="00373B1A" w:rsidRPr="00A55068" w:rsidRDefault="00373B1A" w:rsidP="00234228">
            <w:pPr>
              <w:jc w:val="center"/>
              <w:rPr>
                <w:rFonts w:ascii="Calibri" w:hAnsi="Calibri"/>
                <w:color w:val="000000"/>
                <w:lang w:eastAsia="en-GB"/>
              </w:rPr>
            </w:pPr>
            <w:r w:rsidRPr="00A55068">
              <w:rPr>
                <w:rFonts w:ascii="Calibri" w:hAnsi="Calibri"/>
                <w:color w:val="000000"/>
                <w:lang w:eastAsia="en-GB"/>
              </w:rPr>
              <w:t>31</w:t>
            </w:r>
            <w:r>
              <w:rPr>
                <w:rFonts w:ascii="Calibri" w:hAnsi="Calibri"/>
                <w:color w:val="000000"/>
                <w:lang w:eastAsia="en-GB"/>
              </w:rPr>
              <w:t xml:space="preserve"> </w:t>
            </w:r>
            <w:r w:rsidRPr="00A55068">
              <w:rPr>
                <w:rFonts w:ascii="Calibri" w:hAnsi="Calibri"/>
                <w:color w:val="000000"/>
                <w:lang w:eastAsia="en-GB"/>
              </w:rPr>
              <w:t>Mar</w:t>
            </w:r>
            <w:r>
              <w:rPr>
                <w:rFonts w:ascii="Calibri" w:hAnsi="Calibri"/>
                <w:color w:val="000000"/>
                <w:lang w:eastAsia="en-GB"/>
              </w:rPr>
              <w:t>ch 202</w:t>
            </w:r>
            <w:r w:rsidR="00673238">
              <w:rPr>
                <w:rFonts w:ascii="Calibri" w:hAnsi="Calibri"/>
                <w:color w:val="000000"/>
                <w:lang w:eastAsia="en-GB"/>
              </w:rPr>
              <w:t>3</w:t>
            </w:r>
          </w:p>
        </w:tc>
      </w:tr>
      <w:tr w:rsidR="00E742B1" w:rsidRPr="00A55068" w14:paraId="070D6623" w14:textId="77777777" w:rsidTr="00373B1A">
        <w:trPr>
          <w:trHeight w:val="300"/>
        </w:trPr>
        <w:tc>
          <w:tcPr>
            <w:tcW w:w="3701" w:type="dxa"/>
            <w:vMerge w:val="restart"/>
            <w:tcBorders>
              <w:top w:val="nil"/>
              <w:left w:val="nil"/>
              <w:bottom w:val="nil"/>
              <w:right w:val="nil"/>
            </w:tcBorders>
            <w:shd w:val="clear" w:color="000000" w:fill="FABF8F"/>
            <w:noWrap/>
            <w:vAlign w:val="center"/>
            <w:hideMark/>
          </w:tcPr>
          <w:p w14:paraId="237F22B0"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 </w:t>
            </w:r>
          </w:p>
        </w:tc>
        <w:tc>
          <w:tcPr>
            <w:tcW w:w="1564" w:type="dxa"/>
            <w:vMerge w:val="restart"/>
            <w:tcBorders>
              <w:top w:val="single" w:sz="4" w:space="0" w:color="FFFFFF" w:themeColor="background1"/>
              <w:left w:val="single" w:sz="4" w:space="0" w:color="FFFFFF"/>
              <w:bottom w:val="single" w:sz="4" w:space="0" w:color="FFFFFF"/>
              <w:right w:val="single" w:sz="4" w:space="0" w:color="FFFFFF"/>
            </w:tcBorders>
            <w:shd w:val="clear" w:color="000000" w:fill="FABF8F"/>
            <w:vAlign w:val="center"/>
            <w:hideMark/>
          </w:tcPr>
          <w:p w14:paraId="5F628936"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Carrying Amount</w:t>
            </w:r>
          </w:p>
        </w:tc>
        <w:tc>
          <w:tcPr>
            <w:tcW w:w="1559" w:type="dxa"/>
            <w:vMerge w:val="restart"/>
            <w:tcBorders>
              <w:top w:val="single" w:sz="4" w:space="0" w:color="FFFFFF" w:themeColor="background1"/>
              <w:left w:val="single" w:sz="4" w:space="0" w:color="FFFFFF"/>
              <w:bottom w:val="single" w:sz="4" w:space="0" w:color="FFFFFF"/>
              <w:right w:val="single" w:sz="4" w:space="0" w:color="FFFFFF"/>
            </w:tcBorders>
            <w:shd w:val="clear" w:color="000000" w:fill="FABF8F"/>
            <w:noWrap/>
            <w:vAlign w:val="center"/>
            <w:hideMark/>
          </w:tcPr>
          <w:p w14:paraId="6236BD33"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Fair Value</w:t>
            </w:r>
          </w:p>
        </w:tc>
        <w:tc>
          <w:tcPr>
            <w:tcW w:w="1555" w:type="dxa"/>
            <w:vMerge w:val="restart"/>
            <w:tcBorders>
              <w:top w:val="single" w:sz="4" w:space="0" w:color="FFFFFF" w:themeColor="background1"/>
              <w:left w:val="single" w:sz="4" w:space="0" w:color="FFFFFF"/>
              <w:bottom w:val="single" w:sz="4" w:space="0" w:color="FFFFFF"/>
              <w:right w:val="single" w:sz="4" w:space="0" w:color="FFFFFF"/>
            </w:tcBorders>
            <w:shd w:val="clear" w:color="000000" w:fill="FABF8F"/>
            <w:vAlign w:val="center"/>
            <w:hideMark/>
          </w:tcPr>
          <w:p w14:paraId="69052C89"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Carrying Amount</w:t>
            </w:r>
          </w:p>
        </w:tc>
        <w:tc>
          <w:tcPr>
            <w:tcW w:w="1559" w:type="dxa"/>
            <w:vMerge w:val="restart"/>
            <w:tcBorders>
              <w:top w:val="single" w:sz="4" w:space="0" w:color="FFFFFF" w:themeColor="background1"/>
              <w:left w:val="single" w:sz="4" w:space="0" w:color="FFFFFF"/>
              <w:bottom w:val="single" w:sz="4" w:space="0" w:color="FFFFFF"/>
              <w:right w:val="single" w:sz="4" w:space="0" w:color="FFFFFF"/>
            </w:tcBorders>
            <w:shd w:val="clear" w:color="000000" w:fill="FABF8F"/>
            <w:noWrap/>
            <w:vAlign w:val="center"/>
            <w:hideMark/>
          </w:tcPr>
          <w:p w14:paraId="068A69E7"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Fair Value</w:t>
            </w:r>
          </w:p>
        </w:tc>
      </w:tr>
      <w:tr w:rsidR="00E742B1" w:rsidRPr="00A55068" w14:paraId="7637C697" w14:textId="77777777" w:rsidTr="00373B1A">
        <w:trPr>
          <w:trHeight w:val="300"/>
        </w:trPr>
        <w:tc>
          <w:tcPr>
            <w:tcW w:w="3701" w:type="dxa"/>
            <w:vMerge/>
            <w:tcBorders>
              <w:top w:val="nil"/>
              <w:left w:val="nil"/>
              <w:bottom w:val="nil"/>
              <w:right w:val="nil"/>
            </w:tcBorders>
            <w:vAlign w:val="center"/>
            <w:hideMark/>
          </w:tcPr>
          <w:p w14:paraId="28140E6E" w14:textId="77777777" w:rsidR="00E742B1" w:rsidRPr="00A55068" w:rsidRDefault="00E742B1" w:rsidP="00E742B1">
            <w:pPr>
              <w:rPr>
                <w:rFonts w:ascii="Calibri" w:hAnsi="Calibri"/>
                <w:color w:val="000000"/>
                <w:lang w:eastAsia="en-GB"/>
              </w:rPr>
            </w:pPr>
          </w:p>
        </w:tc>
        <w:tc>
          <w:tcPr>
            <w:tcW w:w="1564" w:type="dxa"/>
            <w:vMerge/>
            <w:tcBorders>
              <w:top w:val="nil"/>
              <w:left w:val="single" w:sz="4" w:space="0" w:color="FFFFFF"/>
              <w:bottom w:val="single" w:sz="4" w:space="0" w:color="FFFFFF"/>
              <w:right w:val="single" w:sz="4" w:space="0" w:color="FFFFFF"/>
            </w:tcBorders>
            <w:vAlign w:val="center"/>
            <w:hideMark/>
          </w:tcPr>
          <w:p w14:paraId="247A50E7" w14:textId="77777777" w:rsidR="00E742B1" w:rsidRPr="00A55068" w:rsidRDefault="00E742B1" w:rsidP="00E742B1">
            <w:pPr>
              <w:rPr>
                <w:rFonts w:ascii="Calibri" w:hAnsi="Calibri"/>
                <w:color w:val="000000"/>
                <w:lang w:eastAsia="en-GB"/>
              </w:rPr>
            </w:pPr>
          </w:p>
        </w:tc>
        <w:tc>
          <w:tcPr>
            <w:tcW w:w="1559" w:type="dxa"/>
            <w:vMerge/>
            <w:tcBorders>
              <w:top w:val="nil"/>
              <w:left w:val="single" w:sz="4" w:space="0" w:color="FFFFFF"/>
              <w:bottom w:val="single" w:sz="4" w:space="0" w:color="FFFFFF"/>
              <w:right w:val="single" w:sz="4" w:space="0" w:color="FFFFFF"/>
            </w:tcBorders>
            <w:vAlign w:val="center"/>
            <w:hideMark/>
          </w:tcPr>
          <w:p w14:paraId="037E7794" w14:textId="77777777" w:rsidR="00E742B1" w:rsidRPr="00A55068" w:rsidRDefault="00E742B1" w:rsidP="00E742B1">
            <w:pPr>
              <w:rPr>
                <w:rFonts w:ascii="Calibri" w:hAnsi="Calibri"/>
                <w:color w:val="000000"/>
                <w:lang w:eastAsia="en-GB"/>
              </w:rPr>
            </w:pPr>
          </w:p>
        </w:tc>
        <w:tc>
          <w:tcPr>
            <w:tcW w:w="1555" w:type="dxa"/>
            <w:vMerge/>
            <w:tcBorders>
              <w:top w:val="nil"/>
              <w:left w:val="single" w:sz="4" w:space="0" w:color="FFFFFF"/>
              <w:bottom w:val="single" w:sz="4" w:space="0" w:color="FFFFFF"/>
              <w:right w:val="single" w:sz="4" w:space="0" w:color="FFFFFF"/>
            </w:tcBorders>
            <w:vAlign w:val="center"/>
            <w:hideMark/>
          </w:tcPr>
          <w:p w14:paraId="25BE0B16" w14:textId="77777777" w:rsidR="00E742B1" w:rsidRPr="00A55068" w:rsidRDefault="00E742B1" w:rsidP="00E742B1">
            <w:pPr>
              <w:rPr>
                <w:rFonts w:ascii="Calibri" w:hAnsi="Calibri"/>
                <w:color w:val="000000"/>
                <w:lang w:eastAsia="en-GB"/>
              </w:rPr>
            </w:pPr>
          </w:p>
        </w:tc>
        <w:tc>
          <w:tcPr>
            <w:tcW w:w="1559" w:type="dxa"/>
            <w:vMerge/>
            <w:tcBorders>
              <w:top w:val="nil"/>
              <w:left w:val="single" w:sz="4" w:space="0" w:color="FFFFFF"/>
              <w:bottom w:val="single" w:sz="4" w:space="0" w:color="FFFFFF"/>
              <w:right w:val="single" w:sz="4" w:space="0" w:color="FFFFFF"/>
            </w:tcBorders>
            <w:vAlign w:val="center"/>
            <w:hideMark/>
          </w:tcPr>
          <w:p w14:paraId="06BC05D1" w14:textId="77777777" w:rsidR="00E742B1" w:rsidRPr="00A55068" w:rsidRDefault="00E742B1" w:rsidP="00E742B1">
            <w:pPr>
              <w:rPr>
                <w:rFonts w:ascii="Calibri" w:hAnsi="Calibri"/>
                <w:color w:val="000000"/>
                <w:lang w:eastAsia="en-GB"/>
              </w:rPr>
            </w:pPr>
          </w:p>
        </w:tc>
      </w:tr>
      <w:tr w:rsidR="00E742B1" w:rsidRPr="00A55068" w14:paraId="7E10F2DC" w14:textId="77777777" w:rsidTr="00373B1A">
        <w:trPr>
          <w:trHeight w:val="300"/>
        </w:trPr>
        <w:tc>
          <w:tcPr>
            <w:tcW w:w="3701" w:type="dxa"/>
            <w:tcBorders>
              <w:top w:val="nil"/>
              <w:left w:val="nil"/>
              <w:bottom w:val="nil"/>
              <w:right w:val="nil"/>
            </w:tcBorders>
            <w:shd w:val="clear" w:color="000000" w:fill="FABF8F"/>
            <w:noWrap/>
            <w:vAlign w:val="center"/>
            <w:hideMark/>
          </w:tcPr>
          <w:p w14:paraId="54CA7A60" w14:textId="77777777" w:rsidR="00E742B1" w:rsidRPr="00A55068" w:rsidRDefault="00E742B1" w:rsidP="00E742B1">
            <w:pPr>
              <w:rPr>
                <w:rFonts w:ascii="Calibri" w:hAnsi="Calibri"/>
                <w:color w:val="000000"/>
                <w:lang w:eastAsia="en-GB"/>
              </w:rPr>
            </w:pPr>
            <w:r w:rsidRPr="00A55068">
              <w:rPr>
                <w:rFonts w:ascii="Calibri" w:hAnsi="Calibri"/>
                <w:color w:val="000000"/>
                <w:lang w:eastAsia="en-GB"/>
              </w:rPr>
              <w:t> </w:t>
            </w:r>
          </w:p>
        </w:tc>
        <w:tc>
          <w:tcPr>
            <w:tcW w:w="1564" w:type="dxa"/>
            <w:tcBorders>
              <w:top w:val="nil"/>
              <w:left w:val="single" w:sz="4" w:space="0" w:color="FFFFFF"/>
              <w:bottom w:val="single" w:sz="4" w:space="0" w:color="FFFFFF"/>
              <w:right w:val="single" w:sz="4" w:space="0" w:color="FFFFFF"/>
            </w:tcBorders>
            <w:shd w:val="clear" w:color="000000" w:fill="FABF8F"/>
            <w:noWrap/>
            <w:vAlign w:val="center"/>
            <w:hideMark/>
          </w:tcPr>
          <w:p w14:paraId="76C5A7E3"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559" w:type="dxa"/>
            <w:tcBorders>
              <w:top w:val="nil"/>
              <w:left w:val="nil"/>
              <w:bottom w:val="single" w:sz="4" w:space="0" w:color="FFFFFF"/>
              <w:right w:val="single" w:sz="4" w:space="0" w:color="FFFFFF"/>
            </w:tcBorders>
            <w:shd w:val="clear" w:color="000000" w:fill="FABF8F"/>
            <w:noWrap/>
            <w:vAlign w:val="center"/>
            <w:hideMark/>
          </w:tcPr>
          <w:p w14:paraId="17C6A8B4"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555" w:type="dxa"/>
            <w:tcBorders>
              <w:top w:val="nil"/>
              <w:left w:val="nil"/>
              <w:bottom w:val="single" w:sz="4" w:space="0" w:color="FFFFFF"/>
              <w:right w:val="single" w:sz="4" w:space="0" w:color="FFFFFF"/>
            </w:tcBorders>
            <w:shd w:val="clear" w:color="000000" w:fill="FABF8F"/>
            <w:noWrap/>
            <w:vAlign w:val="center"/>
            <w:hideMark/>
          </w:tcPr>
          <w:p w14:paraId="3B42B0F9"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c>
          <w:tcPr>
            <w:tcW w:w="1559" w:type="dxa"/>
            <w:tcBorders>
              <w:top w:val="nil"/>
              <w:left w:val="nil"/>
              <w:bottom w:val="single" w:sz="4" w:space="0" w:color="FFFFFF"/>
              <w:right w:val="single" w:sz="4" w:space="0" w:color="FFFFFF"/>
            </w:tcBorders>
            <w:shd w:val="clear" w:color="000000" w:fill="FABF8F"/>
            <w:noWrap/>
            <w:vAlign w:val="center"/>
            <w:hideMark/>
          </w:tcPr>
          <w:p w14:paraId="088C010D" w14:textId="77777777" w:rsidR="00E742B1" w:rsidRPr="00A55068" w:rsidRDefault="00E742B1" w:rsidP="00E742B1">
            <w:pPr>
              <w:jc w:val="right"/>
              <w:rPr>
                <w:rFonts w:ascii="Calibri" w:hAnsi="Calibri"/>
                <w:color w:val="000000"/>
                <w:lang w:eastAsia="en-GB"/>
              </w:rPr>
            </w:pPr>
            <w:r w:rsidRPr="00A55068">
              <w:rPr>
                <w:rFonts w:ascii="Calibri" w:hAnsi="Calibri"/>
                <w:color w:val="000000"/>
                <w:lang w:eastAsia="en-GB"/>
              </w:rPr>
              <w:t>£’000</w:t>
            </w:r>
          </w:p>
        </w:tc>
      </w:tr>
      <w:tr w:rsidR="00E742B1" w:rsidRPr="00A55068" w14:paraId="4F3576C2" w14:textId="77777777" w:rsidTr="00373B1A">
        <w:trPr>
          <w:trHeight w:val="510"/>
        </w:trPr>
        <w:tc>
          <w:tcPr>
            <w:tcW w:w="3701"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B41E964" w14:textId="3F17C309" w:rsidR="00E742B1" w:rsidRPr="00A55068" w:rsidRDefault="00E742B1" w:rsidP="00E742B1">
            <w:pPr>
              <w:rPr>
                <w:rFonts w:ascii="Calibri" w:hAnsi="Calibri"/>
                <w:color w:val="000000"/>
                <w:lang w:eastAsia="en-GB"/>
              </w:rPr>
            </w:pPr>
            <w:r w:rsidRPr="00A55068">
              <w:rPr>
                <w:rFonts w:ascii="Calibri" w:hAnsi="Calibri"/>
                <w:color w:val="000000"/>
                <w:lang w:eastAsia="en-GB"/>
              </w:rPr>
              <w:t xml:space="preserve">Other loans </w:t>
            </w:r>
            <w:r w:rsidR="00704A70">
              <w:rPr>
                <w:rFonts w:ascii="Calibri" w:hAnsi="Calibri"/>
                <w:color w:val="000000"/>
                <w:lang w:eastAsia="en-GB"/>
              </w:rPr>
              <w:t>and</w:t>
            </w:r>
            <w:r w:rsidRPr="00A55068">
              <w:rPr>
                <w:rFonts w:ascii="Calibri" w:hAnsi="Calibri"/>
                <w:color w:val="000000"/>
                <w:lang w:eastAsia="en-GB"/>
              </w:rPr>
              <w:t xml:space="preserve"> receivables- fixed rate investments and money market funds</w:t>
            </w:r>
          </w:p>
        </w:tc>
        <w:tc>
          <w:tcPr>
            <w:tcW w:w="1564" w:type="dxa"/>
            <w:tcBorders>
              <w:top w:val="nil"/>
              <w:left w:val="nil"/>
              <w:bottom w:val="single" w:sz="4" w:space="0" w:color="FFFFFF"/>
              <w:right w:val="single" w:sz="4" w:space="0" w:color="FFFFFF"/>
            </w:tcBorders>
            <w:shd w:val="clear" w:color="000000" w:fill="FDE9D9"/>
            <w:noWrap/>
            <w:vAlign w:val="center"/>
            <w:hideMark/>
          </w:tcPr>
          <w:p w14:paraId="5AA38AC0" w14:textId="0956C9E4" w:rsidR="00E742B1" w:rsidRPr="00A55068" w:rsidRDefault="00BA709C" w:rsidP="00234228">
            <w:pPr>
              <w:jc w:val="right"/>
              <w:rPr>
                <w:rFonts w:ascii="Calibri" w:hAnsi="Calibri"/>
                <w:color w:val="000000"/>
                <w:lang w:eastAsia="en-GB"/>
              </w:rPr>
            </w:pPr>
            <w:r>
              <w:rPr>
                <w:rFonts w:ascii="Calibri" w:hAnsi="Calibri"/>
                <w:color w:val="000000"/>
                <w:lang w:eastAsia="en-GB"/>
              </w:rPr>
              <w:t>2</w:t>
            </w:r>
            <w:r w:rsidR="00673238">
              <w:rPr>
                <w:rFonts w:ascii="Calibri" w:hAnsi="Calibri"/>
                <w:color w:val="000000"/>
                <w:lang w:eastAsia="en-GB"/>
              </w:rPr>
              <w:t>4</w:t>
            </w:r>
            <w:r w:rsidR="00E742B1">
              <w:rPr>
                <w:rFonts w:ascii="Calibri" w:hAnsi="Calibri"/>
                <w:color w:val="000000"/>
                <w:lang w:eastAsia="en-GB"/>
              </w:rPr>
              <w:t>,</w:t>
            </w:r>
            <w:r w:rsidR="00673238">
              <w:rPr>
                <w:rFonts w:ascii="Calibri" w:hAnsi="Calibri"/>
                <w:color w:val="000000"/>
                <w:lang w:eastAsia="en-GB"/>
              </w:rPr>
              <w:t>50</w:t>
            </w:r>
            <w:r w:rsidR="00234228">
              <w:rPr>
                <w:rFonts w:ascii="Calibri" w:hAnsi="Calibri"/>
                <w:color w:val="000000"/>
                <w:lang w:eastAsia="en-GB"/>
              </w:rPr>
              <w:t>0</w:t>
            </w:r>
          </w:p>
        </w:tc>
        <w:tc>
          <w:tcPr>
            <w:tcW w:w="1559" w:type="dxa"/>
            <w:tcBorders>
              <w:top w:val="nil"/>
              <w:left w:val="nil"/>
              <w:bottom w:val="single" w:sz="4" w:space="0" w:color="FFFFFF"/>
              <w:right w:val="single" w:sz="4" w:space="0" w:color="FFFFFF"/>
            </w:tcBorders>
            <w:shd w:val="clear" w:color="000000" w:fill="FDE9D9"/>
            <w:noWrap/>
            <w:vAlign w:val="center"/>
            <w:hideMark/>
          </w:tcPr>
          <w:p w14:paraId="4F0ED778" w14:textId="6CECF257" w:rsidR="00E742B1" w:rsidRPr="00A55068" w:rsidRDefault="00BA709C" w:rsidP="00234228">
            <w:pPr>
              <w:jc w:val="right"/>
              <w:rPr>
                <w:rFonts w:ascii="Calibri" w:hAnsi="Calibri"/>
                <w:color w:val="000000"/>
                <w:lang w:eastAsia="en-GB"/>
              </w:rPr>
            </w:pPr>
            <w:r>
              <w:rPr>
                <w:rFonts w:ascii="Calibri" w:hAnsi="Calibri"/>
                <w:color w:val="000000"/>
                <w:lang w:eastAsia="en-GB"/>
              </w:rPr>
              <w:t>2</w:t>
            </w:r>
            <w:r w:rsidR="00673238">
              <w:rPr>
                <w:rFonts w:ascii="Calibri" w:hAnsi="Calibri"/>
                <w:color w:val="000000"/>
                <w:lang w:eastAsia="en-GB"/>
              </w:rPr>
              <w:t>4</w:t>
            </w:r>
            <w:r w:rsidR="00E742B1" w:rsidRPr="00A55068">
              <w:rPr>
                <w:rFonts w:ascii="Calibri" w:hAnsi="Calibri"/>
                <w:color w:val="000000"/>
                <w:lang w:eastAsia="en-GB"/>
              </w:rPr>
              <w:t>,</w:t>
            </w:r>
            <w:r w:rsidR="00673238">
              <w:rPr>
                <w:rFonts w:ascii="Calibri" w:hAnsi="Calibri"/>
                <w:color w:val="000000"/>
                <w:lang w:eastAsia="en-GB"/>
              </w:rPr>
              <w:t>570</w:t>
            </w:r>
          </w:p>
        </w:tc>
        <w:tc>
          <w:tcPr>
            <w:tcW w:w="1555" w:type="dxa"/>
            <w:tcBorders>
              <w:top w:val="nil"/>
              <w:left w:val="nil"/>
              <w:bottom w:val="single" w:sz="4" w:space="0" w:color="FFFFFF"/>
              <w:right w:val="single" w:sz="4" w:space="0" w:color="FFFFFF"/>
            </w:tcBorders>
            <w:shd w:val="clear" w:color="000000" w:fill="FDE9D9"/>
            <w:noWrap/>
            <w:vAlign w:val="center"/>
          </w:tcPr>
          <w:p w14:paraId="076CE9C5" w14:textId="6F5B179B" w:rsidR="00E742B1" w:rsidRPr="00A55068" w:rsidRDefault="00F804FC" w:rsidP="00E742B1">
            <w:pPr>
              <w:jc w:val="right"/>
              <w:rPr>
                <w:rFonts w:ascii="Calibri" w:hAnsi="Calibri"/>
                <w:color w:val="000000"/>
                <w:lang w:eastAsia="en-GB"/>
              </w:rPr>
            </w:pPr>
            <w:r>
              <w:rPr>
                <w:rFonts w:ascii="Calibri" w:hAnsi="Calibri"/>
                <w:color w:val="000000"/>
                <w:lang w:eastAsia="en-GB"/>
              </w:rPr>
              <w:t>17,620</w:t>
            </w:r>
          </w:p>
        </w:tc>
        <w:tc>
          <w:tcPr>
            <w:tcW w:w="1559" w:type="dxa"/>
            <w:tcBorders>
              <w:top w:val="nil"/>
              <w:left w:val="nil"/>
              <w:bottom w:val="single" w:sz="4" w:space="0" w:color="FFFFFF"/>
              <w:right w:val="single" w:sz="4" w:space="0" w:color="FFFFFF"/>
            </w:tcBorders>
            <w:shd w:val="clear" w:color="000000" w:fill="FDE9D9"/>
            <w:noWrap/>
            <w:vAlign w:val="center"/>
          </w:tcPr>
          <w:p w14:paraId="7850CF81" w14:textId="352C4802" w:rsidR="00E742B1" w:rsidRPr="00A55068" w:rsidRDefault="00F804FC" w:rsidP="00E742B1">
            <w:pPr>
              <w:jc w:val="right"/>
              <w:rPr>
                <w:rFonts w:ascii="Calibri" w:hAnsi="Calibri"/>
                <w:color w:val="000000"/>
                <w:lang w:eastAsia="en-GB"/>
              </w:rPr>
            </w:pPr>
            <w:r>
              <w:rPr>
                <w:rFonts w:ascii="Calibri" w:hAnsi="Calibri"/>
                <w:color w:val="000000"/>
                <w:lang w:eastAsia="en-GB"/>
              </w:rPr>
              <w:t>17,958</w:t>
            </w:r>
          </w:p>
        </w:tc>
      </w:tr>
    </w:tbl>
    <w:p w14:paraId="56754988" w14:textId="77777777" w:rsidR="001B4D9E" w:rsidRDefault="001B4D9E" w:rsidP="00962424">
      <w:pPr>
        <w:keepNext/>
        <w:keepLines/>
        <w:widowControl w:val="0"/>
        <w:tabs>
          <w:tab w:val="left" w:pos="2520"/>
          <w:tab w:val="left" w:pos="7200"/>
          <w:tab w:val="left" w:pos="8460"/>
        </w:tabs>
        <w:rPr>
          <w:rFonts w:asciiTheme="minorHAnsi" w:hAnsiTheme="minorHAnsi" w:cs="Arial"/>
          <w:b/>
          <w:sz w:val="24"/>
          <w:szCs w:val="24"/>
        </w:rPr>
      </w:pPr>
    </w:p>
    <w:p w14:paraId="6476627A" w14:textId="3574A1F0" w:rsidR="0049657A" w:rsidRPr="00A55068" w:rsidRDefault="0049657A" w:rsidP="00962424">
      <w:pPr>
        <w:keepNext/>
        <w:keepLines/>
        <w:widowControl w:val="0"/>
        <w:tabs>
          <w:tab w:val="left" w:pos="2520"/>
          <w:tab w:val="left" w:pos="7200"/>
          <w:tab w:val="left" w:pos="8460"/>
        </w:tabs>
        <w:rPr>
          <w:rFonts w:asciiTheme="minorHAnsi" w:hAnsiTheme="minorHAnsi" w:cs="Arial"/>
          <w:b/>
          <w:sz w:val="24"/>
          <w:szCs w:val="24"/>
        </w:rPr>
      </w:pPr>
      <w:r w:rsidRPr="00A55068">
        <w:rPr>
          <w:rFonts w:asciiTheme="minorHAnsi" w:hAnsiTheme="minorHAnsi" w:cs="Arial"/>
          <w:b/>
          <w:sz w:val="24"/>
          <w:szCs w:val="24"/>
        </w:rPr>
        <w:t xml:space="preserve">Fair Value Hierarchy for financial assets and financial liabilities that are not measured at fair </w:t>
      </w:r>
      <w:proofErr w:type="gramStart"/>
      <w:r w:rsidRPr="00A55068">
        <w:rPr>
          <w:rFonts w:asciiTheme="minorHAnsi" w:hAnsiTheme="minorHAnsi" w:cs="Arial"/>
          <w:b/>
          <w:sz w:val="24"/>
          <w:szCs w:val="24"/>
        </w:rPr>
        <w:t>value</w:t>
      </w:r>
      <w:proofErr w:type="gramEnd"/>
    </w:p>
    <w:p w14:paraId="2CACCD18" w14:textId="77777777" w:rsidR="0049657A" w:rsidRDefault="0049657A" w:rsidP="00962424">
      <w:pPr>
        <w:keepNext/>
        <w:keepLines/>
        <w:widowControl w:val="0"/>
        <w:tabs>
          <w:tab w:val="left" w:pos="2520"/>
          <w:tab w:val="left" w:pos="7200"/>
          <w:tab w:val="left" w:pos="8460"/>
        </w:tabs>
        <w:jc w:val="both"/>
        <w:rPr>
          <w:rFonts w:ascii="Arial" w:hAnsi="Arial" w:cs="Arial"/>
          <w:highlight w:val="yellow"/>
        </w:rPr>
      </w:pPr>
    </w:p>
    <w:tbl>
      <w:tblPr>
        <w:tblW w:w="9799" w:type="dxa"/>
        <w:tblInd w:w="93" w:type="dxa"/>
        <w:tblLook w:val="04A0" w:firstRow="1" w:lastRow="0" w:firstColumn="1" w:lastColumn="0" w:noHBand="0" w:noVBand="1"/>
        <w:tblCaption w:val="Fair Value Hierarchy for Financial Assets and Financial Liabilties that are not measured at fair value"/>
        <w:tblDescription w:val="Fair Value Hierarchy for Financial Assets and Financial Liabilties that are not measured at fair value 2022-2023"/>
      </w:tblPr>
      <w:tblGrid>
        <w:gridCol w:w="3701"/>
        <w:gridCol w:w="1660"/>
        <w:gridCol w:w="1520"/>
        <w:gridCol w:w="1498"/>
        <w:gridCol w:w="1420"/>
      </w:tblGrid>
      <w:tr w:rsidR="00E742B1" w:rsidRPr="00FF0BFC" w14:paraId="68C4153F" w14:textId="77777777" w:rsidTr="00F367A2">
        <w:trPr>
          <w:cantSplit/>
          <w:trHeight w:val="300"/>
          <w:tblHeader/>
        </w:trPr>
        <w:tc>
          <w:tcPr>
            <w:tcW w:w="3701" w:type="dxa"/>
            <w:tcBorders>
              <w:top w:val="nil"/>
              <w:left w:val="nil"/>
              <w:bottom w:val="nil"/>
              <w:right w:val="nil"/>
            </w:tcBorders>
            <w:shd w:val="clear" w:color="000000" w:fill="FABF8F"/>
            <w:vAlign w:val="center"/>
            <w:hideMark/>
          </w:tcPr>
          <w:p w14:paraId="7C44E556" w14:textId="0904417E" w:rsidR="00E742B1" w:rsidRPr="00FF0BFC" w:rsidRDefault="00E742B1" w:rsidP="00234228">
            <w:pPr>
              <w:keepNext/>
              <w:keepLines/>
              <w:rPr>
                <w:rFonts w:ascii="Calibri" w:hAnsi="Calibri"/>
                <w:color w:val="000000"/>
                <w:lang w:eastAsia="en-GB"/>
              </w:rPr>
            </w:pPr>
            <w:r w:rsidRPr="00FF0BFC">
              <w:rPr>
                <w:rFonts w:ascii="Calibri" w:hAnsi="Calibri"/>
                <w:color w:val="000000"/>
                <w:lang w:eastAsia="en-GB"/>
              </w:rPr>
              <w:t> </w:t>
            </w:r>
            <w:r>
              <w:rPr>
                <w:rFonts w:ascii="Calibri" w:hAnsi="Calibri"/>
                <w:color w:val="000000"/>
                <w:lang w:eastAsia="en-GB"/>
              </w:rPr>
              <w:t>20</w:t>
            </w:r>
            <w:r w:rsidR="00234228">
              <w:rPr>
                <w:rFonts w:ascii="Calibri" w:hAnsi="Calibri"/>
                <w:color w:val="000000"/>
                <w:lang w:eastAsia="en-GB"/>
              </w:rPr>
              <w:t>2</w:t>
            </w:r>
            <w:r w:rsidR="00673238">
              <w:rPr>
                <w:rFonts w:ascii="Calibri" w:hAnsi="Calibri"/>
                <w:color w:val="000000"/>
                <w:lang w:eastAsia="en-GB"/>
              </w:rPr>
              <w:t>2</w:t>
            </w:r>
            <w:r>
              <w:rPr>
                <w:rFonts w:ascii="Calibri" w:hAnsi="Calibri"/>
                <w:color w:val="000000"/>
                <w:lang w:eastAsia="en-GB"/>
              </w:rPr>
              <w:t>-2</w:t>
            </w:r>
            <w:r w:rsidR="00673238">
              <w:rPr>
                <w:rFonts w:ascii="Calibri" w:hAnsi="Calibri"/>
                <w:color w:val="000000"/>
                <w:lang w:eastAsia="en-GB"/>
              </w:rPr>
              <w:t>3</w:t>
            </w:r>
          </w:p>
        </w:tc>
        <w:tc>
          <w:tcPr>
            <w:tcW w:w="166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7A1F095A"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Quoted prices in active markets for identical assets (Level 1)</w:t>
            </w:r>
          </w:p>
        </w:tc>
        <w:tc>
          <w:tcPr>
            <w:tcW w:w="152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13B6BE4E"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Other significant observable inputs (Level 2)</w:t>
            </w:r>
          </w:p>
        </w:tc>
        <w:tc>
          <w:tcPr>
            <w:tcW w:w="1498"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64AF6C82"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Significant unobservable inputs (Level 3)</w:t>
            </w:r>
          </w:p>
        </w:tc>
        <w:tc>
          <w:tcPr>
            <w:tcW w:w="142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38E29D94"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Total</w:t>
            </w:r>
          </w:p>
        </w:tc>
      </w:tr>
      <w:tr w:rsidR="00E742B1" w:rsidRPr="00FF0BFC" w14:paraId="0490F4BE" w14:textId="77777777" w:rsidTr="00E742B1">
        <w:trPr>
          <w:trHeight w:val="300"/>
        </w:trPr>
        <w:tc>
          <w:tcPr>
            <w:tcW w:w="3701" w:type="dxa"/>
            <w:tcBorders>
              <w:top w:val="nil"/>
              <w:left w:val="nil"/>
              <w:bottom w:val="nil"/>
              <w:right w:val="nil"/>
            </w:tcBorders>
            <w:shd w:val="clear" w:color="000000" w:fill="FABF8F"/>
            <w:vAlign w:val="center"/>
            <w:hideMark/>
          </w:tcPr>
          <w:p w14:paraId="457013F6"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77BAAACB"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4F371333"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0EE86346"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04351C72" w14:textId="77777777" w:rsidR="00E742B1" w:rsidRPr="00FF0BFC" w:rsidRDefault="00E742B1" w:rsidP="00E742B1">
            <w:pPr>
              <w:keepNext/>
              <w:keepLines/>
              <w:rPr>
                <w:rFonts w:ascii="Calibri" w:hAnsi="Calibri"/>
                <w:color w:val="000000"/>
                <w:lang w:eastAsia="en-GB"/>
              </w:rPr>
            </w:pPr>
          </w:p>
        </w:tc>
      </w:tr>
      <w:tr w:rsidR="00E742B1" w:rsidRPr="00FF0BFC" w14:paraId="593EB233" w14:textId="77777777" w:rsidTr="00E742B1">
        <w:trPr>
          <w:trHeight w:val="300"/>
        </w:trPr>
        <w:tc>
          <w:tcPr>
            <w:tcW w:w="3701" w:type="dxa"/>
            <w:tcBorders>
              <w:top w:val="nil"/>
              <w:left w:val="nil"/>
              <w:bottom w:val="nil"/>
              <w:right w:val="nil"/>
            </w:tcBorders>
            <w:shd w:val="clear" w:color="000000" w:fill="FABF8F"/>
            <w:vAlign w:val="center"/>
            <w:hideMark/>
          </w:tcPr>
          <w:p w14:paraId="4809E0C2"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3E00541C"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2DA783A6"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0E724A1B"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51919645" w14:textId="77777777" w:rsidR="00E742B1" w:rsidRPr="00FF0BFC" w:rsidRDefault="00E742B1" w:rsidP="00E742B1">
            <w:pPr>
              <w:keepNext/>
              <w:keepLines/>
              <w:rPr>
                <w:rFonts w:ascii="Calibri" w:hAnsi="Calibri"/>
                <w:color w:val="000000"/>
                <w:lang w:eastAsia="en-GB"/>
              </w:rPr>
            </w:pPr>
          </w:p>
        </w:tc>
      </w:tr>
      <w:tr w:rsidR="00E742B1" w:rsidRPr="00FF0BFC" w14:paraId="3727A3B3" w14:textId="77777777" w:rsidTr="00E742B1">
        <w:trPr>
          <w:trHeight w:val="300"/>
        </w:trPr>
        <w:tc>
          <w:tcPr>
            <w:tcW w:w="3701" w:type="dxa"/>
            <w:tcBorders>
              <w:top w:val="nil"/>
              <w:left w:val="nil"/>
              <w:bottom w:val="nil"/>
              <w:right w:val="nil"/>
            </w:tcBorders>
            <w:shd w:val="clear" w:color="000000" w:fill="FABF8F"/>
            <w:noWrap/>
            <w:vAlign w:val="bottom"/>
            <w:hideMark/>
          </w:tcPr>
          <w:p w14:paraId="55474643"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2A5F5C39"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2761AF0E"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69857656"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4019C1AB" w14:textId="77777777" w:rsidR="00E742B1" w:rsidRPr="00FF0BFC" w:rsidRDefault="00E742B1" w:rsidP="00E742B1">
            <w:pPr>
              <w:keepNext/>
              <w:keepLines/>
              <w:rPr>
                <w:rFonts w:ascii="Calibri" w:hAnsi="Calibri"/>
                <w:color w:val="000000"/>
                <w:lang w:eastAsia="en-GB"/>
              </w:rPr>
            </w:pPr>
          </w:p>
        </w:tc>
      </w:tr>
      <w:tr w:rsidR="00E742B1" w:rsidRPr="00FF0BFC" w14:paraId="6AF12065" w14:textId="77777777" w:rsidTr="00E742B1">
        <w:trPr>
          <w:trHeight w:val="300"/>
        </w:trPr>
        <w:tc>
          <w:tcPr>
            <w:tcW w:w="3701"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6BFD70F"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Recurring fair value measurements using:</w:t>
            </w:r>
          </w:p>
        </w:tc>
        <w:tc>
          <w:tcPr>
            <w:tcW w:w="1660" w:type="dxa"/>
            <w:tcBorders>
              <w:top w:val="nil"/>
              <w:left w:val="nil"/>
              <w:bottom w:val="single" w:sz="4" w:space="0" w:color="FFFFFF"/>
              <w:right w:val="single" w:sz="4" w:space="0" w:color="FFFFFF"/>
            </w:tcBorders>
            <w:shd w:val="clear" w:color="000000" w:fill="FABF8F"/>
            <w:vAlign w:val="center"/>
            <w:hideMark/>
          </w:tcPr>
          <w:p w14:paraId="08AA0370"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520" w:type="dxa"/>
            <w:tcBorders>
              <w:top w:val="nil"/>
              <w:left w:val="nil"/>
              <w:bottom w:val="single" w:sz="4" w:space="0" w:color="FFFFFF"/>
              <w:right w:val="single" w:sz="4" w:space="0" w:color="FFFFFF"/>
            </w:tcBorders>
            <w:shd w:val="clear" w:color="000000" w:fill="FABF8F"/>
            <w:vAlign w:val="center"/>
            <w:hideMark/>
          </w:tcPr>
          <w:p w14:paraId="7D52A0DF"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498" w:type="dxa"/>
            <w:tcBorders>
              <w:top w:val="nil"/>
              <w:left w:val="nil"/>
              <w:bottom w:val="single" w:sz="4" w:space="0" w:color="FFFFFF"/>
              <w:right w:val="single" w:sz="4" w:space="0" w:color="FFFFFF"/>
            </w:tcBorders>
            <w:shd w:val="clear" w:color="000000" w:fill="FABF8F"/>
            <w:vAlign w:val="center"/>
            <w:hideMark/>
          </w:tcPr>
          <w:p w14:paraId="65F28C43"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420" w:type="dxa"/>
            <w:tcBorders>
              <w:top w:val="nil"/>
              <w:left w:val="nil"/>
              <w:bottom w:val="single" w:sz="4" w:space="0" w:color="FFFFFF"/>
              <w:right w:val="single" w:sz="4" w:space="0" w:color="FFFFFF"/>
            </w:tcBorders>
            <w:shd w:val="clear" w:color="000000" w:fill="FABF8F"/>
            <w:vAlign w:val="center"/>
            <w:hideMark/>
          </w:tcPr>
          <w:p w14:paraId="24FBCCEB"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r>
      <w:tr w:rsidR="00E742B1" w:rsidRPr="00FF0BFC" w14:paraId="437E8321" w14:textId="77777777" w:rsidTr="00E742B1">
        <w:trPr>
          <w:trHeight w:val="300"/>
        </w:trPr>
        <w:tc>
          <w:tcPr>
            <w:tcW w:w="3701" w:type="dxa"/>
            <w:tcBorders>
              <w:top w:val="nil"/>
              <w:left w:val="nil"/>
              <w:bottom w:val="nil"/>
              <w:right w:val="nil"/>
            </w:tcBorders>
            <w:shd w:val="clear" w:color="000000" w:fill="FDE9D9"/>
            <w:vAlign w:val="center"/>
            <w:hideMark/>
          </w:tcPr>
          <w:p w14:paraId="3F74B867"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Financial Liabilities</w:t>
            </w:r>
          </w:p>
        </w:tc>
        <w:tc>
          <w:tcPr>
            <w:tcW w:w="1660" w:type="dxa"/>
            <w:tcBorders>
              <w:top w:val="nil"/>
              <w:left w:val="nil"/>
              <w:bottom w:val="nil"/>
              <w:right w:val="nil"/>
            </w:tcBorders>
            <w:shd w:val="clear" w:color="000000" w:fill="FDE9D9"/>
            <w:noWrap/>
            <w:vAlign w:val="bottom"/>
            <w:hideMark/>
          </w:tcPr>
          <w:p w14:paraId="7BD32F0A"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520" w:type="dxa"/>
            <w:tcBorders>
              <w:top w:val="nil"/>
              <w:left w:val="nil"/>
              <w:bottom w:val="nil"/>
              <w:right w:val="nil"/>
            </w:tcBorders>
            <w:shd w:val="clear" w:color="000000" w:fill="FDE9D9"/>
            <w:noWrap/>
            <w:vAlign w:val="bottom"/>
            <w:hideMark/>
          </w:tcPr>
          <w:p w14:paraId="6FC09ADA"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498" w:type="dxa"/>
            <w:tcBorders>
              <w:top w:val="nil"/>
              <w:left w:val="nil"/>
              <w:bottom w:val="nil"/>
              <w:right w:val="nil"/>
            </w:tcBorders>
            <w:shd w:val="clear" w:color="000000" w:fill="FDE9D9"/>
            <w:noWrap/>
            <w:vAlign w:val="bottom"/>
            <w:hideMark/>
          </w:tcPr>
          <w:p w14:paraId="4B017FBA"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420" w:type="dxa"/>
            <w:tcBorders>
              <w:top w:val="nil"/>
              <w:left w:val="nil"/>
              <w:bottom w:val="nil"/>
              <w:right w:val="nil"/>
            </w:tcBorders>
            <w:shd w:val="clear" w:color="000000" w:fill="FDE9D9"/>
            <w:noWrap/>
            <w:vAlign w:val="bottom"/>
            <w:hideMark/>
          </w:tcPr>
          <w:p w14:paraId="138DD704"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r>
      <w:tr w:rsidR="00E742B1" w:rsidRPr="00FF0BFC" w14:paraId="24AF068F" w14:textId="77777777" w:rsidTr="00E742B1">
        <w:trPr>
          <w:trHeight w:val="300"/>
        </w:trPr>
        <w:tc>
          <w:tcPr>
            <w:tcW w:w="3701" w:type="dxa"/>
            <w:tcBorders>
              <w:top w:val="nil"/>
              <w:left w:val="nil"/>
              <w:bottom w:val="nil"/>
              <w:right w:val="nil"/>
            </w:tcBorders>
            <w:shd w:val="clear" w:color="000000" w:fill="FDE9D9"/>
            <w:vAlign w:val="center"/>
            <w:hideMark/>
          </w:tcPr>
          <w:p w14:paraId="6779582F" w14:textId="77777777" w:rsidR="00E742B1" w:rsidRPr="00FF0BFC" w:rsidRDefault="00E742B1" w:rsidP="00E742B1">
            <w:pPr>
              <w:keepNext/>
              <w:keepLines/>
              <w:rPr>
                <w:rFonts w:ascii="Calibri" w:hAnsi="Calibri"/>
                <w:i/>
                <w:iCs/>
                <w:color w:val="000000"/>
                <w:lang w:eastAsia="en-GB"/>
              </w:rPr>
            </w:pPr>
            <w:r w:rsidRPr="00FF0BFC">
              <w:rPr>
                <w:rFonts w:ascii="Calibri" w:hAnsi="Calibri"/>
                <w:i/>
                <w:iCs/>
                <w:color w:val="000000"/>
                <w:lang w:eastAsia="en-GB"/>
              </w:rPr>
              <w:t>Financial Liabilities held at amortised cost</w:t>
            </w:r>
          </w:p>
        </w:tc>
        <w:tc>
          <w:tcPr>
            <w:tcW w:w="1660" w:type="dxa"/>
            <w:tcBorders>
              <w:top w:val="nil"/>
              <w:left w:val="nil"/>
              <w:bottom w:val="nil"/>
              <w:right w:val="nil"/>
            </w:tcBorders>
            <w:shd w:val="clear" w:color="000000" w:fill="FDE9D9"/>
            <w:vAlign w:val="center"/>
            <w:hideMark/>
          </w:tcPr>
          <w:p w14:paraId="3539030D"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520" w:type="dxa"/>
            <w:tcBorders>
              <w:top w:val="nil"/>
              <w:left w:val="nil"/>
              <w:bottom w:val="nil"/>
              <w:right w:val="nil"/>
            </w:tcBorders>
            <w:shd w:val="clear" w:color="000000" w:fill="FDE9D9"/>
            <w:vAlign w:val="center"/>
            <w:hideMark/>
          </w:tcPr>
          <w:p w14:paraId="6736ECDA"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498" w:type="dxa"/>
            <w:tcBorders>
              <w:top w:val="nil"/>
              <w:left w:val="nil"/>
              <w:bottom w:val="nil"/>
              <w:right w:val="nil"/>
            </w:tcBorders>
            <w:shd w:val="clear" w:color="000000" w:fill="FDE9D9"/>
            <w:vAlign w:val="center"/>
            <w:hideMark/>
          </w:tcPr>
          <w:p w14:paraId="41294CF3"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420" w:type="dxa"/>
            <w:tcBorders>
              <w:top w:val="nil"/>
              <w:left w:val="nil"/>
              <w:bottom w:val="nil"/>
              <w:right w:val="nil"/>
            </w:tcBorders>
            <w:shd w:val="clear" w:color="000000" w:fill="FDE9D9"/>
            <w:vAlign w:val="center"/>
            <w:hideMark/>
          </w:tcPr>
          <w:p w14:paraId="6879D360"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r>
      <w:tr w:rsidR="00E742B1" w:rsidRPr="00FF0BFC" w14:paraId="0CAFFD05" w14:textId="77777777" w:rsidTr="00E742B1">
        <w:trPr>
          <w:trHeight w:val="300"/>
        </w:trPr>
        <w:tc>
          <w:tcPr>
            <w:tcW w:w="3701"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99B5903"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PWLB loans</w:t>
            </w:r>
          </w:p>
        </w:tc>
        <w:tc>
          <w:tcPr>
            <w:tcW w:w="1660" w:type="dxa"/>
            <w:tcBorders>
              <w:top w:val="single" w:sz="4" w:space="0" w:color="FFFFFF"/>
              <w:left w:val="nil"/>
              <w:bottom w:val="single" w:sz="4" w:space="0" w:color="FFFFFF"/>
              <w:right w:val="single" w:sz="4" w:space="0" w:color="FFFFFF"/>
            </w:tcBorders>
            <w:shd w:val="clear" w:color="000000" w:fill="FDE9D9"/>
            <w:vAlign w:val="center"/>
          </w:tcPr>
          <w:p w14:paraId="07B2C9B8"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vAlign w:val="center"/>
          </w:tcPr>
          <w:p w14:paraId="70F15475" w14:textId="020A33FD" w:rsidR="00E742B1" w:rsidRPr="00FF0BFC" w:rsidRDefault="00A46422" w:rsidP="00E742B1">
            <w:pPr>
              <w:keepNext/>
              <w:keepLines/>
              <w:jc w:val="right"/>
              <w:rPr>
                <w:rFonts w:ascii="Calibri" w:hAnsi="Calibri"/>
                <w:color w:val="000000"/>
                <w:lang w:eastAsia="en-GB"/>
              </w:rPr>
            </w:pPr>
            <w:r>
              <w:rPr>
                <w:rFonts w:ascii="Calibri" w:hAnsi="Calibri"/>
                <w:color w:val="000000"/>
                <w:lang w:eastAsia="en-GB"/>
              </w:rPr>
              <w:t>30,837</w:t>
            </w:r>
          </w:p>
        </w:tc>
        <w:tc>
          <w:tcPr>
            <w:tcW w:w="1498" w:type="dxa"/>
            <w:tcBorders>
              <w:top w:val="single" w:sz="4" w:space="0" w:color="FFFFFF"/>
              <w:left w:val="nil"/>
              <w:bottom w:val="single" w:sz="4" w:space="0" w:color="FFFFFF"/>
              <w:right w:val="single" w:sz="4" w:space="0" w:color="FFFFFF"/>
            </w:tcBorders>
            <w:shd w:val="clear" w:color="000000" w:fill="FDE9D9"/>
            <w:vAlign w:val="center"/>
          </w:tcPr>
          <w:p w14:paraId="75420AAE"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420" w:type="dxa"/>
            <w:tcBorders>
              <w:top w:val="single" w:sz="4" w:space="0" w:color="FFFFFF"/>
              <w:left w:val="nil"/>
              <w:bottom w:val="single" w:sz="4" w:space="0" w:color="FFFFFF"/>
              <w:right w:val="single" w:sz="4" w:space="0" w:color="FFFFFF"/>
            </w:tcBorders>
            <w:shd w:val="clear" w:color="000000" w:fill="FDE9D9"/>
            <w:vAlign w:val="center"/>
          </w:tcPr>
          <w:p w14:paraId="01A0B0EC" w14:textId="5C9A40EB" w:rsidR="00E742B1" w:rsidRPr="00FF0BFC" w:rsidRDefault="00A46422" w:rsidP="00E742B1">
            <w:pPr>
              <w:keepNext/>
              <w:keepLines/>
              <w:jc w:val="right"/>
              <w:rPr>
                <w:rFonts w:ascii="Calibri" w:hAnsi="Calibri"/>
                <w:color w:val="000000"/>
                <w:lang w:eastAsia="en-GB"/>
              </w:rPr>
            </w:pPr>
            <w:r>
              <w:rPr>
                <w:rFonts w:ascii="Calibri" w:hAnsi="Calibri"/>
                <w:color w:val="000000"/>
                <w:lang w:eastAsia="en-GB"/>
              </w:rPr>
              <w:t>30,837</w:t>
            </w:r>
          </w:p>
        </w:tc>
      </w:tr>
      <w:tr w:rsidR="00E742B1" w:rsidRPr="00FF0BFC" w14:paraId="619A491C" w14:textId="77777777" w:rsidTr="00E742B1">
        <w:trPr>
          <w:trHeight w:val="300"/>
        </w:trPr>
        <w:tc>
          <w:tcPr>
            <w:tcW w:w="3701" w:type="dxa"/>
            <w:tcBorders>
              <w:top w:val="nil"/>
              <w:left w:val="single" w:sz="4" w:space="0" w:color="FFFFFF"/>
              <w:bottom w:val="single" w:sz="4" w:space="0" w:color="FFFFFF"/>
              <w:right w:val="single" w:sz="4" w:space="0" w:color="FFFFFF"/>
            </w:tcBorders>
            <w:shd w:val="clear" w:color="000000" w:fill="FCD5B4"/>
            <w:vAlign w:val="center"/>
            <w:hideMark/>
          </w:tcPr>
          <w:p w14:paraId="568A4D88"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Total</w:t>
            </w:r>
          </w:p>
        </w:tc>
        <w:tc>
          <w:tcPr>
            <w:tcW w:w="1660" w:type="dxa"/>
            <w:tcBorders>
              <w:top w:val="nil"/>
              <w:left w:val="nil"/>
              <w:bottom w:val="single" w:sz="4" w:space="0" w:color="FFFFFF"/>
              <w:right w:val="single" w:sz="4" w:space="0" w:color="FFFFFF"/>
            </w:tcBorders>
            <w:shd w:val="clear" w:color="000000" w:fill="FCD5B4"/>
            <w:vAlign w:val="center"/>
          </w:tcPr>
          <w:p w14:paraId="12CD3FE6"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520" w:type="dxa"/>
            <w:tcBorders>
              <w:top w:val="nil"/>
              <w:left w:val="nil"/>
              <w:bottom w:val="single" w:sz="4" w:space="0" w:color="FFFFFF"/>
              <w:right w:val="single" w:sz="4" w:space="0" w:color="FFFFFF"/>
            </w:tcBorders>
            <w:shd w:val="clear" w:color="000000" w:fill="FCD5B4"/>
            <w:vAlign w:val="center"/>
          </w:tcPr>
          <w:p w14:paraId="6719227C" w14:textId="1D55313B" w:rsidR="00E742B1" w:rsidRPr="00FF0BFC" w:rsidRDefault="00A46422" w:rsidP="00E742B1">
            <w:pPr>
              <w:keepNext/>
              <w:keepLines/>
              <w:jc w:val="right"/>
              <w:rPr>
                <w:rFonts w:ascii="Calibri" w:hAnsi="Calibri"/>
                <w:b/>
                <w:bCs/>
                <w:color w:val="000000"/>
                <w:lang w:eastAsia="en-GB"/>
              </w:rPr>
            </w:pPr>
            <w:r>
              <w:rPr>
                <w:rFonts w:ascii="Calibri" w:hAnsi="Calibri"/>
                <w:b/>
                <w:bCs/>
                <w:color w:val="000000"/>
                <w:lang w:eastAsia="en-GB"/>
              </w:rPr>
              <w:t>30,837</w:t>
            </w:r>
          </w:p>
        </w:tc>
        <w:tc>
          <w:tcPr>
            <w:tcW w:w="1498" w:type="dxa"/>
            <w:tcBorders>
              <w:top w:val="nil"/>
              <w:left w:val="nil"/>
              <w:bottom w:val="single" w:sz="4" w:space="0" w:color="FFFFFF"/>
              <w:right w:val="single" w:sz="4" w:space="0" w:color="FFFFFF"/>
            </w:tcBorders>
            <w:shd w:val="clear" w:color="000000" w:fill="FCD5B4"/>
            <w:vAlign w:val="center"/>
          </w:tcPr>
          <w:p w14:paraId="4A4CD746"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420" w:type="dxa"/>
            <w:tcBorders>
              <w:top w:val="nil"/>
              <w:left w:val="nil"/>
              <w:bottom w:val="single" w:sz="4" w:space="0" w:color="FFFFFF"/>
              <w:right w:val="single" w:sz="4" w:space="0" w:color="FFFFFF"/>
            </w:tcBorders>
            <w:shd w:val="clear" w:color="000000" w:fill="FCD5B4"/>
            <w:vAlign w:val="center"/>
          </w:tcPr>
          <w:p w14:paraId="00EB654F" w14:textId="1BB61BF0" w:rsidR="00E742B1" w:rsidRPr="00FF0BFC" w:rsidRDefault="00A46422" w:rsidP="00E742B1">
            <w:pPr>
              <w:keepNext/>
              <w:keepLines/>
              <w:jc w:val="right"/>
              <w:rPr>
                <w:rFonts w:ascii="Calibri" w:hAnsi="Calibri"/>
                <w:b/>
                <w:bCs/>
                <w:color w:val="000000"/>
                <w:lang w:eastAsia="en-GB"/>
              </w:rPr>
            </w:pPr>
            <w:r>
              <w:rPr>
                <w:rFonts w:ascii="Calibri" w:hAnsi="Calibri"/>
                <w:b/>
                <w:bCs/>
                <w:color w:val="000000"/>
                <w:lang w:eastAsia="en-GB"/>
              </w:rPr>
              <w:t>30,837</w:t>
            </w:r>
          </w:p>
        </w:tc>
      </w:tr>
      <w:tr w:rsidR="00E742B1" w:rsidRPr="00FF0BFC" w14:paraId="6FD31DB7" w14:textId="77777777" w:rsidTr="00E742B1">
        <w:trPr>
          <w:trHeight w:val="300"/>
        </w:trPr>
        <w:tc>
          <w:tcPr>
            <w:tcW w:w="3701" w:type="dxa"/>
            <w:tcBorders>
              <w:top w:val="nil"/>
              <w:left w:val="nil"/>
              <w:bottom w:val="nil"/>
              <w:right w:val="nil"/>
            </w:tcBorders>
            <w:shd w:val="clear" w:color="000000" w:fill="FDE9D9"/>
            <w:vAlign w:val="center"/>
            <w:hideMark/>
          </w:tcPr>
          <w:p w14:paraId="76F3A6F7"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Financial Assets</w:t>
            </w:r>
          </w:p>
        </w:tc>
        <w:tc>
          <w:tcPr>
            <w:tcW w:w="1660" w:type="dxa"/>
            <w:tcBorders>
              <w:top w:val="nil"/>
              <w:left w:val="nil"/>
              <w:bottom w:val="nil"/>
              <w:right w:val="nil"/>
            </w:tcBorders>
            <w:shd w:val="clear" w:color="000000" w:fill="FDE9D9"/>
            <w:vAlign w:val="center"/>
          </w:tcPr>
          <w:p w14:paraId="7C593754" w14:textId="77777777" w:rsidR="00E742B1" w:rsidRPr="00FF0BFC" w:rsidRDefault="00E742B1" w:rsidP="00E742B1">
            <w:pPr>
              <w:keepNext/>
              <w:keepLines/>
              <w:jc w:val="right"/>
              <w:rPr>
                <w:rFonts w:ascii="Calibri" w:hAnsi="Calibri"/>
                <w:b/>
                <w:bCs/>
                <w:color w:val="000000"/>
                <w:lang w:eastAsia="en-GB"/>
              </w:rPr>
            </w:pPr>
          </w:p>
        </w:tc>
        <w:tc>
          <w:tcPr>
            <w:tcW w:w="1520" w:type="dxa"/>
            <w:tcBorders>
              <w:top w:val="nil"/>
              <w:left w:val="nil"/>
              <w:bottom w:val="nil"/>
              <w:right w:val="nil"/>
            </w:tcBorders>
            <w:shd w:val="clear" w:color="000000" w:fill="FDE9D9"/>
            <w:vAlign w:val="center"/>
          </w:tcPr>
          <w:p w14:paraId="05AC9D69" w14:textId="77777777" w:rsidR="00E742B1" w:rsidRPr="00FF0BFC" w:rsidRDefault="00E742B1" w:rsidP="00E742B1">
            <w:pPr>
              <w:keepNext/>
              <w:keepLines/>
              <w:jc w:val="right"/>
              <w:rPr>
                <w:rFonts w:ascii="Calibri" w:hAnsi="Calibri"/>
                <w:b/>
                <w:bCs/>
                <w:color w:val="000000"/>
                <w:lang w:eastAsia="en-GB"/>
              </w:rPr>
            </w:pPr>
          </w:p>
        </w:tc>
        <w:tc>
          <w:tcPr>
            <w:tcW w:w="1498" w:type="dxa"/>
            <w:tcBorders>
              <w:top w:val="nil"/>
              <w:left w:val="nil"/>
              <w:bottom w:val="nil"/>
              <w:right w:val="nil"/>
            </w:tcBorders>
            <w:shd w:val="clear" w:color="000000" w:fill="FDE9D9"/>
            <w:vAlign w:val="center"/>
          </w:tcPr>
          <w:p w14:paraId="4A1F7D6A" w14:textId="77777777" w:rsidR="00E742B1" w:rsidRPr="00FF0BFC" w:rsidRDefault="00E742B1" w:rsidP="00E742B1">
            <w:pPr>
              <w:keepNext/>
              <w:keepLines/>
              <w:jc w:val="right"/>
              <w:rPr>
                <w:rFonts w:ascii="Calibri" w:hAnsi="Calibri"/>
                <w:b/>
                <w:bCs/>
                <w:color w:val="000000"/>
                <w:lang w:eastAsia="en-GB"/>
              </w:rPr>
            </w:pPr>
          </w:p>
        </w:tc>
        <w:tc>
          <w:tcPr>
            <w:tcW w:w="1420" w:type="dxa"/>
            <w:tcBorders>
              <w:top w:val="nil"/>
              <w:left w:val="nil"/>
              <w:bottom w:val="nil"/>
              <w:right w:val="nil"/>
            </w:tcBorders>
            <w:shd w:val="clear" w:color="000000" w:fill="FDE9D9"/>
            <w:vAlign w:val="center"/>
          </w:tcPr>
          <w:p w14:paraId="351B3528" w14:textId="77777777" w:rsidR="00E742B1" w:rsidRPr="00FF0BFC" w:rsidRDefault="00E742B1" w:rsidP="00E742B1">
            <w:pPr>
              <w:keepNext/>
              <w:keepLines/>
              <w:jc w:val="right"/>
              <w:rPr>
                <w:rFonts w:ascii="Calibri" w:hAnsi="Calibri"/>
                <w:b/>
                <w:bCs/>
                <w:color w:val="000000"/>
                <w:lang w:eastAsia="en-GB"/>
              </w:rPr>
            </w:pPr>
          </w:p>
        </w:tc>
      </w:tr>
      <w:tr w:rsidR="00E742B1" w:rsidRPr="00FF0BFC" w14:paraId="611C3B7B" w14:textId="77777777" w:rsidTr="00E742B1">
        <w:trPr>
          <w:trHeight w:val="510"/>
        </w:trPr>
        <w:tc>
          <w:tcPr>
            <w:tcW w:w="3701"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1127DBB0" w14:textId="1AE9772D"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xml:space="preserve">Other loans </w:t>
            </w:r>
            <w:r w:rsidR="00704A70">
              <w:rPr>
                <w:rFonts w:ascii="Calibri" w:hAnsi="Calibri"/>
                <w:color w:val="000000"/>
                <w:lang w:eastAsia="en-GB"/>
              </w:rPr>
              <w:t>and</w:t>
            </w:r>
            <w:r w:rsidRPr="00FF0BFC">
              <w:rPr>
                <w:rFonts w:ascii="Calibri" w:hAnsi="Calibri"/>
                <w:color w:val="000000"/>
                <w:lang w:eastAsia="en-GB"/>
              </w:rPr>
              <w:t xml:space="preserve"> receivables- fixed rate investments and money market funds</w:t>
            </w:r>
            <w:r w:rsidRPr="00FF0BFC">
              <w:rPr>
                <w:rFonts w:ascii="Calibri" w:hAnsi="Calibri"/>
                <w:b/>
                <w:bCs/>
                <w:color w:val="000000"/>
                <w:lang w:eastAsia="en-GB"/>
              </w:rPr>
              <w:t xml:space="preserve"> </w:t>
            </w:r>
          </w:p>
        </w:tc>
        <w:tc>
          <w:tcPr>
            <w:tcW w:w="1660" w:type="dxa"/>
            <w:tcBorders>
              <w:top w:val="single" w:sz="4" w:space="0" w:color="FFFFFF"/>
              <w:left w:val="nil"/>
              <w:bottom w:val="single" w:sz="4" w:space="0" w:color="FFFFFF"/>
              <w:right w:val="single" w:sz="4" w:space="0" w:color="FFFFFF"/>
            </w:tcBorders>
            <w:shd w:val="clear" w:color="000000" w:fill="FDE9D9"/>
            <w:vAlign w:val="center"/>
          </w:tcPr>
          <w:p w14:paraId="4123991F"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vAlign w:val="center"/>
          </w:tcPr>
          <w:p w14:paraId="0DB61E38" w14:textId="1BC79CB3" w:rsidR="00E742B1" w:rsidRPr="00FF0BFC" w:rsidRDefault="00A46422" w:rsidP="00E742B1">
            <w:pPr>
              <w:keepNext/>
              <w:keepLines/>
              <w:jc w:val="right"/>
              <w:rPr>
                <w:rFonts w:ascii="Calibri" w:hAnsi="Calibri"/>
                <w:color w:val="000000"/>
                <w:lang w:eastAsia="en-GB"/>
              </w:rPr>
            </w:pPr>
            <w:r>
              <w:rPr>
                <w:rFonts w:ascii="Calibri" w:hAnsi="Calibri"/>
                <w:color w:val="000000"/>
                <w:lang w:eastAsia="en-GB"/>
              </w:rPr>
              <w:t>17,958</w:t>
            </w:r>
          </w:p>
        </w:tc>
        <w:tc>
          <w:tcPr>
            <w:tcW w:w="1498" w:type="dxa"/>
            <w:tcBorders>
              <w:top w:val="single" w:sz="4" w:space="0" w:color="FFFFFF"/>
              <w:left w:val="nil"/>
              <w:bottom w:val="single" w:sz="4" w:space="0" w:color="FFFFFF"/>
              <w:right w:val="single" w:sz="4" w:space="0" w:color="FFFFFF"/>
            </w:tcBorders>
            <w:shd w:val="clear" w:color="000000" w:fill="FDE9D9"/>
            <w:vAlign w:val="center"/>
          </w:tcPr>
          <w:p w14:paraId="1EB209A9"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420" w:type="dxa"/>
            <w:tcBorders>
              <w:top w:val="single" w:sz="4" w:space="0" w:color="FFFFFF"/>
              <w:left w:val="nil"/>
              <w:bottom w:val="single" w:sz="4" w:space="0" w:color="FFFFFF"/>
              <w:right w:val="single" w:sz="4" w:space="0" w:color="FFFFFF"/>
            </w:tcBorders>
            <w:shd w:val="clear" w:color="000000" w:fill="FDE9D9"/>
            <w:vAlign w:val="center"/>
          </w:tcPr>
          <w:p w14:paraId="2F295E87" w14:textId="3ABEE360" w:rsidR="00E742B1" w:rsidRPr="00FF0BFC" w:rsidRDefault="00A46422" w:rsidP="00E742B1">
            <w:pPr>
              <w:keepNext/>
              <w:keepLines/>
              <w:jc w:val="right"/>
              <w:rPr>
                <w:rFonts w:ascii="Calibri" w:hAnsi="Calibri"/>
                <w:color w:val="000000"/>
                <w:lang w:eastAsia="en-GB"/>
              </w:rPr>
            </w:pPr>
            <w:r>
              <w:rPr>
                <w:rFonts w:ascii="Calibri" w:hAnsi="Calibri"/>
                <w:color w:val="000000"/>
                <w:lang w:eastAsia="en-GB"/>
              </w:rPr>
              <w:t>17,958</w:t>
            </w:r>
          </w:p>
        </w:tc>
      </w:tr>
      <w:tr w:rsidR="00E742B1" w:rsidRPr="00FF0BFC" w14:paraId="1F7C69B4" w14:textId="77777777" w:rsidTr="00E742B1">
        <w:trPr>
          <w:trHeight w:val="300"/>
        </w:trPr>
        <w:tc>
          <w:tcPr>
            <w:tcW w:w="3701" w:type="dxa"/>
            <w:tcBorders>
              <w:top w:val="nil"/>
              <w:left w:val="single" w:sz="4" w:space="0" w:color="FFFFFF"/>
              <w:bottom w:val="single" w:sz="4" w:space="0" w:color="FFFFFF"/>
              <w:right w:val="single" w:sz="4" w:space="0" w:color="FFFFFF"/>
            </w:tcBorders>
            <w:shd w:val="clear" w:color="000000" w:fill="FCD5B4"/>
            <w:vAlign w:val="center"/>
            <w:hideMark/>
          </w:tcPr>
          <w:p w14:paraId="1322C0BE"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Total</w:t>
            </w:r>
          </w:p>
        </w:tc>
        <w:tc>
          <w:tcPr>
            <w:tcW w:w="1660" w:type="dxa"/>
            <w:tcBorders>
              <w:top w:val="nil"/>
              <w:left w:val="nil"/>
              <w:bottom w:val="single" w:sz="4" w:space="0" w:color="FFFFFF"/>
              <w:right w:val="single" w:sz="4" w:space="0" w:color="FFFFFF"/>
            </w:tcBorders>
            <w:shd w:val="clear" w:color="000000" w:fill="FCD5B4"/>
            <w:vAlign w:val="center"/>
          </w:tcPr>
          <w:p w14:paraId="3748F172"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520" w:type="dxa"/>
            <w:tcBorders>
              <w:top w:val="nil"/>
              <w:left w:val="nil"/>
              <w:bottom w:val="single" w:sz="4" w:space="0" w:color="FFFFFF"/>
              <w:right w:val="single" w:sz="4" w:space="0" w:color="FFFFFF"/>
            </w:tcBorders>
            <w:shd w:val="clear" w:color="000000" w:fill="FCD5B4"/>
            <w:vAlign w:val="center"/>
          </w:tcPr>
          <w:p w14:paraId="046373A4" w14:textId="532B6F17" w:rsidR="00E742B1" w:rsidRPr="00FF0BFC" w:rsidRDefault="00A46422" w:rsidP="00E742B1">
            <w:pPr>
              <w:keepNext/>
              <w:keepLines/>
              <w:jc w:val="right"/>
              <w:rPr>
                <w:rFonts w:ascii="Calibri" w:hAnsi="Calibri"/>
                <w:b/>
                <w:bCs/>
                <w:color w:val="000000"/>
                <w:lang w:eastAsia="en-GB"/>
              </w:rPr>
            </w:pPr>
            <w:r>
              <w:rPr>
                <w:rFonts w:ascii="Calibri" w:hAnsi="Calibri"/>
                <w:b/>
                <w:bCs/>
                <w:color w:val="000000"/>
                <w:lang w:eastAsia="en-GB"/>
              </w:rPr>
              <w:t>17,958</w:t>
            </w:r>
          </w:p>
        </w:tc>
        <w:tc>
          <w:tcPr>
            <w:tcW w:w="1498" w:type="dxa"/>
            <w:tcBorders>
              <w:top w:val="nil"/>
              <w:left w:val="nil"/>
              <w:bottom w:val="single" w:sz="4" w:space="0" w:color="FFFFFF"/>
              <w:right w:val="single" w:sz="4" w:space="0" w:color="FFFFFF"/>
            </w:tcBorders>
            <w:shd w:val="clear" w:color="000000" w:fill="FCD5B4"/>
            <w:vAlign w:val="center"/>
          </w:tcPr>
          <w:p w14:paraId="76580A28"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420" w:type="dxa"/>
            <w:tcBorders>
              <w:top w:val="nil"/>
              <w:left w:val="nil"/>
              <w:bottom w:val="single" w:sz="4" w:space="0" w:color="FFFFFF"/>
              <w:right w:val="single" w:sz="4" w:space="0" w:color="FFFFFF"/>
            </w:tcBorders>
            <w:shd w:val="clear" w:color="000000" w:fill="FCD5B4"/>
            <w:vAlign w:val="center"/>
          </w:tcPr>
          <w:p w14:paraId="2A8A877C" w14:textId="4D42AF03" w:rsidR="00E742B1" w:rsidRPr="00FF0BFC" w:rsidRDefault="00A46422" w:rsidP="00E742B1">
            <w:pPr>
              <w:keepNext/>
              <w:keepLines/>
              <w:jc w:val="right"/>
              <w:rPr>
                <w:rFonts w:ascii="Calibri" w:hAnsi="Calibri"/>
                <w:b/>
                <w:bCs/>
                <w:color w:val="000000"/>
                <w:lang w:eastAsia="en-GB"/>
              </w:rPr>
            </w:pPr>
            <w:r>
              <w:rPr>
                <w:rFonts w:ascii="Calibri" w:hAnsi="Calibri"/>
                <w:b/>
                <w:bCs/>
                <w:color w:val="000000"/>
                <w:lang w:eastAsia="en-GB"/>
              </w:rPr>
              <w:t>17,958</w:t>
            </w:r>
          </w:p>
        </w:tc>
      </w:tr>
    </w:tbl>
    <w:p w14:paraId="02EFE713" w14:textId="77777777" w:rsidR="00916E24" w:rsidRDefault="00916E24" w:rsidP="00962424">
      <w:pPr>
        <w:keepNext/>
        <w:keepLines/>
        <w:widowControl w:val="0"/>
        <w:tabs>
          <w:tab w:val="left" w:pos="2520"/>
          <w:tab w:val="left" w:pos="7200"/>
          <w:tab w:val="left" w:pos="8460"/>
        </w:tabs>
        <w:jc w:val="both"/>
        <w:rPr>
          <w:rFonts w:asciiTheme="minorHAnsi" w:hAnsiTheme="minorHAnsi" w:cs="Arial"/>
          <w:sz w:val="22"/>
          <w:szCs w:val="22"/>
          <w:highlight w:val="yellow"/>
        </w:rPr>
      </w:pPr>
    </w:p>
    <w:tbl>
      <w:tblPr>
        <w:tblW w:w="9799" w:type="dxa"/>
        <w:tblInd w:w="93" w:type="dxa"/>
        <w:tblLook w:val="04A0" w:firstRow="1" w:lastRow="0" w:firstColumn="1" w:lastColumn="0" w:noHBand="0" w:noVBand="1"/>
        <w:tblCaption w:val="Fair Value Hierarchy for Financial Assets and Financial Liabilties that are not measured at fair value"/>
        <w:tblDescription w:val="Fair Value Hierarchy for Financial Assets and Financial Liabilties that are not measured at fair value 2021-2022"/>
      </w:tblPr>
      <w:tblGrid>
        <w:gridCol w:w="3701"/>
        <w:gridCol w:w="1660"/>
        <w:gridCol w:w="1520"/>
        <w:gridCol w:w="1498"/>
        <w:gridCol w:w="1420"/>
      </w:tblGrid>
      <w:tr w:rsidR="00E742B1" w:rsidRPr="00FF0BFC" w14:paraId="448D80E3" w14:textId="77777777" w:rsidTr="00F367A2">
        <w:trPr>
          <w:cantSplit/>
          <w:trHeight w:val="300"/>
          <w:tblHeader/>
        </w:trPr>
        <w:tc>
          <w:tcPr>
            <w:tcW w:w="3701" w:type="dxa"/>
            <w:tcBorders>
              <w:top w:val="nil"/>
              <w:left w:val="nil"/>
              <w:bottom w:val="nil"/>
              <w:right w:val="nil"/>
            </w:tcBorders>
            <w:shd w:val="clear" w:color="000000" w:fill="FABF8F"/>
            <w:vAlign w:val="center"/>
            <w:hideMark/>
          </w:tcPr>
          <w:p w14:paraId="48807EB9" w14:textId="72B93F3F" w:rsidR="00E742B1" w:rsidRPr="00FF0BFC" w:rsidRDefault="00E742B1" w:rsidP="00234228">
            <w:pPr>
              <w:keepNext/>
              <w:keepLines/>
              <w:rPr>
                <w:rFonts w:ascii="Calibri" w:hAnsi="Calibri"/>
                <w:color w:val="000000"/>
                <w:lang w:eastAsia="en-GB"/>
              </w:rPr>
            </w:pPr>
            <w:r w:rsidRPr="00FF0BFC">
              <w:rPr>
                <w:rFonts w:ascii="Calibri" w:hAnsi="Calibri"/>
                <w:color w:val="000000"/>
                <w:lang w:eastAsia="en-GB"/>
              </w:rPr>
              <w:t> </w:t>
            </w:r>
            <w:r>
              <w:rPr>
                <w:rFonts w:ascii="Calibri" w:hAnsi="Calibri"/>
                <w:color w:val="000000"/>
                <w:lang w:eastAsia="en-GB"/>
              </w:rPr>
              <w:t>20</w:t>
            </w:r>
            <w:r w:rsidR="00BA709C">
              <w:rPr>
                <w:rFonts w:ascii="Calibri" w:hAnsi="Calibri"/>
                <w:color w:val="000000"/>
                <w:lang w:eastAsia="en-GB"/>
              </w:rPr>
              <w:t>2</w:t>
            </w:r>
            <w:r w:rsidR="00673238">
              <w:rPr>
                <w:rFonts w:ascii="Calibri" w:hAnsi="Calibri"/>
                <w:color w:val="000000"/>
                <w:lang w:eastAsia="en-GB"/>
              </w:rPr>
              <w:t>1</w:t>
            </w:r>
            <w:r>
              <w:rPr>
                <w:rFonts w:ascii="Calibri" w:hAnsi="Calibri"/>
                <w:color w:val="000000"/>
                <w:lang w:eastAsia="en-GB"/>
              </w:rPr>
              <w:t>-</w:t>
            </w:r>
            <w:r w:rsidR="00673238">
              <w:rPr>
                <w:rFonts w:ascii="Calibri" w:hAnsi="Calibri"/>
                <w:color w:val="000000"/>
                <w:lang w:eastAsia="en-GB"/>
              </w:rPr>
              <w:t>22</w:t>
            </w:r>
          </w:p>
        </w:tc>
        <w:tc>
          <w:tcPr>
            <w:tcW w:w="166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48A493E"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Quoted prices in active markets for identical assets (Level 1)</w:t>
            </w:r>
          </w:p>
        </w:tc>
        <w:tc>
          <w:tcPr>
            <w:tcW w:w="152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48288552"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Other significant observable inputs (Level 2)</w:t>
            </w:r>
          </w:p>
        </w:tc>
        <w:tc>
          <w:tcPr>
            <w:tcW w:w="1498"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558F84A9"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Significant unobservable inputs (Level 3)</w:t>
            </w:r>
          </w:p>
        </w:tc>
        <w:tc>
          <w:tcPr>
            <w:tcW w:w="1420" w:type="dxa"/>
            <w:vMerge w:val="restart"/>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7DE13A7B"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Total</w:t>
            </w:r>
          </w:p>
        </w:tc>
      </w:tr>
      <w:tr w:rsidR="00E742B1" w:rsidRPr="00FF0BFC" w14:paraId="78B25151" w14:textId="77777777" w:rsidTr="00E742B1">
        <w:trPr>
          <w:trHeight w:val="300"/>
        </w:trPr>
        <w:tc>
          <w:tcPr>
            <w:tcW w:w="3701" w:type="dxa"/>
            <w:tcBorders>
              <w:top w:val="nil"/>
              <w:left w:val="nil"/>
              <w:bottom w:val="nil"/>
              <w:right w:val="nil"/>
            </w:tcBorders>
            <w:shd w:val="clear" w:color="000000" w:fill="FABF8F"/>
            <w:vAlign w:val="center"/>
            <w:hideMark/>
          </w:tcPr>
          <w:p w14:paraId="03965637"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397635FA"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070181EE"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5FE22D39"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02EDD288" w14:textId="77777777" w:rsidR="00E742B1" w:rsidRPr="00FF0BFC" w:rsidRDefault="00E742B1" w:rsidP="00E742B1">
            <w:pPr>
              <w:keepNext/>
              <w:keepLines/>
              <w:rPr>
                <w:rFonts w:ascii="Calibri" w:hAnsi="Calibri"/>
                <w:color w:val="000000"/>
                <w:lang w:eastAsia="en-GB"/>
              </w:rPr>
            </w:pPr>
          </w:p>
        </w:tc>
      </w:tr>
      <w:tr w:rsidR="00E742B1" w:rsidRPr="00FF0BFC" w14:paraId="3642A6EB" w14:textId="77777777" w:rsidTr="00E742B1">
        <w:trPr>
          <w:trHeight w:val="300"/>
        </w:trPr>
        <w:tc>
          <w:tcPr>
            <w:tcW w:w="3701" w:type="dxa"/>
            <w:tcBorders>
              <w:top w:val="nil"/>
              <w:left w:val="nil"/>
              <w:bottom w:val="nil"/>
              <w:right w:val="nil"/>
            </w:tcBorders>
            <w:shd w:val="clear" w:color="000000" w:fill="FABF8F"/>
            <w:vAlign w:val="center"/>
            <w:hideMark/>
          </w:tcPr>
          <w:p w14:paraId="6BE68D2E"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06C31F1E"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068D69B0"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7A1C49B8"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2A450E4F" w14:textId="77777777" w:rsidR="00E742B1" w:rsidRPr="00FF0BFC" w:rsidRDefault="00E742B1" w:rsidP="00E742B1">
            <w:pPr>
              <w:keepNext/>
              <w:keepLines/>
              <w:rPr>
                <w:rFonts w:ascii="Calibri" w:hAnsi="Calibri"/>
                <w:color w:val="000000"/>
                <w:lang w:eastAsia="en-GB"/>
              </w:rPr>
            </w:pPr>
          </w:p>
        </w:tc>
      </w:tr>
      <w:tr w:rsidR="00E742B1" w:rsidRPr="00FF0BFC" w14:paraId="7325CA8A" w14:textId="77777777" w:rsidTr="00E742B1">
        <w:trPr>
          <w:trHeight w:val="300"/>
        </w:trPr>
        <w:tc>
          <w:tcPr>
            <w:tcW w:w="3701" w:type="dxa"/>
            <w:tcBorders>
              <w:top w:val="nil"/>
              <w:left w:val="nil"/>
              <w:bottom w:val="nil"/>
              <w:right w:val="nil"/>
            </w:tcBorders>
            <w:shd w:val="clear" w:color="000000" w:fill="FABF8F"/>
            <w:noWrap/>
            <w:vAlign w:val="bottom"/>
            <w:hideMark/>
          </w:tcPr>
          <w:p w14:paraId="360A6462"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660" w:type="dxa"/>
            <w:vMerge/>
            <w:tcBorders>
              <w:top w:val="single" w:sz="4" w:space="0" w:color="FFFFFF"/>
              <w:left w:val="single" w:sz="4" w:space="0" w:color="FFFFFF"/>
              <w:bottom w:val="single" w:sz="4" w:space="0" w:color="FFFFFF"/>
              <w:right w:val="single" w:sz="4" w:space="0" w:color="FFFFFF"/>
            </w:tcBorders>
            <w:vAlign w:val="center"/>
            <w:hideMark/>
          </w:tcPr>
          <w:p w14:paraId="47B9C35E" w14:textId="77777777" w:rsidR="00E742B1" w:rsidRPr="00FF0BFC" w:rsidRDefault="00E742B1" w:rsidP="00E742B1">
            <w:pPr>
              <w:keepNext/>
              <w:keepLines/>
              <w:rPr>
                <w:rFonts w:ascii="Calibri" w:hAnsi="Calibri"/>
                <w:color w:val="000000"/>
                <w:lang w:eastAsia="en-GB"/>
              </w:rPr>
            </w:pPr>
          </w:p>
        </w:tc>
        <w:tc>
          <w:tcPr>
            <w:tcW w:w="1520" w:type="dxa"/>
            <w:vMerge/>
            <w:tcBorders>
              <w:top w:val="single" w:sz="4" w:space="0" w:color="FFFFFF"/>
              <w:left w:val="single" w:sz="4" w:space="0" w:color="FFFFFF"/>
              <w:bottom w:val="single" w:sz="4" w:space="0" w:color="FFFFFF"/>
              <w:right w:val="single" w:sz="4" w:space="0" w:color="FFFFFF"/>
            </w:tcBorders>
            <w:vAlign w:val="center"/>
            <w:hideMark/>
          </w:tcPr>
          <w:p w14:paraId="3C88B6BB" w14:textId="77777777" w:rsidR="00E742B1" w:rsidRPr="00FF0BFC" w:rsidRDefault="00E742B1" w:rsidP="00E742B1">
            <w:pPr>
              <w:keepNext/>
              <w:keepLines/>
              <w:rPr>
                <w:rFonts w:ascii="Calibri" w:hAnsi="Calibri"/>
                <w:color w:val="000000"/>
                <w:lang w:eastAsia="en-GB"/>
              </w:rPr>
            </w:pPr>
          </w:p>
        </w:tc>
        <w:tc>
          <w:tcPr>
            <w:tcW w:w="1498" w:type="dxa"/>
            <w:vMerge/>
            <w:tcBorders>
              <w:top w:val="single" w:sz="4" w:space="0" w:color="FFFFFF"/>
              <w:left w:val="single" w:sz="4" w:space="0" w:color="FFFFFF"/>
              <w:bottom w:val="single" w:sz="4" w:space="0" w:color="FFFFFF"/>
              <w:right w:val="single" w:sz="4" w:space="0" w:color="FFFFFF"/>
            </w:tcBorders>
            <w:vAlign w:val="center"/>
            <w:hideMark/>
          </w:tcPr>
          <w:p w14:paraId="63D6E5A5" w14:textId="77777777" w:rsidR="00E742B1" w:rsidRPr="00FF0BFC" w:rsidRDefault="00E742B1" w:rsidP="00E742B1">
            <w:pPr>
              <w:keepNext/>
              <w:keepLines/>
              <w:rPr>
                <w:rFonts w:ascii="Calibri" w:hAnsi="Calibri"/>
                <w:color w:val="000000"/>
                <w:lang w:eastAsia="en-GB"/>
              </w:rPr>
            </w:pPr>
          </w:p>
        </w:tc>
        <w:tc>
          <w:tcPr>
            <w:tcW w:w="1420" w:type="dxa"/>
            <w:vMerge/>
            <w:tcBorders>
              <w:top w:val="single" w:sz="4" w:space="0" w:color="FFFFFF"/>
              <w:left w:val="single" w:sz="4" w:space="0" w:color="FFFFFF"/>
              <w:bottom w:val="single" w:sz="4" w:space="0" w:color="FFFFFF"/>
              <w:right w:val="single" w:sz="4" w:space="0" w:color="FFFFFF"/>
            </w:tcBorders>
            <w:vAlign w:val="center"/>
            <w:hideMark/>
          </w:tcPr>
          <w:p w14:paraId="4634D03F" w14:textId="77777777" w:rsidR="00E742B1" w:rsidRPr="00FF0BFC" w:rsidRDefault="00E742B1" w:rsidP="00E742B1">
            <w:pPr>
              <w:keepNext/>
              <w:keepLines/>
              <w:rPr>
                <w:rFonts w:ascii="Calibri" w:hAnsi="Calibri"/>
                <w:color w:val="000000"/>
                <w:lang w:eastAsia="en-GB"/>
              </w:rPr>
            </w:pPr>
          </w:p>
        </w:tc>
      </w:tr>
      <w:tr w:rsidR="00E742B1" w:rsidRPr="00FF0BFC" w14:paraId="172AE592" w14:textId="77777777" w:rsidTr="00E742B1">
        <w:trPr>
          <w:trHeight w:val="300"/>
        </w:trPr>
        <w:tc>
          <w:tcPr>
            <w:tcW w:w="3701"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BD7FF2E"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Recurring fair value measurements using:</w:t>
            </w:r>
          </w:p>
        </w:tc>
        <w:tc>
          <w:tcPr>
            <w:tcW w:w="1660" w:type="dxa"/>
            <w:tcBorders>
              <w:top w:val="nil"/>
              <w:left w:val="nil"/>
              <w:bottom w:val="single" w:sz="4" w:space="0" w:color="FFFFFF"/>
              <w:right w:val="single" w:sz="4" w:space="0" w:color="FFFFFF"/>
            </w:tcBorders>
            <w:shd w:val="clear" w:color="000000" w:fill="FABF8F"/>
            <w:vAlign w:val="center"/>
            <w:hideMark/>
          </w:tcPr>
          <w:p w14:paraId="786542AD"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520" w:type="dxa"/>
            <w:tcBorders>
              <w:top w:val="nil"/>
              <w:left w:val="nil"/>
              <w:bottom w:val="single" w:sz="4" w:space="0" w:color="FFFFFF"/>
              <w:right w:val="single" w:sz="4" w:space="0" w:color="FFFFFF"/>
            </w:tcBorders>
            <w:shd w:val="clear" w:color="000000" w:fill="FABF8F"/>
            <w:vAlign w:val="center"/>
            <w:hideMark/>
          </w:tcPr>
          <w:p w14:paraId="5FBBE52D"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498" w:type="dxa"/>
            <w:tcBorders>
              <w:top w:val="nil"/>
              <w:left w:val="nil"/>
              <w:bottom w:val="single" w:sz="4" w:space="0" w:color="FFFFFF"/>
              <w:right w:val="single" w:sz="4" w:space="0" w:color="FFFFFF"/>
            </w:tcBorders>
            <w:shd w:val="clear" w:color="000000" w:fill="FABF8F"/>
            <w:vAlign w:val="center"/>
            <w:hideMark/>
          </w:tcPr>
          <w:p w14:paraId="4653D2C7"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c>
          <w:tcPr>
            <w:tcW w:w="1420" w:type="dxa"/>
            <w:tcBorders>
              <w:top w:val="nil"/>
              <w:left w:val="nil"/>
              <w:bottom w:val="single" w:sz="4" w:space="0" w:color="FFFFFF"/>
              <w:right w:val="single" w:sz="4" w:space="0" w:color="FFFFFF"/>
            </w:tcBorders>
            <w:shd w:val="clear" w:color="000000" w:fill="FABF8F"/>
            <w:vAlign w:val="center"/>
            <w:hideMark/>
          </w:tcPr>
          <w:p w14:paraId="18C9F78F" w14:textId="77777777" w:rsidR="00E742B1" w:rsidRPr="00FF0BFC" w:rsidRDefault="00E742B1" w:rsidP="00E742B1">
            <w:pPr>
              <w:keepNext/>
              <w:keepLines/>
              <w:jc w:val="right"/>
              <w:rPr>
                <w:rFonts w:ascii="Calibri" w:hAnsi="Calibri"/>
                <w:color w:val="000000"/>
                <w:lang w:eastAsia="en-GB"/>
              </w:rPr>
            </w:pPr>
            <w:r w:rsidRPr="00FF0BFC">
              <w:rPr>
                <w:rFonts w:ascii="Calibri" w:hAnsi="Calibri"/>
                <w:color w:val="000000"/>
                <w:lang w:eastAsia="en-GB"/>
              </w:rPr>
              <w:t>£’000</w:t>
            </w:r>
          </w:p>
        </w:tc>
      </w:tr>
      <w:tr w:rsidR="00E742B1" w:rsidRPr="00FF0BFC" w14:paraId="4A9FB1BC" w14:textId="77777777" w:rsidTr="00E742B1">
        <w:trPr>
          <w:trHeight w:val="300"/>
        </w:trPr>
        <w:tc>
          <w:tcPr>
            <w:tcW w:w="3701" w:type="dxa"/>
            <w:tcBorders>
              <w:top w:val="nil"/>
              <w:left w:val="nil"/>
              <w:bottom w:val="nil"/>
              <w:right w:val="nil"/>
            </w:tcBorders>
            <w:shd w:val="clear" w:color="000000" w:fill="FDE9D9"/>
            <w:vAlign w:val="center"/>
            <w:hideMark/>
          </w:tcPr>
          <w:p w14:paraId="63B5C37D"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Financial Liabilities</w:t>
            </w:r>
          </w:p>
        </w:tc>
        <w:tc>
          <w:tcPr>
            <w:tcW w:w="1660" w:type="dxa"/>
            <w:tcBorders>
              <w:top w:val="nil"/>
              <w:left w:val="nil"/>
              <w:bottom w:val="nil"/>
              <w:right w:val="nil"/>
            </w:tcBorders>
            <w:shd w:val="clear" w:color="000000" w:fill="FDE9D9"/>
            <w:noWrap/>
            <w:vAlign w:val="bottom"/>
            <w:hideMark/>
          </w:tcPr>
          <w:p w14:paraId="4F198E1E"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520" w:type="dxa"/>
            <w:tcBorders>
              <w:top w:val="nil"/>
              <w:left w:val="nil"/>
              <w:bottom w:val="nil"/>
              <w:right w:val="nil"/>
            </w:tcBorders>
            <w:shd w:val="clear" w:color="000000" w:fill="FDE9D9"/>
            <w:noWrap/>
            <w:vAlign w:val="bottom"/>
            <w:hideMark/>
          </w:tcPr>
          <w:p w14:paraId="226DEA78"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498" w:type="dxa"/>
            <w:tcBorders>
              <w:top w:val="nil"/>
              <w:left w:val="nil"/>
              <w:bottom w:val="nil"/>
              <w:right w:val="nil"/>
            </w:tcBorders>
            <w:shd w:val="clear" w:color="000000" w:fill="FDE9D9"/>
            <w:noWrap/>
            <w:vAlign w:val="bottom"/>
            <w:hideMark/>
          </w:tcPr>
          <w:p w14:paraId="6DC8C1B3"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c>
          <w:tcPr>
            <w:tcW w:w="1420" w:type="dxa"/>
            <w:tcBorders>
              <w:top w:val="nil"/>
              <w:left w:val="nil"/>
              <w:bottom w:val="nil"/>
              <w:right w:val="nil"/>
            </w:tcBorders>
            <w:shd w:val="clear" w:color="000000" w:fill="FDE9D9"/>
            <w:noWrap/>
            <w:vAlign w:val="bottom"/>
            <w:hideMark/>
          </w:tcPr>
          <w:p w14:paraId="49BBF480" w14:textId="77777777" w:rsidR="00E742B1" w:rsidRPr="00FF0BFC" w:rsidRDefault="00E742B1" w:rsidP="00E742B1">
            <w:pPr>
              <w:keepNext/>
              <w:keepLines/>
              <w:rPr>
                <w:rFonts w:ascii="Calibri" w:hAnsi="Calibri"/>
                <w:color w:val="000000"/>
                <w:sz w:val="22"/>
                <w:szCs w:val="22"/>
                <w:lang w:eastAsia="en-GB"/>
              </w:rPr>
            </w:pPr>
            <w:r w:rsidRPr="00FF0BFC">
              <w:rPr>
                <w:rFonts w:ascii="Calibri" w:hAnsi="Calibri"/>
                <w:color w:val="000000"/>
                <w:sz w:val="22"/>
                <w:szCs w:val="22"/>
                <w:lang w:eastAsia="en-GB"/>
              </w:rPr>
              <w:t> </w:t>
            </w:r>
          </w:p>
        </w:tc>
      </w:tr>
      <w:tr w:rsidR="00E742B1" w:rsidRPr="00FF0BFC" w14:paraId="2FC6E811" w14:textId="77777777" w:rsidTr="00E742B1">
        <w:trPr>
          <w:trHeight w:val="300"/>
        </w:trPr>
        <w:tc>
          <w:tcPr>
            <w:tcW w:w="3701" w:type="dxa"/>
            <w:tcBorders>
              <w:top w:val="nil"/>
              <w:left w:val="nil"/>
              <w:bottom w:val="nil"/>
              <w:right w:val="nil"/>
            </w:tcBorders>
            <w:shd w:val="clear" w:color="000000" w:fill="FDE9D9"/>
            <w:vAlign w:val="center"/>
            <w:hideMark/>
          </w:tcPr>
          <w:p w14:paraId="6B724DF7" w14:textId="77777777" w:rsidR="00E742B1" w:rsidRPr="00FF0BFC" w:rsidRDefault="00E742B1" w:rsidP="00E742B1">
            <w:pPr>
              <w:keepNext/>
              <w:keepLines/>
              <w:rPr>
                <w:rFonts w:ascii="Calibri" w:hAnsi="Calibri"/>
                <w:i/>
                <w:iCs/>
                <w:color w:val="000000"/>
                <w:lang w:eastAsia="en-GB"/>
              </w:rPr>
            </w:pPr>
            <w:r w:rsidRPr="00FF0BFC">
              <w:rPr>
                <w:rFonts w:ascii="Calibri" w:hAnsi="Calibri"/>
                <w:i/>
                <w:iCs/>
                <w:color w:val="000000"/>
                <w:lang w:eastAsia="en-GB"/>
              </w:rPr>
              <w:t>Financial Liabilities held at amortised cost</w:t>
            </w:r>
          </w:p>
        </w:tc>
        <w:tc>
          <w:tcPr>
            <w:tcW w:w="1660" w:type="dxa"/>
            <w:tcBorders>
              <w:top w:val="nil"/>
              <w:left w:val="nil"/>
              <w:bottom w:val="nil"/>
              <w:right w:val="nil"/>
            </w:tcBorders>
            <w:shd w:val="clear" w:color="000000" w:fill="FDE9D9"/>
            <w:vAlign w:val="center"/>
            <w:hideMark/>
          </w:tcPr>
          <w:p w14:paraId="1B25E050"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520" w:type="dxa"/>
            <w:tcBorders>
              <w:top w:val="nil"/>
              <w:left w:val="nil"/>
              <w:bottom w:val="nil"/>
              <w:right w:val="nil"/>
            </w:tcBorders>
            <w:shd w:val="clear" w:color="000000" w:fill="FDE9D9"/>
            <w:vAlign w:val="center"/>
            <w:hideMark/>
          </w:tcPr>
          <w:p w14:paraId="171B1FFA"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498" w:type="dxa"/>
            <w:tcBorders>
              <w:top w:val="nil"/>
              <w:left w:val="nil"/>
              <w:bottom w:val="nil"/>
              <w:right w:val="nil"/>
            </w:tcBorders>
            <w:shd w:val="clear" w:color="000000" w:fill="FDE9D9"/>
            <w:vAlign w:val="center"/>
            <w:hideMark/>
          </w:tcPr>
          <w:p w14:paraId="06A6752B"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c>
          <w:tcPr>
            <w:tcW w:w="1420" w:type="dxa"/>
            <w:tcBorders>
              <w:top w:val="nil"/>
              <w:left w:val="nil"/>
              <w:bottom w:val="nil"/>
              <w:right w:val="nil"/>
            </w:tcBorders>
            <w:shd w:val="clear" w:color="000000" w:fill="FDE9D9"/>
            <w:vAlign w:val="center"/>
            <w:hideMark/>
          </w:tcPr>
          <w:p w14:paraId="3AE9A0B4" w14:textId="77777777" w:rsidR="00E742B1" w:rsidRPr="00FF0BFC" w:rsidRDefault="00E742B1" w:rsidP="00E742B1">
            <w:pPr>
              <w:keepNext/>
              <w:keepLines/>
              <w:jc w:val="right"/>
              <w:rPr>
                <w:rFonts w:ascii="Calibri" w:hAnsi="Calibri"/>
                <w:b/>
                <w:bCs/>
                <w:color w:val="000000"/>
                <w:lang w:eastAsia="en-GB"/>
              </w:rPr>
            </w:pPr>
            <w:r w:rsidRPr="00FF0BFC">
              <w:rPr>
                <w:rFonts w:ascii="Calibri" w:hAnsi="Calibri"/>
                <w:b/>
                <w:bCs/>
                <w:color w:val="000000"/>
                <w:lang w:eastAsia="en-GB"/>
              </w:rPr>
              <w:t> </w:t>
            </w:r>
          </w:p>
        </w:tc>
      </w:tr>
      <w:tr w:rsidR="00E742B1" w:rsidRPr="00FF0BFC" w14:paraId="3A73E1FE" w14:textId="77777777" w:rsidTr="00E742B1">
        <w:trPr>
          <w:trHeight w:val="300"/>
        </w:trPr>
        <w:tc>
          <w:tcPr>
            <w:tcW w:w="3701"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7CC1A35F" w14:textId="77777777"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PWLB loans</w:t>
            </w:r>
          </w:p>
        </w:tc>
        <w:tc>
          <w:tcPr>
            <w:tcW w:w="1660" w:type="dxa"/>
            <w:tcBorders>
              <w:top w:val="single" w:sz="4" w:space="0" w:color="FFFFFF"/>
              <w:left w:val="nil"/>
              <w:bottom w:val="single" w:sz="4" w:space="0" w:color="FFFFFF"/>
              <w:right w:val="single" w:sz="4" w:space="0" w:color="FFFFFF"/>
            </w:tcBorders>
            <w:shd w:val="clear" w:color="000000" w:fill="FDE9D9"/>
            <w:vAlign w:val="center"/>
          </w:tcPr>
          <w:p w14:paraId="2BA5737E"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vAlign w:val="center"/>
          </w:tcPr>
          <w:p w14:paraId="054C658B" w14:textId="0DC64CE9" w:rsidR="00E742B1" w:rsidRPr="00FF0BFC" w:rsidRDefault="00BA709C" w:rsidP="00234228">
            <w:pPr>
              <w:keepNext/>
              <w:keepLines/>
              <w:jc w:val="right"/>
              <w:rPr>
                <w:rFonts w:ascii="Calibri" w:hAnsi="Calibri"/>
                <w:color w:val="000000"/>
                <w:lang w:eastAsia="en-GB"/>
              </w:rPr>
            </w:pPr>
            <w:r>
              <w:rPr>
                <w:rFonts w:ascii="Calibri" w:hAnsi="Calibri"/>
                <w:color w:val="000000"/>
                <w:lang w:eastAsia="en-GB"/>
              </w:rPr>
              <w:t>4</w:t>
            </w:r>
            <w:r w:rsidR="00673238">
              <w:rPr>
                <w:rFonts w:ascii="Calibri" w:hAnsi="Calibri"/>
                <w:color w:val="000000"/>
                <w:lang w:eastAsia="en-GB"/>
              </w:rPr>
              <w:t>4</w:t>
            </w:r>
            <w:r w:rsidR="00E742B1">
              <w:rPr>
                <w:rFonts w:ascii="Calibri" w:hAnsi="Calibri"/>
                <w:color w:val="000000"/>
                <w:lang w:eastAsia="en-GB"/>
              </w:rPr>
              <w:t>,</w:t>
            </w:r>
            <w:r w:rsidR="00673238">
              <w:rPr>
                <w:rFonts w:ascii="Calibri" w:hAnsi="Calibri"/>
                <w:color w:val="000000"/>
                <w:lang w:eastAsia="en-GB"/>
              </w:rPr>
              <w:t>188</w:t>
            </w:r>
          </w:p>
        </w:tc>
        <w:tc>
          <w:tcPr>
            <w:tcW w:w="1498" w:type="dxa"/>
            <w:tcBorders>
              <w:top w:val="single" w:sz="4" w:space="0" w:color="FFFFFF"/>
              <w:left w:val="nil"/>
              <w:bottom w:val="single" w:sz="4" w:space="0" w:color="FFFFFF"/>
              <w:right w:val="single" w:sz="4" w:space="0" w:color="FFFFFF"/>
            </w:tcBorders>
            <w:shd w:val="clear" w:color="000000" w:fill="FDE9D9"/>
            <w:vAlign w:val="center"/>
          </w:tcPr>
          <w:p w14:paraId="5EE044E2"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420" w:type="dxa"/>
            <w:tcBorders>
              <w:top w:val="single" w:sz="4" w:space="0" w:color="FFFFFF"/>
              <w:left w:val="nil"/>
              <w:bottom w:val="single" w:sz="4" w:space="0" w:color="FFFFFF"/>
              <w:right w:val="single" w:sz="4" w:space="0" w:color="FFFFFF"/>
            </w:tcBorders>
            <w:shd w:val="clear" w:color="000000" w:fill="FDE9D9"/>
            <w:vAlign w:val="center"/>
          </w:tcPr>
          <w:p w14:paraId="5CBF8591" w14:textId="05E692FB" w:rsidR="00E742B1" w:rsidRPr="00FF0BFC" w:rsidRDefault="00BA709C" w:rsidP="00234228">
            <w:pPr>
              <w:keepNext/>
              <w:keepLines/>
              <w:jc w:val="right"/>
              <w:rPr>
                <w:rFonts w:ascii="Calibri" w:hAnsi="Calibri"/>
                <w:color w:val="000000"/>
                <w:lang w:eastAsia="en-GB"/>
              </w:rPr>
            </w:pPr>
            <w:r>
              <w:rPr>
                <w:rFonts w:ascii="Calibri" w:hAnsi="Calibri"/>
                <w:color w:val="000000"/>
                <w:lang w:eastAsia="en-GB"/>
              </w:rPr>
              <w:t>4</w:t>
            </w:r>
            <w:r w:rsidR="00673238">
              <w:rPr>
                <w:rFonts w:ascii="Calibri" w:hAnsi="Calibri"/>
                <w:color w:val="000000"/>
                <w:lang w:eastAsia="en-GB"/>
              </w:rPr>
              <w:t>4</w:t>
            </w:r>
            <w:r w:rsidR="00E742B1">
              <w:rPr>
                <w:rFonts w:ascii="Calibri" w:hAnsi="Calibri"/>
                <w:color w:val="000000"/>
                <w:lang w:eastAsia="en-GB"/>
              </w:rPr>
              <w:t>,</w:t>
            </w:r>
            <w:r w:rsidR="00673238">
              <w:rPr>
                <w:rFonts w:ascii="Calibri" w:hAnsi="Calibri"/>
                <w:color w:val="000000"/>
                <w:lang w:eastAsia="en-GB"/>
              </w:rPr>
              <w:t>188</w:t>
            </w:r>
          </w:p>
        </w:tc>
      </w:tr>
      <w:tr w:rsidR="00E742B1" w:rsidRPr="00FF0BFC" w14:paraId="60646AE0" w14:textId="77777777" w:rsidTr="00E742B1">
        <w:trPr>
          <w:trHeight w:val="300"/>
        </w:trPr>
        <w:tc>
          <w:tcPr>
            <w:tcW w:w="3701" w:type="dxa"/>
            <w:tcBorders>
              <w:top w:val="nil"/>
              <w:left w:val="single" w:sz="4" w:space="0" w:color="FFFFFF"/>
              <w:bottom w:val="single" w:sz="4" w:space="0" w:color="FFFFFF"/>
              <w:right w:val="single" w:sz="4" w:space="0" w:color="FFFFFF"/>
            </w:tcBorders>
            <w:shd w:val="clear" w:color="000000" w:fill="FCD5B4"/>
            <w:vAlign w:val="center"/>
            <w:hideMark/>
          </w:tcPr>
          <w:p w14:paraId="0AB1B0B5"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Total</w:t>
            </w:r>
          </w:p>
        </w:tc>
        <w:tc>
          <w:tcPr>
            <w:tcW w:w="1660" w:type="dxa"/>
            <w:tcBorders>
              <w:top w:val="nil"/>
              <w:left w:val="nil"/>
              <w:bottom w:val="single" w:sz="4" w:space="0" w:color="FFFFFF"/>
              <w:right w:val="single" w:sz="4" w:space="0" w:color="FFFFFF"/>
            </w:tcBorders>
            <w:shd w:val="clear" w:color="000000" w:fill="FCD5B4"/>
            <w:vAlign w:val="center"/>
          </w:tcPr>
          <w:p w14:paraId="5DD4C4A7"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520" w:type="dxa"/>
            <w:tcBorders>
              <w:top w:val="nil"/>
              <w:left w:val="nil"/>
              <w:bottom w:val="single" w:sz="4" w:space="0" w:color="FFFFFF"/>
              <w:right w:val="single" w:sz="4" w:space="0" w:color="FFFFFF"/>
            </w:tcBorders>
            <w:shd w:val="clear" w:color="000000" w:fill="FCD5B4"/>
            <w:vAlign w:val="center"/>
          </w:tcPr>
          <w:p w14:paraId="46891DA6" w14:textId="3FDD5FA5" w:rsidR="00E742B1" w:rsidRPr="00FF0BFC" w:rsidRDefault="00BA709C" w:rsidP="00E742B1">
            <w:pPr>
              <w:keepNext/>
              <w:keepLines/>
              <w:jc w:val="right"/>
              <w:rPr>
                <w:rFonts w:ascii="Calibri" w:hAnsi="Calibri"/>
                <w:b/>
                <w:bCs/>
                <w:color w:val="000000"/>
                <w:lang w:eastAsia="en-GB"/>
              </w:rPr>
            </w:pPr>
            <w:r>
              <w:rPr>
                <w:rFonts w:ascii="Calibri" w:hAnsi="Calibri"/>
                <w:b/>
                <w:bCs/>
                <w:color w:val="000000"/>
                <w:lang w:eastAsia="en-GB"/>
              </w:rPr>
              <w:t>4</w:t>
            </w:r>
            <w:r w:rsidR="00673238">
              <w:rPr>
                <w:rFonts w:ascii="Calibri" w:hAnsi="Calibri"/>
                <w:b/>
                <w:bCs/>
                <w:color w:val="000000"/>
                <w:lang w:eastAsia="en-GB"/>
              </w:rPr>
              <w:t>4,188</w:t>
            </w:r>
          </w:p>
        </w:tc>
        <w:tc>
          <w:tcPr>
            <w:tcW w:w="1498" w:type="dxa"/>
            <w:tcBorders>
              <w:top w:val="nil"/>
              <w:left w:val="nil"/>
              <w:bottom w:val="single" w:sz="4" w:space="0" w:color="FFFFFF"/>
              <w:right w:val="single" w:sz="4" w:space="0" w:color="FFFFFF"/>
            </w:tcBorders>
            <w:shd w:val="clear" w:color="000000" w:fill="FCD5B4"/>
            <w:vAlign w:val="center"/>
          </w:tcPr>
          <w:p w14:paraId="15434120"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420" w:type="dxa"/>
            <w:tcBorders>
              <w:top w:val="nil"/>
              <w:left w:val="nil"/>
              <w:bottom w:val="single" w:sz="4" w:space="0" w:color="FFFFFF"/>
              <w:right w:val="single" w:sz="4" w:space="0" w:color="FFFFFF"/>
            </w:tcBorders>
            <w:shd w:val="clear" w:color="000000" w:fill="FCD5B4"/>
            <w:vAlign w:val="center"/>
          </w:tcPr>
          <w:p w14:paraId="5026179B" w14:textId="50D1DF56" w:rsidR="00E742B1" w:rsidRPr="00FF0BFC" w:rsidRDefault="00BA709C" w:rsidP="00E742B1">
            <w:pPr>
              <w:keepNext/>
              <w:keepLines/>
              <w:jc w:val="right"/>
              <w:rPr>
                <w:rFonts w:ascii="Calibri" w:hAnsi="Calibri"/>
                <w:b/>
                <w:bCs/>
                <w:color w:val="000000"/>
                <w:lang w:eastAsia="en-GB"/>
              </w:rPr>
            </w:pPr>
            <w:r>
              <w:rPr>
                <w:rFonts w:ascii="Calibri" w:hAnsi="Calibri"/>
                <w:b/>
                <w:bCs/>
                <w:color w:val="000000"/>
                <w:lang w:eastAsia="en-GB"/>
              </w:rPr>
              <w:t>4</w:t>
            </w:r>
            <w:r w:rsidR="00673238">
              <w:rPr>
                <w:rFonts w:ascii="Calibri" w:hAnsi="Calibri"/>
                <w:b/>
                <w:bCs/>
                <w:color w:val="000000"/>
                <w:lang w:eastAsia="en-GB"/>
              </w:rPr>
              <w:t>4,188</w:t>
            </w:r>
          </w:p>
        </w:tc>
      </w:tr>
      <w:tr w:rsidR="00E742B1" w:rsidRPr="00FF0BFC" w14:paraId="4F0FFA27" w14:textId="77777777" w:rsidTr="00E742B1">
        <w:trPr>
          <w:trHeight w:val="300"/>
        </w:trPr>
        <w:tc>
          <w:tcPr>
            <w:tcW w:w="3701" w:type="dxa"/>
            <w:tcBorders>
              <w:top w:val="nil"/>
              <w:left w:val="nil"/>
              <w:bottom w:val="nil"/>
              <w:right w:val="nil"/>
            </w:tcBorders>
            <w:shd w:val="clear" w:color="000000" w:fill="FDE9D9"/>
            <w:vAlign w:val="center"/>
            <w:hideMark/>
          </w:tcPr>
          <w:p w14:paraId="0764FDDA"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Financial Assets</w:t>
            </w:r>
          </w:p>
        </w:tc>
        <w:tc>
          <w:tcPr>
            <w:tcW w:w="1660" w:type="dxa"/>
            <w:tcBorders>
              <w:top w:val="nil"/>
              <w:left w:val="nil"/>
              <w:bottom w:val="nil"/>
              <w:right w:val="nil"/>
            </w:tcBorders>
            <w:shd w:val="clear" w:color="000000" w:fill="FDE9D9"/>
            <w:vAlign w:val="center"/>
          </w:tcPr>
          <w:p w14:paraId="486B4BF1" w14:textId="77777777" w:rsidR="00E742B1" w:rsidRPr="00FF0BFC" w:rsidRDefault="00E742B1" w:rsidP="00E742B1">
            <w:pPr>
              <w:keepNext/>
              <w:keepLines/>
              <w:jc w:val="right"/>
              <w:rPr>
                <w:rFonts w:ascii="Calibri" w:hAnsi="Calibri"/>
                <w:b/>
                <w:bCs/>
                <w:color w:val="000000"/>
                <w:lang w:eastAsia="en-GB"/>
              </w:rPr>
            </w:pPr>
          </w:p>
        </w:tc>
        <w:tc>
          <w:tcPr>
            <w:tcW w:w="1520" w:type="dxa"/>
            <w:tcBorders>
              <w:top w:val="nil"/>
              <w:left w:val="nil"/>
              <w:bottom w:val="nil"/>
              <w:right w:val="nil"/>
            </w:tcBorders>
            <w:shd w:val="clear" w:color="000000" w:fill="FDE9D9"/>
            <w:vAlign w:val="center"/>
          </w:tcPr>
          <w:p w14:paraId="574D3BC9" w14:textId="77777777" w:rsidR="00E742B1" w:rsidRPr="00FF0BFC" w:rsidRDefault="00E742B1" w:rsidP="00E742B1">
            <w:pPr>
              <w:keepNext/>
              <w:keepLines/>
              <w:jc w:val="right"/>
              <w:rPr>
                <w:rFonts w:ascii="Calibri" w:hAnsi="Calibri"/>
                <w:b/>
                <w:bCs/>
                <w:color w:val="000000"/>
                <w:lang w:eastAsia="en-GB"/>
              </w:rPr>
            </w:pPr>
          </w:p>
        </w:tc>
        <w:tc>
          <w:tcPr>
            <w:tcW w:w="1498" w:type="dxa"/>
            <w:tcBorders>
              <w:top w:val="nil"/>
              <w:left w:val="nil"/>
              <w:bottom w:val="nil"/>
              <w:right w:val="nil"/>
            </w:tcBorders>
            <w:shd w:val="clear" w:color="000000" w:fill="FDE9D9"/>
            <w:vAlign w:val="center"/>
          </w:tcPr>
          <w:p w14:paraId="48FB62B0" w14:textId="77777777" w:rsidR="00E742B1" w:rsidRPr="00FF0BFC" w:rsidRDefault="00E742B1" w:rsidP="00E742B1">
            <w:pPr>
              <w:keepNext/>
              <w:keepLines/>
              <w:jc w:val="right"/>
              <w:rPr>
                <w:rFonts w:ascii="Calibri" w:hAnsi="Calibri"/>
                <w:b/>
                <w:bCs/>
                <w:color w:val="000000"/>
                <w:lang w:eastAsia="en-GB"/>
              </w:rPr>
            </w:pPr>
          </w:p>
        </w:tc>
        <w:tc>
          <w:tcPr>
            <w:tcW w:w="1420" w:type="dxa"/>
            <w:tcBorders>
              <w:top w:val="nil"/>
              <w:left w:val="nil"/>
              <w:bottom w:val="nil"/>
              <w:right w:val="nil"/>
            </w:tcBorders>
            <w:shd w:val="clear" w:color="000000" w:fill="FDE9D9"/>
            <w:vAlign w:val="center"/>
          </w:tcPr>
          <w:p w14:paraId="6F05DD84" w14:textId="77777777" w:rsidR="00E742B1" w:rsidRPr="00FF0BFC" w:rsidRDefault="00E742B1" w:rsidP="00E742B1">
            <w:pPr>
              <w:keepNext/>
              <w:keepLines/>
              <w:jc w:val="right"/>
              <w:rPr>
                <w:rFonts w:ascii="Calibri" w:hAnsi="Calibri"/>
                <w:b/>
                <w:bCs/>
                <w:color w:val="000000"/>
                <w:lang w:eastAsia="en-GB"/>
              </w:rPr>
            </w:pPr>
          </w:p>
        </w:tc>
      </w:tr>
      <w:tr w:rsidR="00E742B1" w:rsidRPr="00FF0BFC" w14:paraId="223AC5BC" w14:textId="77777777" w:rsidTr="00E742B1">
        <w:trPr>
          <w:trHeight w:val="510"/>
        </w:trPr>
        <w:tc>
          <w:tcPr>
            <w:tcW w:w="3701"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32FC84E8" w14:textId="1D5F52FB" w:rsidR="00E742B1" w:rsidRPr="00FF0BFC" w:rsidRDefault="00E742B1" w:rsidP="00E742B1">
            <w:pPr>
              <w:keepNext/>
              <w:keepLines/>
              <w:rPr>
                <w:rFonts w:ascii="Calibri" w:hAnsi="Calibri"/>
                <w:color w:val="000000"/>
                <w:lang w:eastAsia="en-GB"/>
              </w:rPr>
            </w:pPr>
            <w:r w:rsidRPr="00FF0BFC">
              <w:rPr>
                <w:rFonts w:ascii="Calibri" w:hAnsi="Calibri"/>
                <w:color w:val="000000"/>
                <w:lang w:eastAsia="en-GB"/>
              </w:rPr>
              <w:t xml:space="preserve">Other loans </w:t>
            </w:r>
            <w:r w:rsidR="00704A70">
              <w:rPr>
                <w:rFonts w:ascii="Calibri" w:hAnsi="Calibri"/>
                <w:color w:val="000000"/>
                <w:lang w:eastAsia="en-GB"/>
              </w:rPr>
              <w:t>and</w:t>
            </w:r>
            <w:r w:rsidRPr="00FF0BFC">
              <w:rPr>
                <w:rFonts w:ascii="Calibri" w:hAnsi="Calibri"/>
                <w:color w:val="000000"/>
                <w:lang w:eastAsia="en-GB"/>
              </w:rPr>
              <w:t xml:space="preserve"> receivables- fixed rate investments and money market funds</w:t>
            </w:r>
            <w:r w:rsidRPr="00FF0BFC">
              <w:rPr>
                <w:rFonts w:ascii="Calibri" w:hAnsi="Calibri"/>
                <w:b/>
                <w:bCs/>
                <w:color w:val="000000"/>
                <w:lang w:eastAsia="en-GB"/>
              </w:rPr>
              <w:t xml:space="preserve"> </w:t>
            </w:r>
          </w:p>
        </w:tc>
        <w:tc>
          <w:tcPr>
            <w:tcW w:w="1660" w:type="dxa"/>
            <w:tcBorders>
              <w:top w:val="single" w:sz="4" w:space="0" w:color="FFFFFF"/>
              <w:left w:val="nil"/>
              <w:bottom w:val="single" w:sz="4" w:space="0" w:color="FFFFFF"/>
              <w:right w:val="single" w:sz="4" w:space="0" w:color="FFFFFF"/>
            </w:tcBorders>
            <w:shd w:val="clear" w:color="000000" w:fill="FDE9D9"/>
            <w:vAlign w:val="center"/>
          </w:tcPr>
          <w:p w14:paraId="1C8390D9"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520" w:type="dxa"/>
            <w:tcBorders>
              <w:top w:val="single" w:sz="4" w:space="0" w:color="FFFFFF"/>
              <w:left w:val="nil"/>
              <w:bottom w:val="single" w:sz="4" w:space="0" w:color="FFFFFF"/>
              <w:right w:val="single" w:sz="4" w:space="0" w:color="FFFFFF"/>
            </w:tcBorders>
            <w:shd w:val="clear" w:color="000000" w:fill="FDE9D9"/>
            <w:vAlign w:val="center"/>
          </w:tcPr>
          <w:p w14:paraId="7E58A321" w14:textId="6E40348F" w:rsidR="00E742B1" w:rsidRPr="00FF0BFC" w:rsidRDefault="00BA709C" w:rsidP="00234228">
            <w:pPr>
              <w:keepNext/>
              <w:keepLines/>
              <w:jc w:val="right"/>
              <w:rPr>
                <w:rFonts w:ascii="Calibri" w:hAnsi="Calibri"/>
                <w:color w:val="000000"/>
                <w:lang w:eastAsia="en-GB"/>
              </w:rPr>
            </w:pPr>
            <w:r>
              <w:rPr>
                <w:rFonts w:ascii="Calibri" w:hAnsi="Calibri"/>
                <w:color w:val="000000"/>
                <w:lang w:eastAsia="en-GB"/>
              </w:rPr>
              <w:t>2</w:t>
            </w:r>
            <w:r w:rsidR="00673238">
              <w:rPr>
                <w:rFonts w:ascii="Calibri" w:hAnsi="Calibri"/>
                <w:color w:val="000000"/>
                <w:lang w:eastAsia="en-GB"/>
              </w:rPr>
              <w:t>4,570</w:t>
            </w:r>
          </w:p>
        </w:tc>
        <w:tc>
          <w:tcPr>
            <w:tcW w:w="1498" w:type="dxa"/>
            <w:tcBorders>
              <w:top w:val="single" w:sz="4" w:space="0" w:color="FFFFFF"/>
              <w:left w:val="nil"/>
              <w:bottom w:val="single" w:sz="4" w:space="0" w:color="FFFFFF"/>
              <w:right w:val="single" w:sz="4" w:space="0" w:color="FFFFFF"/>
            </w:tcBorders>
            <w:shd w:val="clear" w:color="000000" w:fill="FDE9D9"/>
            <w:vAlign w:val="center"/>
          </w:tcPr>
          <w:p w14:paraId="29772213" w14:textId="77777777" w:rsidR="00E742B1" w:rsidRPr="00FF0BFC" w:rsidRDefault="00E742B1" w:rsidP="00E742B1">
            <w:pPr>
              <w:keepNext/>
              <w:keepLines/>
              <w:jc w:val="right"/>
              <w:rPr>
                <w:rFonts w:ascii="Calibri" w:hAnsi="Calibri"/>
                <w:color w:val="000000"/>
                <w:lang w:eastAsia="en-GB"/>
              </w:rPr>
            </w:pPr>
            <w:r>
              <w:rPr>
                <w:rFonts w:ascii="Calibri" w:hAnsi="Calibri"/>
                <w:color w:val="000000"/>
                <w:lang w:eastAsia="en-GB"/>
              </w:rPr>
              <w:t>0</w:t>
            </w:r>
          </w:p>
        </w:tc>
        <w:tc>
          <w:tcPr>
            <w:tcW w:w="1420" w:type="dxa"/>
            <w:tcBorders>
              <w:top w:val="single" w:sz="4" w:space="0" w:color="FFFFFF"/>
              <w:left w:val="nil"/>
              <w:bottom w:val="single" w:sz="4" w:space="0" w:color="FFFFFF"/>
              <w:right w:val="single" w:sz="4" w:space="0" w:color="FFFFFF"/>
            </w:tcBorders>
            <w:shd w:val="clear" w:color="000000" w:fill="FDE9D9"/>
            <w:vAlign w:val="center"/>
          </w:tcPr>
          <w:p w14:paraId="5A62FAC2" w14:textId="34CDE73C" w:rsidR="00E742B1" w:rsidRPr="00FF0BFC" w:rsidRDefault="00BA709C" w:rsidP="00E742B1">
            <w:pPr>
              <w:keepNext/>
              <w:keepLines/>
              <w:jc w:val="right"/>
              <w:rPr>
                <w:rFonts w:ascii="Calibri" w:hAnsi="Calibri"/>
                <w:color w:val="000000"/>
                <w:lang w:eastAsia="en-GB"/>
              </w:rPr>
            </w:pPr>
            <w:r>
              <w:rPr>
                <w:rFonts w:ascii="Calibri" w:hAnsi="Calibri"/>
                <w:color w:val="000000"/>
                <w:lang w:eastAsia="en-GB"/>
              </w:rPr>
              <w:t>2</w:t>
            </w:r>
            <w:r w:rsidR="00673238">
              <w:rPr>
                <w:rFonts w:ascii="Calibri" w:hAnsi="Calibri"/>
                <w:color w:val="000000"/>
                <w:lang w:eastAsia="en-GB"/>
              </w:rPr>
              <w:t>4,570</w:t>
            </w:r>
          </w:p>
        </w:tc>
      </w:tr>
      <w:tr w:rsidR="00E742B1" w:rsidRPr="00FF0BFC" w14:paraId="434CBD72" w14:textId="77777777" w:rsidTr="00E742B1">
        <w:trPr>
          <w:trHeight w:val="300"/>
        </w:trPr>
        <w:tc>
          <w:tcPr>
            <w:tcW w:w="3701" w:type="dxa"/>
            <w:tcBorders>
              <w:top w:val="nil"/>
              <w:left w:val="single" w:sz="4" w:space="0" w:color="FFFFFF"/>
              <w:bottom w:val="single" w:sz="4" w:space="0" w:color="FFFFFF"/>
              <w:right w:val="single" w:sz="4" w:space="0" w:color="FFFFFF"/>
            </w:tcBorders>
            <w:shd w:val="clear" w:color="000000" w:fill="FCD5B4"/>
            <w:vAlign w:val="center"/>
            <w:hideMark/>
          </w:tcPr>
          <w:p w14:paraId="43C08E4B" w14:textId="77777777" w:rsidR="00E742B1" w:rsidRPr="00FF0BFC" w:rsidRDefault="00E742B1" w:rsidP="00E742B1">
            <w:pPr>
              <w:keepNext/>
              <w:keepLines/>
              <w:rPr>
                <w:rFonts w:ascii="Calibri" w:hAnsi="Calibri"/>
                <w:b/>
                <w:bCs/>
                <w:color w:val="000000"/>
                <w:lang w:eastAsia="en-GB"/>
              </w:rPr>
            </w:pPr>
            <w:r w:rsidRPr="00FF0BFC">
              <w:rPr>
                <w:rFonts w:ascii="Calibri" w:hAnsi="Calibri"/>
                <w:b/>
                <w:bCs/>
                <w:color w:val="000000"/>
                <w:lang w:eastAsia="en-GB"/>
              </w:rPr>
              <w:t>Total</w:t>
            </w:r>
          </w:p>
        </w:tc>
        <w:tc>
          <w:tcPr>
            <w:tcW w:w="1660" w:type="dxa"/>
            <w:tcBorders>
              <w:top w:val="nil"/>
              <w:left w:val="nil"/>
              <w:bottom w:val="single" w:sz="4" w:space="0" w:color="FFFFFF"/>
              <w:right w:val="single" w:sz="4" w:space="0" w:color="FFFFFF"/>
            </w:tcBorders>
            <w:shd w:val="clear" w:color="000000" w:fill="FCD5B4"/>
            <w:vAlign w:val="center"/>
          </w:tcPr>
          <w:p w14:paraId="4D1FBAA6"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520" w:type="dxa"/>
            <w:tcBorders>
              <w:top w:val="nil"/>
              <w:left w:val="nil"/>
              <w:bottom w:val="single" w:sz="4" w:space="0" w:color="FFFFFF"/>
              <w:right w:val="single" w:sz="4" w:space="0" w:color="FFFFFF"/>
            </w:tcBorders>
            <w:shd w:val="clear" w:color="000000" w:fill="FCD5B4"/>
            <w:vAlign w:val="center"/>
          </w:tcPr>
          <w:p w14:paraId="55483F41" w14:textId="7B4BC5AE" w:rsidR="00E742B1" w:rsidRPr="00FF0BFC" w:rsidRDefault="00BA709C" w:rsidP="00E742B1">
            <w:pPr>
              <w:keepNext/>
              <w:keepLines/>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4,570</w:t>
            </w:r>
          </w:p>
        </w:tc>
        <w:tc>
          <w:tcPr>
            <w:tcW w:w="1498" w:type="dxa"/>
            <w:tcBorders>
              <w:top w:val="nil"/>
              <w:left w:val="nil"/>
              <w:bottom w:val="single" w:sz="4" w:space="0" w:color="FFFFFF"/>
              <w:right w:val="single" w:sz="4" w:space="0" w:color="FFFFFF"/>
            </w:tcBorders>
            <w:shd w:val="clear" w:color="000000" w:fill="FCD5B4"/>
            <w:vAlign w:val="center"/>
          </w:tcPr>
          <w:p w14:paraId="4FAF8F5B" w14:textId="77777777" w:rsidR="00E742B1" w:rsidRPr="00FF0BFC" w:rsidRDefault="00E742B1" w:rsidP="00E742B1">
            <w:pPr>
              <w:keepNext/>
              <w:keepLines/>
              <w:jc w:val="right"/>
              <w:rPr>
                <w:rFonts w:ascii="Calibri" w:hAnsi="Calibri"/>
                <w:b/>
                <w:bCs/>
                <w:color w:val="000000"/>
                <w:lang w:eastAsia="en-GB"/>
              </w:rPr>
            </w:pPr>
            <w:r>
              <w:rPr>
                <w:rFonts w:ascii="Calibri" w:hAnsi="Calibri"/>
                <w:b/>
                <w:bCs/>
                <w:color w:val="000000"/>
                <w:lang w:eastAsia="en-GB"/>
              </w:rPr>
              <w:t>0</w:t>
            </w:r>
          </w:p>
        </w:tc>
        <w:tc>
          <w:tcPr>
            <w:tcW w:w="1420" w:type="dxa"/>
            <w:tcBorders>
              <w:top w:val="nil"/>
              <w:left w:val="nil"/>
              <w:bottom w:val="single" w:sz="4" w:space="0" w:color="FFFFFF"/>
              <w:right w:val="single" w:sz="4" w:space="0" w:color="FFFFFF"/>
            </w:tcBorders>
            <w:shd w:val="clear" w:color="000000" w:fill="FCD5B4"/>
            <w:vAlign w:val="center"/>
          </w:tcPr>
          <w:p w14:paraId="1D1B81BC" w14:textId="59AFD6F5" w:rsidR="00E742B1" w:rsidRPr="00FF0BFC" w:rsidRDefault="00BA709C" w:rsidP="00234228">
            <w:pPr>
              <w:keepNext/>
              <w:keepLines/>
              <w:jc w:val="right"/>
              <w:rPr>
                <w:rFonts w:ascii="Calibri" w:hAnsi="Calibri"/>
                <w:b/>
                <w:bCs/>
                <w:color w:val="000000"/>
                <w:lang w:eastAsia="en-GB"/>
              </w:rPr>
            </w:pPr>
            <w:r>
              <w:rPr>
                <w:rFonts w:ascii="Calibri" w:hAnsi="Calibri"/>
                <w:b/>
                <w:bCs/>
                <w:color w:val="000000"/>
                <w:lang w:eastAsia="en-GB"/>
              </w:rPr>
              <w:t>2</w:t>
            </w:r>
            <w:r w:rsidR="00673238">
              <w:rPr>
                <w:rFonts w:ascii="Calibri" w:hAnsi="Calibri"/>
                <w:b/>
                <w:bCs/>
                <w:color w:val="000000"/>
                <w:lang w:eastAsia="en-GB"/>
              </w:rPr>
              <w:t>4,570</w:t>
            </w:r>
          </w:p>
        </w:tc>
      </w:tr>
    </w:tbl>
    <w:p w14:paraId="720CA86F" w14:textId="77777777" w:rsidR="00E742B1" w:rsidRDefault="00E742B1" w:rsidP="00962424">
      <w:pPr>
        <w:keepNext/>
        <w:keepLines/>
        <w:widowControl w:val="0"/>
        <w:tabs>
          <w:tab w:val="left" w:pos="2520"/>
          <w:tab w:val="left" w:pos="7200"/>
          <w:tab w:val="left" w:pos="8460"/>
        </w:tabs>
        <w:jc w:val="both"/>
        <w:rPr>
          <w:rFonts w:asciiTheme="minorHAnsi" w:hAnsiTheme="minorHAnsi" w:cs="Arial"/>
          <w:sz w:val="22"/>
          <w:szCs w:val="22"/>
          <w:highlight w:val="yellow"/>
        </w:rPr>
      </w:pPr>
    </w:p>
    <w:p w14:paraId="4AD7DE13" w14:textId="566F6015" w:rsidR="001B4D9E" w:rsidRDefault="001B4D9E" w:rsidP="00704A70">
      <w:pPr>
        <w:pStyle w:val="Heading2"/>
      </w:pPr>
    </w:p>
    <w:p w14:paraId="09C5F606" w14:textId="0A7C0958" w:rsidR="001B4D9E" w:rsidRDefault="001B4D9E" w:rsidP="001B4D9E"/>
    <w:p w14:paraId="537F1B2E" w14:textId="4E42A5FA" w:rsidR="001B4D9E" w:rsidRDefault="001B4D9E" w:rsidP="001B4D9E"/>
    <w:p w14:paraId="17086D72" w14:textId="1B98AAA9" w:rsidR="00CF046C" w:rsidRPr="001A5861" w:rsidRDefault="00484DC3" w:rsidP="00704A70">
      <w:pPr>
        <w:pStyle w:val="Heading2"/>
        <w:rPr>
          <w:color w:val="FF0000"/>
        </w:rPr>
      </w:pPr>
      <w:r>
        <w:lastRenderedPageBreak/>
        <w:t>2</w:t>
      </w:r>
      <w:r w:rsidR="00D3279C">
        <w:t>3</w:t>
      </w:r>
      <w:r w:rsidR="00CF046C" w:rsidRPr="00CF046C">
        <w:tab/>
        <w:t>Nature and Extent of Risks Arising from Financial Instruments</w:t>
      </w:r>
    </w:p>
    <w:p w14:paraId="395B6869" w14:textId="77777777" w:rsidR="00CF046C" w:rsidRPr="00A631F5" w:rsidRDefault="00CF046C" w:rsidP="00CF046C">
      <w:pPr>
        <w:pStyle w:val="ExampleText"/>
        <w:spacing w:before="240" w:after="120" w:line="240" w:lineRule="auto"/>
        <w:ind w:left="0"/>
        <w:jc w:val="both"/>
        <w:rPr>
          <w:rFonts w:asciiTheme="minorHAnsi" w:hAnsiTheme="minorHAnsi" w:cs="Arial"/>
          <w:b/>
          <w:color w:val="auto"/>
          <w:sz w:val="22"/>
          <w:szCs w:val="22"/>
          <w:lang w:val="en-GB"/>
        </w:rPr>
      </w:pPr>
      <w:r w:rsidRPr="00A631F5">
        <w:rPr>
          <w:rFonts w:asciiTheme="minorHAnsi" w:hAnsiTheme="minorHAnsi" w:cs="Arial"/>
          <w:b/>
          <w:color w:val="auto"/>
          <w:sz w:val="22"/>
          <w:szCs w:val="22"/>
          <w:lang w:val="en-GB"/>
        </w:rPr>
        <w:t>Key risks</w:t>
      </w:r>
    </w:p>
    <w:p w14:paraId="02C14E41" w14:textId="77777777" w:rsidR="00CF046C" w:rsidRPr="00A631F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A631F5">
        <w:rPr>
          <w:rFonts w:asciiTheme="minorHAnsi" w:hAnsiTheme="minorHAnsi" w:cs="Arial"/>
          <w:sz w:val="22"/>
          <w:szCs w:val="22"/>
          <w:lang w:eastAsia="en-GB"/>
        </w:rPr>
        <w:t>The Council’s activities expose it to a variety of financial risks.  The key risks are:</w:t>
      </w:r>
    </w:p>
    <w:p w14:paraId="4CE3B960" w14:textId="77777777" w:rsidR="00CF046C" w:rsidRPr="00A631F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574B86B2" w14:textId="77777777" w:rsidR="00CF046C" w:rsidRPr="00A631F5" w:rsidRDefault="00CF046C" w:rsidP="00C76AD3">
      <w:pPr>
        <w:keepLines/>
        <w:widowControl w:val="0"/>
        <w:numPr>
          <w:ilvl w:val="0"/>
          <w:numId w:val="13"/>
        </w:numPr>
        <w:tabs>
          <w:tab w:val="clear" w:pos="720"/>
          <w:tab w:val="num" w:pos="360"/>
        </w:tabs>
        <w:suppressAutoHyphens/>
        <w:autoSpaceDE w:val="0"/>
        <w:autoSpaceDN w:val="0"/>
        <w:adjustRightInd w:val="0"/>
        <w:ind w:left="2520" w:hanging="2520"/>
        <w:jc w:val="both"/>
        <w:textAlignment w:val="baseline"/>
        <w:rPr>
          <w:rFonts w:asciiTheme="minorHAnsi" w:hAnsiTheme="minorHAnsi" w:cs="Arial"/>
          <w:sz w:val="22"/>
          <w:szCs w:val="22"/>
          <w:lang w:eastAsia="en-GB"/>
        </w:rPr>
      </w:pPr>
      <w:r w:rsidRPr="00A631F5">
        <w:rPr>
          <w:rFonts w:asciiTheme="minorHAnsi" w:hAnsiTheme="minorHAnsi" w:cs="Arial"/>
          <w:b/>
          <w:sz w:val="22"/>
          <w:szCs w:val="22"/>
          <w:lang w:eastAsia="en-GB"/>
        </w:rPr>
        <w:t>Credit risk</w:t>
      </w:r>
      <w:r w:rsidRPr="00A631F5">
        <w:rPr>
          <w:rFonts w:asciiTheme="minorHAnsi" w:hAnsiTheme="minorHAnsi" w:cs="Arial"/>
          <w:b/>
          <w:sz w:val="22"/>
          <w:szCs w:val="22"/>
          <w:lang w:eastAsia="en-GB"/>
        </w:rPr>
        <w:tab/>
      </w:r>
      <w:r w:rsidRPr="00A631F5">
        <w:rPr>
          <w:rFonts w:asciiTheme="minorHAnsi" w:hAnsiTheme="minorHAnsi" w:cs="Arial"/>
          <w:sz w:val="22"/>
          <w:szCs w:val="22"/>
          <w:lang w:eastAsia="en-GB"/>
        </w:rPr>
        <w:t xml:space="preserve">the possibility that other parties might fail to pay amounts due to the </w:t>
      </w:r>
      <w:proofErr w:type="gramStart"/>
      <w:r w:rsidRPr="00A631F5">
        <w:rPr>
          <w:rFonts w:asciiTheme="minorHAnsi" w:hAnsiTheme="minorHAnsi" w:cs="Arial"/>
          <w:sz w:val="22"/>
          <w:szCs w:val="22"/>
          <w:lang w:eastAsia="en-GB"/>
        </w:rPr>
        <w:t>Council;</w:t>
      </w:r>
      <w:proofErr w:type="gramEnd"/>
    </w:p>
    <w:p w14:paraId="077B3DF3" w14:textId="77777777" w:rsidR="00CF046C" w:rsidRPr="00A631F5" w:rsidRDefault="00CF046C" w:rsidP="00CF046C">
      <w:pPr>
        <w:keepLines/>
        <w:widowControl w:val="0"/>
        <w:suppressAutoHyphens/>
        <w:autoSpaceDE w:val="0"/>
        <w:autoSpaceDN w:val="0"/>
        <w:adjustRightInd w:val="0"/>
        <w:ind w:left="2520" w:hanging="2520"/>
        <w:jc w:val="both"/>
        <w:textAlignment w:val="baseline"/>
        <w:rPr>
          <w:rFonts w:asciiTheme="minorHAnsi" w:hAnsiTheme="minorHAnsi" w:cs="Arial"/>
          <w:sz w:val="22"/>
          <w:szCs w:val="22"/>
          <w:lang w:eastAsia="en-GB"/>
        </w:rPr>
      </w:pPr>
    </w:p>
    <w:p w14:paraId="1E043A3E" w14:textId="77777777" w:rsidR="00CF046C" w:rsidRPr="00A631F5" w:rsidRDefault="00CF046C" w:rsidP="00C76AD3">
      <w:pPr>
        <w:keepLines/>
        <w:widowControl w:val="0"/>
        <w:numPr>
          <w:ilvl w:val="0"/>
          <w:numId w:val="13"/>
        </w:numPr>
        <w:tabs>
          <w:tab w:val="clear" w:pos="720"/>
          <w:tab w:val="num" w:pos="360"/>
        </w:tabs>
        <w:suppressAutoHyphens/>
        <w:autoSpaceDE w:val="0"/>
        <w:autoSpaceDN w:val="0"/>
        <w:adjustRightInd w:val="0"/>
        <w:ind w:left="2520" w:hanging="2520"/>
        <w:jc w:val="both"/>
        <w:textAlignment w:val="baseline"/>
        <w:rPr>
          <w:rFonts w:asciiTheme="minorHAnsi" w:hAnsiTheme="minorHAnsi" w:cs="Arial"/>
          <w:sz w:val="22"/>
          <w:szCs w:val="22"/>
          <w:lang w:eastAsia="en-GB"/>
        </w:rPr>
      </w:pPr>
      <w:r w:rsidRPr="00A631F5">
        <w:rPr>
          <w:rFonts w:asciiTheme="minorHAnsi" w:hAnsiTheme="minorHAnsi" w:cs="Arial"/>
          <w:b/>
          <w:sz w:val="22"/>
          <w:szCs w:val="22"/>
          <w:lang w:eastAsia="en-GB"/>
        </w:rPr>
        <w:t xml:space="preserve">Liquidity </w:t>
      </w:r>
      <w:proofErr w:type="gramStart"/>
      <w:r w:rsidRPr="00A631F5">
        <w:rPr>
          <w:rFonts w:asciiTheme="minorHAnsi" w:hAnsiTheme="minorHAnsi" w:cs="Arial"/>
          <w:b/>
          <w:sz w:val="22"/>
          <w:szCs w:val="22"/>
          <w:lang w:eastAsia="en-GB"/>
        </w:rPr>
        <w:t>risk</w:t>
      </w:r>
      <w:proofErr w:type="gramEnd"/>
      <w:r w:rsidRPr="00A631F5">
        <w:rPr>
          <w:rFonts w:asciiTheme="minorHAnsi" w:hAnsiTheme="minorHAnsi" w:cs="Arial"/>
          <w:sz w:val="22"/>
          <w:szCs w:val="22"/>
          <w:lang w:eastAsia="en-GB"/>
        </w:rPr>
        <w:t xml:space="preserve"> </w:t>
      </w:r>
      <w:r w:rsidRPr="00A631F5">
        <w:rPr>
          <w:rFonts w:asciiTheme="minorHAnsi" w:hAnsiTheme="minorHAnsi" w:cs="Arial"/>
          <w:sz w:val="22"/>
          <w:szCs w:val="22"/>
          <w:lang w:eastAsia="en-GB"/>
        </w:rPr>
        <w:tab/>
        <w:t xml:space="preserve">the possibility that the Council might not have funds available to meet its commitments to make payments; </w:t>
      </w:r>
    </w:p>
    <w:p w14:paraId="233B2162" w14:textId="77777777" w:rsidR="00CF046C" w:rsidRPr="00A631F5" w:rsidRDefault="00CF046C" w:rsidP="00CF046C">
      <w:pPr>
        <w:keepLines/>
        <w:widowControl w:val="0"/>
        <w:suppressAutoHyphens/>
        <w:autoSpaceDE w:val="0"/>
        <w:autoSpaceDN w:val="0"/>
        <w:adjustRightInd w:val="0"/>
        <w:ind w:left="2520" w:hanging="2520"/>
        <w:jc w:val="both"/>
        <w:textAlignment w:val="baseline"/>
        <w:rPr>
          <w:rFonts w:asciiTheme="minorHAnsi" w:hAnsiTheme="minorHAnsi" w:cs="Arial"/>
          <w:sz w:val="22"/>
          <w:szCs w:val="22"/>
          <w:lang w:eastAsia="en-GB"/>
        </w:rPr>
      </w:pPr>
    </w:p>
    <w:p w14:paraId="2E7C83AB" w14:textId="77777777" w:rsidR="00CF046C" w:rsidRPr="00A631F5" w:rsidRDefault="00CF046C" w:rsidP="00C76AD3">
      <w:pPr>
        <w:keepLines/>
        <w:widowControl w:val="0"/>
        <w:numPr>
          <w:ilvl w:val="0"/>
          <w:numId w:val="13"/>
        </w:numPr>
        <w:tabs>
          <w:tab w:val="clear" w:pos="720"/>
          <w:tab w:val="num" w:pos="360"/>
        </w:tabs>
        <w:suppressAutoHyphens/>
        <w:autoSpaceDE w:val="0"/>
        <w:autoSpaceDN w:val="0"/>
        <w:adjustRightInd w:val="0"/>
        <w:ind w:left="2520" w:hanging="2520"/>
        <w:jc w:val="both"/>
        <w:textAlignment w:val="baseline"/>
        <w:rPr>
          <w:rFonts w:asciiTheme="minorHAnsi" w:hAnsiTheme="minorHAnsi" w:cs="Arial"/>
          <w:sz w:val="22"/>
          <w:szCs w:val="22"/>
          <w:lang w:eastAsia="en-GB"/>
        </w:rPr>
      </w:pPr>
      <w:r w:rsidRPr="00A631F5">
        <w:rPr>
          <w:rFonts w:asciiTheme="minorHAnsi" w:hAnsiTheme="minorHAnsi" w:cs="Arial"/>
          <w:b/>
          <w:sz w:val="22"/>
          <w:szCs w:val="22"/>
          <w:lang w:eastAsia="en-GB"/>
        </w:rPr>
        <w:t>Re-financing risk</w:t>
      </w:r>
      <w:r w:rsidRPr="00A631F5">
        <w:rPr>
          <w:rFonts w:asciiTheme="minorHAnsi" w:hAnsiTheme="minorHAnsi" w:cs="Arial"/>
          <w:b/>
          <w:sz w:val="22"/>
          <w:szCs w:val="22"/>
          <w:lang w:eastAsia="en-GB"/>
        </w:rPr>
        <w:tab/>
      </w:r>
      <w:r w:rsidRPr="00A631F5">
        <w:rPr>
          <w:rFonts w:asciiTheme="minorHAnsi" w:hAnsiTheme="minorHAnsi" w:cs="Arial"/>
          <w:sz w:val="22"/>
          <w:szCs w:val="22"/>
          <w:lang w:eastAsia="en-GB"/>
        </w:rPr>
        <w:t>the possibility that the Council might be requiring to renew a financial instrument on maturity at disadvantageous interest rates or terms.</w:t>
      </w:r>
    </w:p>
    <w:p w14:paraId="79D41381" w14:textId="77777777" w:rsidR="00CF046C" w:rsidRPr="00A631F5" w:rsidRDefault="00CF046C" w:rsidP="00CF046C">
      <w:pPr>
        <w:keepLines/>
        <w:widowControl w:val="0"/>
        <w:suppressAutoHyphens/>
        <w:autoSpaceDE w:val="0"/>
        <w:autoSpaceDN w:val="0"/>
        <w:adjustRightInd w:val="0"/>
        <w:ind w:left="2520" w:hanging="2520"/>
        <w:jc w:val="both"/>
        <w:textAlignment w:val="baseline"/>
        <w:rPr>
          <w:rFonts w:asciiTheme="minorHAnsi" w:hAnsiTheme="minorHAnsi" w:cs="Arial"/>
          <w:sz w:val="22"/>
          <w:szCs w:val="22"/>
          <w:lang w:eastAsia="en-GB"/>
        </w:rPr>
      </w:pPr>
    </w:p>
    <w:p w14:paraId="57FD3AA4" w14:textId="77777777" w:rsidR="00CF046C" w:rsidRPr="00A631F5" w:rsidRDefault="00CF046C" w:rsidP="00C76AD3">
      <w:pPr>
        <w:keepLines/>
        <w:widowControl w:val="0"/>
        <w:numPr>
          <w:ilvl w:val="0"/>
          <w:numId w:val="13"/>
        </w:numPr>
        <w:tabs>
          <w:tab w:val="clear" w:pos="720"/>
          <w:tab w:val="num" w:pos="360"/>
        </w:tabs>
        <w:suppressAutoHyphens/>
        <w:autoSpaceDE w:val="0"/>
        <w:autoSpaceDN w:val="0"/>
        <w:adjustRightInd w:val="0"/>
        <w:ind w:left="2520" w:hanging="2520"/>
        <w:jc w:val="both"/>
        <w:textAlignment w:val="baseline"/>
        <w:rPr>
          <w:rFonts w:asciiTheme="minorHAnsi" w:hAnsiTheme="minorHAnsi" w:cs="Arial"/>
          <w:sz w:val="22"/>
          <w:szCs w:val="22"/>
          <w:lang w:eastAsia="en-GB"/>
        </w:rPr>
      </w:pPr>
      <w:r w:rsidRPr="00A631F5">
        <w:rPr>
          <w:rFonts w:asciiTheme="minorHAnsi" w:hAnsiTheme="minorHAnsi" w:cs="Arial"/>
          <w:b/>
          <w:sz w:val="22"/>
          <w:szCs w:val="22"/>
          <w:lang w:eastAsia="en-GB"/>
        </w:rPr>
        <w:t>Market risk</w:t>
      </w:r>
      <w:r w:rsidRPr="00A631F5">
        <w:rPr>
          <w:rFonts w:asciiTheme="minorHAnsi" w:hAnsiTheme="minorHAnsi" w:cs="Arial"/>
          <w:sz w:val="22"/>
          <w:szCs w:val="22"/>
          <w:lang w:eastAsia="en-GB"/>
        </w:rPr>
        <w:tab/>
        <w:t>the possibility that financial loss might arise for the Council as a result of changes in such measures as interest rates or stock market movements.</w:t>
      </w:r>
    </w:p>
    <w:p w14:paraId="28BF8C4E" w14:textId="77777777" w:rsidR="00CF046C" w:rsidRPr="00A631F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5776674C" w14:textId="77777777" w:rsidR="00CF046C" w:rsidRPr="00CE4757" w:rsidRDefault="00CF046C" w:rsidP="00CF046C">
      <w:pPr>
        <w:keepLines/>
        <w:widowControl w:val="0"/>
        <w:suppressAutoHyphens/>
        <w:autoSpaceDE w:val="0"/>
        <w:autoSpaceDN w:val="0"/>
        <w:adjustRightInd w:val="0"/>
        <w:spacing w:after="120"/>
        <w:jc w:val="both"/>
        <w:textAlignment w:val="baseline"/>
        <w:rPr>
          <w:rFonts w:asciiTheme="minorHAnsi" w:hAnsiTheme="minorHAnsi" w:cs="Arial"/>
          <w:b/>
          <w:sz w:val="22"/>
          <w:szCs w:val="22"/>
          <w:lang w:eastAsia="en-GB"/>
        </w:rPr>
      </w:pPr>
      <w:r w:rsidRPr="00A631F5">
        <w:rPr>
          <w:rFonts w:asciiTheme="minorHAnsi" w:hAnsiTheme="minorHAnsi" w:cs="Arial"/>
          <w:b/>
          <w:sz w:val="22"/>
          <w:szCs w:val="22"/>
          <w:lang w:eastAsia="en-GB"/>
        </w:rPr>
        <w:t xml:space="preserve">Overall </w:t>
      </w:r>
      <w:r w:rsidRPr="00CE4757">
        <w:rPr>
          <w:rFonts w:asciiTheme="minorHAnsi" w:hAnsiTheme="minorHAnsi" w:cs="Arial"/>
          <w:b/>
          <w:sz w:val="22"/>
          <w:szCs w:val="22"/>
          <w:lang w:eastAsia="en-GB"/>
        </w:rPr>
        <w:t xml:space="preserve">procedures for managing </w:t>
      </w:r>
      <w:proofErr w:type="gramStart"/>
      <w:r w:rsidRPr="00CE4757">
        <w:rPr>
          <w:rFonts w:asciiTheme="minorHAnsi" w:hAnsiTheme="minorHAnsi" w:cs="Arial"/>
          <w:b/>
          <w:sz w:val="22"/>
          <w:szCs w:val="22"/>
          <w:lang w:eastAsia="en-GB"/>
        </w:rPr>
        <w:t>risk</w:t>
      </w:r>
      <w:proofErr w:type="gramEnd"/>
    </w:p>
    <w:p w14:paraId="7465BC14" w14:textId="77777777" w:rsidR="00CF046C" w:rsidRPr="00CE4757"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The Council’s overall risk management programme focuses on the unpredictability of financial </w:t>
      </w:r>
      <w:proofErr w:type="gramStart"/>
      <w:r w:rsidRPr="00CE4757">
        <w:rPr>
          <w:rFonts w:asciiTheme="minorHAnsi" w:hAnsiTheme="minorHAnsi" w:cs="Arial"/>
          <w:sz w:val="22"/>
          <w:szCs w:val="22"/>
          <w:lang w:eastAsia="en-GB"/>
        </w:rPr>
        <w:t>markets, and</w:t>
      </w:r>
      <w:proofErr w:type="gramEnd"/>
      <w:r w:rsidRPr="00CE4757">
        <w:rPr>
          <w:rFonts w:asciiTheme="minorHAnsi" w:hAnsiTheme="minorHAnsi" w:cs="Arial"/>
          <w:sz w:val="22"/>
          <w:szCs w:val="22"/>
          <w:lang w:eastAsia="en-GB"/>
        </w:rPr>
        <w:t xml:space="preserve"> seeks to minimise potential adverse effects on the resources available to fund services.  </w:t>
      </w:r>
    </w:p>
    <w:p w14:paraId="7DED3390" w14:textId="77777777" w:rsidR="00CF046C" w:rsidRPr="00CE4757"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0FE01586" w14:textId="77777777" w:rsidR="00CF046C" w:rsidRPr="00CE4757"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The procedures for risk management are set out through a legal framework based on the Local Government Act 2003 and associated regulations. These require the Council to comply with the CIPFA Prudential Code, the CIPFA Code of Practice on Treasury Management in the Public Services and investment guidance issued through the Act.  Overall, these procedures require the Council to manage risk in the following ways:</w:t>
      </w:r>
    </w:p>
    <w:p w14:paraId="22A6730C" w14:textId="77777777" w:rsidR="00CF046C" w:rsidRPr="00CE4757" w:rsidRDefault="00CF046C" w:rsidP="00CF046C">
      <w:pPr>
        <w:keepLines/>
        <w:widowControl w:val="0"/>
        <w:suppressAutoHyphens/>
        <w:autoSpaceDE w:val="0"/>
        <w:autoSpaceDN w:val="0"/>
        <w:adjustRightInd w:val="0"/>
        <w:jc w:val="both"/>
        <w:textAlignment w:val="baseline"/>
        <w:rPr>
          <w:rFonts w:ascii="Arial" w:hAnsi="Arial" w:cs="Arial"/>
          <w:lang w:eastAsia="en-GB"/>
        </w:rPr>
      </w:pPr>
    </w:p>
    <w:p w14:paraId="66986421" w14:textId="77777777" w:rsidR="00CF046C" w:rsidRPr="00CE4757" w:rsidRDefault="00CF046C" w:rsidP="00C76AD3">
      <w:pPr>
        <w:keepLines/>
        <w:widowControl w:val="0"/>
        <w:numPr>
          <w:ilvl w:val="0"/>
          <w:numId w:val="14"/>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by formally adopting the requirements of the CIPFA Treasury Management Code of </w:t>
      </w:r>
      <w:proofErr w:type="gramStart"/>
      <w:r w:rsidRPr="00CE4757">
        <w:rPr>
          <w:rFonts w:asciiTheme="minorHAnsi" w:hAnsiTheme="minorHAnsi" w:cs="Arial"/>
          <w:sz w:val="22"/>
          <w:szCs w:val="22"/>
          <w:lang w:eastAsia="en-GB"/>
        </w:rPr>
        <w:t>Practice;</w:t>
      </w:r>
      <w:proofErr w:type="gramEnd"/>
    </w:p>
    <w:p w14:paraId="7F463ED8" w14:textId="77777777" w:rsidR="00CF046C" w:rsidRPr="00CE4757" w:rsidRDefault="00CF046C" w:rsidP="00C76AD3">
      <w:pPr>
        <w:keepLines/>
        <w:widowControl w:val="0"/>
        <w:numPr>
          <w:ilvl w:val="0"/>
          <w:numId w:val="14"/>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by the adoption of a Treasury Policy Statement and treasury management clauses within its financial regulations/standing orders/</w:t>
      </w:r>
      <w:proofErr w:type="gramStart"/>
      <w:r w:rsidRPr="00CE4757">
        <w:rPr>
          <w:rFonts w:asciiTheme="minorHAnsi" w:hAnsiTheme="minorHAnsi" w:cs="Arial"/>
          <w:sz w:val="22"/>
          <w:szCs w:val="22"/>
          <w:lang w:eastAsia="en-GB"/>
        </w:rPr>
        <w:t>constitution;</w:t>
      </w:r>
      <w:proofErr w:type="gramEnd"/>
    </w:p>
    <w:p w14:paraId="44E5E426" w14:textId="77777777" w:rsidR="00CF046C" w:rsidRPr="00CE4757" w:rsidRDefault="00CF046C" w:rsidP="00C76AD3">
      <w:pPr>
        <w:keepLines/>
        <w:widowControl w:val="0"/>
        <w:numPr>
          <w:ilvl w:val="0"/>
          <w:numId w:val="14"/>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by approving annually in advance prudential and treasury indicators for the following three years limiting:</w:t>
      </w:r>
    </w:p>
    <w:p w14:paraId="426E4D10" w14:textId="77777777" w:rsidR="00CF046C" w:rsidRPr="00CE4757" w:rsidRDefault="00CF046C" w:rsidP="00C76AD3">
      <w:pPr>
        <w:keepLines/>
        <w:widowControl w:val="0"/>
        <w:numPr>
          <w:ilvl w:val="1"/>
          <w:numId w:val="12"/>
        </w:numPr>
        <w:tabs>
          <w:tab w:val="num" w:pos="720"/>
        </w:tabs>
        <w:suppressAutoHyphens/>
        <w:autoSpaceDE w:val="0"/>
        <w:autoSpaceDN w:val="0"/>
        <w:adjustRightInd w:val="0"/>
        <w:spacing w:after="120"/>
        <w:ind w:left="72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The Council’s overall </w:t>
      </w:r>
      <w:proofErr w:type="gramStart"/>
      <w:r w:rsidRPr="00CE4757">
        <w:rPr>
          <w:rFonts w:asciiTheme="minorHAnsi" w:hAnsiTheme="minorHAnsi" w:cs="Arial"/>
          <w:sz w:val="22"/>
          <w:szCs w:val="22"/>
          <w:lang w:eastAsia="en-GB"/>
        </w:rPr>
        <w:t>borrowing;</w:t>
      </w:r>
      <w:proofErr w:type="gramEnd"/>
    </w:p>
    <w:p w14:paraId="1C8F2EB0" w14:textId="77777777" w:rsidR="00CF046C" w:rsidRPr="00CE4757" w:rsidRDefault="00CF046C" w:rsidP="00C76AD3">
      <w:pPr>
        <w:keepLines/>
        <w:widowControl w:val="0"/>
        <w:numPr>
          <w:ilvl w:val="1"/>
          <w:numId w:val="12"/>
        </w:numPr>
        <w:tabs>
          <w:tab w:val="num" w:pos="720"/>
        </w:tabs>
        <w:suppressAutoHyphens/>
        <w:autoSpaceDE w:val="0"/>
        <w:autoSpaceDN w:val="0"/>
        <w:adjustRightInd w:val="0"/>
        <w:spacing w:after="120"/>
        <w:ind w:left="72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Its maximum and minimum exposures to fixed and variable </w:t>
      </w:r>
      <w:proofErr w:type="gramStart"/>
      <w:r w:rsidRPr="00CE4757">
        <w:rPr>
          <w:rFonts w:asciiTheme="minorHAnsi" w:hAnsiTheme="minorHAnsi" w:cs="Arial"/>
          <w:sz w:val="22"/>
          <w:szCs w:val="22"/>
          <w:lang w:eastAsia="en-GB"/>
        </w:rPr>
        <w:t>rates;</w:t>
      </w:r>
      <w:proofErr w:type="gramEnd"/>
    </w:p>
    <w:p w14:paraId="3BFEE18A" w14:textId="77777777" w:rsidR="00CF046C" w:rsidRPr="00CE4757" w:rsidRDefault="00CF046C" w:rsidP="00C76AD3">
      <w:pPr>
        <w:keepLines/>
        <w:widowControl w:val="0"/>
        <w:numPr>
          <w:ilvl w:val="1"/>
          <w:numId w:val="12"/>
        </w:numPr>
        <w:tabs>
          <w:tab w:val="num" w:pos="720"/>
        </w:tabs>
        <w:suppressAutoHyphens/>
        <w:autoSpaceDE w:val="0"/>
        <w:autoSpaceDN w:val="0"/>
        <w:adjustRightInd w:val="0"/>
        <w:spacing w:after="120"/>
        <w:ind w:left="72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Its maximum and minimum exposures to the maturity structure of its </w:t>
      </w:r>
      <w:proofErr w:type="gramStart"/>
      <w:r w:rsidRPr="00CE4757">
        <w:rPr>
          <w:rFonts w:asciiTheme="minorHAnsi" w:hAnsiTheme="minorHAnsi" w:cs="Arial"/>
          <w:sz w:val="22"/>
          <w:szCs w:val="22"/>
          <w:lang w:eastAsia="en-GB"/>
        </w:rPr>
        <w:t>debt;</w:t>
      </w:r>
      <w:proofErr w:type="gramEnd"/>
    </w:p>
    <w:p w14:paraId="3C1F4F8A" w14:textId="77777777" w:rsidR="00CF046C" w:rsidRPr="00CE4757" w:rsidRDefault="00CF046C" w:rsidP="00C76AD3">
      <w:pPr>
        <w:keepLines/>
        <w:widowControl w:val="0"/>
        <w:numPr>
          <w:ilvl w:val="1"/>
          <w:numId w:val="12"/>
        </w:numPr>
        <w:tabs>
          <w:tab w:val="num" w:pos="720"/>
        </w:tabs>
        <w:suppressAutoHyphens/>
        <w:autoSpaceDE w:val="0"/>
        <w:autoSpaceDN w:val="0"/>
        <w:adjustRightInd w:val="0"/>
        <w:spacing w:after="120"/>
        <w:ind w:left="72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Its maximum annual exposures to investments maturing beyond a year.</w:t>
      </w:r>
    </w:p>
    <w:p w14:paraId="183B23E6" w14:textId="77777777" w:rsidR="00CF046C" w:rsidRPr="00CE4757" w:rsidRDefault="00CF046C" w:rsidP="00C76AD3">
      <w:pPr>
        <w:keepLines/>
        <w:widowControl w:val="0"/>
        <w:numPr>
          <w:ilvl w:val="0"/>
          <w:numId w:val="15"/>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by approving an investment strategy for the forthcoming year setting out its criteria for both investing and selecting investment counterparties in compliance with Government </w:t>
      </w:r>
      <w:proofErr w:type="gramStart"/>
      <w:r w:rsidRPr="00CE4757">
        <w:rPr>
          <w:rFonts w:asciiTheme="minorHAnsi" w:hAnsiTheme="minorHAnsi" w:cs="Arial"/>
          <w:sz w:val="22"/>
          <w:szCs w:val="22"/>
          <w:lang w:eastAsia="en-GB"/>
        </w:rPr>
        <w:t>guidance;</w:t>
      </w:r>
      <w:proofErr w:type="gramEnd"/>
    </w:p>
    <w:p w14:paraId="2FDCDBF6" w14:textId="41EAD299" w:rsidR="00CF046C" w:rsidRPr="00D80A13"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CE4757">
        <w:rPr>
          <w:rFonts w:asciiTheme="minorHAnsi" w:hAnsiTheme="minorHAnsi" w:cs="Arial"/>
          <w:sz w:val="22"/>
          <w:szCs w:val="22"/>
          <w:lang w:eastAsia="en-GB"/>
        </w:rPr>
        <w:t xml:space="preserve">These are required to be reported and approved at or before the Council’s annual Council Tax setting budget or before the start of the year to which they relate.  These items are reported with the annual treasury management </w:t>
      </w:r>
      <w:r w:rsidRPr="003D31FB">
        <w:rPr>
          <w:rFonts w:asciiTheme="minorHAnsi" w:hAnsiTheme="minorHAnsi" w:cs="Arial"/>
          <w:sz w:val="22"/>
          <w:szCs w:val="22"/>
          <w:lang w:eastAsia="en-GB"/>
        </w:rPr>
        <w:t xml:space="preserve">strategy which outlines the detailed approach to managing risk in relation to the Council’s financial instrument </w:t>
      </w:r>
      <w:r w:rsidRPr="00D80A13">
        <w:rPr>
          <w:rFonts w:asciiTheme="minorHAnsi" w:hAnsiTheme="minorHAnsi" w:cs="Arial"/>
          <w:sz w:val="22"/>
          <w:szCs w:val="22"/>
          <w:lang w:eastAsia="en-GB"/>
        </w:rPr>
        <w:t xml:space="preserve">exposure.  Actual performance is </w:t>
      </w:r>
      <w:r w:rsidR="00FD7082">
        <w:rPr>
          <w:rFonts w:asciiTheme="minorHAnsi" w:hAnsiTheme="minorHAnsi" w:cs="Arial"/>
          <w:sz w:val="22"/>
          <w:szCs w:val="22"/>
          <w:lang w:eastAsia="en-GB"/>
        </w:rPr>
        <w:t>required to be re</w:t>
      </w:r>
      <w:r w:rsidRPr="00D80A13">
        <w:rPr>
          <w:rFonts w:asciiTheme="minorHAnsi" w:hAnsiTheme="minorHAnsi" w:cs="Arial"/>
          <w:sz w:val="22"/>
          <w:szCs w:val="22"/>
          <w:lang w:eastAsia="en-GB"/>
        </w:rPr>
        <w:t xml:space="preserve">ported </w:t>
      </w:r>
      <w:r w:rsidR="00FD7082">
        <w:rPr>
          <w:rFonts w:asciiTheme="minorHAnsi" w:hAnsiTheme="minorHAnsi" w:cs="Arial"/>
          <w:sz w:val="22"/>
          <w:szCs w:val="22"/>
          <w:lang w:eastAsia="en-GB"/>
        </w:rPr>
        <w:t>quarterly</w:t>
      </w:r>
      <w:r w:rsidRPr="00D80A13">
        <w:rPr>
          <w:rFonts w:asciiTheme="minorHAnsi" w:hAnsiTheme="minorHAnsi" w:cs="Arial"/>
          <w:sz w:val="22"/>
          <w:szCs w:val="22"/>
          <w:lang w:eastAsia="en-GB"/>
        </w:rPr>
        <w:t>.</w:t>
      </w:r>
    </w:p>
    <w:p w14:paraId="46EF490E" w14:textId="77777777" w:rsidR="00CF046C" w:rsidRPr="00D80A13"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4D26C02" w14:textId="0533783C" w:rsidR="00CF046C" w:rsidRPr="00D80A13"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957FF4">
        <w:rPr>
          <w:rFonts w:asciiTheme="minorHAnsi" w:hAnsiTheme="minorHAnsi" w:cs="Arial"/>
          <w:sz w:val="22"/>
          <w:szCs w:val="22"/>
          <w:lang w:eastAsia="en-GB"/>
        </w:rPr>
        <w:t xml:space="preserve">The annual treasury management strategy which incorporates the prudential indicators was approved by Council </w:t>
      </w:r>
      <w:r w:rsidR="004E7F5B" w:rsidRPr="00957FF4">
        <w:rPr>
          <w:rFonts w:asciiTheme="minorHAnsi" w:hAnsiTheme="minorHAnsi" w:cs="Arial"/>
          <w:sz w:val="22"/>
          <w:szCs w:val="22"/>
          <w:lang w:eastAsia="en-GB"/>
        </w:rPr>
        <w:t xml:space="preserve">on </w:t>
      </w:r>
      <w:r w:rsidR="00A65211" w:rsidRPr="00957FF4">
        <w:rPr>
          <w:rFonts w:asciiTheme="minorHAnsi" w:hAnsiTheme="minorHAnsi" w:cs="Arial"/>
          <w:sz w:val="22"/>
          <w:szCs w:val="22"/>
          <w:lang w:eastAsia="en-GB"/>
        </w:rPr>
        <w:t>2</w:t>
      </w:r>
      <w:r w:rsidR="00D80A13" w:rsidRPr="00957FF4">
        <w:rPr>
          <w:rFonts w:asciiTheme="minorHAnsi" w:hAnsiTheme="minorHAnsi" w:cs="Arial"/>
          <w:sz w:val="22"/>
          <w:szCs w:val="22"/>
          <w:lang w:eastAsia="en-GB"/>
        </w:rPr>
        <w:t>4</w:t>
      </w:r>
      <w:r w:rsidR="00A65211" w:rsidRPr="00957FF4">
        <w:rPr>
          <w:rFonts w:asciiTheme="minorHAnsi" w:hAnsiTheme="minorHAnsi" w:cs="Arial"/>
          <w:sz w:val="22"/>
          <w:szCs w:val="22"/>
          <w:lang w:eastAsia="en-GB"/>
        </w:rPr>
        <w:t xml:space="preserve"> February 202</w:t>
      </w:r>
      <w:r w:rsidR="00957FF4" w:rsidRPr="00957FF4">
        <w:rPr>
          <w:rFonts w:asciiTheme="minorHAnsi" w:hAnsiTheme="minorHAnsi" w:cs="Arial"/>
          <w:sz w:val="22"/>
          <w:szCs w:val="22"/>
          <w:lang w:eastAsia="en-GB"/>
        </w:rPr>
        <w:t>2</w:t>
      </w:r>
      <w:r w:rsidRPr="00957FF4">
        <w:rPr>
          <w:rFonts w:asciiTheme="minorHAnsi" w:hAnsiTheme="minorHAnsi" w:cs="Arial"/>
          <w:sz w:val="22"/>
          <w:szCs w:val="22"/>
          <w:lang w:eastAsia="en-GB"/>
        </w:rPr>
        <w:t xml:space="preserve"> and is</w:t>
      </w:r>
      <w:r w:rsidRPr="00D80A13">
        <w:rPr>
          <w:rFonts w:asciiTheme="minorHAnsi" w:hAnsiTheme="minorHAnsi" w:cs="Arial"/>
          <w:sz w:val="22"/>
          <w:szCs w:val="22"/>
          <w:lang w:eastAsia="en-GB"/>
        </w:rPr>
        <w:t xml:space="preserve"> available on the Council website.  The key issues within the strategy were:</w:t>
      </w:r>
    </w:p>
    <w:p w14:paraId="77868554" w14:textId="77777777" w:rsidR="00CF046C" w:rsidRPr="00D80A13"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7EB5EA56" w14:textId="50F83601" w:rsidR="00CF046C" w:rsidRPr="00D80A13" w:rsidRDefault="00234228" w:rsidP="00C76AD3">
      <w:pPr>
        <w:keepLines/>
        <w:widowControl w:val="0"/>
        <w:numPr>
          <w:ilvl w:val="0"/>
          <w:numId w:val="3"/>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D80A13">
        <w:rPr>
          <w:rFonts w:asciiTheme="minorHAnsi" w:hAnsiTheme="minorHAnsi" w:cs="Arial"/>
          <w:sz w:val="22"/>
          <w:szCs w:val="22"/>
          <w:lang w:eastAsia="en-GB"/>
        </w:rPr>
        <w:t>The Authorised Limit for 202</w:t>
      </w:r>
      <w:r w:rsidR="00673238">
        <w:rPr>
          <w:rFonts w:asciiTheme="minorHAnsi" w:hAnsiTheme="minorHAnsi" w:cs="Arial"/>
          <w:sz w:val="22"/>
          <w:szCs w:val="22"/>
          <w:lang w:eastAsia="en-GB"/>
        </w:rPr>
        <w:t>2</w:t>
      </w:r>
      <w:r w:rsidR="005727A8" w:rsidRPr="00D80A13">
        <w:rPr>
          <w:rFonts w:asciiTheme="minorHAnsi" w:hAnsiTheme="minorHAnsi" w:cs="Arial"/>
          <w:sz w:val="22"/>
          <w:szCs w:val="22"/>
          <w:lang w:eastAsia="en-GB"/>
        </w:rPr>
        <w:t>-</w:t>
      </w:r>
      <w:r w:rsidR="003D31FB" w:rsidRPr="00D80A13">
        <w:rPr>
          <w:rFonts w:asciiTheme="minorHAnsi" w:hAnsiTheme="minorHAnsi" w:cs="Arial"/>
          <w:sz w:val="22"/>
          <w:szCs w:val="22"/>
          <w:lang w:eastAsia="en-GB"/>
        </w:rPr>
        <w:t>2</w:t>
      </w:r>
      <w:r w:rsidR="00673238">
        <w:rPr>
          <w:rFonts w:asciiTheme="minorHAnsi" w:hAnsiTheme="minorHAnsi" w:cs="Arial"/>
          <w:sz w:val="22"/>
          <w:szCs w:val="22"/>
          <w:lang w:eastAsia="en-GB"/>
        </w:rPr>
        <w:t>3</w:t>
      </w:r>
      <w:r w:rsidR="00CF046C" w:rsidRPr="00D80A13">
        <w:rPr>
          <w:rFonts w:asciiTheme="minorHAnsi" w:hAnsiTheme="minorHAnsi" w:cs="Arial"/>
          <w:sz w:val="22"/>
          <w:szCs w:val="22"/>
          <w:lang w:eastAsia="en-GB"/>
        </w:rPr>
        <w:t xml:space="preserve"> was </w:t>
      </w:r>
      <w:r w:rsidR="00CF046C" w:rsidRPr="00957FF4">
        <w:rPr>
          <w:rFonts w:asciiTheme="minorHAnsi" w:hAnsiTheme="minorHAnsi" w:cs="Arial"/>
          <w:sz w:val="22"/>
          <w:szCs w:val="22"/>
          <w:lang w:eastAsia="en-GB"/>
        </w:rPr>
        <w:t>set at £46m.  This</w:t>
      </w:r>
      <w:r w:rsidR="00CF046C" w:rsidRPr="00D80A13">
        <w:rPr>
          <w:rFonts w:asciiTheme="minorHAnsi" w:hAnsiTheme="minorHAnsi" w:cs="Arial"/>
          <w:sz w:val="22"/>
          <w:szCs w:val="22"/>
          <w:lang w:eastAsia="en-GB"/>
        </w:rPr>
        <w:t xml:space="preserve"> is the maximum limit of external borrowings or other </w:t>
      </w:r>
      <w:proofErr w:type="gramStart"/>
      <w:r w:rsidR="00CF046C" w:rsidRPr="00D80A13">
        <w:rPr>
          <w:rFonts w:asciiTheme="minorHAnsi" w:hAnsiTheme="minorHAnsi" w:cs="Arial"/>
          <w:sz w:val="22"/>
          <w:szCs w:val="22"/>
          <w:lang w:eastAsia="en-GB"/>
        </w:rPr>
        <w:t>long term</w:t>
      </w:r>
      <w:proofErr w:type="gramEnd"/>
      <w:r w:rsidR="00CF046C" w:rsidRPr="00D80A13">
        <w:rPr>
          <w:rFonts w:asciiTheme="minorHAnsi" w:hAnsiTheme="minorHAnsi" w:cs="Arial"/>
          <w:sz w:val="22"/>
          <w:szCs w:val="22"/>
          <w:lang w:eastAsia="en-GB"/>
        </w:rPr>
        <w:t xml:space="preserve"> liabilities.</w:t>
      </w:r>
    </w:p>
    <w:p w14:paraId="23EBEB24" w14:textId="7E5B36AD" w:rsidR="00CF046C" w:rsidRPr="00D80A13" w:rsidRDefault="00CF046C" w:rsidP="00C76AD3">
      <w:pPr>
        <w:keepLines/>
        <w:widowControl w:val="0"/>
        <w:numPr>
          <w:ilvl w:val="0"/>
          <w:numId w:val="3"/>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D80A13">
        <w:rPr>
          <w:rFonts w:asciiTheme="minorHAnsi" w:hAnsiTheme="minorHAnsi" w:cs="Arial"/>
          <w:sz w:val="22"/>
          <w:szCs w:val="22"/>
          <w:lang w:eastAsia="en-GB"/>
        </w:rPr>
        <w:t xml:space="preserve">The Operational Boundary was </w:t>
      </w:r>
      <w:r w:rsidRPr="00957FF4">
        <w:rPr>
          <w:rFonts w:asciiTheme="minorHAnsi" w:hAnsiTheme="minorHAnsi" w:cs="Arial"/>
          <w:sz w:val="22"/>
          <w:szCs w:val="22"/>
          <w:lang w:eastAsia="en-GB"/>
        </w:rPr>
        <w:t>expected to be £3</w:t>
      </w:r>
      <w:r w:rsidR="00957FF4" w:rsidRPr="00957FF4">
        <w:rPr>
          <w:rFonts w:asciiTheme="minorHAnsi" w:hAnsiTheme="minorHAnsi" w:cs="Arial"/>
          <w:sz w:val="22"/>
          <w:szCs w:val="22"/>
          <w:lang w:eastAsia="en-GB"/>
        </w:rPr>
        <w:t>4</w:t>
      </w:r>
      <w:r w:rsidR="00550DD5" w:rsidRPr="00957FF4">
        <w:rPr>
          <w:rFonts w:asciiTheme="minorHAnsi" w:hAnsiTheme="minorHAnsi" w:cs="Arial"/>
          <w:sz w:val="22"/>
          <w:szCs w:val="22"/>
          <w:lang w:eastAsia="en-GB"/>
        </w:rPr>
        <w:t>m</w:t>
      </w:r>
      <w:r w:rsidRPr="00957FF4">
        <w:rPr>
          <w:rFonts w:asciiTheme="minorHAnsi" w:hAnsiTheme="minorHAnsi" w:cs="Arial"/>
          <w:sz w:val="22"/>
          <w:szCs w:val="22"/>
          <w:lang w:eastAsia="en-GB"/>
        </w:rPr>
        <w:t xml:space="preserve">.  This is the expected level of debt and other </w:t>
      </w:r>
      <w:proofErr w:type="gramStart"/>
      <w:r w:rsidRPr="00957FF4">
        <w:rPr>
          <w:rFonts w:asciiTheme="minorHAnsi" w:hAnsiTheme="minorHAnsi" w:cs="Arial"/>
          <w:sz w:val="22"/>
          <w:szCs w:val="22"/>
          <w:lang w:eastAsia="en-GB"/>
        </w:rPr>
        <w:t>long term</w:t>
      </w:r>
      <w:proofErr w:type="gramEnd"/>
      <w:r w:rsidRPr="00957FF4">
        <w:rPr>
          <w:rFonts w:asciiTheme="minorHAnsi" w:hAnsiTheme="minorHAnsi" w:cs="Arial"/>
          <w:sz w:val="22"/>
          <w:szCs w:val="22"/>
          <w:lang w:eastAsia="en-GB"/>
        </w:rPr>
        <w:t xml:space="preserve"> liabilities during the year.</w:t>
      </w:r>
    </w:p>
    <w:p w14:paraId="2CA88E55" w14:textId="77777777" w:rsidR="00CF046C" w:rsidRPr="00D80A13" w:rsidRDefault="00CF046C" w:rsidP="00C76AD3">
      <w:pPr>
        <w:keepLines/>
        <w:widowControl w:val="0"/>
        <w:numPr>
          <w:ilvl w:val="0"/>
          <w:numId w:val="3"/>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D80A13">
        <w:rPr>
          <w:rFonts w:asciiTheme="minorHAnsi" w:hAnsiTheme="minorHAnsi" w:cs="Arial"/>
          <w:sz w:val="22"/>
          <w:szCs w:val="22"/>
          <w:lang w:eastAsia="en-GB"/>
        </w:rPr>
        <w:t>The maximum and minimum exposures to the maturity structure of debt are detailed in the strategy.</w:t>
      </w:r>
    </w:p>
    <w:p w14:paraId="59692CF1" w14:textId="4C0D7291"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3D31FB">
        <w:rPr>
          <w:rFonts w:asciiTheme="minorHAnsi" w:hAnsiTheme="minorHAnsi" w:cs="Arial"/>
          <w:sz w:val="22"/>
          <w:szCs w:val="22"/>
          <w:lang w:eastAsia="en-GB"/>
        </w:rPr>
        <w:lastRenderedPageBreak/>
        <w:t>Risk management is carried out by the treasury manager, under policies approved by the Council in the annual treasury management strategy.  The Council provides written principles for overall risk management, as well as written policies (covering specific areas, such as interest rate risk, credit risk, and the investment of surplus cash</w:t>
      </w:r>
      <w:r w:rsidR="00ED61B7" w:rsidRPr="003D31FB">
        <w:rPr>
          <w:rFonts w:asciiTheme="minorHAnsi" w:hAnsiTheme="minorHAnsi" w:cs="Arial"/>
          <w:sz w:val="22"/>
          <w:szCs w:val="22"/>
          <w:lang w:eastAsia="en-GB"/>
        </w:rPr>
        <w:t>)</w:t>
      </w:r>
      <w:r w:rsidRPr="003D31FB">
        <w:rPr>
          <w:rFonts w:asciiTheme="minorHAnsi" w:hAnsiTheme="minorHAnsi" w:cs="Arial"/>
          <w:sz w:val="22"/>
          <w:szCs w:val="22"/>
          <w:lang w:eastAsia="en-GB"/>
        </w:rPr>
        <w:t xml:space="preserve">.  </w:t>
      </w:r>
    </w:p>
    <w:p w14:paraId="37125F19" w14:textId="77777777" w:rsidR="00CF046C" w:rsidRPr="001A5861" w:rsidRDefault="00CF046C" w:rsidP="00CF046C">
      <w:pPr>
        <w:keepLines/>
        <w:widowControl w:val="0"/>
        <w:suppressAutoHyphens/>
        <w:autoSpaceDE w:val="0"/>
        <w:autoSpaceDN w:val="0"/>
        <w:adjustRightInd w:val="0"/>
        <w:spacing w:before="240" w:after="120"/>
        <w:jc w:val="both"/>
        <w:textAlignment w:val="baseline"/>
        <w:rPr>
          <w:rFonts w:asciiTheme="minorHAnsi" w:hAnsiTheme="minorHAnsi" w:cs="Arial"/>
          <w:b/>
          <w:sz w:val="24"/>
          <w:szCs w:val="24"/>
          <w:highlight w:val="yellow"/>
          <w:lang w:eastAsia="en-GB"/>
        </w:rPr>
      </w:pPr>
      <w:r w:rsidRPr="003D31FB">
        <w:rPr>
          <w:rFonts w:asciiTheme="minorHAnsi" w:hAnsiTheme="minorHAnsi" w:cs="Arial"/>
          <w:b/>
          <w:sz w:val="24"/>
          <w:szCs w:val="24"/>
          <w:lang w:eastAsia="en-GB"/>
        </w:rPr>
        <w:t>Credit risk</w:t>
      </w:r>
    </w:p>
    <w:p w14:paraId="56D723F0" w14:textId="77777777"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3D31FB">
        <w:rPr>
          <w:rFonts w:asciiTheme="minorHAnsi" w:hAnsiTheme="minorHAnsi" w:cs="Arial"/>
          <w:sz w:val="22"/>
          <w:szCs w:val="22"/>
          <w:lang w:eastAsia="en-GB"/>
        </w:rPr>
        <w:t xml:space="preserve">Credit risk arises from deposits with banks and financial institutions, as well as credit exposures to the Council’s customers.  </w:t>
      </w:r>
    </w:p>
    <w:p w14:paraId="11490258"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1CA72AC" w14:textId="01AC2880" w:rsidR="00FD7082" w:rsidRPr="003D31FB"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Pr>
          <w:rFonts w:asciiTheme="minorHAnsi" w:hAnsiTheme="minorHAnsi" w:cs="Arial"/>
          <w:sz w:val="22"/>
          <w:szCs w:val="22"/>
          <w:lang w:eastAsia="en-GB"/>
        </w:rPr>
        <w:t xml:space="preserve">Following the fiscal events of autumn 2022 and the subsequent period of significant market </w:t>
      </w:r>
      <w:proofErr w:type="gramStart"/>
      <w:r>
        <w:rPr>
          <w:rFonts w:asciiTheme="minorHAnsi" w:hAnsiTheme="minorHAnsi" w:cs="Arial"/>
          <w:sz w:val="22"/>
          <w:szCs w:val="22"/>
          <w:lang w:eastAsia="en-GB"/>
        </w:rPr>
        <w:t>volitivity ,</w:t>
      </w:r>
      <w:proofErr w:type="gramEnd"/>
      <w:r>
        <w:rPr>
          <w:rFonts w:asciiTheme="minorHAnsi" w:hAnsiTheme="minorHAnsi" w:cs="Arial"/>
          <w:sz w:val="22"/>
          <w:szCs w:val="22"/>
          <w:lang w:eastAsia="en-GB"/>
        </w:rPr>
        <w:t xml:space="preserve"> the impact on the financial instruments held has been considered and included within the credit risk disclosures.</w:t>
      </w:r>
    </w:p>
    <w:p w14:paraId="168A9092" w14:textId="77777777" w:rsidR="00CF046C" w:rsidRPr="003D31FB"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5CD8F778" w14:textId="4D8BA9FF" w:rsidR="00CF046C" w:rsidRPr="003D31FB" w:rsidRDefault="00CF046C" w:rsidP="00CF046C">
      <w:pPr>
        <w:keepLines/>
        <w:widowControl w:val="0"/>
        <w:suppressAutoHyphens/>
        <w:autoSpaceDE w:val="0"/>
        <w:autoSpaceDN w:val="0"/>
        <w:adjustRightInd w:val="0"/>
        <w:spacing w:after="120"/>
        <w:jc w:val="both"/>
        <w:textAlignment w:val="baseline"/>
        <w:rPr>
          <w:rFonts w:asciiTheme="minorHAnsi" w:hAnsiTheme="minorHAnsi" w:cs="Arial"/>
          <w:sz w:val="22"/>
          <w:szCs w:val="22"/>
          <w:lang w:eastAsia="en-GB"/>
        </w:rPr>
      </w:pPr>
      <w:r w:rsidRPr="003D31FB">
        <w:rPr>
          <w:rFonts w:asciiTheme="minorHAnsi" w:hAnsiTheme="minorHAnsi" w:cs="Arial"/>
          <w:sz w:val="22"/>
          <w:szCs w:val="22"/>
          <w:lang w:eastAsia="en-GB"/>
        </w:rPr>
        <w:t xml:space="preserve">This risk is minimised through the Annual Investment Strategy, which requires that deposits are not made with financial institutions unless they meet identified minimum credit criteria, in accordance with the Fitch, Moody’s and Standard </w:t>
      </w:r>
      <w:r w:rsidR="00704A70">
        <w:rPr>
          <w:rFonts w:asciiTheme="minorHAnsi" w:hAnsiTheme="minorHAnsi" w:cs="Arial"/>
          <w:sz w:val="22"/>
          <w:szCs w:val="22"/>
          <w:lang w:eastAsia="en-GB"/>
        </w:rPr>
        <w:t>and</w:t>
      </w:r>
      <w:r w:rsidRPr="003D31FB">
        <w:rPr>
          <w:rFonts w:asciiTheme="minorHAnsi" w:hAnsiTheme="minorHAnsi" w:cs="Arial"/>
          <w:sz w:val="22"/>
          <w:szCs w:val="22"/>
          <w:lang w:eastAsia="en-GB"/>
        </w:rPr>
        <w:t xml:space="preserve"> Poor’s Credit Ratings Services. The Annual Investment Strategy also considers maximum amounts and time limits with a financial institution</w:t>
      </w:r>
      <w:r w:rsidR="00FD7082">
        <w:rPr>
          <w:rFonts w:asciiTheme="minorHAnsi" w:hAnsiTheme="minorHAnsi" w:cs="Arial"/>
          <w:sz w:val="22"/>
          <w:szCs w:val="22"/>
          <w:lang w:eastAsia="en-GB"/>
        </w:rPr>
        <w:t xml:space="preserve"> located in each category</w:t>
      </w:r>
      <w:r w:rsidRPr="003D31FB">
        <w:rPr>
          <w:rFonts w:asciiTheme="minorHAnsi" w:hAnsiTheme="minorHAnsi" w:cs="Arial"/>
          <w:sz w:val="22"/>
          <w:szCs w:val="22"/>
          <w:lang w:eastAsia="en-GB"/>
        </w:rPr>
        <w:t xml:space="preserve">.  </w:t>
      </w:r>
    </w:p>
    <w:p w14:paraId="0A9AACE9" w14:textId="77777777" w:rsidR="00CF046C" w:rsidRPr="003D31FB" w:rsidRDefault="00CF046C" w:rsidP="00CF046C">
      <w:pPr>
        <w:keepLines/>
        <w:widowControl w:val="0"/>
        <w:suppressAutoHyphens/>
        <w:autoSpaceDE w:val="0"/>
        <w:autoSpaceDN w:val="0"/>
        <w:adjustRightInd w:val="0"/>
        <w:spacing w:after="120"/>
        <w:jc w:val="both"/>
        <w:textAlignment w:val="baseline"/>
        <w:rPr>
          <w:rFonts w:asciiTheme="minorHAnsi" w:hAnsiTheme="minorHAnsi" w:cs="Arial"/>
          <w:sz w:val="22"/>
          <w:szCs w:val="22"/>
          <w:lang w:eastAsia="en-GB"/>
        </w:rPr>
      </w:pPr>
      <w:r w:rsidRPr="003D31FB">
        <w:rPr>
          <w:rFonts w:asciiTheme="minorHAnsi" w:hAnsiTheme="minorHAnsi" w:cs="Arial"/>
          <w:sz w:val="22"/>
          <w:szCs w:val="22"/>
          <w:lang w:eastAsia="en-GB"/>
        </w:rPr>
        <w:t>The credit criteria in respect of financial assets held by the Council are detailed below:</w:t>
      </w:r>
    </w:p>
    <w:p w14:paraId="6AE812DA" w14:textId="77777777" w:rsidR="00CF046C" w:rsidRPr="003D31FB" w:rsidRDefault="00CF046C" w:rsidP="00CF046C">
      <w:pPr>
        <w:jc w:val="both"/>
        <w:rPr>
          <w:rFonts w:asciiTheme="minorHAnsi" w:hAnsiTheme="minorHAnsi" w:cs="Arial"/>
          <w:spacing w:val="-5"/>
          <w:sz w:val="22"/>
          <w:szCs w:val="22"/>
        </w:rPr>
      </w:pPr>
      <w:r w:rsidRPr="003D31FB">
        <w:rPr>
          <w:rFonts w:asciiTheme="minorHAnsi" w:hAnsiTheme="minorHAnsi" w:cs="Arial"/>
          <w:sz w:val="22"/>
          <w:szCs w:val="22"/>
          <w:lang w:eastAsia="en-GB"/>
        </w:rPr>
        <w:t xml:space="preserve">This Council uses the creditworthiness service provided by </w:t>
      </w:r>
      <w:r w:rsidR="00965F4B" w:rsidRPr="003D31FB">
        <w:rPr>
          <w:rFonts w:asciiTheme="minorHAnsi" w:hAnsiTheme="minorHAnsi" w:cs="Arial"/>
          <w:sz w:val="22"/>
          <w:szCs w:val="22"/>
          <w:lang w:eastAsia="en-GB"/>
        </w:rPr>
        <w:t>Link</w:t>
      </w:r>
      <w:r w:rsidRPr="003D31FB">
        <w:rPr>
          <w:rFonts w:asciiTheme="minorHAnsi" w:hAnsiTheme="minorHAnsi" w:cs="Arial"/>
          <w:sz w:val="22"/>
          <w:szCs w:val="22"/>
          <w:lang w:eastAsia="en-GB"/>
        </w:rPr>
        <w:t xml:space="preserve"> Asset Services.  This service uses a sophisticated modelling approach with credit ratings from all three rating agencies - Fitch, Moody’s and Standard and Poor’s, forming the core element.  However, it does not rely solely on the current credit ratings of counterparties but also uses the following as overlays</w:t>
      </w:r>
      <w:r w:rsidRPr="003D31FB">
        <w:rPr>
          <w:rFonts w:asciiTheme="minorHAnsi" w:hAnsiTheme="minorHAnsi" w:cs="Arial"/>
          <w:spacing w:val="-5"/>
          <w:sz w:val="22"/>
          <w:szCs w:val="22"/>
        </w:rPr>
        <w:t xml:space="preserve">: </w:t>
      </w:r>
    </w:p>
    <w:p w14:paraId="6428157A" w14:textId="77777777" w:rsidR="00CF046C" w:rsidRPr="003D31FB" w:rsidRDefault="00CF046C" w:rsidP="00C76AD3">
      <w:pPr>
        <w:numPr>
          <w:ilvl w:val="0"/>
          <w:numId w:val="25"/>
        </w:numPr>
        <w:spacing w:before="45" w:after="45"/>
        <w:jc w:val="both"/>
        <w:rPr>
          <w:rFonts w:asciiTheme="minorHAnsi" w:hAnsiTheme="minorHAnsi" w:cs="Arial"/>
          <w:sz w:val="22"/>
          <w:szCs w:val="22"/>
          <w:lang w:eastAsia="en-GB"/>
        </w:rPr>
      </w:pPr>
      <w:r w:rsidRPr="003D31FB">
        <w:rPr>
          <w:rFonts w:asciiTheme="minorHAnsi" w:hAnsiTheme="minorHAnsi" w:cs="Arial"/>
          <w:sz w:val="22"/>
          <w:szCs w:val="22"/>
          <w:lang w:eastAsia="en-GB"/>
        </w:rPr>
        <w:t>credit watches and credit outlooks from credit rating agencies</w:t>
      </w:r>
    </w:p>
    <w:p w14:paraId="70CCD2E4" w14:textId="77777777" w:rsidR="00CF046C" w:rsidRPr="003D31FB" w:rsidRDefault="00CF046C" w:rsidP="00C76AD3">
      <w:pPr>
        <w:numPr>
          <w:ilvl w:val="0"/>
          <w:numId w:val="25"/>
        </w:numPr>
        <w:spacing w:before="45" w:after="45"/>
        <w:jc w:val="both"/>
        <w:rPr>
          <w:rFonts w:asciiTheme="minorHAnsi" w:hAnsiTheme="minorHAnsi" w:cs="Arial"/>
          <w:sz w:val="22"/>
          <w:szCs w:val="22"/>
          <w:lang w:eastAsia="en-GB"/>
        </w:rPr>
      </w:pPr>
      <w:r w:rsidRPr="003D31FB">
        <w:rPr>
          <w:rFonts w:asciiTheme="minorHAnsi" w:hAnsiTheme="minorHAnsi" w:cs="Arial"/>
          <w:sz w:val="22"/>
          <w:szCs w:val="22"/>
          <w:lang w:eastAsia="en-GB"/>
        </w:rPr>
        <w:t xml:space="preserve">CDS spreads to give early warning of likely changes in credit </w:t>
      </w:r>
      <w:proofErr w:type="gramStart"/>
      <w:r w:rsidRPr="003D31FB">
        <w:rPr>
          <w:rFonts w:asciiTheme="minorHAnsi" w:hAnsiTheme="minorHAnsi" w:cs="Arial"/>
          <w:sz w:val="22"/>
          <w:szCs w:val="22"/>
          <w:lang w:eastAsia="en-GB"/>
        </w:rPr>
        <w:t>ratings</w:t>
      </w:r>
      <w:proofErr w:type="gramEnd"/>
    </w:p>
    <w:p w14:paraId="7CC37268" w14:textId="77777777" w:rsidR="00CF046C" w:rsidRPr="003D31FB" w:rsidRDefault="00CF046C" w:rsidP="00C76AD3">
      <w:pPr>
        <w:numPr>
          <w:ilvl w:val="0"/>
          <w:numId w:val="25"/>
        </w:numPr>
        <w:spacing w:before="45" w:after="45"/>
        <w:jc w:val="both"/>
        <w:rPr>
          <w:rFonts w:asciiTheme="minorHAnsi" w:hAnsiTheme="minorHAnsi" w:cs="Arial"/>
          <w:sz w:val="22"/>
          <w:szCs w:val="22"/>
          <w:lang w:eastAsia="en-GB"/>
        </w:rPr>
      </w:pPr>
      <w:r w:rsidRPr="003D31FB">
        <w:rPr>
          <w:rFonts w:asciiTheme="minorHAnsi" w:hAnsiTheme="minorHAnsi" w:cs="Arial"/>
          <w:sz w:val="22"/>
          <w:szCs w:val="22"/>
          <w:lang w:eastAsia="en-GB"/>
        </w:rPr>
        <w:t xml:space="preserve">sovereign ratings to select counterparties from only the most creditworthy </w:t>
      </w:r>
      <w:proofErr w:type="gramStart"/>
      <w:r w:rsidRPr="003D31FB">
        <w:rPr>
          <w:rFonts w:asciiTheme="minorHAnsi" w:hAnsiTheme="minorHAnsi" w:cs="Arial"/>
          <w:sz w:val="22"/>
          <w:szCs w:val="22"/>
          <w:lang w:eastAsia="en-GB"/>
        </w:rPr>
        <w:t>countries</w:t>
      </w:r>
      <w:proofErr w:type="gramEnd"/>
    </w:p>
    <w:p w14:paraId="7108EA1A" w14:textId="77777777" w:rsidR="00CF046C" w:rsidRPr="003D31FB"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7E09DE0E" w14:textId="15D3A3C9" w:rsidR="00CF046C" w:rsidRPr="003D31FB" w:rsidRDefault="00CF046C" w:rsidP="00CF046C">
      <w:pPr>
        <w:keepLines/>
        <w:widowControl w:val="0"/>
        <w:suppressAutoHyphens/>
        <w:autoSpaceDE w:val="0"/>
        <w:autoSpaceDN w:val="0"/>
        <w:adjustRightInd w:val="0"/>
        <w:ind w:left="63"/>
        <w:jc w:val="both"/>
        <w:textAlignment w:val="baseline"/>
        <w:rPr>
          <w:rFonts w:asciiTheme="minorHAnsi" w:hAnsiTheme="minorHAnsi" w:cs="Arial"/>
          <w:sz w:val="22"/>
          <w:szCs w:val="22"/>
          <w:lang w:eastAsia="en-GB"/>
        </w:rPr>
      </w:pPr>
      <w:r w:rsidRPr="003D31FB">
        <w:rPr>
          <w:rFonts w:asciiTheme="minorHAnsi" w:hAnsiTheme="minorHAnsi" w:cs="Arial"/>
          <w:sz w:val="22"/>
          <w:szCs w:val="22"/>
          <w:lang w:eastAsia="en-GB"/>
        </w:rPr>
        <w:t>The full Investment Strategy for 20</w:t>
      </w:r>
      <w:r w:rsidR="002731E3">
        <w:rPr>
          <w:rFonts w:asciiTheme="minorHAnsi" w:hAnsiTheme="minorHAnsi" w:cs="Arial"/>
          <w:sz w:val="22"/>
          <w:szCs w:val="22"/>
          <w:lang w:eastAsia="en-GB"/>
        </w:rPr>
        <w:t>2</w:t>
      </w:r>
      <w:r w:rsidR="005E68CB">
        <w:rPr>
          <w:rFonts w:asciiTheme="minorHAnsi" w:hAnsiTheme="minorHAnsi" w:cs="Arial"/>
          <w:sz w:val="22"/>
          <w:szCs w:val="22"/>
          <w:lang w:eastAsia="en-GB"/>
        </w:rPr>
        <w:t>2</w:t>
      </w:r>
      <w:r w:rsidR="005727A8" w:rsidRPr="003D31FB">
        <w:rPr>
          <w:rFonts w:asciiTheme="minorHAnsi" w:hAnsiTheme="minorHAnsi" w:cs="Arial"/>
          <w:sz w:val="22"/>
          <w:szCs w:val="22"/>
          <w:lang w:eastAsia="en-GB"/>
        </w:rPr>
        <w:t>-</w:t>
      </w:r>
      <w:r w:rsidR="003D31FB">
        <w:rPr>
          <w:rFonts w:asciiTheme="minorHAnsi" w:hAnsiTheme="minorHAnsi" w:cs="Arial"/>
          <w:sz w:val="22"/>
          <w:szCs w:val="22"/>
          <w:lang w:eastAsia="en-GB"/>
        </w:rPr>
        <w:t>2</w:t>
      </w:r>
      <w:r w:rsidR="005E68CB">
        <w:rPr>
          <w:rFonts w:asciiTheme="minorHAnsi" w:hAnsiTheme="minorHAnsi" w:cs="Arial"/>
          <w:sz w:val="22"/>
          <w:szCs w:val="22"/>
          <w:lang w:eastAsia="en-GB"/>
        </w:rPr>
        <w:t>3</w:t>
      </w:r>
      <w:r w:rsidRPr="003D31FB">
        <w:rPr>
          <w:rFonts w:asciiTheme="minorHAnsi" w:hAnsiTheme="minorHAnsi" w:cs="Arial"/>
          <w:sz w:val="22"/>
          <w:szCs w:val="22"/>
          <w:lang w:eastAsia="en-GB"/>
        </w:rPr>
        <w:t xml:space="preserve"> was approved by Full </w:t>
      </w:r>
      <w:r w:rsidRPr="00957FF4">
        <w:rPr>
          <w:rFonts w:asciiTheme="minorHAnsi" w:hAnsiTheme="minorHAnsi" w:cs="Arial"/>
          <w:sz w:val="22"/>
          <w:szCs w:val="22"/>
          <w:lang w:eastAsia="en-GB"/>
        </w:rPr>
        <w:t xml:space="preserve">Council on </w:t>
      </w:r>
      <w:r w:rsidR="00A65211" w:rsidRPr="00957FF4">
        <w:rPr>
          <w:rFonts w:asciiTheme="minorHAnsi" w:hAnsiTheme="minorHAnsi" w:cs="Arial"/>
          <w:sz w:val="22"/>
          <w:szCs w:val="22"/>
          <w:lang w:eastAsia="en-GB"/>
        </w:rPr>
        <w:t>2</w:t>
      </w:r>
      <w:r w:rsidR="006F24AD" w:rsidRPr="00957FF4">
        <w:rPr>
          <w:rFonts w:asciiTheme="minorHAnsi" w:hAnsiTheme="minorHAnsi" w:cs="Arial"/>
          <w:sz w:val="22"/>
          <w:szCs w:val="22"/>
          <w:lang w:eastAsia="en-GB"/>
        </w:rPr>
        <w:t>4</w:t>
      </w:r>
      <w:r w:rsidRPr="00957FF4">
        <w:rPr>
          <w:rFonts w:asciiTheme="minorHAnsi" w:hAnsiTheme="minorHAnsi" w:cs="Arial"/>
          <w:sz w:val="22"/>
          <w:szCs w:val="22"/>
          <w:lang w:eastAsia="en-GB"/>
        </w:rPr>
        <w:t xml:space="preserve"> F</w:t>
      </w:r>
      <w:r w:rsidR="00A65211" w:rsidRPr="00957FF4">
        <w:rPr>
          <w:rFonts w:asciiTheme="minorHAnsi" w:hAnsiTheme="minorHAnsi" w:cs="Arial"/>
          <w:sz w:val="22"/>
          <w:szCs w:val="22"/>
          <w:lang w:eastAsia="en-GB"/>
        </w:rPr>
        <w:t>ebruary 202</w:t>
      </w:r>
      <w:r w:rsidR="00957FF4" w:rsidRPr="00957FF4">
        <w:rPr>
          <w:rFonts w:asciiTheme="minorHAnsi" w:hAnsiTheme="minorHAnsi" w:cs="Arial"/>
          <w:sz w:val="22"/>
          <w:szCs w:val="22"/>
          <w:lang w:eastAsia="en-GB"/>
        </w:rPr>
        <w:t>2</w:t>
      </w:r>
      <w:r w:rsidRPr="00957FF4">
        <w:rPr>
          <w:rFonts w:asciiTheme="minorHAnsi" w:hAnsiTheme="minorHAnsi" w:cs="Arial"/>
          <w:sz w:val="22"/>
          <w:szCs w:val="22"/>
          <w:lang w:eastAsia="en-GB"/>
        </w:rPr>
        <w:t xml:space="preserve"> and</w:t>
      </w:r>
      <w:r w:rsidRPr="003D31FB">
        <w:rPr>
          <w:rFonts w:asciiTheme="minorHAnsi" w:hAnsiTheme="minorHAnsi" w:cs="Arial"/>
          <w:sz w:val="22"/>
          <w:szCs w:val="22"/>
          <w:lang w:eastAsia="en-GB"/>
        </w:rPr>
        <w:t xml:space="preserve"> is available on the Council’s website.</w:t>
      </w:r>
    </w:p>
    <w:p w14:paraId="5B98AD9B" w14:textId="77777777"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highlight w:val="yellow"/>
          <w:lang w:eastAsia="en-GB"/>
        </w:rPr>
      </w:pPr>
    </w:p>
    <w:p w14:paraId="0B48EA27" w14:textId="23AC728F" w:rsidR="00A03798" w:rsidRPr="00A03798" w:rsidRDefault="00A03798"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A03798">
        <w:rPr>
          <w:rFonts w:asciiTheme="minorHAnsi" w:hAnsiTheme="minorHAnsi" w:cs="Arial"/>
          <w:sz w:val="22"/>
          <w:szCs w:val="22"/>
          <w:lang w:eastAsia="en-GB"/>
        </w:rPr>
        <w:t xml:space="preserve">Customers for goods and services are assessed, </w:t>
      </w:r>
      <w:proofErr w:type="gramStart"/>
      <w:r w:rsidRPr="00A03798">
        <w:rPr>
          <w:rFonts w:asciiTheme="minorHAnsi" w:hAnsiTheme="minorHAnsi" w:cs="Arial"/>
          <w:sz w:val="22"/>
          <w:szCs w:val="22"/>
          <w:lang w:eastAsia="en-GB"/>
        </w:rPr>
        <w:t>taking into account</w:t>
      </w:r>
      <w:proofErr w:type="gramEnd"/>
      <w:r w:rsidRPr="00A03798">
        <w:rPr>
          <w:rFonts w:asciiTheme="minorHAnsi" w:hAnsiTheme="minorHAnsi" w:cs="Arial"/>
          <w:sz w:val="22"/>
          <w:szCs w:val="22"/>
          <w:lang w:eastAsia="en-GB"/>
        </w:rPr>
        <w:t xml:space="preserve"> their financial position, past experience and other factors, with individual credit limits being set in accordance with internal ratings in accordance with parameters set by the Council.</w:t>
      </w:r>
      <w:r w:rsidR="0022374C">
        <w:rPr>
          <w:rFonts w:asciiTheme="minorHAnsi" w:hAnsiTheme="minorHAnsi" w:cs="Arial"/>
          <w:sz w:val="22"/>
          <w:szCs w:val="22"/>
          <w:lang w:eastAsia="en-GB"/>
        </w:rPr>
        <w:t xml:space="preserve"> </w:t>
      </w:r>
    </w:p>
    <w:p w14:paraId="074BA1A7" w14:textId="77777777" w:rsidR="00A03798" w:rsidRPr="001A5861" w:rsidRDefault="00A03798" w:rsidP="00CF046C">
      <w:pPr>
        <w:keepLines/>
        <w:widowControl w:val="0"/>
        <w:suppressAutoHyphens/>
        <w:autoSpaceDE w:val="0"/>
        <w:autoSpaceDN w:val="0"/>
        <w:adjustRightInd w:val="0"/>
        <w:jc w:val="both"/>
        <w:textAlignment w:val="baseline"/>
        <w:rPr>
          <w:rFonts w:asciiTheme="minorHAnsi" w:hAnsiTheme="minorHAnsi" w:cs="Arial"/>
          <w:sz w:val="22"/>
          <w:szCs w:val="22"/>
          <w:highlight w:val="yellow"/>
          <w:lang w:eastAsia="en-GB"/>
        </w:rPr>
      </w:pPr>
    </w:p>
    <w:p w14:paraId="7B854214" w14:textId="476AAC9B" w:rsidR="00CF046C" w:rsidRPr="00A03798"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A03798">
        <w:rPr>
          <w:rFonts w:asciiTheme="minorHAnsi" w:hAnsiTheme="minorHAnsi" w:cs="Arial"/>
          <w:sz w:val="22"/>
          <w:szCs w:val="22"/>
          <w:lang w:eastAsia="en-GB"/>
        </w:rPr>
        <w:t xml:space="preserve">The Authority’s maximum exposure to credit risk in relation to its investments in financial </w:t>
      </w:r>
      <w:r w:rsidR="00441736" w:rsidRPr="00957FF4">
        <w:rPr>
          <w:rFonts w:asciiTheme="minorHAnsi" w:hAnsiTheme="minorHAnsi" w:cs="Arial"/>
          <w:sz w:val="22"/>
          <w:szCs w:val="22"/>
          <w:lang w:eastAsia="en-GB"/>
        </w:rPr>
        <w:t xml:space="preserve">institutions of </w:t>
      </w:r>
      <w:r w:rsidR="008804EA" w:rsidRPr="00957FF4">
        <w:rPr>
          <w:rFonts w:asciiTheme="minorHAnsi" w:hAnsiTheme="minorHAnsi" w:cs="Arial"/>
          <w:sz w:val="22"/>
          <w:szCs w:val="22"/>
          <w:lang w:eastAsia="en-GB"/>
        </w:rPr>
        <w:t>£</w:t>
      </w:r>
      <w:r w:rsidR="00957FF4" w:rsidRPr="00957FF4">
        <w:rPr>
          <w:rFonts w:asciiTheme="minorHAnsi" w:hAnsiTheme="minorHAnsi" w:cs="Arial"/>
          <w:sz w:val="22"/>
          <w:szCs w:val="22"/>
          <w:lang w:eastAsia="en-GB"/>
        </w:rPr>
        <w:t>19</w:t>
      </w:r>
      <w:r w:rsidR="008804EA" w:rsidRPr="00957FF4">
        <w:rPr>
          <w:rFonts w:asciiTheme="minorHAnsi" w:hAnsiTheme="minorHAnsi" w:cs="Arial"/>
          <w:sz w:val="22"/>
          <w:szCs w:val="22"/>
          <w:lang w:eastAsia="en-GB"/>
        </w:rPr>
        <w:t>.</w:t>
      </w:r>
      <w:r w:rsidR="00957FF4" w:rsidRPr="00957FF4">
        <w:rPr>
          <w:rFonts w:asciiTheme="minorHAnsi" w:hAnsiTheme="minorHAnsi" w:cs="Arial"/>
          <w:sz w:val="22"/>
          <w:szCs w:val="22"/>
          <w:lang w:eastAsia="en-GB"/>
        </w:rPr>
        <w:t>620m</w:t>
      </w:r>
      <w:r w:rsidRPr="00A03798">
        <w:rPr>
          <w:rFonts w:asciiTheme="minorHAnsi" w:hAnsiTheme="minorHAnsi" w:cs="Arial"/>
          <w:sz w:val="22"/>
          <w:szCs w:val="22"/>
          <w:lang w:eastAsia="en-GB"/>
        </w:rPr>
        <w:t xml:space="preserve"> cannot be assessed generally as the risk of any institution failing to make interest payments or repay the principal sum will be specific to each individual institution. Recent experience has shown that it is rare for such entities to be unable to meet their commitments</w:t>
      </w:r>
      <w:r w:rsidRPr="001A6427">
        <w:rPr>
          <w:rFonts w:asciiTheme="minorHAnsi" w:hAnsiTheme="minorHAnsi" w:cs="Arial"/>
          <w:sz w:val="22"/>
          <w:szCs w:val="22"/>
          <w:lang w:eastAsia="en-GB"/>
        </w:rPr>
        <w:t xml:space="preserve">. A risk of </w:t>
      </w:r>
      <w:proofErr w:type="spellStart"/>
      <w:r w:rsidRPr="001A6427">
        <w:rPr>
          <w:rFonts w:asciiTheme="minorHAnsi" w:hAnsiTheme="minorHAnsi" w:cs="Arial"/>
          <w:sz w:val="22"/>
          <w:szCs w:val="22"/>
          <w:lang w:eastAsia="en-GB"/>
        </w:rPr>
        <w:t>irrecoverability</w:t>
      </w:r>
      <w:proofErr w:type="spellEnd"/>
      <w:r w:rsidRPr="001A6427">
        <w:rPr>
          <w:rFonts w:asciiTheme="minorHAnsi" w:hAnsiTheme="minorHAnsi" w:cs="Arial"/>
          <w:sz w:val="22"/>
          <w:szCs w:val="22"/>
          <w:lang w:eastAsia="en-GB"/>
        </w:rPr>
        <w:t xml:space="preserve"> applies to all of the Authority’s deposits, but there</w:t>
      </w:r>
      <w:r w:rsidR="00A03798" w:rsidRPr="001A6427">
        <w:rPr>
          <w:rFonts w:asciiTheme="minorHAnsi" w:hAnsiTheme="minorHAnsi" w:cs="Arial"/>
          <w:sz w:val="22"/>
          <w:szCs w:val="22"/>
          <w:lang w:eastAsia="en-GB"/>
        </w:rPr>
        <w:t xml:space="preserve"> was no evidenc</w:t>
      </w:r>
      <w:r w:rsidR="001A6427" w:rsidRPr="001A6427">
        <w:rPr>
          <w:rFonts w:asciiTheme="minorHAnsi" w:hAnsiTheme="minorHAnsi" w:cs="Arial"/>
          <w:sz w:val="22"/>
          <w:szCs w:val="22"/>
          <w:lang w:eastAsia="en-GB"/>
        </w:rPr>
        <w:t xml:space="preserve">e </w:t>
      </w:r>
      <w:proofErr w:type="gramStart"/>
      <w:r w:rsidR="001A6427" w:rsidRPr="001A6427">
        <w:rPr>
          <w:rFonts w:asciiTheme="minorHAnsi" w:hAnsiTheme="minorHAnsi" w:cs="Arial"/>
          <w:sz w:val="22"/>
          <w:szCs w:val="22"/>
          <w:lang w:eastAsia="en-GB"/>
        </w:rPr>
        <w:t>at</w:t>
      </w:r>
      <w:proofErr w:type="gramEnd"/>
      <w:r w:rsidR="001A6427" w:rsidRPr="001A6427">
        <w:rPr>
          <w:rFonts w:asciiTheme="minorHAnsi" w:hAnsiTheme="minorHAnsi" w:cs="Arial"/>
          <w:sz w:val="22"/>
          <w:szCs w:val="22"/>
          <w:lang w:eastAsia="en-GB"/>
        </w:rPr>
        <w:t xml:space="preserve"> 31 March 202</w:t>
      </w:r>
      <w:r w:rsidR="005E68CB">
        <w:rPr>
          <w:rFonts w:asciiTheme="minorHAnsi" w:hAnsiTheme="minorHAnsi" w:cs="Arial"/>
          <w:sz w:val="22"/>
          <w:szCs w:val="22"/>
          <w:lang w:eastAsia="en-GB"/>
        </w:rPr>
        <w:t>3</w:t>
      </w:r>
      <w:r w:rsidRPr="001A6427">
        <w:rPr>
          <w:rFonts w:asciiTheme="minorHAnsi" w:hAnsiTheme="minorHAnsi" w:cs="Arial"/>
          <w:sz w:val="22"/>
          <w:szCs w:val="22"/>
          <w:lang w:eastAsia="en-GB"/>
        </w:rPr>
        <w:t xml:space="preserve"> that</w:t>
      </w:r>
      <w:r w:rsidR="006F24AD">
        <w:rPr>
          <w:rFonts w:asciiTheme="minorHAnsi" w:hAnsiTheme="minorHAnsi" w:cs="Arial"/>
          <w:sz w:val="22"/>
          <w:szCs w:val="22"/>
          <w:lang w:eastAsia="en-GB"/>
        </w:rPr>
        <w:t xml:space="preserve"> this was likely to crystallise.</w:t>
      </w:r>
    </w:p>
    <w:p w14:paraId="4245053B" w14:textId="77777777" w:rsidR="00B26219" w:rsidRPr="00693709" w:rsidRDefault="00B26219" w:rsidP="00CF046C">
      <w:pPr>
        <w:keepLines/>
        <w:widowControl w:val="0"/>
        <w:suppressAutoHyphens/>
        <w:autoSpaceDE w:val="0"/>
        <w:autoSpaceDN w:val="0"/>
        <w:adjustRightInd w:val="0"/>
        <w:jc w:val="both"/>
        <w:textAlignment w:val="baseline"/>
        <w:rPr>
          <w:rFonts w:ascii="Arial" w:hAnsi="Arial" w:cs="Arial"/>
          <w:lang w:eastAsia="en-GB"/>
        </w:rPr>
      </w:pPr>
    </w:p>
    <w:p w14:paraId="6CE68DF6" w14:textId="77777777"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693709">
        <w:rPr>
          <w:rFonts w:asciiTheme="minorHAnsi" w:hAnsiTheme="minorHAnsi" w:cs="Arial"/>
          <w:sz w:val="22"/>
          <w:szCs w:val="22"/>
          <w:lang w:eastAsia="en-GB"/>
        </w:rPr>
        <w:t xml:space="preserve">The following analysis summarises the Council’s maximum exposure to credit risk on other financial assets, based on experience of default and </w:t>
      </w:r>
      <w:proofErr w:type="spellStart"/>
      <w:r w:rsidRPr="00693709">
        <w:rPr>
          <w:rFonts w:asciiTheme="minorHAnsi" w:hAnsiTheme="minorHAnsi" w:cs="Arial"/>
          <w:sz w:val="22"/>
          <w:szCs w:val="22"/>
          <w:lang w:eastAsia="en-GB"/>
        </w:rPr>
        <w:t>uncollectability</w:t>
      </w:r>
      <w:proofErr w:type="spellEnd"/>
      <w:r w:rsidRPr="00693709">
        <w:rPr>
          <w:rFonts w:asciiTheme="minorHAnsi" w:hAnsiTheme="minorHAnsi" w:cs="Arial"/>
          <w:sz w:val="22"/>
          <w:szCs w:val="22"/>
          <w:lang w:eastAsia="en-GB"/>
        </w:rPr>
        <w:t xml:space="preserve"> over the last five financial years, adjusted to reflect current market </w:t>
      </w:r>
      <w:proofErr w:type="gramStart"/>
      <w:r w:rsidRPr="00693709">
        <w:rPr>
          <w:rFonts w:asciiTheme="minorHAnsi" w:hAnsiTheme="minorHAnsi" w:cs="Arial"/>
          <w:sz w:val="22"/>
          <w:szCs w:val="22"/>
          <w:lang w:eastAsia="en-GB"/>
        </w:rPr>
        <w:t>conditions</w:t>
      </w:r>
      <w:proofErr w:type="gramEnd"/>
      <w:r w:rsidRPr="00693709">
        <w:rPr>
          <w:rFonts w:asciiTheme="minorHAnsi" w:hAnsiTheme="minorHAnsi" w:cs="Arial"/>
          <w:sz w:val="22"/>
          <w:szCs w:val="22"/>
          <w:lang w:eastAsia="en-GB"/>
        </w:rPr>
        <w:t xml:space="preserve"> </w:t>
      </w:r>
    </w:p>
    <w:p w14:paraId="29BFF53B"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72A96931"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4B09C36"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7F3CE05"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8207A39"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3FC410DE"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1587D267" w14:textId="77777777" w:rsidR="00FD7082" w:rsidRPr="00693709"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3E0F4ED" w14:textId="77777777" w:rsidR="002F1F5C" w:rsidRPr="00693709" w:rsidRDefault="002F1F5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tbl>
      <w:tblPr>
        <w:tblW w:w="995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Caption w:val="Credit Risk exposure"/>
        <w:tblDescription w:val="Credit Risk exposure"/>
      </w:tblPr>
      <w:tblGrid>
        <w:gridCol w:w="3261"/>
        <w:gridCol w:w="1339"/>
        <w:gridCol w:w="1339"/>
        <w:gridCol w:w="1340"/>
        <w:gridCol w:w="1339"/>
        <w:gridCol w:w="1340"/>
      </w:tblGrid>
      <w:tr w:rsidR="00E742B1" w:rsidRPr="006D391F" w14:paraId="3CA9835C" w14:textId="77777777" w:rsidTr="00F367A2">
        <w:trPr>
          <w:cantSplit/>
          <w:tblHeader/>
        </w:trPr>
        <w:tc>
          <w:tcPr>
            <w:tcW w:w="3261" w:type="dxa"/>
            <w:shd w:val="clear" w:color="auto" w:fill="FABF8F" w:themeFill="accent6" w:themeFillTint="99"/>
          </w:tcPr>
          <w:p w14:paraId="48210AEE" w14:textId="77777777" w:rsidR="00E742B1" w:rsidRPr="00CF046C" w:rsidRDefault="00E742B1" w:rsidP="00E742B1">
            <w:pPr>
              <w:keepLines/>
              <w:widowControl w:val="0"/>
              <w:suppressAutoHyphens/>
              <w:autoSpaceDE w:val="0"/>
              <w:autoSpaceDN w:val="0"/>
              <w:adjustRightInd w:val="0"/>
              <w:jc w:val="center"/>
              <w:textAlignment w:val="baseline"/>
              <w:rPr>
                <w:rFonts w:asciiTheme="minorHAnsi" w:hAnsiTheme="minorHAnsi" w:cs="Arial"/>
                <w:lang w:eastAsia="en-GB"/>
              </w:rPr>
            </w:pPr>
          </w:p>
        </w:tc>
        <w:tc>
          <w:tcPr>
            <w:tcW w:w="1339" w:type="dxa"/>
            <w:shd w:val="clear" w:color="auto" w:fill="FABF8F" w:themeFill="accent6" w:themeFillTint="99"/>
          </w:tcPr>
          <w:p w14:paraId="36AD1657"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Amount</w:t>
            </w:r>
          </w:p>
          <w:p w14:paraId="293EE531"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c>
          <w:tcPr>
            <w:tcW w:w="1339" w:type="dxa"/>
            <w:shd w:val="clear" w:color="auto" w:fill="FABF8F" w:themeFill="accent6" w:themeFillTint="99"/>
          </w:tcPr>
          <w:p w14:paraId="6CEB5D9E"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Historical experience of default</w:t>
            </w:r>
          </w:p>
          <w:p w14:paraId="1C7367EB"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 xml:space="preserve">% </w:t>
            </w:r>
          </w:p>
        </w:tc>
        <w:tc>
          <w:tcPr>
            <w:tcW w:w="1340" w:type="dxa"/>
            <w:shd w:val="clear" w:color="auto" w:fill="FABF8F" w:themeFill="accent6" w:themeFillTint="99"/>
          </w:tcPr>
          <w:p w14:paraId="12665D0B"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Adjustment for market conditions</w:t>
            </w:r>
          </w:p>
          <w:p w14:paraId="7C0C2B16"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p>
        </w:tc>
        <w:tc>
          <w:tcPr>
            <w:tcW w:w="1339" w:type="dxa"/>
            <w:shd w:val="clear" w:color="auto" w:fill="FABF8F" w:themeFill="accent6" w:themeFillTint="99"/>
          </w:tcPr>
          <w:p w14:paraId="79DDDEC1"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 xml:space="preserve">Estimated maximum exposure to </w:t>
            </w:r>
            <w:proofErr w:type="gramStart"/>
            <w:r w:rsidRPr="00CF046C">
              <w:rPr>
                <w:rFonts w:asciiTheme="minorHAnsi" w:hAnsiTheme="minorHAnsi" w:cs="Arial"/>
                <w:lang w:eastAsia="en-GB"/>
              </w:rPr>
              <w:t>default</w:t>
            </w:r>
            <w:proofErr w:type="gramEnd"/>
          </w:p>
          <w:p w14:paraId="4FB78461"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c>
          <w:tcPr>
            <w:tcW w:w="1340" w:type="dxa"/>
            <w:shd w:val="clear" w:color="auto" w:fill="FABF8F" w:themeFill="accent6" w:themeFillTint="99"/>
          </w:tcPr>
          <w:p w14:paraId="4E5E573A"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 xml:space="preserve">Estimated maximum exposure to </w:t>
            </w:r>
            <w:proofErr w:type="gramStart"/>
            <w:r w:rsidRPr="00CF046C">
              <w:rPr>
                <w:rFonts w:asciiTheme="minorHAnsi" w:hAnsiTheme="minorHAnsi" w:cs="Arial"/>
                <w:lang w:eastAsia="en-GB"/>
              </w:rPr>
              <w:t>default</w:t>
            </w:r>
            <w:proofErr w:type="gramEnd"/>
          </w:p>
          <w:p w14:paraId="14452BAF"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r>
      <w:tr w:rsidR="00E742B1" w:rsidRPr="006D391F" w14:paraId="3E765265" w14:textId="77777777" w:rsidTr="00E742B1">
        <w:trPr>
          <w:trHeight w:val="525"/>
        </w:trPr>
        <w:tc>
          <w:tcPr>
            <w:tcW w:w="3261" w:type="dxa"/>
            <w:shd w:val="clear" w:color="auto" w:fill="FDE9D9" w:themeFill="accent6" w:themeFillTint="33"/>
            <w:vAlign w:val="center"/>
          </w:tcPr>
          <w:p w14:paraId="4E212F65" w14:textId="77777777" w:rsidR="00E742B1" w:rsidRPr="00CF046C" w:rsidRDefault="00E742B1" w:rsidP="00E742B1">
            <w:pPr>
              <w:keepLines/>
              <w:widowControl w:val="0"/>
              <w:suppressAutoHyphens/>
              <w:autoSpaceDE w:val="0"/>
              <w:autoSpaceDN w:val="0"/>
              <w:adjustRightInd w:val="0"/>
              <w:textAlignment w:val="baseline"/>
              <w:rPr>
                <w:rFonts w:asciiTheme="minorHAnsi" w:hAnsiTheme="minorHAnsi" w:cs="Arial"/>
                <w:lang w:eastAsia="en-GB"/>
              </w:rPr>
            </w:pPr>
            <w:r>
              <w:rPr>
                <w:rFonts w:asciiTheme="minorHAnsi" w:hAnsiTheme="minorHAnsi" w:cs="Arial"/>
                <w:lang w:eastAsia="en-GB"/>
              </w:rPr>
              <w:t>Deposits with bank and other institutions</w:t>
            </w:r>
            <w:r w:rsidRPr="00CF046C">
              <w:rPr>
                <w:rFonts w:asciiTheme="minorHAnsi" w:hAnsiTheme="minorHAnsi" w:cs="Arial"/>
                <w:lang w:eastAsia="en-GB"/>
              </w:rPr>
              <w:t>:</w:t>
            </w:r>
          </w:p>
        </w:tc>
        <w:tc>
          <w:tcPr>
            <w:tcW w:w="1339" w:type="dxa"/>
            <w:shd w:val="clear" w:color="auto" w:fill="FDE9D9" w:themeFill="accent6" w:themeFillTint="33"/>
            <w:vAlign w:val="center"/>
          </w:tcPr>
          <w:p w14:paraId="6A2420C3" w14:textId="2DBEBBAC" w:rsidR="00E742B1" w:rsidRPr="00CF046C" w:rsidRDefault="00E742B1" w:rsidP="002731E3">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31 March 20</w:t>
            </w:r>
            <w:r w:rsidR="006D47FD">
              <w:rPr>
                <w:rFonts w:asciiTheme="minorHAnsi" w:hAnsiTheme="minorHAnsi" w:cs="Arial"/>
                <w:lang w:eastAsia="en-GB"/>
              </w:rPr>
              <w:t>2</w:t>
            </w:r>
            <w:r w:rsidR="00CB43B7">
              <w:rPr>
                <w:rFonts w:asciiTheme="minorHAnsi" w:hAnsiTheme="minorHAnsi" w:cs="Arial"/>
                <w:lang w:eastAsia="en-GB"/>
              </w:rPr>
              <w:t>3</w:t>
            </w:r>
          </w:p>
        </w:tc>
        <w:tc>
          <w:tcPr>
            <w:tcW w:w="1339" w:type="dxa"/>
            <w:shd w:val="clear" w:color="auto" w:fill="FDE9D9" w:themeFill="accent6" w:themeFillTint="33"/>
            <w:vAlign w:val="center"/>
          </w:tcPr>
          <w:p w14:paraId="0709C856" w14:textId="6F61667C" w:rsidR="00E742B1" w:rsidRPr="00CF046C" w:rsidRDefault="006D47FD" w:rsidP="002731E3">
            <w:pPr>
              <w:widowControl w:val="0"/>
              <w:suppressAutoHyphens/>
              <w:autoSpaceDE w:val="0"/>
              <w:autoSpaceDN w:val="0"/>
              <w:adjustRightInd w:val="0"/>
              <w:jc w:val="right"/>
              <w:textAlignment w:val="baseline"/>
              <w:rPr>
                <w:rFonts w:asciiTheme="minorHAnsi" w:hAnsiTheme="minorHAnsi" w:cs="Arial"/>
                <w:spacing w:val="-5"/>
              </w:rPr>
            </w:pPr>
            <w:r>
              <w:rPr>
                <w:rFonts w:asciiTheme="minorHAnsi" w:hAnsiTheme="minorHAnsi" w:cs="Arial"/>
                <w:spacing w:val="-5"/>
              </w:rPr>
              <w:t>31 March 202</w:t>
            </w:r>
            <w:r w:rsidR="00CB43B7">
              <w:rPr>
                <w:rFonts w:asciiTheme="minorHAnsi" w:hAnsiTheme="minorHAnsi" w:cs="Arial"/>
                <w:spacing w:val="-5"/>
              </w:rPr>
              <w:t>3</w:t>
            </w:r>
          </w:p>
        </w:tc>
        <w:tc>
          <w:tcPr>
            <w:tcW w:w="1340" w:type="dxa"/>
            <w:shd w:val="clear" w:color="auto" w:fill="FDE9D9" w:themeFill="accent6" w:themeFillTint="33"/>
            <w:vAlign w:val="center"/>
          </w:tcPr>
          <w:p w14:paraId="1D574983" w14:textId="17139270" w:rsidR="00E742B1" w:rsidRPr="00CF046C" w:rsidRDefault="006D47FD" w:rsidP="00E742B1">
            <w:pPr>
              <w:widowControl w:val="0"/>
              <w:suppressAutoHyphens/>
              <w:autoSpaceDE w:val="0"/>
              <w:autoSpaceDN w:val="0"/>
              <w:adjustRightInd w:val="0"/>
              <w:jc w:val="right"/>
              <w:textAlignment w:val="baseline"/>
              <w:rPr>
                <w:rFonts w:asciiTheme="minorHAnsi" w:hAnsiTheme="minorHAnsi" w:cs="Arial"/>
                <w:spacing w:val="-5"/>
              </w:rPr>
            </w:pPr>
            <w:r>
              <w:rPr>
                <w:rFonts w:asciiTheme="minorHAnsi" w:hAnsiTheme="minorHAnsi" w:cs="Arial"/>
                <w:spacing w:val="-5"/>
              </w:rPr>
              <w:t>31 March 202</w:t>
            </w:r>
            <w:r w:rsidR="00CB43B7">
              <w:rPr>
                <w:rFonts w:asciiTheme="minorHAnsi" w:hAnsiTheme="minorHAnsi" w:cs="Arial"/>
                <w:spacing w:val="-5"/>
              </w:rPr>
              <w:t>3</w:t>
            </w:r>
          </w:p>
        </w:tc>
        <w:tc>
          <w:tcPr>
            <w:tcW w:w="1339" w:type="dxa"/>
            <w:shd w:val="clear" w:color="auto" w:fill="FDE9D9" w:themeFill="accent6" w:themeFillTint="33"/>
            <w:vAlign w:val="center"/>
          </w:tcPr>
          <w:p w14:paraId="38ABD7E5" w14:textId="54B7A6A9" w:rsidR="00E742B1" w:rsidRPr="00CF046C" w:rsidRDefault="00E742B1" w:rsidP="002731E3">
            <w:pPr>
              <w:widowControl w:val="0"/>
              <w:suppressAutoHyphens/>
              <w:autoSpaceDE w:val="0"/>
              <w:autoSpaceDN w:val="0"/>
              <w:adjustRightInd w:val="0"/>
              <w:jc w:val="right"/>
              <w:textAlignment w:val="baseline"/>
              <w:rPr>
                <w:rFonts w:asciiTheme="minorHAnsi" w:hAnsiTheme="minorHAnsi" w:cs="Arial"/>
                <w:spacing w:val="-5"/>
              </w:rPr>
            </w:pPr>
            <w:r w:rsidRPr="00CF046C">
              <w:rPr>
                <w:rFonts w:asciiTheme="minorHAnsi" w:hAnsiTheme="minorHAnsi" w:cs="Arial"/>
                <w:spacing w:val="-5"/>
              </w:rPr>
              <w:t>3</w:t>
            </w:r>
            <w:r w:rsidR="006D47FD">
              <w:rPr>
                <w:rFonts w:asciiTheme="minorHAnsi" w:hAnsiTheme="minorHAnsi" w:cs="Arial"/>
                <w:spacing w:val="-5"/>
              </w:rPr>
              <w:t>1 March 202</w:t>
            </w:r>
            <w:r w:rsidR="00CB43B7">
              <w:rPr>
                <w:rFonts w:asciiTheme="minorHAnsi" w:hAnsiTheme="minorHAnsi" w:cs="Arial"/>
                <w:spacing w:val="-5"/>
              </w:rPr>
              <w:t>3</w:t>
            </w:r>
          </w:p>
        </w:tc>
        <w:tc>
          <w:tcPr>
            <w:tcW w:w="1340" w:type="dxa"/>
            <w:shd w:val="clear" w:color="auto" w:fill="FDE9D9" w:themeFill="accent6" w:themeFillTint="33"/>
            <w:vAlign w:val="center"/>
          </w:tcPr>
          <w:p w14:paraId="33863399" w14:textId="18EE011D" w:rsidR="00E742B1" w:rsidRPr="00CF046C" w:rsidRDefault="00E742B1" w:rsidP="002731E3">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31 March 20</w:t>
            </w:r>
            <w:r w:rsidR="002731E3">
              <w:rPr>
                <w:rFonts w:asciiTheme="minorHAnsi" w:hAnsiTheme="minorHAnsi" w:cs="Arial"/>
                <w:lang w:eastAsia="en-GB"/>
              </w:rPr>
              <w:t>2</w:t>
            </w:r>
            <w:r w:rsidR="00CB43B7">
              <w:rPr>
                <w:rFonts w:asciiTheme="minorHAnsi" w:hAnsiTheme="minorHAnsi" w:cs="Arial"/>
                <w:lang w:eastAsia="en-GB"/>
              </w:rPr>
              <w:t>2</w:t>
            </w:r>
          </w:p>
        </w:tc>
      </w:tr>
      <w:tr w:rsidR="00E742B1" w:rsidRPr="006D391F" w14:paraId="0816BD32" w14:textId="77777777" w:rsidTr="00E742B1">
        <w:trPr>
          <w:trHeight w:val="330"/>
        </w:trPr>
        <w:tc>
          <w:tcPr>
            <w:tcW w:w="3261" w:type="dxa"/>
            <w:shd w:val="clear" w:color="auto" w:fill="FDE9D9" w:themeFill="accent6" w:themeFillTint="33"/>
            <w:vAlign w:val="center"/>
          </w:tcPr>
          <w:p w14:paraId="5C43B00D" w14:textId="77777777" w:rsidR="00E742B1" w:rsidRPr="00CF046C" w:rsidRDefault="00E742B1" w:rsidP="00E742B1">
            <w:pPr>
              <w:keepLines/>
              <w:widowControl w:val="0"/>
              <w:suppressAutoHyphens/>
              <w:autoSpaceDE w:val="0"/>
              <w:autoSpaceDN w:val="0"/>
              <w:adjustRightInd w:val="0"/>
              <w:textAlignment w:val="baseline"/>
              <w:rPr>
                <w:rFonts w:asciiTheme="minorHAnsi" w:hAnsiTheme="minorHAnsi" w:cs="Arial"/>
                <w:lang w:eastAsia="en-GB"/>
              </w:rPr>
            </w:pPr>
            <w:r w:rsidRPr="00CF046C">
              <w:rPr>
                <w:rFonts w:asciiTheme="minorHAnsi" w:hAnsiTheme="minorHAnsi" w:cs="Arial"/>
                <w:lang w:eastAsia="en-GB"/>
              </w:rPr>
              <w:t xml:space="preserve">AAA </w:t>
            </w:r>
          </w:p>
        </w:tc>
        <w:tc>
          <w:tcPr>
            <w:tcW w:w="1339" w:type="dxa"/>
            <w:shd w:val="clear" w:color="auto" w:fill="FDE9D9" w:themeFill="accent6" w:themeFillTint="33"/>
            <w:vAlign w:val="center"/>
          </w:tcPr>
          <w:p w14:paraId="2BC5C7E1" w14:textId="1665DB47" w:rsidR="00BF11DB" w:rsidRPr="00CF046C" w:rsidRDefault="00345459" w:rsidP="00BF11DB">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2,120</w:t>
            </w:r>
          </w:p>
        </w:tc>
        <w:tc>
          <w:tcPr>
            <w:tcW w:w="1339" w:type="dxa"/>
            <w:shd w:val="clear" w:color="auto" w:fill="FDE9D9" w:themeFill="accent6" w:themeFillTint="33"/>
            <w:vAlign w:val="center"/>
          </w:tcPr>
          <w:p w14:paraId="5D91BE74" w14:textId="149731A0"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0.00</w:t>
            </w:r>
            <w:r w:rsidR="00345459">
              <w:rPr>
                <w:rFonts w:asciiTheme="minorHAnsi" w:hAnsiTheme="minorHAnsi" w:cs="Arial"/>
                <w:lang w:eastAsia="en-GB"/>
              </w:rPr>
              <w:t>%</w:t>
            </w:r>
          </w:p>
        </w:tc>
        <w:tc>
          <w:tcPr>
            <w:tcW w:w="1340" w:type="dxa"/>
            <w:shd w:val="clear" w:color="auto" w:fill="FDE9D9" w:themeFill="accent6" w:themeFillTint="33"/>
            <w:vAlign w:val="center"/>
          </w:tcPr>
          <w:p w14:paraId="3B445F6D" w14:textId="2F922A0C"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0.00</w:t>
            </w:r>
            <w:r w:rsidR="00345459">
              <w:rPr>
                <w:rFonts w:asciiTheme="minorHAnsi" w:hAnsiTheme="minorHAnsi" w:cs="Arial"/>
                <w:lang w:eastAsia="en-GB"/>
              </w:rPr>
              <w:t>%</w:t>
            </w:r>
          </w:p>
        </w:tc>
        <w:tc>
          <w:tcPr>
            <w:tcW w:w="1339" w:type="dxa"/>
            <w:shd w:val="clear" w:color="auto" w:fill="FDE9D9" w:themeFill="accent6" w:themeFillTint="33"/>
            <w:vAlign w:val="center"/>
          </w:tcPr>
          <w:p w14:paraId="490DB908" w14:textId="3E3640A4" w:rsidR="008804EA" w:rsidRPr="00CF046C" w:rsidRDefault="00957FF4" w:rsidP="008804EA">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c>
          <w:tcPr>
            <w:tcW w:w="1340" w:type="dxa"/>
            <w:shd w:val="clear" w:color="auto" w:fill="FDE9D9" w:themeFill="accent6" w:themeFillTint="33"/>
            <w:vAlign w:val="center"/>
          </w:tcPr>
          <w:p w14:paraId="2E8038FB" w14:textId="2BCCA984" w:rsidR="00E742B1" w:rsidRPr="00CF046C" w:rsidRDefault="00BA709C"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E742B1" w:rsidRPr="006D391F" w14:paraId="44C01692" w14:textId="77777777" w:rsidTr="00E742B1">
        <w:trPr>
          <w:trHeight w:val="330"/>
        </w:trPr>
        <w:tc>
          <w:tcPr>
            <w:tcW w:w="3261" w:type="dxa"/>
            <w:shd w:val="clear" w:color="auto" w:fill="FDE9D9" w:themeFill="accent6" w:themeFillTint="33"/>
            <w:vAlign w:val="center"/>
          </w:tcPr>
          <w:p w14:paraId="6B64C9A1" w14:textId="77777777" w:rsidR="00E742B1" w:rsidRPr="00CF046C" w:rsidRDefault="00E742B1" w:rsidP="00E742B1">
            <w:pPr>
              <w:keepLines/>
              <w:widowControl w:val="0"/>
              <w:suppressAutoHyphens/>
              <w:autoSpaceDE w:val="0"/>
              <w:autoSpaceDN w:val="0"/>
              <w:adjustRightInd w:val="0"/>
              <w:textAlignment w:val="baseline"/>
              <w:rPr>
                <w:rFonts w:asciiTheme="minorHAnsi" w:hAnsiTheme="minorHAnsi" w:cs="Arial"/>
                <w:lang w:eastAsia="en-GB"/>
              </w:rPr>
            </w:pPr>
            <w:r w:rsidRPr="00CF046C">
              <w:rPr>
                <w:rFonts w:asciiTheme="minorHAnsi" w:hAnsiTheme="minorHAnsi" w:cs="Arial"/>
                <w:lang w:eastAsia="en-GB"/>
              </w:rPr>
              <w:t xml:space="preserve">AA </w:t>
            </w:r>
          </w:p>
        </w:tc>
        <w:tc>
          <w:tcPr>
            <w:tcW w:w="1339" w:type="dxa"/>
            <w:shd w:val="clear" w:color="auto" w:fill="FDE9D9" w:themeFill="accent6" w:themeFillTint="33"/>
            <w:vAlign w:val="center"/>
          </w:tcPr>
          <w:p w14:paraId="1498149C" w14:textId="09F1A1AB" w:rsidR="00E742B1" w:rsidRPr="00CF046C" w:rsidRDefault="00345459"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1,500</w:t>
            </w:r>
          </w:p>
        </w:tc>
        <w:tc>
          <w:tcPr>
            <w:tcW w:w="1339" w:type="dxa"/>
            <w:shd w:val="clear" w:color="auto" w:fill="FDE9D9" w:themeFill="accent6" w:themeFillTint="33"/>
            <w:vAlign w:val="center"/>
          </w:tcPr>
          <w:p w14:paraId="295B6689" w14:textId="7C3D329B"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w:t>
            </w:r>
            <w:r w:rsidR="00345459">
              <w:rPr>
                <w:rFonts w:asciiTheme="minorHAnsi" w:hAnsiTheme="minorHAnsi" w:cs="Arial"/>
                <w:lang w:eastAsia="en-GB"/>
              </w:rPr>
              <w:t>0%</w:t>
            </w:r>
          </w:p>
        </w:tc>
        <w:tc>
          <w:tcPr>
            <w:tcW w:w="1340" w:type="dxa"/>
            <w:shd w:val="clear" w:color="auto" w:fill="FDE9D9" w:themeFill="accent6" w:themeFillTint="33"/>
            <w:vAlign w:val="center"/>
          </w:tcPr>
          <w:p w14:paraId="327962A6" w14:textId="1563ED4C"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w:t>
            </w:r>
            <w:r w:rsidR="00345459">
              <w:rPr>
                <w:rFonts w:asciiTheme="minorHAnsi" w:hAnsiTheme="minorHAnsi" w:cs="Arial"/>
                <w:lang w:eastAsia="en-GB"/>
              </w:rPr>
              <w:t>0%</w:t>
            </w:r>
          </w:p>
        </w:tc>
        <w:tc>
          <w:tcPr>
            <w:tcW w:w="1339" w:type="dxa"/>
            <w:shd w:val="clear" w:color="auto" w:fill="FDE9D9" w:themeFill="accent6" w:themeFillTint="33"/>
            <w:vAlign w:val="center"/>
          </w:tcPr>
          <w:p w14:paraId="75CA3BB7" w14:textId="425AB0CA"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c>
          <w:tcPr>
            <w:tcW w:w="1340" w:type="dxa"/>
            <w:shd w:val="clear" w:color="auto" w:fill="FDE9D9" w:themeFill="accent6" w:themeFillTint="33"/>
            <w:vAlign w:val="center"/>
          </w:tcPr>
          <w:p w14:paraId="6A61CB45" w14:textId="61F124F3" w:rsidR="00E742B1" w:rsidRPr="00CF046C" w:rsidRDefault="00BA709C"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E742B1" w:rsidRPr="006D391F" w14:paraId="204FFFC3" w14:textId="77777777" w:rsidTr="00E742B1">
        <w:trPr>
          <w:trHeight w:val="330"/>
        </w:trPr>
        <w:tc>
          <w:tcPr>
            <w:tcW w:w="3261" w:type="dxa"/>
            <w:shd w:val="clear" w:color="auto" w:fill="FDE9D9" w:themeFill="accent6" w:themeFillTint="33"/>
            <w:vAlign w:val="center"/>
          </w:tcPr>
          <w:p w14:paraId="182EA639" w14:textId="77777777" w:rsidR="00E742B1" w:rsidRPr="00CF046C" w:rsidRDefault="00E742B1" w:rsidP="00E742B1">
            <w:pPr>
              <w:keepLines/>
              <w:widowControl w:val="0"/>
              <w:suppressAutoHyphens/>
              <w:autoSpaceDE w:val="0"/>
              <w:autoSpaceDN w:val="0"/>
              <w:adjustRightInd w:val="0"/>
              <w:textAlignment w:val="baseline"/>
              <w:rPr>
                <w:rFonts w:asciiTheme="minorHAnsi" w:hAnsiTheme="minorHAnsi" w:cs="Arial"/>
                <w:lang w:eastAsia="en-GB"/>
              </w:rPr>
            </w:pPr>
            <w:r w:rsidRPr="00CF046C">
              <w:rPr>
                <w:rFonts w:asciiTheme="minorHAnsi" w:hAnsiTheme="minorHAnsi" w:cs="Arial"/>
                <w:lang w:eastAsia="en-GB"/>
              </w:rPr>
              <w:t xml:space="preserve">A </w:t>
            </w:r>
          </w:p>
        </w:tc>
        <w:tc>
          <w:tcPr>
            <w:tcW w:w="1339" w:type="dxa"/>
            <w:shd w:val="clear" w:color="auto" w:fill="FDE9D9" w:themeFill="accent6" w:themeFillTint="33"/>
            <w:vAlign w:val="center"/>
          </w:tcPr>
          <w:p w14:paraId="50ABA19D" w14:textId="274C0C6B" w:rsidR="00E742B1" w:rsidRPr="00CF046C"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14,000</w:t>
            </w:r>
          </w:p>
        </w:tc>
        <w:tc>
          <w:tcPr>
            <w:tcW w:w="1339" w:type="dxa"/>
            <w:shd w:val="clear" w:color="auto" w:fill="FDE9D9" w:themeFill="accent6" w:themeFillTint="33"/>
            <w:vAlign w:val="center"/>
          </w:tcPr>
          <w:p w14:paraId="6363D3C2" w14:textId="68C3F6A8"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w:t>
            </w:r>
            <w:r w:rsidR="00345459">
              <w:rPr>
                <w:rFonts w:asciiTheme="minorHAnsi" w:hAnsiTheme="minorHAnsi" w:cs="Arial"/>
                <w:lang w:eastAsia="en-GB"/>
              </w:rPr>
              <w:t>1%</w:t>
            </w:r>
          </w:p>
        </w:tc>
        <w:tc>
          <w:tcPr>
            <w:tcW w:w="1340" w:type="dxa"/>
            <w:shd w:val="clear" w:color="auto" w:fill="FDE9D9" w:themeFill="accent6" w:themeFillTint="33"/>
            <w:vAlign w:val="center"/>
          </w:tcPr>
          <w:p w14:paraId="07BF9D82" w14:textId="74D6EA62"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w:t>
            </w:r>
            <w:r w:rsidR="00345459">
              <w:rPr>
                <w:rFonts w:asciiTheme="minorHAnsi" w:hAnsiTheme="minorHAnsi" w:cs="Arial"/>
                <w:lang w:eastAsia="en-GB"/>
              </w:rPr>
              <w:t>1%</w:t>
            </w:r>
          </w:p>
        </w:tc>
        <w:tc>
          <w:tcPr>
            <w:tcW w:w="1339" w:type="dxa"/>
            <w:shd w:val="clear" w:color="auto" w:fill="FDE9D9" w:themeFill="accent6" w:themeFillTint="33"/>
            <w:vAlign w:val="center"/>
          </w:tcPr>
          <w:p w14:paraId="5D0A4A82" w14:textId="3237A301" w:rsidR="00E742B1" w:rsidRPr="00CF046C" w:rsidRDefault="00345459"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w:t>
            </w:r>
          </w:p>
        </w:tc>
        <w:tc>
          <w:tcPr>
            <w:tcW w:w="1340" w:type="dxa"/>
            <w:shd w:val="clear" w:color="auto" w:fill="FDE9D9" w:themeFill="accent6" w:themeFillTint="33"/>
            <w:vAlign w:val="center"/>
          </w:tcPr>
          <w:p w14:paraId="6ED94599" w14:textId="041AA1CE" w:rsidR="00E742B1" w:rsidRPr="00CF046C" w:rsidRDefault="00CB43B7"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3</w:t>
            </w:r>
          </w:p>
        </w:tc>
      </w:tr>
      <w:tr w:rsidR="00E742B1" w:rsidRPr="006D391F" w14:paraId="156BE2E6" w14:textId="77777777" w:rsidTr="00E742B1">
        <w:trPr>
          <w:trHeight w:val="330"/>
        </w:trPr>
        <w:tc>
          <w:tcPr>
            <w:tcW w:w="3261" w:type="dxa"/>
            <w:shd w:val="clear" w:color="auto" w:fill="FDE9D9" w:themeFill="accent6" w:themeFillTint="33"/>
            <w:vAlign w:val="center"/>
          </w:tcPr>
          <w:p w14:paraId="38139503" w14:textId="77777777" w:rsidR="00E742B1" w:rsidRPr="00CF046C" w:rsidRDefault="00E742B1" w:rsidP="00E742B1">
            <w:pPr>
              <w:keepLines/>
              <w:widowControl w:val="0"/>
              <w:suppressAutoHyphens/>
              <w:autoSpaceDE w:val="0"/>
              <w:autoSpaceDN w:val="0"/>
              <w:adjustRightInd w:val="0"/>
              <w:textAlignment w:val="baseline"/>
              <w:rPr>
                <w:rFonts w:asciiTheme="minorHAnsi" w:hAnsiTheme="minorHAnsi" w:cs="Arial"/>
                <w:lang w:eastAsia="en-GB"/>
              </w:rPr>
            </w:pPr>
            <w:r>
              <w:rPr>
                <w:rFonts w:asciiTheme="minorHAnsi" w:hAnsiTheme="minorHAnsi" w:cs="Arial"/>
                <w:lang w:eastAsia="en-GB"/>
              </w:rPr>
              <w:t>Property Fund</w:t>
            </w:r>
          </w:p>
        </w:tc>
        <w:tc>
          <w:tcPr>
            <w:tcW w:w="1339" w:type="dxa"/>
            <w:shd w:val="clear" w:color="auto" w:fill="FDE9D9" w:themeFill="accent6" w:themeFillTint="33"/>
            <w:vAlign w:val="center"/>
          </w:tcPr>
          <w:p w14:paraId="62485E44" w14:textId="4F314287"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2,000</w:t>
            </w:r>
          </w:p>
        </w:tc>
        <w:tc>
          <w:tcPr>
            <w:tcW w:w="1339" w:type="dxa"/>
            <w:shd w:val="clear" w:color="auto" w:fill="FDE9D9" w:themeFill="accent6" w:themeFillTint="33"/>
            <w:vAlign w:val="center"/>
          </w:tcPr>
          <w:p w14:paraId="0D55502A" w14:textId="6F431679"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Not rated</w:t>
            </w:r>
          </w:p>
        </w:tc>
        <w:tc>
          <w:tcPr>
            <w:tcW w:w="1340" w:type="dxa"/>
            <w:shd w:val="clear" w:color="auto" w:fill="FDE9D9" w:themeFill="accent6" w:themeFillTint="33"/>
            <w:vAlign w:val="center"/>
          </w:tcPr>
          <w:p w14:paraId="1CF11F98" w14:textId="52C15FC5"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Not rated</w:t>
            </w:r>
          </w:p>
        </w:tc>
        <w:tc>
          <w:tcPr>
            <w:tcW w:w="1339" w:type="dxa"/>
            <w:shd w:val="clear" w:color="auto" w:fill="FDE9D9" w:themeFill="accent6" w:themeFillTint="33"/>
            <w:vAlign w:val="center"/>
          </w:tcPr>
          <w:p w14:paraId="6955D6DE" w14:textId="3D4451F7" w:rsidR="00E742B1" w:rsidRPr="00CF046C"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c>
          <w:tcPr>
            <w:tcW w:w="1340" w:type="dxa"/>
            <w:shd w:val="clear" w:color="auto" w:fill="FDE9D9" w:themeFill="accent6" w:themeFillTint="33"/>
            <w:vAlign w:val="center"/>
          </w:tcPr>
          <w:p w14:paraId="1D20FBE3" w14:textId="77777777" w:rsidR="00E742B1" w:rsidRPr="00CF046C" w:rsidRDefault="00E742B1"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E742B1" w:rsidRPr="006D391F" w14:paraId="2667338D" w14:textId="77777777" w:rsidTr="00E742B1">
        <w:trPr>
          <w:trHeight w:val="350"/>
        </w:trPr>
        <w:tc>
          <w:tcPr>
            <w:tcW w:w="3261" w:type="dxa"/>
            <w:shd w:val="clear" w:color="auto" w:fill="FDE9D9" w:themeFill="accent6" w:themeFillTint="33"/>
            <w:vAlign w:val="center"/>
          </w:tcPr>
          <w:p w14:paraId="66EC4434" w14:textId="77777777" w:rsidR="00E742B1" w:rsidRPr="00CF046C" w:rsidRDefault="006D47FD" w:rsidP="00E742B1">
            <w:pPr>
              <w:keepLines/>
              <w:widowControl w:val="0"/>
              <w:suppressAutoHyphens/>
              <w:autoSpaceDE w:val="0"/>
              <w:autoSpaceDN w:val="0"/>
              <w:adjustRightInd w:val="0"/>
              <w:textAlignment w:val="baseline"/>
              <w:rPr>
                <w:rFonts w:asciiTheme="minorHAnsi" w:hAnsiTheme="minorHAnsi" w:cs="Arial"/>
                <w:highlight w:val="yellow"/>
                <w:lang w:eastAsia="en-GB"/>
              </w:rPr>
            </w:pPr>
            <w:r>
              <w:rPr>
                <w:rFonts w:asciiTheme="minorHAnsi" w:hAnsiTheme="minorHAnsi" w:cs="Arial"/>
                <w:lang w:eastAsia="en-GB"/>
              </w:rPr>
              <w:t>Customers excl. statutory debtors (</w:t>
            </w:r>
            <w:proofErr w:type="gramStart"/>
            <w:r>
              <w:rPr>
                <w:rFonts w:asciiTheme="minorHAnsi" w:hAnsiTheme="minorHAnsi" w:cs="Arial"/>
                <w:lang w:eastAsia="en-GB"/>
              </w:rPr>
              <w:t>e.g.</w:t>
            </w:r>
            <w:proofErr w:type="gramEnd"/>
            <w:r>
              <w:rPr>
                <w:rFonts w:asciiTheme="minorHAnsi" w:hAnsiTheme="minorHAnsi" w:cs="Arial"/>
                <w:lang w:eastAsia="en-GB"/>
              </w:rPr>
              <w:t xml:space="preserve"> Council Tax/NNDR)</w:t>
            </w:r>
          </w:p>
        </w:tc>
        <w:tc>
          <w:tcPr>
            <w:tcW w:w="1339" w:type="dxa"/>
            <w:shd w:val="clear" w:color="auto" w:fill="FDE9D9" w:themeFill="accent6" w:themeFillTint="33"/>
            <w:vAlign w:val="center"/>
          </w:tcPr>
          <w:p w14:paraId="11017701" w14:textId="558CC610" w:rsidR="00E742B1" w:rsidRPr="0018378B"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w:t>
            </w:r>
            <w:r w:rsidR="00345459">
              <w:rPr>
                <w:rFonts w:asciiTheme="minorHAnsi" w:hAnsiTheme="minorHAnsi" w:cs="Arial"/>
                <w:lang w:eastAsia="en-GB"/>
              </w:rPr>
              <w:t>082</w:t>
            </w:r>
          </w:p>
        </w:tc>
        <w:tc>
          <w:tcPr>
            <w:tcW w:w="1339" w:type="dxa"/>
            <w:shd w:val="clear" w:color="auto" w:fill="FDE9D9" w:themeFill="accent6" w:themeFillTint="33"/>
            <w:vAlign w:val="center"/>
          </w:tcPr>
          <w:p w14:paraId="003F1B5D" w14:textId="051C21CC" w:rsidR="00E742B1" w:rsidRPr="0018378B"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62.91%</w:t>
            </w:r>
          </w:p>
        </w:tc>
        <w:tc>
          <w:tcPr>
            <w:tcW w:w="1340" w:type="dxa"/>
            <w:shd w:val="clear" w:color="auto" w:fill="FDE9D9" w:themeFill="accent6" w:themeFillTint="33"/>
            <w:vAlign w:val="center"/>
          </w:tcPr>
          <w:p w14:paraId="10096287" w14:textId="73EA9A6C" w:rsidR="00E742B1" w:rsidRPr="0018378B"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55.10</w:t>
            </w:r>
            <w:r w:rsidR="00345459">
              <w:rPr>
                <w:rFonts w:asciiTheme="minorHAnsi" w:hAnsiTheme="minorHAnsi" w:cs="Arial"/>
                <w:lang w:eastAsia="en-GB"/>
              </w:rPr>
              <w:t>%</w:t>
            </w:r>
          </w:p>
        </w:tc>
        <w:tc>
          <w:tcPr>
            <w:tcW w:w="1339" w:type="dxa"/>
            <w:shd w:val="clear" w:color="auto" w:fill="FDE9D9" w:themeFill="accent6" w:themeFillTint="33"/>
            <w:vAlign w:val="center"/>
          </w:tcPr>
          <w:p w14:paraId="5315A12C" w14:textId="03F8AF74" w:rsidR="00E742B1" w:rsidRPr="0018378B" w:rsidRDefault="00957FF4"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w:t>
            </w:r>
            <w:r w:rsidR="00345459">
              <w:rPr>
                <w:rFonts w:asciiTheme="minorHAnsi" w:hAnsiTheme="minorHAnsi" w:cs="Arial"/>
                <w:lang w:eastAsia="en-GB"/>
              </w:rPr>
              <w:t>310</w:t>
            </w:r>
          </w:p>
        </w:tc>
        <w:tc>
          <w:tcPr>
            <w:tcW w:w="1340" w:type="dxa"/>
            <w:shd w:val="clear" w:color="auto" w:fill="FDE9D9" w:themeFill="accent6" w:themeFillTint="33"/>
            <w:vAlign w:val="center"/>
          </w:tcPr>
          <w:p w14:paraId="7FD4EBCE" w14:textId="0C83B67D" w:rsidR="00E742B1" w:rsidRPr="0018378B" w:rsidRDefault="00CB43B7" w:rsidP="00E742B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1,166</w:t>
            </w:r>
          </w:p>
        </w:tc>
      </w:tr>
      <w:tr w:rsidR="00E742B1" w:rsidRPr="006D391F" w14:paraId="6A0F8925" w14:textId="77777777" w:rsidTr="00E742B1">
        <w:trPr>
          <w:trHeight w:val="350"/>
        </w:trPr>
        <w:tc>
          <w:tcPr>
            <w:tcW w:w="3261" w:type="dxa"/>
            <w:shd w:val="clear" w:color="auto" w:fill="FBD4B4" w:themeFill="accent6" w:themeFillTint="66"/>
            <w:vAlign w:val="center"/>
          </w:tcPr>
          <w:p w14:paraId="6031697C" w14:textId="77777777" w:rsidR="00E742B1" w:rsidRPr="009A7BE8" w:rsidRDefault="00E742B1" w:rsidP="00E742B1">
            <w:pPr>
              <w:keepLines/>
              <w:widowControl w:val="0"/>
              <w:suppressAutoHyphens/>
              <w:autoSpaceDE w:val="0"/>
              <w:autoSpaceDN w:val="0"/>
              <w:adjustRightInd w:val="0"/>
              <w:textAlignment w:val="baseline"/>
              <w:rPr>
                <w:rFonts w:asciiTheme="minorHAnsi" w:hAnsiTheme="minorHAnsi" w:cs="Arial"/>
                <w:b/>
                <w:lang w:eastAsia="en-GB"/>
              </w:rPr>
            </w:pPr>
            <w:r w:rsidRPr="009A7BE8">
              <w:rPr>
                <w:rFonts w:asciiTheme="minorHAnsi" w:hAnsiTheme="minorHAnsi" w:cs="Arial"/>
                <w:b/>
                <w:lang w:eastAsia="en-GB"/>
              </w:rPr>
              <w:t>Total</w:t>
            </w:r>
          </w:p>
        </w:tc>
        <w:tc>
          <w:tcPr>
            <w:tcW w:w="1339" w:type="dxa"/>
            <w:shd w:val="clear" w:color="auto" w:fill="FBD4B4" w:themeFill="accent6" w:themeFillTint="66"/>
            <w:vAlign w:val="center"/>
          </w:tcPr>
          <w:p w14:paraId="62A89BE7" w14:textId="4CFACCAE" w:rsidR="00E742B1" w:rsidRPr="009A7BE8" w:rsidRDefault="00345459" w:rsidP="00E742B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21,702</w:t>
            </w:r>
          </w:p>
        </w:tc>
        <w:tc>
          <w:tcPr>
            <w:tcW w:w="1339" w:type="dxa"/>
            <w:shd w:val="clear" w:color="auto" w:fill="FBD4B4" w:themeFill="accent6" w:themeFillTint="66"/>
            <w:vAlign w:val="center"/>
          </w:tcPr>
          <w:p w14:paraId="7971CF4C" w14:textId="60AED459" w:rsidR="00E742B1" w:rsidRPr="009A7BE8" w:rsidRDefault="00FD7082" w:rsidP="00E742B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N/A</w:t>
            </w:r>
          </w:p>
        </w:tc>
        <w:tc>
          <w:tcPr>
            <w:tcW w:w="1340" w:type="dxa"/>
            <w:shd w:val="clear" w:color="auto" w:fill="FBD4B4" w:themeFill="accent6" w:themeFillTint="66"/>
            <w:vAlign w:val="center"/>
          </w:tcPr>
          <w:p w14:paraId="1E2A8368" w14:textId="7E5573BD" w:rsidR="00E742B1" w:rsidRPr="009A7BE8" w:rsidRDefault="00FD7082" w:rsidP="00E742B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N/A</w:t>
            </w:r>
          </w:p>
        </w:tc>
        <w:tc>
          <w:tcPr>
            <w:tcW w:w="1339" w:type="dxa"/>
            <w:shd w:val="clear" w:color="auto" w:fill="FBD4B4" w:themeFill="accent6" w:themeFillTint="66"/>
            <w:vAlign w:val="center"/>
          </w:tcPr>
          <w:p w14:paraId="5FFFFCBA" w14:textId="711BBCB3" w:rsidR="00E742B1" w:rsidRPr="009A7BE8" w:rsidRDefault="00345459" w:rsidP="00E742B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1,312</w:t>
            </w:r>
          </w:p>
        </w:tc>
        <w:tc>
          <w:tcPr>
            <w:tcW w:w="1340" w:type="dxa"/>
            <w:shd w:val="clear" w:color="auto" w:fill="FBD4B4" w:themeFill="accent6" w:themeFillTint="66"/>
            <w:vAlign w:val="center"/>
          </w:tcPr>
          <w:p w14:paraId="7A8F6480" w14:textId="6CABC09D" w:rsidR="00E742B1" w:rsidRPr="009A7BE8" w:rsidRDefault="00CB43B7" w:rsidP="00E742B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1,16</w:t>
            </w:r>
            <w:r w:rsidR="00345459">
              <w:rPr>
                <w:rFonts w:asciiTheme="minorHAnsi" w:hAnsiTheme="minorHAnsi" w:cs="Arial"/>
                <w:b/>
                <w:lang w:eastAsia="en-GB"/>
              </w:rPr>
              <w:t>9</w:t>
            </w:r>
          </w:p>
        </w:tc>
      </w:tr>
    </w:tbl>
    <w:p w14:paraId="710D3A03" w14:textId="77777777" w:rsidR="00CF046C" w:rsidRPr="00693709"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237782AC" w14:textId="77777777" w:rsidR="00CF046C" w:rsidRPr="00693709"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1A6427">
        <w:rPr>
          <w:rFonts w:asciiTheme="minorHAnsi" w:hAnsiTheme="minorHAnsi" w:cs="Arial"/>
          <w:sz w:val="22"/>
          <w:szCs w:val="22"/>
          <w:lang w:eastAsia="en-GB"/>
        </w:rPr>
        <w:t>No credit limits were exceeded during the reporting period and the Council does not expect any losses from non-performance by any of its counterparties in relation to deposits and bonds.</w:t>
      </w:r>
    </w:p>
    <w:p w14:paraId="3ADCC472" w14:textId="77777777" w:rsidR="00421390" w:rsidRPr="00693709" w:rsidRDefault="00421390"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2691996" w14:textId="34845F2D" w:rsidR="00CF046C" w:rsidRPr="00693709"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693709">
        <w:rPr>
          <w:rFonts w:asciiTheme="minorHAnsi" w:hAnsiTheme="minorHAnsi" w:cs="Arial"/>
          <w:sz w:val="22"/>
          <w:szCs w:val="22"/>
          <w:lang w:eastAsia="en-GB"/>
        </w:rPr>
        <w:t xml:space="preserve">The Council does not generally allow credit for its customers, </w:t>
      </w:r>
      <w:r w:rsidRPr="00EE7444">
        <w:rPr>
          <w:rFonts w:asciiTheme="minorHAnsi" w:hAnsiTheme="minorHAnsi" w:cs="Arial"/>
          <w:sz w:val="22"/>
          <w:szCs w:val="22"/>
          <w:lang w:eastAsia="en-GB"/>
        </w:rPr>
        <w:t>such that £</w:t>
      </w:r>
      <w:r w:rsidR="002F4702" w:rsidRPr="00EE7444">
        <w:rPr>
          <w:rFonts w:asciiTheme="minorHAnsi" w:hAnsiTheme="minorHAnsi" w:cs="Arial"/>
          <w:sz w:val="22"/>
          <w:szCs w:val="22"/>
          <w:lang w:eastAsia="en-GB"/>
        </w:rPr>
        <w:t>1,</w:t>
      </w:r>
      <w:r w:rsidR="00EE7444" w:rsidRPr="00EE7444">
        <w:rPr>
          <w:rFonts w:asciiTheme="minorHAnsi" w:hAnsiTheme="minorHAnsi" w:cs="Arial"/>
          <w:sz w:val="22"/>
          <w:szCs w:val="22"/>
          <w:lang w:eastAsia="en-GB"/>
        </w:rPr>
        <w:t>799</w:t>
      </w:r>
      <w:r w:rsidR="002F4702" w:rsidRPr="00EE7444">
        <w:rPr>
          <w:rFonts w:asciiTheme="minorHAnsi" w:hAnsiTheme="minorHAnsi" w:cs="Arial"/>
          <w:sz w:val="22"/>
          <w:szCs w:val="22"/>
          <w:lang w:eastAsia="en-GB"/>
        </w:rPr>
        <w:t>k</w:t>
      </w:r>
      <w:r w:rsidRPr="00EE7444">
        <w:rPr>
          <w:rFonts w:asciiTheme="minorHAnsi" w:hAnsiTheme="minorHAnsi" w:cs="Arial"/>
          <w:sz w:val="22"/>
          <w:szCs w:val="22"/>
          <w:lang w:eastAsia="en-GB"/>
        </w:rPr>
        <w:t xml:space="preserve"> of the £</w:t>
      </w:r>
      <w:r w:rsidR="002F4702" w:rsidRPr="00EE7444">
        <w:rPr>
          <w:rFonts w:asciiTheme="minorHAnsi" w:hAnsiTheme="minorHAnsi" w:cs="Arial"/>
          <w:sz w:val="22"/>
          <w:szCs w:val="22"/>
          <w:lang w:eastAsia="en-GB"/>
        </w:rPr>
        <w:t>2,</w:t>
      </w:r>
      <w:r w:rsidR="00EE7444" w:rsidRPr="00EE7444">
        <w:rPr>
          <w:rFonts w:asciiTheme="minorHAnsi" w:hAnsiTheme="minorHAnsi" w:cs="Arial"/>
          <w:sz w:val="22"/>
          <w:szCs w:val="22"/>
          <w:lang w:eastAsia="en-GB"/>
        </w:rPr>
        <w:t>082</w:t>
      </w:r>
      <w:r w:rsidR="0087078E" w:rsidRPr="00EE7444">
        <w:rPr>
          <w:rFonts w:asciiTheme="minorHAnsi" w:hAnsiTheme="minorHAnsi" w:cs="Arial"/>
          <w:sz w:val="22"/>
          <w:szCs w:val="22"/>
          <w:lang w:eastAsia="en-GB"/>
        </w:rPr>
        <w:t>k</w:t>
      </w:r>
      <w:r w:rsidRPr="00EE7444">
        <w:rPr>
          <w:rFonts w:asciiTheme="minorHAnsi" w:hAnsiTheme="minorHAnsi" w:cs="Arial"/>
          <w:sz w:val="22"/>
          <w:szCs w:val="22"/>
          <w:lang w:eastAsia="en-GB"/>
        </w:rPr>
        <w:t xml:space="preserve"> balance is past</w:t>
      </w:r>
      <w:r w:rsidRPr="00693709">
        <w:rPr>
          <w:rFonts w:asciiTheme="minorHAnsi" w:hAnsiTheme="minorHAnsi" w:cs="Arial"/>
          <w:sz w:val="22"/>
          <w:szCs w:val="22"/>
          <w:lang w:eastAsia="en-GB"/>
        </w:rPr>
        <w:t xml:space="preserve"> its due date for payment.  The past due amount can be analysed by age as follows:</w:t>
      </w:r>
    </w:p>
    <w:p w14:paraId="550776F8" w14:textId="77777777" w:rsidR="00CF046C" w:rsidRPr="00591385" w:rsidRDefault="00CF046C" w:rsidP="00CF046C">
      <w:pPr>
        <w:keepLines/>
        <w:widowControl w:val="0"/>
        <w:suppressAutoHyphens/>
        <w:autoSpaceDE w:val="0"/>
        <w:autoSpaceDN w:val="0"/>
        <w:adjustRightInd w:val="0"/>
        <w:jc w:val="both"/>
        <w:textAlignment w:val="baseline"/>
        <w:rPr>
          <w:rFonts w:ascii="Arial" w:hAnsi="Arial" w:cs="Arial"/>
          <w:highlight w:val="yellow"/>
          <w:lang w:eastAsia="en-GB"/>
        </w:rPr>
      </w:pPr>
    </w:p>
    <w:tbl>
      <w:tblPr>
        <w:tblW w:w="6654"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Caption w:val="Ages of amounts past due"/>
        <w:tblDescription w:val="Ages of amounts past due"/>
      </w:tblPr>
      <w:tblGrid>
        <w:gridCol w:w="5028"/>
        <w:gridCol w:w="1626"/>
      </w:tblGrid>
      <w:tr w:rsidR="00EE23C1" w:rsidRPr="00591385" w14:paraId="750DDD86" w14:textId="77777777" w:rsidTr="00EE23C1">
        <w:trPr>
          <w:cantSplit/>
          <w:tblHeader/>
        </w:trPr>
        <w:tc>
          <w:tcPr>
            <w:tcW w:w="5028" w:type="dxa"/>
            <w:shd w:val="clear" w:color="auto" w:fill="FABF8F" w:themeFill="accent6" w:themeFillTint="99"/>
          </w:tcPr>
          <w:p w14:paraId="1A6BDC04" w14:textId="77777777" w:rsidR="00EE23C1" w:rsidRPr="0067600C" w:rsidRDefault="00EE23C1" w:rsidP="00CF046C">
            <w:pPr>
              <w:keepLines/>
              <w:widowControl w:val="0"/>
              <w:suppressAutoHyphens/>
              <w:autoSpaceDE w:val="0"/>
              <w:autoSpaceDN w:val="0"/>
              <w:adjustRightInd w:val="0"/>
              <w:jc w:val="both"/>
              <w:textAlignment w:val="baseline"/>
              <w:rPr>
                <w:rFonts w:asciiTheme="minorHAnsi" w:hAnsiTheme="minorHAnsi" w:cs="Arial"/>
                <w:lang w:eastAsia="en-GB"/>
              </w:rPr>
            </w:pPr>
          </w:p>
        </w:tc>
        <w:tc>
          <w:tcPr>
            <w:tcW w:w="1626" w:type="dxa"/>
            <w:shd w:val="clear" w:color="auto" w:fill="FABF8F" w:themeFill="accent6" w:themeFillTint="99"/>
          </w:tcPr>
          <w:p w14:paraId="36E449B7" w14:textId="5A03486E" w:rsidR="00EE23C1" w:rsidRPr="0067600C" w:rsidRDefault="00EE23C1" w:rsidP="00CF046C">
            <w:pPr>
              <w:keepLines/>
              <w:widowControl w:val="0"/>
              <w:suppressAutoHyphens/>
              <w:autoSpaceDE w:val="0"/>
              <w:autoSpaceDN w:val="0"/>
              <w:adjustRightInd w:val="0"/>
              <w:jc w:val="right"/>
              <w:textAlignment w:val="baseline"/>
              <w:rPr>
                <w:rFonts w:asciiTheme="minorHAnsi" w:hAnsiTheme="minorHAnsi" w:cs="Arial"/>
                <w:lang w:eastAsia="en-GB"/>
              </w:rPr>
            </w:pPr>
            <w:r w:rsidRPr="0067600C">
              <w:rPr>
                <w:rFonts w:asciiTheme="minorHAnsi" w:hAnsiTheme="minorHAnsi" w:cs="Arial"/>
                <w:lang w:eastAsia="en-GB"/>
              </w:rPr>
              <w:t>31 March 20</w:t>
            </w:r>
            <w:r>
              <w:rPr>
                <w:rFonts w:asciiTheme="minorHAnsi" w:hAnsiTheme="minorHAnsi" w:cs="Arial"/>
                <w:lang w:eastAsia="en-GB"/>
              </w:rPr>
              <w:t>22</w:t>
            </w:r>
            <w:r w:rsidRPr="0067600C">
              <w:rPr>
                <w:rFonts w:asciiTheme="minorHAnsi" w:hAnsiTheme="minorHAnsi" w:cs="Arial"/>
                <w:lang w:eastAsia="en-GB"/>
              </w:rPr>
              <w:t xml:space="preserve"> </w:t>
            </w:r>
          </w:p>
          <w:p w14:paraId="6EECB729" w14:textId="77777777" w:rsidR="00EE23C1" w:rsidRPr="0067600C" w:rsidRDefault="00EE23C1" w:rsidP="00ED61B7">
            <w:pPr>
              <w:keepLines/>
              <w:widowControl w:val="0"/>
              <w:suppressAutoHyphens/>
              <w:autoSpaceDE w:val="0"/>
              <w:autoSpaceDN w:val="0"/>
              <w:adjustRightInd w:val="0"/>
              <w:jc w:val="right"/>
              <w:textAlignment w:val="baseline"/>
              <w:rPr>
                <w:rFonts w:asciiTheme="minorHAnsi" w:hAnsiTheme="minorHAnsi" w:cs="Arial"/>
                <w:lang w:eastAsia="en-GB"/>
              </w:rPr>
            </w:pPr>
            <w:r w:rsidRPr="0067600C">
              <w:rPr>
                <w:rFonts w:asciiTheme="minorHAnsi" w:hAnsiTheme="minorHAnsi" w:cs="Arial"/>
                <w:lang w:eastAsia="en-GB"/>
              </w:rPr>
              <w:t>£’000</w:t>
            </w:r>
          </w:p>
        </w:tc>
      </w:tr>
      <w:tr w:rsidR="00EE23C1" w:rsidRPr="00591385" w14:paraId="284F219E" w14:textId="77777777" w:rsidTr="00EE23C1">
        <w:tc>
          <w:tcPr>
            <w:tcW w:w="5028" w:type="dxa"/>
            <w:shd w:val="clear" w:color="auto" w:fill="FDE9D9" w:themeFill="accent6" w:themeFillTint="33"/>
          </w:tcPr>
          <w:p w14:paraId="2FF86646" w14:textId="77777777" w:rsidR="00EE23C1" w:rsidRPr="0067600C" w:rsidRDefault="00EE23C1" w:rsidP="00AC5333">
            <w:pPr>
              <w:keepLines/>
              <w:widowControl w:val="0"/>
              <w:suppressAutoHyphens/>
              <w:autoSpaceDE w:val="0"/>
              <w:autoSpaceDN w:val="0"/>
              <w:adjustRightInd w:val="0"/>
              <w:jc w:val="both"/>
              <w:textAlignment w:val="baseline"/>
              <w:rPr>
                <w:rFonts w:asciiTheme="minorHAnsi" w:hAnsiTheme="minorHAnsi" w:cs="Arial"/>
                <w:lang w:eastAsia="en-GB"/>
              </w:rPr>
            </w:pPr>
            <w:r w:rsidRPr="0067600C">
              <w:rPr>
                <w:rFonts w:asciiTheme="minorHAnsi" w:hAnsiTheme="minorHAnsi" w:cs="Arial"/>
                <w:lang w:eastAsia="en-GB"/>
              </w:rPr>
              <w:t>Less than two months</w:t>
            </w:r>
          </w:p>
        </w:tc>
        <w:tc>
          <w:tcPr>
            <w:tcW w:w="1626" w:type="dxa"/>
            <w:shd w:val="clear" w:color="auto" w:fill="FDE9D9" w:themeFill="accent6" w:themeFillTint="33"/>
          </w:tcPr>
          <w:p w14:paraId="67786A5D" w14:textId="1EEF2434" w:rsidR="00EE23C1" w:rsidRPr="0067600C" w:rsidRDefault="00EE23C1" w:rsidP="001A5861">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259</w:t>
            </w:r>
          </w:p>
        </w:tc>
      </w:tr>
      <w:tr w:rsidR="00EE23C1" w:rsidRPr="00591385" w14:paraId="633BE65B" w14:textId="77777777" w:rsidTr="00EE23C1">
        <w:tc>
          <w:tcPr>
            <w:tcW w:w="5028" w:type="dxa"/>
            <w:shd w:val="clear" w:color="auto" w:fill="FDE9D9" w:themeFill="accent6" w:themeFillTint="33"/>
          </w:tcPr>
          <w:p w14:paraId="7EC96BBB" w14:textId="77777777" w:rsidR="00EE23C1" w:rsidRPr="0067600C" w:rsidRDefault="00EE23C1" w:rsidP="00AC5333">
            <w:pPr>
              <w:keepLines/>
              <w:widowControl w:val="0"/>
              <w:suppressAutoHyphens/>
              <w:autoSpaceDE w:val="0"/>
              <w:autoSpaceDN w:val="0"/>
              <w:adjustRightInd w:val="0"/>
              <w:jc w:val="both"/>
              <w:textAlignment w:val="baseline"/>
              <w:rPr>
                <w:rFonts w:asciiTheme="minorHAnsi" w:hAnsiTheme="minorHAnsi" w:cs="Arial"/>
                <w:lang w:eastAsia="en-GB"/>
              </w:rPr>
            </w:pPr>
            <w:r w:rsidRPr="0067600C">
              <w:rPr>
                <w:rFonts w:asciiTheme="minorHAnsi" w:hAnsiTheme="minorHAnsi" w:cs="Arial"/>
                <w:lang w:eastAsia="en-GB"/>
              </w:rPr>
              <w:t>Two to four months</w:t>
            </w:r>
          </w:p>
        </w:tc>
        <w:tc>
          <w:tcPr>
            <w:tcW w:w="1626" w:type="dxa"/>
            <w:shd w:val="clear" w:color="auto" w:fill="FDE9D9" w:themeFill="accent6" w:themeFillTint="33"/>
          </w:tcPr>
          <w:p w14:paraId="1036F420" w14:textId="21634F4B" w:rsidR="00EE23C1" w:rsidRPr="0067600C" w:rsidRDefault="00EE23C1" w:rsidP="002E1270">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204</w:t>
            </w:r>
          </w:p>
        </w:tc>
      </w:tr>
      <w:tr w:rsidR="00EE23C1" w:rsidRPr="00591385" w14:paraId="3B273A76" w14:textId="77777777" w:rsidTr="00EE23C1">
        <w:tc>
          <w:tcPr>
            <w:tcW w:w="5028" w:type="dxa"/>
            <w:shd w:val="clear" w:color="auto" w:fill="FDE9D9" w:themeFill="accent6" w:themeFillTint="33"/>
          </w:tcPr>
          <w:p w14:paraId="0C011FBB" w14:textId="77777777" w:rsidR="00EE23C1" w:rsidRPr="0067600C" w:rsidRDefault="00EE23C1" w:rsidP="00AC5333">
            <w:pPr>
              <w:keepLines/>
              <w:widowControl w:val="0"/>
              <w:suppressAutoHyphens/>
              <w:autoSpaceDE w:val="0"/>
              <w:autoSpaceDN w:val="0"/>
              <w:adjustRightInd w:val="0"/>
              <w:jc w:val="both"/>
              <w:textAlignment w:val="baseline"/>
              <w:rPr>
                <w:rFonts w:asciiTheme="minorHAnsi" w:hAnsiTheme="minorHAnsi" w:cs="Arial"/>
                <w:lang w:eastAsia="en-GB"/>
              </w:rPr>
            </w:pPr>
            <w:r w:rsidRPr="0067600C">
              <w:rPr>
                <w:rFonts w:asciiTheme="minorHAnsi" w:hAnsiTheme="minorHAnsi" w:cs="Arial"/>
                <w:lang w:eastAsia="en-GB"/>
              </w:rPr>
              <w:t>Four months to eight months</w:t>
            </w:r>
          </w:p>
        </w:tc>
        <w:tc>
          <w:tcPr>
            <w:tcW w:w="1626" w:type="dxa"/>
            <w:shd w:val="clear" w:color="auto" w:fill="FDE9D9" w:themeFill="accent6" w:themeFillTint="33"/>
          </w:tcPr>
          <w:p w14:paraId="222B0747" w14:textId="7DCBD394" w:rsidR="00EE23C1" w:rsidRPr="0067600C" w:rsidRDefault="00EE23C1" w:rsidP="00CF046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144</w:t>
            </w:r>
          </w:p>
        </w:tc>
      </w:tr>
      <w:tr w:rsidR="00EE23C1" w:rsidRPr="00591385" w14:paraId="7468D4E5" w14:textId="77777777" w:rsidTr="00EE23C1">
        <w:tc>
          <w:tcPr>
            <w:tcW w:w="5028" w:type="dxa"/>
            <w:shd w:val="clear" w:color="auto" w:fill="FDE9D9" w:themeFill="accent6" w:themeFillTint="33"/>
          </w:tcPr>
          <w:p w14:paraId="6AFA9F0D" w14:textId="77777777" w:rsidR="00EE23C1" w:rsidRPr="0067600C" w:rsidRDefault="00EE23C1" w:rsidP="00AC5333">
            <w:pPr>
              <w:keepLines/>
              <w:widowControl w:val="0"/>
              <w:suppressAutoHyphens/>
              <w:autoSpaceDE w:val="0"/>
              <w:autoSpaceDN w:val="0"/>
              <w:adjustRightInd w:val="0"/>
              <w:jc w:val="both"/>
              <w:textAlignment w:val="baseline"/>
              <w:rPr>
                <w:rFonts w:asciiTheme="minorHAnsi" w:hAnsiTheme="minorHAnsi" w:cs="Arial"/>
                <w:lang w:eastAsia="en-GB"/>
              </w:rPr>
            </w:pPr>
            <w:r w:rsidRPr="0067600C">
              <w:rPr>
                <w:rFonts w:asciiTheme="minorHAnsi" w:hAnsiTheme="minorHAnsi" w:cs="Arial"/>
                <w:lang w:eastAsia="en-GB"/>
              </w:rPr>
              <w:t>More than eight months</w:t>
            </w:r>
          </w:p>
        </w:tc>
        <w:tc>
          <w:tcPr>
            <w:tcW w:w="1626" w:type="dxa"/>
            <w:shd w:val="clear" w:color="auto" w:fill="FDE9D9" w:themeFill="accent6" w:themeFillTint="33"/>
          </w:tcPr>
          <w:p w14:paraId="2BB49BED" w14:textId="49365DAC" w:rsidR="00EE23C1" w:rsidRPr="0067600C" w:rsidRDefault="00EE23C1" w:rsidP="003A04DA">
            <w:pPr>
              <w:keepLines/>
              <w:widowControl w:val="0"/>
              <w:suppressAutoHyphens/>
              <w:autoSpaceDE w:val="0"/>
              <w:autoSpaceDN w:val="0"/>
              <w:adjustRightInd w:val="0"/>
              <w:jc w:val="right"/>
              <w:textAlignment w:val="baseline"/>
              <w:rPr>
                <w:rFonts w:asciiTheme="minorHAnsi" w:hAnsiTheme="minorHAnsi" w:cs="Arial"/>
                <w:lang w:eastAsia="en-GB"/>
              </w:rPr>
            </w:pPr>
            <w:r w:rsidRPr="0067600C">
              <w:rPr>
                <w:rFonts w:asciiTheme="minorHAnsi" w:hAnsiTheme="minorHAnsi" w:cs="Arial"/>
                <w:lang w:eastAsia="en-GB"/>
              </w:rPr>
              <w:t>1,</w:t>
            </w:r>
            <w:r>
              <w:rPr>
                <w:rFonts w:asciiTheme="minorHAnsi" w:hAnsiTheme="minorHAnsi" w:cs="Arial"/>
                <w:lang w:eastAsia="en-GB"/>
              </w:rPr>
              <w:t>268</w:t>
            </w:r>
          </w:p>
        </w:tc>
      </w:tr>
      <w:tr w:rsidR="00EE23C1" w:rsidRPr="00591385" w14:paraId="3D9330A1" w14:textId="77777777" w:rsidTr="00EE23C1">
        <w:tc>
          <w:tcPr>
            <w:tcW w:w="5028" w:type="dxa"/>
            <w:shd w:val="clear" w:color="auto" w:fill="FBD4B4" w:themeFill="accent6" w:themeFillTint="66"/>
          </w:tcPr>
          <w:p w14:paraId="74BC3ADE" w14:textId="77777777" w:rsidR="00EE23C1" w:rsidRPr="0067600C" w:rsidRDefault="00EE23C1" w:rsidP="00CF046C">
            <w:pPr>
              <w:keepLines/>
              <w:widowControl w:val="0"/>
              <w:suppressAutoHyphens/>
              <w:autoSpaceDE w:val="0"/>
              <w:autoSpaceDN w:val="0"/>
              <w:adjustRightInd w:val="0"/>
              <w:jc w:val="both"/>
              <w:textAlignment w:val="baseline"/>
              <w:rPr>
                <w:rFonts w:asciiTheme="minorHAnsi" w:hAnsiTheme="minorHAnsi" w:cs="Arial"/>
                <w:b/>
                <w:lang w:eastAsia="en-GB"/>
              </w:rPr>
            </w:pPr>
            <w:r w:rsidRPr="0067600C">
              <w:rPr>
                <w:rFonts w:asciiTheme="minorHAnsi" w:hAnsiTheme="minorHAnsi" w:cs="Arial"/>
                <w:b/>
                <w:lang w:eastAsia="en-GB"/>
              </w:rPr>
              <w:t>Total</w:t>
            </w:r>
          </w:p>
        </w:tc>
        <w:tc>
          <w:tcPr>
            <w:tcW w:w="1626" w:type="dxa"/>
            <w:shd w:val="clear" w:color="auto" w:fill="FBD4B4" w:themeFill="accent6" w:themeFillTint="66"/>
          </w:tcPr>
          <w:p w14:paraId="742B4337" w14:textId="19DAC81F" w:rsidR="00EE23C1" w:rsidRPr="0067600C" w:rsidRDefault="00EE23C1" w:rsidP="00425D7E">
            <w:pPr>
              <w:keepLines/>
              <w:widowControl w:val="0"/>
              <w:suppressAutoHyphens/>
              <w:autoSpaceDE w:val="0"/>
              <w:autoSpaceDN w:val="0"/>
              <w:adjustRightInd w:val="0"/>
              <w:jc w:val="right"/>
              <w:textAlignment w:val="baseline"/>
              <w:rPr>
                <w:rFonts w:asciiTheme="minorHAnsi" w:hAnsiTheme="minorHAnsi" w:cs="Arial"/>
                <w:b/>
                <w:lang w:eastAsia="en-GB"/>
              </w:rPr>
            </w:pPr>
            <w:r w:rsidRPr="0067600C">
              <w:rPr>
                <w:rFonts w:asciiTheme="minorHAnsi" w:hAnsiTheme="minorHAnsi" w:cs="Arial"/>
                <w:b/>
                <w:lang w:eastAsia="en-GB"/>
              </w:rPr>
              <w:t>1,</w:t>
            </w:r>
            <w:r>
              <w:rPr>
                <w:rFonts w:asciiTheme="minorHAnsi" w:hAnsiTheme="minorHAnsi" w:cs="Arial"/>
                <w:b/>
                <w:lang w:eastAsia="en-GB"/>
              </w:rPr>
              <w:t>875</w:t>
            </w:r>
          </w:p>
        </w:tc>
      </w:tr>
    </w:tbl>
    <w:p w14:paraId="52BD727E" w14:textId="77777777" w:rsidR="00CF046C" w:rsidRPr="00591385" w:rsidRDefault="00CF046C" w:rsidP="00CF046C">
      <w:pPr>
        <w:keepLines/>
        <w:widowControl w:val="0"/>
        <w:suppressAutoHyphens/>
        <w:autoSpaceDE w:val="0"/>
        <w:autoSpaceDN w:val="0"/>
        <w:adjustRightInd w:val="0"/>
        <w:jc w:val="both"/>
        <w:textAlignment w:val="baseline"/>
        <w:rPr>
          <w:rFonts w:ascii="Arial" w:hAnsi="Arial" w:cs="Arial"/>
          <w:highlight w:val="yellow"/>
          <w:lang w:eastAsia="en-GB"/>
        </w:rPr>
      </w:pPr>
    </w:p>
    <w:p w14:paraId="620FEC78" w14:textId="77777777" w:rsidR="00EE23C1" w:rsidRDefault="00EE23C1"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tbl>
      <w:tblPr>
        <w:tblW w:w="6654"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Pr>
      <w:tblGrid>
        <w:gridCol w:w="5028"/>
        <w:gridCol w:w="1626"/>
      </w:tblGrid>
      <w:tr w:rsidR="00EE23C1" w:rsidRPr="0067600C" w14:paraId="2DA86627" w14:textId="77777777" w:rsidTr="0009742C">
        <w:trPr>
          <w:cantSplit/>
          <w:tblHeader/>
        </w:trPr>
        <w:tc>
          <w:tcPr>
            <w:tcW w:w="5028" w:type="dxa"/>
            <w:shd w:val="clear" w:color="auto" w:fill="FABF8F" w:themeFill="accent6" w:themeFillTint="99"/>
          </w:tcPr>
          <w:p w14:paraId="409F746E" w14:textId="77777777" w:rsidR="00EE23C1" w:rsidRPr="0067600C" w:rsidRDefault="00EE23C1" w:rsidP="0009742C">
            <w:pPr>
              <w:keepLines/>
              <w:widowControl w:val="0"/>
              <w:suppressAutoHyphens/>
              <w:autoSpaceDE w:val="0"/>
              <w:autoSpaceDN w:val="0"/>
              <w:adjustRightInd w:val="0"/>
              <w:jc w:val="both"/>
              <w:textAlignment w:val="baseline"/>
              <w:rPr>
                <w:rFonts w:asciiTheme="minorHAnsi" w:hAnsiTheme="minorHAnsi" w:cs="Arial"/>
                <w:lang w:eastAsia="en-GB"/>
              </w:rPr>
            </w:pPr>
          </w:p>
        </w:tc>
        <w:tc>
          <w:tcPr>
            <w:tcW w:w="1626" w:type="dxa"/>
            <w:shd w:val="clear" w:color="auto" w:fill="FABF8F" w:themeFill="accent6" w:themeFillTint="99"/>
          </w:tcPr>
          <w:p w14:paraId="40426665" w14:textId="02426286" w:rsidR="00EE23C1" w:rsidRPr="0067600C" w:rsidRDefault="00EE23C1" w:rsidP="0009742C">
            <w:pPr>
              <w:keepLines/>
              <w:widowControl w:val="0"/>
              <w:suppressAutoHyphens/>
              <w:autoSpaceDE w:val="0"/>
              <w:autoSpaceDN w:val="0"/>
              <w:adjustRightInd w:val="0"/>
              <w:jc w:val="right"/>
              <w:textAlignment w:val="baseline"/>
              <w:rPr>
                <w:rFonts w:asciiTheme="minorHAnsi" w:hAnsiTheme="minorHAnsi" w:cs="Arial"/>
                <w:lang w:eastAsia="en-GB"/>
              </w:rPr>
            </w:pPr>
            <w:r w:rsidRPr="0067600C">
              <w:rPr>
                <w:rFonts w:asciiTheme="minorHAnsi" w:hAnsiTheme="minorHAnsi" w:cs="Arial"/>
                <w:lang w:eastAsia="en-GB"/>
              </w:rPr>
              <w:t>31 March 20</w:t>
            </w:r>
            <w:r>
              <w:rPr>
                <w:rFonts w:asciiTheme="minorHAnsi" w:hAnsiTheme="minorHAnsi" w:cs="Arial"/>
                <w:lang w:eastAsia="en-GB"/>
              </w:rPr>
              <w:t>23</w:t>
            </w:r>
            <w:r w:rsidRPr="0067600C">
              <w:rPr>
                <w:rFonts w:asciiTheme="minorHAnsi" w:hAnsiTheme="minorHAnsi" w:cs="Arial"/>
                <w:lang w:eastAsia="en-GB"/>
              </w:rPr>
              <w:t xml:space="preserve"> </w:t>
            </w:r>
          </w:p>
          <w:p w14:paraId="4E5F00A4" w14:textId="77777777" w:rsidR="00EE23C1" w:rsidRPr="0067600C" w:rsidRDefault="00EE23C1" w:rsidP="0009742C">
            <w:pPr>
              <w:keepLines/>
              <w:widowControl w:val="0"/>
              <w:suppressAutoHyphens/>
              <w:autoSpaceDE w:val="0"/>
              <w:autoSpaceDN w:val="0"/>
              <w:adjustRightInd w:val="0"/>
              <w:jc w:val="right"/>
              <w:textAlignment w:val="baseline"/>
              <w:rPr>
                <w:rFonts w:asciiTheme="minorHAnsi" w:hAnsiTheme="minorHAnsi" w:cs="Arial"/>
                <w:lang w:eastAsia="en-GB"/>
              </w:rPr>
            </w:pPr>
            <w:r w:rsidRPr="0067600C">
              <w:rPr>
                <w:rFonts w:asciiTheme="minorHAnsi" w:hAnsiTheme="minorHAnsi" w:cs="Arial"/>
                <w:lang w:eastAsia="en-GB"/>
              </w:rPr>
              <w:t>£’000</w:t>
            </w:r>
          </w:p>
        </w:tc>
      </w:tr>
      <w:tr w:rsidR="00EE7444" w:rsidRPr="0067600C" w14:paraId="43399306" w14:textId="77777777" w:rsidTr="0009742C">
        <w:tc>
          <w:tcPr>
            <w:tcW w:w="5028" w:type="dxa"/>
            <w:shd w:val="clear" w:color="auto" w:fill="FDE9D9" w:themeFill="accent6" w:themeFillTint="33"/>
          </w:tcPr>
          <w:p w14:paraId="3063A017" w14:textId="23FAE8AF" w:rsidR="00EE7444" w:rsidRPr="0067600C" w:rsidRDefault="00EE7444" w:rsidP="00EE7444">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Less than 1 year</w:t>
            </w:r>
          </w:p>
        </w:tc>
        <w:tc>
          <w:tcPr>
            <w:tcW w:w="1626" w:type="dxa"/>
            <w:shd w:val="clear" w:color="auto" w:fill="FDE9D9" w:themeFill="accent6" w:themeFillTint="33"/>
          </w:tcPr>
          <w:p w14:paraId="7901557D" w14:textId="63B54B5C" w:rsidR="00EE7444" w:rsidRPr="0067600C" w:rsidRDefault="00EE7444" w:rsidP="00EE7444">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516</w:t>
            </w:r>
          </w:p>
        </w:tc>
      </w:tr>
      <w:tr w:rsidR="00EE7444" w:rsidRPr="0067600C" w14:paraId="72B9417E" w14:textId="77777777" w:rsidTr="0009742C">
        <w:tc>
          <w:tcPr>
            <w:tcW w:w="5028" w:type="dxa"/>
            <w:shd w:val="clear" w:color="auto" w:fill="FDE9D9" w:themeFill="accent6" w:themeFillTint="33"/>
          </w:tcPr>
          <w:p w14:paraId="2517DA7A" w14:textId="5FA387F3" w:rsidR="00EE7444" w:rsidRPr="0067600C" w:rsidRDefault="00EE7444" w:rsidP="00EE7444">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 xml:space="preserve">Between 1 and </w:t>
            </w:r>
            <w:r>
              <w:rPr>
                <w:rFonts w:asciiTheme="minorHAnsi" w:hAnsiTheme="minorHAnsi" w:cs="Arial"/>
                <w:lang w:eastAsia="en-GB"/>
              </w:rPr>
              <w:t>5</w:t>
            </w:r>
            <w:r w:rsidRPr="00CF046C">
              <w:rPr>
                <w:rFonts w:asciiTheme="minorHAnsi" w:hAnsiTheme="minorHAnsi" w:cs="Arial"/>
                <w:lang w:eastAsia="en-GB"/>
              </w:rPr>
              <w:t xml:space="preserve"> years</w:t>
            </w:r>
          </w:p>
        </w:tc>
        <w:tc>
          <w:tcPr>
            <w:tcW w:w="1626" w:type="dxa"/>
            <w:shd w:val="clear" w:color="auto" w:fill="FDE9D9" w:themeFill="accent6" w:themeFillTint="33"/>
          </w:tcPr>
          <w:p w14:paraId="1F253D9C" w14:textId="6396B291" w:rsidR="00EE7444" w:rsidRDefault="00EE7444" w:rsidP="00EE7444">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615</w:t>
            </w:r>
          </w:p>
        </w:tc>
      </w:tr>
      <w:tr w:rsidR="00704BFA" w:rsidRPr="0067600C" w14:paraId="087F824B" w14:textId="77777777" w:rsidTr="0009742C">
        <w:tc>
          <w:tcPr>
            <w:tcW w:w="5028" w:type="dxa"/>
            <w:shd w:val="clear" w:color="auto" w:fill="FDE9D9" w:themeFill="accent6" w:themeFillTint="33"/>
          </w:tcPr>
          <w:p w14:paraId="256B3349" w14:textId="0F5F8BFB" w:rsidR="00704BFA" w:rsidRPr="0067600C" w:rsidRDefault="00EE7444" w:rsidP="0009742C">
            <w:pPr>
              <w:keepLines/>
              <w:widowControl w:val="0"/>
              <w:suppressAutoHyphens/>
              <w:autoSpaceDE w:val="0"/>
              <w:autoSpaceDN w:val="0"/>
              <w:adjustRightInd w:val="0"/>
              <w:jc w:val="both"/>
              <w:textAlignment w:val="baseline"/>
              <w:rPr>
                <w:rFonts w:asciiTheme="minorHAnsi" w:hAnsiTheme="minorHAnsi" w:cs="Arial"/>
                <w:lang w:eastAsia="en-GB"/>
              </w:rPr>
            </w:pPr>
            <w:r>
              <w:rPr>
                <w:rFonts w:asciiTheme="minorHAnsi" w:hAnsiTheme="minorHAnsi" w:cs="Arial"/>
                <w:lang w:eastAsia="en-GB"/>
              </w:rPr>
              <w:t xml:space="preserve">More than 5 years </w:t>
            </w:r>
          </w:p>
        </w:tc>
        <w:tc>
          <w:tcPr>
            <w:tcW w:w="1626" w:type="dxa"/>
            <w:shd w:val="clear" w:color="auto" w:fill="FDE9D9" w:themeFill="accent6" w:themeFillTint="33"/>
          </w:tcPr>
          <w:p w14:paraId="1C9B2FA5" w14:textId="087C5E13" w:rsidR="00704BFA" w:rsidRDefault="00EE7444" w:rsidP="0009742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668</w:t>
            </w:r>
          </w:p>
        </w:tc>
      </w:tr>
      <w:tr w:rsidR="00EE23C1" w:rsidRPr="0067600C" w14:paraId="30BC74FF" w14:textId="77777777" w:rsidTr="0009742C">
        <w:tc>
          <w:tcPr>
            <w:tcW w:w="5028" w:type="dxa"/>
            <w:shd w:val="clear" w:color="auto" w:fill="FBD4B4" w:themeFill="accent6" w:themeFillTint="66"/>
          </w:tcPr>
          <w:p w14:paraId="5C699A13" w14:textId="77777777" w:rsidR="00EE23C1" w:rsidRPr="0067600C" w:rsidRDefault="00EE23C1" w:rsidP="0009742C">
            <w:pPr>
              <w:keepLines/>
              <w:widowControl w:val="0"/>
              <w:suppressAutoHyphens/>
              <w:autoSpaceDE w:val="0"/>
              <w:autoSpaceDN w:val="0"/>
              <w:adjustRightInd w:val="0"/>
              <w:jc w:val="both"/>
              <w:textAlignment w:val="baseline"/>
              <w:rPr>
                <w:rFonts w:asciiTheme="minorHAnsi" w:hAnsiTheme="minorHAnsi" w:cs="Arial"/>
                <w:b/>
                <w:lang w:eastAsia="en-GB"/>
              </w:rPr>
            </w:pPr>
            <w:r w:rsidRPr="0067600C">
              <w:rPr>
                <w:rFonts w:asciiTheme="minorHAnsi" w:hAnsiTheme="minorHAnsi" w:cs="Arial"/>
                <w:b/>
                <w:lang w:eastAsia="en-GB"/>
              </w:rPr>
              <w:t>Total</w:t>
            </w:r>
          </w:p>
        </w:tc>
        <w:tc>
          <w:tcPr>
            <w:tcW w:w="1626" w:type="dxa"/>
            <w:shd w:val="clear" w:color="auto" w:fill="FBD4B4" w:themeFill="accent6" w:themeFillTint="66"/>
          </w:tcPr>
          <w:p w14:paraId="5A48AA5C" w14:textId="2155EF68" w:rsidR="00EE23C1" w:rsidRPr="0067600C" w:rsidRDefault="00EE7444" w:rsidP="0009742C">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1,799</w:t>
            </w:r>
          </w:p>
        </w:tc>
      </w:tr>
    </w:tbl>
    <w:p w14:paraId="615F8ACF" w14:textId="77777777" w:rsidR="00EE23C1" w:rsidRDefault="00EE23C1"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FDE0FBA" w14:textId="2C391494" w:rsidR="00EE23C1" w:rsidRDefault="00EE7444"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Pr>
          <w:rFonts w:asciiTheme="minorHAnsi" w:hAnsiTheme="minorHAnsi" w:cs="Arial"/>
          <w:sz w:val="22"/>
          <w:szCs w:val="22"/>
          <w:lang w:eastAsia="en-GB"/>
        </w:rPr>
        <w:t>The profiling of past due amounts</w:t>
      </w:r>
      <w:r w:rsidR="00FD7082">
        <w:rPr>
          <w:rFonts w:asciiTheme="minorHAnsi" w:hAnsiTheme="minorHAnsi" w:cs="Arial"/>
          <w:sz w:val="22"/>
          <w:szCs w:val="22"/>
          <w:lang w:eastAsia="en-GB"/>
        </w:rPr>
        <w:t>,</w:t>
      </w:r>
      <w:r>
        <w:rPr>
          <w:rFonts w:asciiTheme="minorHAnsi" w:hAnsiTheme="minorHAnsi" w:cs="Arial"/>
          <w:sz w:val="22"/>
          <w:szCs w:val="22"/>
          <w:lang w:eastAsia="en-GB"/>
        </w:rPr>
        <w:t xml:space="preserve"> </w:t>
      </w:r>
      <w:r w:rsidR="004D2FFC">
        <w:rPr>
          <w:rFonts w:asciiTheme="minorHAnsi" w:hAnsiTheme="minorHAnsi" w:cs="Arial"/>
          <w:sz w:val="22"/>
          <w:szCs w:val="22"/>
          <w:lang w:eastAsia="en-GB"/>
        </w:rPr>
        <w:t>used to calculate the out-standing debt provision</w:t>
      </w:r>
      <w:r w:rsidR="00FD7082">
        <w:rPr>
          <w:rFonts w:asciiTheme="minorHAnsi" w:hAnsiTheme="minorHAnsi" w:cs="Arial"/>
          <w:sz w:val="22"/>
          <w:szCs w:val="22"/>
          <w:lang w:eastAsia="en-GB"/>
        </w:rPr>
        <w:t>,</w:t>
      </w:r>
      <w:r w:rsidR="004D2FFC">
        <w:rPr>
          <w:rFonts w:asciiTheme="minorHAnsi" w:hAnsiTheme="minorHAnsi" w:cs="Arial"/>
          <w:sz w:val="22"/>
          <w:szCs w:val="22"/>
          <w:lang w:eastAsia="en-GB"/>
        </w:rPr>
        <w:t xml:space="preserve"> </w:t>
      </w:r>
      <w:r>
        <w:rPr>
          <w:rFonts w:asciiTheme="minorHAnsi" w:hAnsiTheme="minorHAnsi" w:cs="Arial"/>
          <w:sz w:val="22"/>
          <w:szCs w:val="22"/>
          <w:lang w:eastAsia="en-GB"/>
        </w:rPr>
        <w:t xml:space="preserve">has been </w:t>
      </w:r>
      <w:r w:rsidR="004D2FFC">
        <w:rPr>
          <w:rFonts w:asciiTheme="minorHAnsi" w:hAnsiTheme="minorHAnsi" w:cs="Arial"/>
          <w:sz w:val="22"/>
          <w:szCs w:val="22"/>
          <w:lang w:eastAsia="en-GB"/>
        </w:rPr>
        <w:t>updated</w:t>
      </w:r>
      <w:r>
        <w:rPr>
          <w:rFonts w:asciiTheme="minorHAnsi" w:hAnsiTheme="minorHAnsi" w:cs="Arial"/>
          <w:sz w:val="22"/>
          <w:szCs w:val="22"/>
          <w:lang w:eastAsia="en-GB"/>
        </w:rPr>
        <w:t xml:space="preserve"> </w:t>
      </w:r>
      <w:r w:rsidR="004D2FFC">
        <w:rPr>
          <w:rFonts w:asciiTheme="minorHAnsi" w:hAnsiTheme="minorHAnsi" w:cs="Arial"/>
          <w:sz w:val="22"/>
          <w:szCs w:val="22"/>
          <w:lang w:eastAsia="en-GB"/>
        </w:rPr>
        <w:t>based on</w:t>
      </w:r>
      <w:r>
        <w:rPr>
          <w:rFonts w:asciiTheme="minorHAnsi" w:hAnsiTheme="minorHAnsi" w:cs="Arial"/>
          <w:sz w:val="22"/>
          <w:szCs w:val="22"/>
          <w:lang w:eastAsia="en-GB"/>
        </w:rPr>
        <w:t xml:space="preserve"> experience of sundry debt. </w:t>
      </w:r>
    </w:p>
    <w:p w14:paraId="7CC49EB6" w14:textId="77777777" w:rsidR="00EE23C1" w:rsidRDefault="00EE23C1"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8DE3C17" w14:textId="350E32EE" w:rsidR="00CF046C" w:rsidRP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C22AE0">
        <w:rPr>
          <w:rFonts w:asciiTheme="minorHAnsi" w:hAnsiTheme="minorHAnsi" w:cs="Arial"/>
          <w:sz w:val="22"/>
          <w:szCs w:val="22"/>
          <w:lang w:eastAsia="en-GB"/>
        </w:rPr>
        <w:t xml:space="preserve">A continuing provision is made for writing off bad debts, the balance as </w:t>
      </w:r>
      <w:proofErr w:type="gramStart"/>
      <w:r w:rsidRPr="00C22AE0">
        <w:rPr>
          <w:rFonts w:asciiTheme="minorHAnsi" w:hAnsiTheme="minorHAnsi" w:cs="Arial"/>
          <w:sz w:val="22"/>
          <w:szCs w:val="22"/>
          <w:lang w:eastAsia="en-GB"/>
        </w:rPr>
        <w:t>at</w:t>
      </w:r>
      <w:proofErr w:type="gramEnd"/>
      <w:r w:rsidRPr="00C22AE0">
        <w:rPr>
          <w:rFonts w:asciiTheme="minorHAnsi" w:hAnsiTheme="minorHAnsi" w:cs="Arial"/>
          <w:sz w:val="22"/>
          <w:szCs w:val="22"/>
          <w:lang w:eastAsia="en-GB"/>
        </w:rPr>
        <w:t xml:space="preserve"> 31</w:t>
      </w:r>
      <w:r w:rsidR="009B5705" w:rsidRPr="00C22AE0">
        <w:rPr>
          <w:rFonts w:asciiTheme="minorHAnsi" w:hAnsiTheme="minorHAnsi" w:cs="Arial"/>
          <w:sz w:val="22"/>
          <w:szCs w:val="22"/>
          <w:lang w:eastAsia="en-GB"/>
        </w:rPr>
        <w:t xml:space="preserve"> </w:t>
      </w:r>
      <w:r w:rsidRPr="00C22AE0">
        <w:rPr>
          <w:rFonts w:asciiTheme="minorHAnsi" w:hAnsiTheme="minorHAnsi" w:cs="Arial"/>
          <w:sz w:val="22"/>
          <w:szCs w:val="22"/>
          <w:lang w:eastAsia="en-GB"/>
        </w:rPr>
        <w:t>March 20</w:t>
      </w:r>
      <w:r w:rsidR="001A5861" w:rsidRPr="00C22AE0">
        <w:rPr>
          <w:rFonts w:asciiTheme="minorHAnsi" w:hAnsiTheme="minorHAnsi" w:cs="Arial"/>
          <w:sz w:val="22"/>
          <w:szCs w:val="22"/>
          <w:lang w:eastAsia="en-GB"/>
        </w:rPr>
        <w:t>2</w:t>
      </w:r>
      <w:r w:rsidR="00BD608C" w:rsidRPr="00C22AE0">
        <w:rPr>
          <w:rFonts w:asciiTheme="minorHAnsi" w:hAnsiTheme="minorHAnsi" w:cs="Arial"/>
          <w:sz w:val="22"/>
          <w:szCs w:val="22"/>
          <w:lang w:eastAsia="en-GB"/>
        </w:rPr>
        <w:t>3</w:t>
      </w:r>
      <w:r w:rsidRPr="00C22AE0">
        <w:rPr>
          <w:rFonts w:asciiTheme="minorHAnsi" w:hAnsiTheme="minorHAnsi" w:cs="Arial"/>
          <w:sz w:val="22"/>
          <w:szCs w:val="22"/>
          <w:lang w:eastAsia="en-GB"/>
        </w:rPr>
        <w:t xml:space="preserve"> on the General Fund sundry debt provision is £</w:t>
      </w:r>
      <w:r w:rsidR="00C22AE0" w:rsidRPr="00C22AE0">
        <w:rPr>
          <w:rFonts w:asciiTheme="minorHAnsi" w:hAnsiTheme="minorHAnsi" w:cs="Arial"/>
          <w:sz w:val="22"/>
          <w:szCs w:val="22"/>
          <w:lang w:eastAsia="en-GB"/>
        </w:rPr>
        <w:t>547</w:t>
      </w:r>
      <w:r w:rsidRPr="00C22AE0">
        <w:rPr>
          <w:rFonts w:asciiTheme="minorHAnsi" w:hAnsiTheme="minorHAnsi" w:cs="Arial"/>
          <w:sz w:val="22"/>
          <w:szCs w:val="22"/>
          <w:lang w:eastAsia="en-GB"/>
        </w:rPr>
        <w:t>k and the balance on the sundry debt HRA provision is £</w:t>
      </w:r>
      <w:r w:rsidR="00C22AE0" w:rsidRPr="00C22AE0">
        <w:rPr>
          <w:rFonts w:asciiTheme="minorHAnsi" w:hAnsiTheme="minorHAnsi" w:cs="Arial"/>
          <w:sz w:val="22"/>
          <w:szCs w:val="22"/>
          <w:lang w:eastAsia="en-GB"/>
        </w:rPr>
        <w:t>5</w:t>
      </w:r>
      <w:r w:rsidR="00A22607" w:rsidRPr="00C22AE0">
        <w:rPr>
          <w:rFonts w:asciiTheme="minorHAnsi" w:hAnsiTheme="minorHAnsi" w:cs="Arial"/>
          <w:sz w:val="22"/>
          <w:szCs w:val="22"/>
          <w:lang w:eastAsia="en-GB"/>
        </w:rPr>
        <w:t>4</w:t>
      </w:r>
      <w:r w:rsidRPr="00C22AE0">
        <w:rPr>
          <w:rFonts w:asciiTheme="minorHAnsi" w:hAnsiTheme="minorHAnsi" w:cs="Arial"/>
          <w:sz w:val="22"/>
          <w:szCs w:val="22"/>
          <w:lang w:eastAsia="en-GB"/>
        </w:rPr>
        <w:t>k.</w:t>
      </w:r>
      <w:r w:rsidR="002D5F70" w:rsidRPr="00C22AE0">
        <w:rPr>
          <w:rFonts w:asciiTheme="minorHAnsi" w:hAnsiTheme="minorHAnsi" w:cs="Arial"/>
          <w:sz w:val="22"/>
          <w:szCs w:val="22"/>
          <w:lang w:eastAsia="en-GB"/>
        </w:rPr>
        <w:t xml:space="preserve">  The HRA rent arrears are included in the above </w:t>
      </w:r>
      <w:r w:rsidR="004365D7" w:rsidRPr="00C22AE0">
        <w:rPr>
          <w:rFonts w:asciiTheme="minorHAnsi" w:hAnsiTheme="minorHAnsi" w:cs="Arial"/>
          <w:sz w:val="22"/>
          <w:szCs w:val="22"/>
          <w:lang w:eastAsia="en-GB"/>
        </w:rPr>
        <w:t xml:space="preserve">table </w:t>
      </w:r>
      <w:r w:rsidR="002D5F70" w:rsidRPr="00C22AE0">
        <w:rPr>
          <w:rFonts w:asciiTheme="minorHAnsi" w:hAnsiTheme="minorHAnsi" w:cs="Arial"/>
          <w:sz w:val="22"/>
          <w:szCs w:val="22"/>
          <w:lang w:eastAsia="en-GB"/>
        </w:rPr>
        <w:t>for comparable results.</w:t>
      </w:r>
    </w:p>
    <w:p w14:paraId="10B422EA" w14:textId="77777777" w:rsidR="00CF046C" w:rsidRP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9AC1557" w14:textId="77777777" w:rsidR="00CF046C" w:rsidRPr="00693709"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693709">
        <w:rPr>
          <w:rFonts w:asciiTheme="minorHAnsi" w:hAnsiTheme="minorHAnsi" w:cs="Arial"/>
          <w:sz w:val="22"/>
          <w:szCs w:val="22"/>
          <w:lang w:eastAsia="en-GB"/>
        </w:rPr>
        <w:t>Collateral – During the reporting period the council held no collateral as security</w:t>
      </w:r>
      <w:r w:rsidR="00421390" w:rsidRPr="00693709">
        <w:rPr>
          <w:rFonts w:asciiTheme="minorHAnsi" w:hAnsiTheme="minorHAnsi" w:cs="Arial"/>
          <w:sz w:val="22"/>
          <w:szCs w:val="22"/>
          <w:lang w:eastAsia="en-GB"/>
        </w:rPr>
        <w:t>.</w:t>
      </w:r>
      <w:r w:rsidRPr="00693709">
        <w:rPr>
          <w:rFonts w:asciiTheme="minorHAnsi" w:hAnsiTheme="minorHAnsi" w:cs="Arial"/>
          <w:sz w:val="22"/>
          <w:szCs w:val="22"/>
          <w:lang w:eastAsia="en-GB"/>
        </w:rPr>
        <w:t xml:space="preserve"> </w:t>
      </w:r>
    </w:p>
    <w:p w14:paraId="7D6F9192" w14:textId="77777777" w:rsidR="00421390" w:rsidRPr="00591385" w:rsidRDefault="00CF046C" w:rsidP="00421390">
      <w:pPr>
        <w:keepLines/>
        <w:widowControl w:val="0"/>
        <w:suppressAutoHyphens/>
        <w:autoSpaceDE w:val="0"/>
        <w:autoSpaceDN w:val="0"/>
        <w:adjustRightInd w:val="0"/>
        <w:spacing w:before="240" w:after="120"/>
        <w:jc w:val="both"/>
        <w:textAlignment w:val="baseline"/>
        <w:rPr>
          <w:rFonts w:asciiTheme="minorHAnsi" w:hAnsiTheme="minorHAnsi" w:cs="Arial"/>
          <w:b/>
          <w:sz w:val="24"/>
          <w:szCs w:val="24"/>
          <w:lang w:eastAsia="en-GB"/>
        </w:rPr>
      </w:pPr>
      <w:r w:rsidRPr="00591385">
        <w:rPr>
          <w:rFonts w:asciiTheme="minorHAnsi" w:hAnsiTheme="minorHAnsi" w:cs="Arial"/>
          <w:b/>
          <w:sz w:val="24"/>
          <w:szCs w:val="24"/>
          <w:lang w:eastAsia="en-GB"/>
        </w:rPr>
        <w:t>Liquidity risk</w:t>
      </w:r>
    </w:p>
    <w:p w14:paraId="3C307B49" w14:textId="77777777" w:rsidR="00CF046C" w:rsidRPr="00591385" w:rsidRDefault="00CF046C" w:rsidP="00421390">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The Council manages its liquidity position through the risk management procedures above (the setting and approval of prudential indicators and the approval of the treasury and investment strategy reports), as well as through a comprehensive cash flow management system, as required by the CIPFA Code of Practice.  This seeks to ensure that cash is available when needed.</w:t>
      </w:r>
    </w:p>
    <w:p w14:paraId="2AF67311" w14:textId="77777777" w:rsidR="00421390" w:rsidRPr="00591385" w:rsidRDefault="00421390" w:rsidP="00421390">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BA91AF5" w14:textId="77777777" w:rsidR="00CF046C" w:rsidRPr="00591385" w:rsidRDefault="00CF046C" w:rsidP="00421390">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lastRenderedPageBreak/>
        <w:t xml:space="preserve">The Council has ready access to borrowings from the money markets to cover any </w:t>
      </w:r>
      <w:proofErr w:type="gramStart"/>
      <w:r w:rsidRPr="00591385">
        <w:rPr>
          <w:rFonts w:asciiTheme="minorHAnsi" w:hAnsiTheme="minorHAnsi" w:cs="Arial"/>
          <w:sz w:val="22"/>
          <w:szCs w:val="22"/>
          <w:lang w:eastAsia="en-GB"/>
        </w:rPr>
        <w:t>day to day</w:t>
      </w:r>
      <w:proofErr w:type="gramEnd"/>
      <w:r w:rsidRPr="00591385">
        <w:rPr>
          <w:rFonts w:asciiTheme="minorHAnsi" w:hAnsiTheme="minorHAnsi" w:cs="Arial"/>
          <w:sz w:val="22"/>
          <w:szCs w:val="22"/>
          <w:lang w:eastAsia="en-GB"/>
        </w:rPr>
        <w:t xml:space="preserve"> cash flow need, and the PWLB and money markets for access to longer term funds. The Council is also required to provide a balanced budget through the Local Government Finance Act 1992, which ensures sufficient monies are raised to cover annual expenditure.  There is therefore no significant risk that it will be unable to raise finance to meet its commitments under financial instruments.  </w:t>
      </w:r>
    </w:p>
    <w:p w14:paraId="317C034B" w14:textId="77777777" w:rsidR="00CF046C" w:rsidRPr="0059138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7D97295C" w14:textId="77777777"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 xml:space="preserve">The maturity analysis of financial assets, excluding sums due from customers, is as follows:  </w:t>
      </w:r>
    </w:p>
    <w:p w14:paraId="2B1ABBD0" w14:textId="77777777" w:rsidR="00BF6532" w:rsidRDefault="00BF653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tbl>
      <w:tblPr>
        <w:tblW w:w="8280"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Caption w:val="Maturity Analysis of FInancial Assets"/>
        <w:tblDescription w:val="Maturity Analysis of FInancial Assets"/>
      </w:tblPr>
      <w:tblGrid>
        <w:gridCol w:w="5028"/>
        <w:gridCol w:w="1626"/>
        <w:gridCol w:w="1626"/>
      </w:tblGrid>
      <w:tr w:rsidR="005B019C" w:rsidRPr="002277D3" w14:paraId="2F1A73F6" w14:textId="77777777" w:rsidTr="00CD3384">
        <w:trPr>
          <w:cantSplit/>
          <w:tblHeader/>
        </w:trPr>
        <w:tc>
          <w:tcPr>
            <w:tcW w:w="5028" w:type="dxa"/>
            <w:shd w:val="clear" w:color="auto" w:fill="FABF8F" w:themeFill="accent6" w:themeFillTint="99"/>
          </w:tcPr>
          <w:p w14:paraId="3BA3EB1C" w14:textId="77777777" w:rsidR="005B019C" w:rsidRPr="00CF046C" w:rsidRDefault="005B019C" w:rsidP="005B019C">
            <w:pPr>
              <w:keepLines/>
              <w:widowControl w:val="0"/>
              <w:suppressAutoHyphens/>
              <w:autoSpaceDE w:val="0"/>
              <w:autoSpaceDN w:val="0"/>
              <w:adjustRightInd w:val="0"/>
              <w:jc w:val="both"/>
              <w:textAlignment w:val="baseline"/>
              <w:rPr>
                <w:rFonts w:asciiTheme="minorHAnsi" w:hAnsiTheme="minorHAnsi" w:cs="Arial"/>
                <w:highlight w:val="yellow"/>
                <w:lang w:eastAsia="en-GB"/>
              </w:rPr>
            </w:pPr>
          </w:p>
        </w:tc>
        <w:tc>
          <w:tcPr>
            <w:tcW w:w="1626" w:type="dxa"/>
            <w:shd w:val="clear" w:color="auto" w:fill="FABF8F" w:themeFill="accent6" w:themeFillTint="99"/>
          </w:tcPr>
          <w:p w14:paraId="1A7F7521" w14:textId="1FB9C271"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31 March 20</w:t>
            </w:r>
            <w:r w:rsidR="002731E3">
              <w:rPr>
                <w:rFonts w:asciiTheme="minorHAnsi" w:hAnsiTheme="minorHAnsi" w:cs="Arial"/>
                <w:lang w:eastAsia="en-GB"/>
              </w:rPr>
              <w:t>2</w:t>
            </w:r>
            <w:r w:rsidR="00BF79D6">
              <w:rPr>
                <w:rFonts w:asciiTheme="minorHAnsi" w:hAnsiTheme="minorHAnsi" w:cs="Arial"/>
                <w:lang w:eastAsia="en-GB"/>
              </w:rPr>
              <w:t>2</w:t>
            </w:r>
          </w:p>
          <w:p w14:paraId="26BD324E" w14:textId="77777777"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c>
          <w:tcPr>
            <w:tcW w:w="1626" w:type="dxa"/>
            <w:shd w:val="clear" w:color="auto" w:fill="FABF8F" w:themeFill="accent6" w:themeFillTint="99"/>
          </w:tcPr>
          <w:p w14:paraId="433FA078" w14:textId="26A2519B" w:rsidR="005B019C" w:rsidRPr="00CF046C" w:rsidRDefault="003554A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31 March 202</w:t>
            </w:r>
            <w:r w:rsidR="00BF79D6">
              <w:rPr>
                <w:rFonts w:asciiTheme="minorHAnsi" w:hAnsiTheme="minorHAnsi" w:cs="Arial"/>
                <w:lang w:eastAsia="en-GB"/>
              </w:rPr>
              <w:t>3</w:t>
            </w:r>
          </w:p>
          <w:p w14:paraId="7AFBF607" w14:textId="77777777"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r>
      <w:tr w:rsidR="005B019C" w:rsidRPr="002277D3" w14:paraId="0B18686D" w14:textId="77777777" w:rsidTr="005B019C">
        <w:tc>
          <w:tcPr>
            <w:tcW w:w="5028" w:type="dxa"/>
            <w:shd w:val="clear" w:color="auto" w:fill="FDE9D9" w:themeFill="accent6" w:themeFillTint="33"/>
          </w:tcPr>
          <w:p w14:paraId="24DF834E" w14:textId="77777777" w:rsidR="005B019C" w:rsidRPr="00CF046C" w:rsidRDefault="005B019C" w:rsidP="005B019C">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Less than 1 year</w:t>
            </w:r>
          </w:p>
        </w:tc>
        <w:tc>
          <w:tcPr>
            <w:tcW w:w="1626" w:type="dxa"/>
            <w:shd w:val="clear" w:color="auto" w:fill="FDE9D9" w:themeFill="accent6" w:themeFillTint="33"/>
          </w:tcPr>
          <w:p w14:paraId="2DBD0022" w14:textId="5CEA341F" w:rsidR="005B019C" w:rsidRPr="00CF046C" w:rsidRDefault="004F54C5" w:rsidP="002731E3">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w:t>
            </w:r>
            <w:r w:rsidR="00BF79D6">
              <w:rPr>
                <w:rFonts w:asciiTheme="minorHAnsi" w:hAnsiTheme="minorHAnsi" w:cs="Arial"/>
                <w:lang w:eastAsia="en-GB"/>
              </w:rPr>
              <w:t>4</w:t>
            </w:r>
            <w:r w:rsidR="005B019C" w:rsidRPr="00CF046C">
              <w:rPr>
                <w:rFonts w:asciiTheme="minorHAnsi" w:hAnsiTheme="minorHAnsi" w:cs="Arial"/>
                <w:lang w:eastAsia="en-GB"/>
              </w:rPr>
              <w:t>,</w:t>
            </w:r>
            <w:r w:rsidR="00BF79D6">
              <w:rPr>
                <w:rFonts w:asciiTheme="minorHAnsi" w:hAnsiTheme="minorHAnsi" w:cs="Arial"/>
                <w:lang w:eastAsia="en-GB"/>
              </w:rPr>
              <w:t>50</w:t>
            </w:r>
            <w:r w:rsidR="002731E3">
              <w:rPr>
                <w:rFonts w:asciiTheme="minorHAnsi" w:hAnsiTheme="minorHAnsi" w:cs="Arial"/>
                <w:lang w:eastAsia="en-GB"/>
              </w:rPr>
              <w:t>0</w:t>
            </w:r>
          </w:p>
        </w:tc>
        <w:tc>
          <w:tcPr>
            <w:tcW w:w="1626" w:type="dxa"/>
            <w:shd w:val="clear" w:color="auto" w:fill="FDE9D9" w:themeFill="accent6" w:themeFillTint="33"/>
          </w:tcPr>
          <w:p w14:paraId="46BAE60D" w14:textId="7B5CF88C" w:rsidR="005B019C" w:rsidRPr="00CF046C"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17,620</w:t>
            </w:r>
          </w:p>
        </w:tc>
      </w:tr>
      <w:tr w:rsidR="005B019C" w:rsidRPr="002277D3" w14:paraId="5FE1D186" w14:textId="77777777" w:rsidTr="005B019C">
        <w:tc>
          <w:tcPr>
            <w:tcW w:w="5028" w:type="dxa"/>
            <w:shd w:val="clear" w:color="auto" w:fill="FDE9D9" w:themeFill="accent6" w:themeFillTint="33"/>
          </w:tcPr>
          <w:p w14:paraId="426AE00F" w14:textId="77777777" w:rsidR="005B019C" w:rsidRPr="00CF046C" w:rsidRDefault="005B019C" w:rsidP="005B019C">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Between 1 and 2 years</w:t>
            </w:r>
          </w:p>
        </w:tc>
        <w:tc>
          <w:tcPr>
            <w:tcW w:w="1626" w:type="dxa"/>
            <w:shd w:val="clear" w:color="auto" w:fill="FDE9D9" w:themeFill="accent6" w:themeFillTint="33"/>
          </w:tcPr>
          <w:p w14:paraId="19227DB6" w14:textId="77777777"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2,00</w:t>
            </w:r>
            <w:r w:rsidRPr="00CF046C">
              <w:rPr>
                <w:rFonts w:asciiTheme="minorHAnsi" w:hAnsiTheme="minorHAnsi" w:cs="Arial"/>
                <w:lang w:eastAsia="en-GB"/>
              </w:rPr>
              <w:t>0</w:t>
            </w:r>
          </w:p>
        </w:tc>
        <w:tc>
          <w:tcPr>
            <w:tcW w:w="1626" w:type="dxa"/>
            <w:shd w:val="clear" w:color="auto" w:fill="FDE9D9" w:themeFill="accent6" w:themeFillTint="33"/>
          </w:tcPr>
          <w:p w14:paraId="5B3D75EC" w14:textId="17D36891" w:rsidR="005B019C" w:rsidRPr="00CF046C"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2,000</w:t>
            </w:r>
          </w:p>
        </w:tc>
      </w:tr>
      <w:tr w:rsidR="005B019C" w:rsidRPr="002277D3" w14:paraId="7BFD0953" w14:textId="77777777" w:rsidTr="005B019C">
        <w:tc>
          <w:tcPr>
            <w:tcW w:w="5028" w:type="dxa"/>
            <w:shd w:val="clear" w:color="auto" w:fill="FDE9D9" w:themeFill="accent6" w:themeFillTint="33"/>
          </w:tcPr>
          <w:p w14:paraId="752FE601" w14:textId="77777777" w:rsidR="005B019C" w:rsidRPr="00CF046C" w:rsidRDefault="005B019C" w:rsidP="005B019C">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Between 2 and 3 years</w:t>
            </w:r>
          </w:p>
        </w:tc>
        <w:tc>
          <w:tcPr>
            <w:tcW w:w="1626" w:type="dxa"/>
            <w:shd w:val="clear" w:color="auto" w:fill="FDE9D9" w:themeFill="accent6" w:themeFillTint="33"/>
          </w:tcPr>
          <w:p w14:paraId="4997BCE2" w14:textId="77777777"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626" w:type="dxa"/>
            <w:shd w:val="clear" w:color="auto" w:fill="FDE9D9" w:themeFill="accent6" w:themeFillTint="33"/>
          </w:tcPr>
          <w:p w14:paraId="5D360224" w14:textId="245F52A0" w:rsidR="005B019C" w:rsidRPr="00CF046C"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5B019C" w:rsidRPr="002277D3" w14:paraId="56C0BB41" w14:textId="77777777" w:rsidTr="005B019C">
        <w:tc>
          <w:tcPr>
            <w:tcW w:w="5028" w:type="dxa"/>
            <w:shd w:val="clear" w:color="auto" w:fill="FDE9D9" w:themeFill="accent6" w:themeFillTint="33"/>
          </w:tcPr>
          <w:p w14:paraId="355BA4B9" w14:textId="77777777" w:rsidR="005B019C" w:rsidRPr="00CF046C" w:rsidRDefault="005B019C" w:rsidP="005B019C">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More than 3 years</w:t>
            </w:r>
          </w:p>
        </w:tc>
        <w:tc>
          <w:tcPr>
            <w:tcW w:w="1626" w:type="dxa"/>
            <w:shd w:val="clear" w:color="auto" w:fill="FDE9D9" w:themeFill="accent6" w:themeFillTint="33"/>
          </w:tcPr>
          <w:p w14:paraId="17CB1285" w14:textId="77777777" w:rsidR="005B019C" w:rsidRPr="00CF046C" w:rsidRDefault="005B019C" w:rsidP="005B019C">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626" w:type="dxa"/>
            <w:shd w:val="clear" w:color="auto" w:fill="FDE9D9" w:themeFill="accent6" w:themeFillTint="33"/>
          </w:tcPr>
          <w:p w14:paraId="64922C77" w14:textId="77F196B1" w:rsidR="005B019C" w:rsidRPr="00CF046C" w:rsidRDefault="00345459" w:rsidP="005B019C">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5B019C" w:rsidRPr="002277D3" w14:paraId="2B69EE19" w14:textId="77777777" w:rsidTr="005B019C">
        <w:tc>
          <w:tcPr>
            <w:tcW w:w="5028" w:type="dxa"/>
            <w:shd w:val="clear" w:color="auto" w:fill="FBD4B4" w:themeFill="accent6" w:themeFillTint="66"/>
          </w:tcPr>
          <w:p w14:paraId="3ADC8747" w14:textId="77777777" w:rsidR="005B019C" w:rsidRPr="009A7BE8" w:rsidRDefault="005B019C" w:rsidP="005B019C">
            <w:pPr>
              <w:keepLines/>
              <w:widowControl w:val="0"/>
              <w:suppressAutoHyphens/>
              <w:autoSpaceDE w:val="0"/>
              <w:autoSpaceDN w:val="0"/>
              <w:adjustRightInd w:val="0"/>
              <w:jc w:val="both"/>
              <w:textAlignment w:val="baseline"/>
              <w:rPr>
                <w:rFonts w:asciiTheme="minorHAnsi" w:hAnsiTheme="minorHAnsi" w:cs="Arial"/>
                <w:b/>
                <w:lang w:eastAsia="en-GB"/>
              </w:rPr>
            </w:pPr>
            <w:r w:rsidRPr="009A7BE8">
              <w:rPr>
                <w:rFonts w:asciiTheme="minorHAnsi" w:hAnsiTheme="minorHAnsi" w:cs="Arial"/>
                <w:b/>
                <w:lang w:eastAsia="en-GB"/>
              </w:rPr>
              <w:t>Total</w:t>
            </w:r>
          </w:p>
        </w:tc>
        <w:tc>
          <w:tcPr>
            <w:tcW w:w="1626" w:type="dxa"/>
            <w:shd w:val="clear" w:color="auto" w:fill="FBD4B4" w:themeFill="accent6" w:themeFillTint="66"/>
          </w:tcPr>
          <w:p w14:paraId="393E8064" w14:textId="74AB4054" w:rsidR="005B019C" w:rsidRPr="009A7BE8" w:rsidRDefault="005B019C" w:rsidP="005B019C">
            <w:pPr>
              <w:keepLines/>
              <w:widowControl w:val="0"/>
              <w:suppressAutoHyphens/>
              <w:autoSpaceDE w:val="0"/>
              <w:autoSpaceDN w:val="0"/>
              <w:adjustRightInd w:val="0"/>
              <w:jc w:val="right"/>
              <w:textAlignment w:val="baseline"/>
              <w:rPr>
                <w:rFonts w:asciiTheme="minorHAnsi" w:hAnsiTheme="minorHAnsi" w:cs="Arial"/>
                <w:b/>
                <w:lang w:eastAsia="en-GB"/>
              </w:rPr>
            </w:pPr>
            <w:r w:rsidRPr="009A7BE8">
              <w:rPr>
                <w:rFonts w:asciiTheme="minorHAnsi" w:hAnsiTheme="minorHAnsi" w:cs="Arial"/>
                <w:b/>
                <w:lang w:eastAsia="en-GB"/>
              </w:rPr>
              <w:t>2</w:t>
            </w:r>
            <w:r w:rsidR="00BF79D6">
              <w:rPr>
                <w:rFonts w:asciiTheme="minorHAnsi" w:hAnsiTheme="minorHAnsi" w:cs="Arial"/>
                <w:b/>
                <w:lang w:eastAsia="en-GB"/>
              </w:rPr>
              <w:t>6</w:t>
            </w:r>
            <w:r w:rsidRPr="009A7BE8">
              <w:rPr>
                <w:rFonts w:asciiTheme="minorHAnsi" w:hAnsiTheme="minorHAnsi" w:cs="Arial"/>
                <w:b/>
                <w:lang w:eastAsia="en-GB"/>
              </w:rPr>
              <w:t>,</w:t>
            </w:r>
            <w:r w:rsidR="00BF79D6">
              <w:rPr>
                <w:rFonts w:asciiTheme="minorHAnsi" w:hAnsiTheme="minorHAnsi" w:cs="Arial"/>
                <w:b/>
                <w:lang w:eastAsia="en-GB"/>
              </w:rPr>
              <w:t>50</w:t>
            </w:r>
            <w:r w:rsidR="002731E3">
              <w:rPr>
                <w:rFonts w:asciiTheme="minorHAnsi" w:hAnsiTheme="minorHAnsi" w:cs="Arial"/>
                <w:b/>
                <w:lang w:eastAsia="en-GB"/>
              </w:rPr>
              <w:t>0</w:t>
            </w:r>
          </w:p>
        </w:tc>
        <w:tc>
          <w:tcPr>
            <w:tcW w:w="1626" w:type="dxa"/>
            <w:shd w:val="clear" w:color="auto" w:fill="FBD4B4" w:themeFill="accent6" w:themeFillTint="66"/>
          </w:tcPr>
          <w:p w14:paraId="2DD04EC0" w14:textId="7BDE0D9F" w:rsidR="005B019C" w:rsidRPr="009A7BE8" w:rsidRDefault="00345459" w:rsidP="005B019C">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19,620</w:t>
            </w:r>
          </w:p>
        </w:tc>
      </w:tr>
    </w:tbl>
    <w:p w14:paraId="19E00076" w14:textId="77777777" w:rsidR="00954EA9" w:rsidRPr="00591385" w:rsidRDefault="00954EA9" w:rsidP="00CF046C">
      <w:pPr>
        <w:keepLines/>
        <w:widowControl w:val="0"/>
        <w:suppressAutoHyphens/>
        <w:autoSpaceDE w:val="0"/>
        <w:autoSpaceDN w:val="0"/>
        <w:adjustRightInd w:val="0"/>
        <w:spacing w:before="240" w:after="120"/>
        <w:jc w:val="both"/>
        <w:textAlignment w:val="baseline"/>
        <w:rPr>
          <w:rFonts w:asciiTheme="minorHAnsi" w:hAnsiTheme="minorHAnsi" w:cs="Arial"/>
          <w:b/>
          <w:sz w:val="24"/>
          <w:szCs w:val="24"/>
          <w:lang w:eastAsia="en-GB"/>
        </w:rPr>
      </w:pPr>
      <w:r w:rsidRPr="00591385">
        <w:rPr>
          <w:rFonts w:asciiTheme="minorHAnsi" w:hAnsiTheme="minorHAnsi" w:cs="Arial"/>
          <w:sz w:val="22"/>
          <w:szCs w:val="22"/>
          <w:lang w:eastAsia="en-GB"/>
        </w:rPr>
        <w:t>Amounts shown above as due greater than one year represent principal sums invested with the CCLA Property Fund.</w:t>
      </w:r>
    </w:p>
    <w:p w14:paraId="417E7E5E" w14:textId="77777777" w:rsidR="00CF046C" w:rsidRPr="00591385" w:rsidRDefault="00CF046C" w:rsidP="00CF046C">
      <w:pPr>
        <w:keepLines/>
        <w:widowControl w:val="0"/>
        <w:suppressAutoHyphens/>
        <w:autoSpaceDE w:val="0"/>
        <w:autoSpaceDN w:val="0"/>
        <w:adjustRightInd w:val="0"/>
        <w:spacing w:before="240" w:after="120"/>
        <w:jc w:val="both"/>
        <w:textAlignment w:val="baseline"/>
        <w:rPr>
          <w:rFonts w:asciiTheme="minorHAnsi" w:hAnsiTheme="minorHAnsi" w:cs="Arial"/>
          <w:b/>
          <w:sz w:val="24"/>
          <w:szCs w:val="24"/>
          <w:lang w:eastAsia="en-GB"/>
        </w:rPr>
      </w:pPr>
      <w:r w:rsidRPr="00591385">
        <w:rPr>
          <w:rFonts w:asciiTheme="minorHAnsi" w:hAnsiTheme="minorHAnsi" w:cs="Arial"/>
          <w:b/>
          <w:sz w:val="24"/>
          <w:szCs w:val="24"/>
          <w:lang w:eastAsia="en-GB"/>
        </w:rPr>
        <w:t>Refinancing and Maturity risk</w:t>
      </w:r>
    </w:p>
    <w:p w14:paraId="2CC2AB46" w14:textId="77777777" w:rsidR="00CF046C" w:rsidRPr="0059138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 xml:space="preserve">The Council maintains a significant debt and investment portfolio.  Whilst the cash flow procedures above are considered against the refinancing risk procedures, longer-term risk to the Council relates to managing the exposure to replacing financial instruments as they mature.  This risk relates to both the maturing of </w:t>
      </w:r>
      <w:proofErr w:type="gramStart"/>
      <w:r w:rsidRPr="00591385">
        <w:rPr>
          <w:rFonts w:asciiTheme="minorHAnsi" w:hAnsiTheme="minorHAnsi" w:cs="Arial"/>
          <w:sz w:val="22"/>
          <w:szCs w:val="22"/>
          <w:lang w:eastAsia="en-GB"/>
        </w:rPr>
        <w:t>longer term</w:t>
      </w:r>
      <w:proofErr w:type="gramEnd"/>
      <w:r w:rsidRPr="00591385">
        <w:rPr>
          <w:rFonts w:asciiTheme="minorHAnsi" w:hAnsiTheme="minorHAnsi" w:cs="Arial"/>
          <w:sz w:val="22"/>
          <w:szCs w:val="22"/>
          <w:lang w:eastAsia="en-GB"/>
        </w:rPr>
        <w:t xml:space="preserve"> financial liabilities and longer term financial assets.</w:t>
      </w:r>
    </w:p>
    <w:p w14:paraId="43316F13" w14:textId="77777777" w:rsidR="00CF046C" w:rsidRPr="0059138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5A7F1327" w14:textId="77777777" w:rsidR="00CF046C" w:rsidRPr="0059138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The approved treasury indicator limits for the maturity structure of debt and the limits placed on investments placed for greater than one year in duration are the key parameters used to address this risk.  The Council approved treasury and investment strategies address the main risks and the treasury team address the operational risks within the approved parameters.  This includes:</w:t>
      </w:r>
    </w:p>
    <w:p w14:paraId="580EA48B" w14:textId="77777777" w:rsidR="00CF046C" w:rsidRPr="00591385"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44CB5F7B" w14:textId="77777777" w:rsidR="00CF046C" w:rsidRPr="00591385" w:rsidRDefault="00CF046C" w:rsidP="00C76AD3">
      <w:pPr>
        <w:keepLines/>
        <w:widowControl w:val="0"/>
        <w:numPr>
          <w:ilvl w:val="0"/>
          <w:numId w:val="16"/>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monitoring the maturity profile of financial liabilities and amending the profile through either new borrowing or the rescheduling of the existing debt; and</w:t>
      </w:r>
    </w:p>
    <w:p w14:paraId="491ADC9B" w14:textId="77777777" w:rsidR="00CF046C" w:rsidRPr="00591385" w:rsidRDefault="00CF046C" w:rsidP="00C76AD3">
      <w:pPr>
        <w:keepLines/>
        <w:widowControl w:val="0"/>
        <w:numPr>
          <w:ilvl w:val="0"/>
          <w:numId w:val="16"/>
        </w:numPr>
        <w:tabs>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 xml:space="preserve">monitoring the maturity profile of investments to ensure sufficient liquidity is available for the </w:t>
      </w:r>
      <w:proofErr w:type="gramStart"/>
      <w:r w:rsidRPr="00591385">
        <w:rPr>
          <w:rFonts w:asciiTheme="minorHAnsi" w:hAnsiTheme="minorHAnsi" w:cs="Arial"/>
          <w:sz w:val="22"/>
          <w:szCs w:val="22"/>
          <w:lang w:eastAsia="en-GB"/>
        </w:rPr>
        <w:t>Council’s day</w:t>
      </w:r>
      <w:proofErr w:type="gramEnd"/>
      <w:r w:rsidRPr="00591385">
        <w:rPr>
          <w:rFonts w:asciiTheme="minorHAnsi" w:hAnsiTheme="minorHAnsi" w:cs="Arial"/>
          <w:sz w:val="22"/>
          <w:szCs w:val="22"/>
          <w:lang w:eastAsia="en-GB"/>
        </w:rPr>
        <w:t xml:space="preserve"> to day cash flow needs, and the spread of longer term investments provide stability of maturities and returns in relation to the longer term cash flow needs.</w:t>
      </w:r>
    </w:p>
    <w:p w14:paraId="268E07DE" w14:textId="77777777" w:rsidR="00CF046C" w:rsidRDefault="00CF046C" w:rsidP="00B42A47">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591385">
        <w:rPr>
          <w:rFonts w:asciiTheme="minorHAnsi" w:hAnsiTheme="minorHAnsi" w:cs="Arial"/>
          <w:sz w:val="22"/>
          <w:szCs w:val="22"/>
          <w:lang w:eastAsia="en-GB"/>
        </w:rPr>
        <w:t xml:space="preserve">The maturity analysis of financial liabilities is as follows, with the maximum and minimum limits for fixed interest rates maturing in each period </w:t>
      </w:r>
      <w:r w:rsidR="00A145AE" w:rsidRPr="00591385">
        <w:rPr>
          <w:rFonts w:asciiTheme="minorHAnsi" w:hAnsiTheme="minorHAnsi" w:cs="Arial"/>
          <w:sz w:val="22"/>
          <w:szCs w:val="22"/>
          <w:lang w:eastAsia="en-GB"/>
        </w:rPr>
        <w:t xml:space="preserve">as </w:t>
      </w:r>
      <w:r w:rsidRPr="00591385">
        <w:rPr>
          <w:rFonts w:asciiTheme="minorHAnsi" w:hAnsiTheme="minorHAnsi" w:cs="Arial"/>
          <w:sz w:val="22"/>
          <w:szCs w:val="22"/>
          <w:lang w:eastAsia="en-GB"/>
        </w:rPr>
        <w:t xml:space="preserve">approved </w:t>
      </w:r>
      <w:r w:rsidR="00A145AE" w:rsidRPr="00591385">
        <w:rPr>
          <w:rFonts w:asciiTheme="minorHAnsi" w:hAnsiTheme="minorHAnsi" w:cs="Arial"/>
          <w:sz w:val="22"/>
          <w:szCs w:val="22"/>
          <w:lang w:eastAsia="en-GB"/>
        </w:rPr>
        <w:t xml:space="preserve">by the </w:t>
      </w:r>
      <w:r w:rsidRPr="00591385">
        <w:rPr>
          <w:rFonts w:asciiTheme="minorHAnsi" w:hAnsiTheme="minorHAnsi" w:cs="Arial"/>
          <w:sz w:val="22"/>
          <w:szCs w:val="22"/>
          <w:lang w:eastAsia="en-GB"/>
        </w:rPr>
        <w:t>Council in the Treasury Management Strategy:</w:t>
      </w:r>
    </w:p>
    <w:p w14:paraId="31D09628" w14:textId="77777777" w:rsidR="009D03C7" w:rsidRDefault="009D03C7" w:rsidP="00B42A47">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tbl>
      <w:tblPr>
        <w:tblW w:w="8414" w:type="dxa"/>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Caption w:val="Maturity Analysis of FInancial Liabilities"/>
        <w:tblDescription w:val="Maturity Analysis of FInancial Liabilities"/>
      </w:tblPr>
      <w:tblGrid>
        <w:gridCol w:w="3548"/>
        <w:gridCol w:w="1115"/>
        <w:gridCol w:w="1115"/>
        <w:gridCol w:w="1318"/>
        <w:gridCol w:w="1318"/>
      </w:tblGrid>
      <w:tr w:rsidR="003554A9" w:rsidRPr="00CF046C" w14:paraId="335498E9" w14:textId="77777777" w:rsidTr="00CD3384">
        <w:trPr>
          <w:cantSplit/>
          <w:tblHeader/>
        </w:trPr>
        <w:tc>
          <w:tcPr>
            <w:tcW w:w="3548" w:type="dxa"/>
            <w:shd w:val="clear" w:color="auto" w:fill="FABF8F" w:themeFill="accent6" w:themeFillTint="99"/>
          </w:tcPr>
          <w:p w14:paraId="2A1D5373"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p>
        </w:tc>
        <w:tc>
          <w:tcPr>
            <w:tcW w:w="1115" w:type="dxa"/>
            <w:shd w:val="clear" w:color="auto" w:fill="FABF8F" w:themeFill="accent6" w:themeFillTint="99"/>
          </w:tcPr>
          <w:p w14:paraId="4217313A"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 xml:space="preserve">Approved minimum </w:t>
            </w:r>
            <w:proofErr w:type="gramStart"/>
            <w:r w:rsidRPr="00CF046C">
              <w:rPr>
                <w:rFonts w:asciiTheme="minorHAnsi" w:hAnsiTheme="minorHAnsi" w:cs="Arial"/>
                <w:lang w:eastAsia="en-GB"/>
              </w:rPr>
              <w:t>limits</w:t>
            </w:r>
            <w:proofErr w:type="gramEnd"/>
          </w:p>
          <w:p w14:paraId="0EC85EBB"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p>
        </w:tc>
        <w:tc>
          <w:tcPr>
            <w:tcW w:w="1115" w:type="dxa"/>
            <w:shd w:val="clear" w:color="auto" w:fill="FABF8F" w:themeFill="accent6" w:themeFillTint="99"/>
          </w:tcPr>
          <w:p w14:paraId="37E6EB8C"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 xml:space="preserve">Approved maximum </w:t>
            </w:r>
            <w:proofErr w:type="gramStart"/>
            <w:r w:rsidRPr="00CF046C">
              <w:rPr>
                <w:rFonts w:asciiTheme="minorHAnsi" w:hAnsiTheme="minorHAnsi" w:cs="Arial"/>
                <w:lang w:eastAsia="en-GB"/>
              </w:rPr>
              <w:t>limits</w:t>
            </w:r>
            <w:proofErr w:type="gramEnd"/>
          </w:p>
          <w:p w14:paraId="30E73BDE"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p>
        </w:tc>
        <w:tc>
          <w:tcPr>
            <w:tcW w:w="1318" w:type="dxa"/>
            <w:shd w:val="clear" w:color="auto" w:fill="FABF8F" w:themeFill="accent6" w:themeFillTint="99"/>
          </w:tcPr>
          <w:p w14:paraId="31F07D9B" w14:textId="643F4DEE"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Actual 31 March 20</w:t>
            </w:r>
            <w:r w:rsidR="002731E3">
              <w:rPr>
                <w:rFonts w:asciiTheme="minorHAnsi" w:hAnsiTheme="minorHAnsi" w:cs="Arial"/>
                <w:lang w:eastAsia="en-GB"/>
              </w:rPr>
              <w:t>2</w:t>
            </w:r>
            <w:r w:rsidR="00BF79D6">
              <w:rPr>
                <w:rFonts w:asciiTheme="minorHAnsi" w:hAnsiTheme="minorHAnsi" w:cs="Arial"/>
                <w:lang w:eastAsia="en-GB"/>
              </w:rPr>
              <w:t>2</w:t>
            </w:r>
          </w:p>
          <w:p w14:paraId="720F617F"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p>
          <w:p w14:paraId="531C3C32"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£’000</w:t>
            </w:r>
          </w:p>
        </w:tc>
        <w:tc>
          <w:tcPr>
            <w:tcW w:w="1318" w:type="dxa"/>
            <w:shd w:val="clear" w:color="auto" w:fill="FABF8F" w:themeFill="accent6" w:themeFillTint="99"/>
          </w:tcPr>
          <w:p w14:paraId="7D3E3C20" w14:textId="185AA7EB"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Actual 31 March 202</w:t>
            </w:r>
            <w:r w:rsidR="00BF79D6">
              <w:rPr>
                <w:rFonts w:asciiTheme="minorHAnsi" w:hAnsiTheme="minorHAnsi" w:cs="Arial"/>
                <w:lang w:eastAsia="en-GB"/>
              </w:rPr>
              <w:t>3</w:t>
            </w:r>
          </w:p>
          <w:p w14:paraId="5795A264" w14:textId="77777777" w:rsidR="003554A9"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p>
          <w:p w14:paraId="2283BF74"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w:t>
            </w:r>
            <w:r>
              <w:rPr>
                <w:rFonts w:asciiTheme="minorHAnsi" w:hAnsiTheme="minorHAnsi" w:cs="Arial"/>
                <w:lang w:eastAsia="en-GB"/>
              </w:rPr>
              <w:t>’</w:t>
            </w:r>
            <w:r w:rsidRPr="00CF046C">
              <w:rPr>
                <w:rFonts w:asciiTheme="minorHAnsi" w:hAnsiTheme="minorHAnsi" w:cs="Arial"/>
                <w:lang w:eastAsia="en-GB"/>
              </w:rPr>
              <w:t>000</w:t>
            </w:r>
          </w:p>
        </w:tc>
      </w:tr>
      <w:tr w:rsidR="003554A9" w:rsidRPr="00CF046C" w14:paraId="1B18B240" w14:textId="77777777" w:rsidTr="001C78F9">
        <w:tc>
          <w:tcPr>
            <w:tcW w:w="3548" w:type="dxa"/>
            <w:shd w:val="clear" w:color="auto" w:fill="FDE9D9" w:themeFill="accent6" w:themeFillTint="33"/>
          </w:tcPr>
          <w:p w14:paraId="4F7AFF55"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Less than 1 year</w:t>
            </w:r>
          </w:p>
        </w:tc>
        <w:tc>
          <w:tcPr>
            <w:tcW w:w="1115" w:type="dxa"/>
            <w:shd w:val="clear" w:color="auto" w:fill="FDE9D9" w:themeFill="accent6" w:themeFillTint="33"/>
          </w:tcPr>
          <w:p w14:paraId="3CA22DCE"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115" w:type="dxa"/>
            <w:shd w:val="clear" w:color="auto" w:fill="FDE9D9" w:themeFill="accent6" w:themeFillTint="33"/>
          </w:tcPr>
          <w:p w14:paraId="34C40E14"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100</w:t>
            </w:r>
          </w:p>
        </w:tc>
        <w:tc>
          <w:tcPr>
            <w:tcW w:w="1318" w:type="dxa"/>
            <w:shd w:val="clear" w:color="auto" w:fill="FDE9D9" w:themeFill="accent6" w:themeFillTint="33"/>
          </w:tcPr>
          <w:p w14:paraId="605CF1BA"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318" w:type="dxa"/>
            <w:shd w:val="clear" w:color="auto" w:fill="FDE9D9" w:themeFill="accent6" w:themeFillTint="33"/>
          </w:tcPr>
          <w:p w14:paraId="68B24BF4" w14:textId="17C725EF" w:rsidR="003554A9" w:rsidRPr="00CF046C" w:rsidRDefault="00BC4D51"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0</w:t>
            </w:r>
          </w:p>
        </w:tc>
      </w:tr>
      <w:tr w:rsidR="003554A9" w:rsidRPr="00CF046C" w14:paraId="2C525755" w14:textId="77777777" w:rsidTr="001C78F9">
        <w:tc>
          <w:tcPr>
            <w:tcW w:w="3548" w:type="dxa"/>
            <w:shd w:val="clear" w:color="auto" w:fill="FDE9D9" w:themeFill="accent6" w:themeFillTint="33"/>
          </w:tcPr>
          <w:p w14:paraId="1D7AF63A"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Between 1 and 2 years</w:t>
            </w:r>
          </w:p>
        </w:tc>
        <w:tc>
          <w:tcPr>
            <w:tcW w:w="1115" w:type="dxa"/>
            <w:shd w:val="clear" w:color="auto" w:fill="FDE9D9" w:themeFill="accent6" w:themeFillTint="33"/>
          </w:tcPr>
          <w:p w14:paraId="1144D2A9"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115" w:type="dxa"/>
            <w:shd w:val="clear" w:color="auto" w:fill="FDE9D9" w:themeFill="accent6" w:themeFillTint="33"/>
          </w:tcPr>
          <w:p w14:paraId="18524ABB"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100</w:t>
            </w:r>
          </w:p>
        </w:tc>
        <w:tc>
          <w:tcPr>
            <w:tcW w:w="1318" w:type="dxa"/>
            <w:shd w:val="clear" w:color="auto" w:fill="FDE9D9" w:themeFill="accent6" w:themeFillTint="33"/>
          </w:tcPr>
          <w:p w14:paraId="2809974A"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318" w:type="dxa"/>
            <w:shd w:val="clear" w:color="auto" w:fill="FDE9D9" w:themeFill="accent6" w:themeFillTint="33"/>
          </w:tcPr>
          <w:p w14:paraId="12FDC3EF" w14:textId="33E5B46A" w:rsidR="003554A9" w:rsidRPr="00CF046C" w:rsidRDefault="0034545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98</w:t>
            </w:r>
          </w:p>
        </w:tc>
      </w:tr>
      <w:tr w:rsidR="003554A9" w:rsidRPr="00CF046C" w14:paraId="39C1BA94" w14:textId="77777777" w:rsidTr="001C78F9">
        <w:tc>
          <w:tcPr>
            <w:tcW w:w="3548" w:type="dxa"/>
            <w:shd w:val="clear" w:color="auto" w:fill="FDE9D9" w:themeFill="accent6" w:themeFillTint="33"/>
          </w:tcPr>
          <w:p w14:paraId="6DED117F"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Between 2 and 5 years</w:t>
            </w:r>
          </w:p>
        </w:tc>
        <w:tc>
          <w:tcPr>
            <w:tcW w:w="1115" w:type="dxa"/>
            <w:shd w:val="clear" w:color="auto" w:fill="FDE9D9" w:themeFill="accent6" w:themeFillTint="33"/>
          </w:tcPr>
          <w:p w14:paraId="3AC52920"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115" w:type="dxa"/>
            <w:shd w:val="clear" w:color="auto" w:fill="FDE9D9" w:themeFill="accent6" w:themeFillTint="33"/>
          </w:tcPr>
          <w:p w14:paraId="38C7915C"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100</w:t>
            </w:r>
          </w:p>
        </w:tc>
        <w:tc>
          <w:tcPr>
            <w:tcW w:w="1318" w:type="dxa"/>
            <w:shd w:val="clear" w:color="auto" w:fill="FDE9D9" w:themeFill="accent6" w:themeFillTint="33"/>
          </w:tcPr>
          <w:p w14:paraId="5B203D01" w14:textId="424D0384" w:rsidR="003554A9" w:rsidRPr="00CF046C" w:rsidRDefault="00BF79D6"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4</w:t>
            </w:r>
            <w:r w:rsidR="004F54C5">
              <w:rPr>
                <w:rFonts w:asciiTheme="minorHAnsi" w:hAnsiTheme="minorHAnsi" w:cs="Arial"/>
                <w:lang w:eastAsia="en-GB"/>
              </w:rPr>
              <w:t>,0</w:t>
            </w:r>
            <w:r w:rsidR="002731E3">
              <w:rPr>
                <w:rFonts w:asciiTheme="minorHAnsi" w:hAnsiTheme="minorHAnsi" w:cs="Arial"/>
                <w:lang w:eastAsia="en-GB"/>
              </w:rPr>
              <w:t>98</w:t>
            </w:r>
          </w:p>
        </w:tc>
        <w:tc>
          <w:tcPr>
            <w:tcW w:w="1318" w:type="dxa"/>
            <w:shd w:val="clear" w:color="auto" w:fill="FDE9D9" w:themeFill="accent6" w:themeFillTint="33"/>
          </w:tcPr>
          <w:p w14:paraId="7ED12D3F" w14:textId="7DD8CAE9" w:rsidR="003554A9" w:rsidRPr="00CF046C" w:rsidRDefault="0034545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4,000</w:t>
            </w:r>
          </w:p>
        </w:tc>
      </w:tr>
      <w:tr w:rsidR="003554A9" w:rsidRPr="00CF046C" w14:paraId="101E1486" w14:textId="77777777" w:rsidTr="001C78F9">
        <w:tc>
          <w:tcPr>
            <w:tcW w:w="3548" w:type="dxa"/>
            <w:shd w:val="clear" w:color="auto" w:fill="FDE9D9" w:themeFill="accent6" w:themeFillTint="33"/>
          </w:tcPr>
          <w:p w14:paraId="581FA0CC"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Between 5 and 10 years</w:t>
            </w:r>
          </w:p>
        </w:tc>
        <w:tc>
          <w:tcPr>
            <w:tcW w:w="1115" w:type="dxa"/>
            <w:shd w:val="clear" w:color="auto" w:fill="FDE9D9" w:themeFill="accent6" w:themeFillTint="33"/>
          </w:tcPr>
          <w:p w14:paraId="50689491"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115" w:type="dxa"/>
            <w:shd w:val="clear" w:color="auto" w:fill="FDE9D9" w:themeFill="accent6" w:themeFillTint="33"/>
          </w:tcPr>
          <w:p w14:paraId="57184C13"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100</w:t>
            </w:r>
          </w:p>
        </w:tc>
        <w:tc>
          <w:tcPr>
            <w:tcW w:w="1318" w:type="dxa"/>
            <w:shd w:val="clear" w:color="auto" w:fill="FDE9D9" w:themeFill="accent6" w:themeFillTint="33"/>
          </w:tcPr>
          <w:p w14:paraId="5A2B6717" w14:textId="737AA259" w:rsidR="003554A9" w:rsidRPr="00CF046C" w:rsidRDefault="004F54C5"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6</w:t>
            </w:r>
            <w:r w:rsidR="002731E3">
              <w:rPr>
                <w:rFonts w:asciiTheme="minorHAnsi" w:hAnsiTheme="minorHAnsi" w:cs="Arial"/>
                <w:lang w:eastAsia="en-GB"/>
              </w:rPr>
              <w:t>00</w:t>
            </w:r>
          </w:p>
        </w:tc>
        <w:tc>
          <w:tcPr>
            <w:tcW w:w="1318" w:type="dxa"/>
            <w:shd w:val="clear" w:color="auto" w:fill="FDE9D9" w:themeFill="accent6" w:themeFillTint="33"/>
          </w:tcPr>
          <w:p w14:paraId="4E1ED6AA" w14:textId="1C0CC804" w:rsidR="003554A9" w:rsidRPr="00CF046C" w:rsidRDefault="0034545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600</w:t>
            </w:r>
          </w:p>
        </w:tc>
      </w:tr>
      <w:tr w:rsidR="003554A9" w:rsidRPr="00CF046C" w14:paraId="7DB55635" w14:textId="77777777" w:rsidTr="001C78F9">
        <w:tc>
          <w:tcPr>
            <w:tcW w:w="3548" w:type="dxa"/>
            <w:shd w:val="clear" w:color="auto" w:fill="FDE9D9" w:themeFill="accent6" w:themeFillTint="33"/>
          </w:tcPr>
          <w:p w14:paraId="6D060735" w14:textId="77777777" w:rsidR="003554A9" w:rsidRPr="00CF046C" w:rsidRDefault="003554A9" w:rsidP="001C78F9">
            <w:pPr>
              <w:keepLines/>
              <w:widowControl w:val="0"/>
              <w:suppressAutoHyphens/>
              <w:autoSpaceDE w:val="0"/>
              <w:autoSpaceDN w:val="0"/>
              <w:adjustRightInd w:val="0"/>
              <w:jc w:val="both"/>
              <w:textAlignment w:val="baseline"/>
              <w:rPr>
                <w:rFonts w:asciiTheme="minorHAnsi" w:hAnsiTheme="minorHAnsi" w:cs="Arial"/>
                <w:lang w:eastAsia="en-GB"/>
              </w:rPr>
            </w:pPr>
            <w:r w:rsidRPr="00CF046C">
              <w:rPr>
                <w:rFonts w:asciiTheme="minorHAnsi" w:hAnsiTheme="minorHAnsi" w:cs="Arial"/>
                <w:lang w:eastAsia="en-GB"/>
              </w:rPr>
              <w:t>More than 10 years</w:t>
            </w:r>
          </w:p>
        </w:tc>
        <w:tc>
          <w:tcPr>
            <w:tcW w:w="1115" w:type="dxa"/>
            <w:shd w:val="clear" w:color="auto" w:fill="FDE9D9" w:themeFill="accent6" w:themeFillTint="33"/>
          </w:tcPr>
          <w:p w14:paraId="1B4F74BE"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0</w:t>
            </w:r>
          </w:p>
        </w:tc>
        <w:tc>
          <w:tcPr>
            <w:tcW w:w="1115" w:type="dxa"/>
            <w:shd w:val="clear" w:color="auto" w:fill="FDE9D9" w:themeFill="accent6" w:themeFillTint="33"/>
          </w:tcPr>
          <w:p w14:paraId="523E537F" w14:textId="77777777"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100</w:t>
            </w:r>
          </w:p>
        </w:tc>
        <w:tc>
          <w:tcPr>
            <w:tcW w:w="1318" w:type="dxa"/>
            <w:shd w:val="clear" w:color="auto" w:fill="FDE9D9" w:themeFill="accent6" w:themeFillTint="33"/>
          </w:tcPr>
          <w:p w14:paraId="3C160B00" w14:textId="5383B950" w:rsidR="003554A9" w:rsidRPr="00CF046C" w:rsidRDefault="003554A9" w:rsidP="001C78F9">
            <w:pPr>
              <w:keepLines/>
              <w:widowControl w:val="0"/>
              <w:suppressAutoHyphens/>
              <w:autoSpaceDE w:val="0"/>
              <w:autoSpaceDN w:val="0"/>
              <w:adjustRightInd w:val="0"/>
              <w:jc w:val="right"/>
              <w:textAlignment w:val="baseline"/>
              <w:rPr>
                <w:rFonts w:asciiTheme="minorHAnsi" w:hAnsiTheme="minorHAnsi" w:cs="Arial"/>
                <w:lang w:eastAsia="en-GB"/>
              </w:rPr>
            </w:pPr>
            <w:r w:rsidRPr="00CF046C">
              <w:rPr>
                <w:rFonts w:asciiTheme="minorHAnsi" w:hAnsiTheme="minorHAnsi" w:cs="Arial"/>
                <w:lang w:eastAsia="en-GB"/>
              </w:rPr>
              <w:t>2</w:t>
            </w:r>
            <w:r w:rsidR="004F54C5">
              <w:rPr>
                <w:rFonts w:asciiTheme="minorHAnsi" w:hAnsiTheme="minorHAnsi" w:cs="Arial"/>
                <w:lang w:eastAsia="en-GB"/>
              </w:rPr>
              <w:t>6</w:t>
            </w:r>
            <w:r w:rsidR="002731E3">
              <w:rPr>
                <w:rFonts w:asciiTheme="minorHAnsi" w:hAnsiTheme="minorHAnsi" w:cs="Arial"/>
                <w:lang w:eastAsia="en-GB"/>
              </w:rPr>
              <w:t>,</w:t>
            </w:r>
            <w:r w:rsidR="004F54C5">
              <w:rPr>
                <w:rFonts w:asciiTheme="minorHAnsi" w:hAnsiTheme="minorHAnsi" w:cs="Arial"/>
                <w:lang w:eastAsia="en-GB"/>
              </w:rPr>
              <w:t>7</w:t>
            </w:r>
            <w:r w:rsidR="002731E3">
              <w:rPr>
                <w:rFonts w:asciiTheme="minorHAnsi" w:hAnsiTheme="minorHAnsi" w:cs="Arial"/>
                <w:lang w:eastAsia="en-GB"/>
              </w:rPr>
              <w:t>15</w:t>
            </w:r>
          </w:p>
        </w:tc>
        <w:tc>
          <w:tcPr>
            <w:tcW w:w="1318" w:type="dxa"/>
            <w:shd w:val="clear" w:color="auto" w:fill="FDE9D9" w:themeFill="accent6" w:themeFillTint="33"/>
          </w:tcPr>
          <w:p w14:paraId="34B0CD00" w14:textId="33AAAD62" w:rsidR="003554A9" w:rsidRPr="00CF046C" w:rsidRDefault="00345459" w:rsidP="001C78F9">
            <w:pPr>
              <w:keepLines/>
              <w:widowControl w:val="0"/>
              <w:suppressAutoHyphens/>
              <w:autoSpaceDE w:val="0"/>
              <w:autoSpaceDN w:val="0"/>
              <w:adjustRightInd w:val="0"/>
              <w:jc w:val="right"/>
              <w:textAlignment w:val="baseline"/>
              <w:rPr>
                <w:rFonts w:asciiTheme="minorHAnsi" w:hAnsiTheme="minorHAnsi" w:cs="Arial"/>
                <w:lang w:eastAsia="en-GB"/>
              </w:rPr>
            </w:pPr>
            <w:r>
              <w:rPr>
                <w:rFonts w:asciiTheme="minorHAnsi" w:hAnsiTheme="minorHAnsi" w:cs="Arial"/>
                <w:lang w:eastAsia="en-GB"/>
              </w:rPr>
              <w:t>26,715</w:t>
            </w:r>
          </w:p>
        </w:tc>
      </w:tr>
      <w:tr w:rsidR="003554A9" w:rsidRPr="00CF046C" w14:paraId="4CD06D90" w14:textId="77777777" w:rsidTr="001C78F9">
        <w:tc>
          <w:tcPr>
            <w:tcW w:w="3548" w:type="dxa"/>
            <w:shd w:val="clear" w:color="auto" w:fill="FBD4B4" w:themeFill="accent6" w:themeFillTint="66"/>
          </w:tcPr>
          <w:p w14:paraId="30B92DF5" w14:textId="77777777" w:rsidR="003554A9" w:rsidRPr="009A7BE8" w:rsidRDefault="003554A9" w:rsidP="001C78F9">
            <w:pPr>
              <w:keepLines/>
              <w:widowControl w:val="0"/>
              <w:suppressAutoHyphens/>
              <w:autoSpaceDE w:val="0"/>
              <w:autoSpaceDN w:val="0"/>
              <w:adjustRightInd w:val="0"/>
              <w:jc w:val="both"/>
              <w:textAlignment w:val="baseline"/>
              <w:rPr>
                <w:rFonts w:asciiTheme="minorHAnsi" w:hAnsiTheme="minorHAnsi" w:cs="Arial"/>
                <w:b/>
                <w:lang w:eastAsia="en-GB"/>
              </w:rPr>
            </w:pPr>
            <w:r w:rsidRPr="009A7BE8">
              <w:rPr>
                <w:rFonts w:asciiTheme="minorHAnsi" w:hAnsiTheme="minorHAnsi" w:cs="Arial"/>
                <w:b/>
                <w:lang w:eastAsia="en-GB"/>
              </w:rPr>
              <w:t>Total</w:t>
            </w:r>
          </w:p>
        </w:tc>
        <w:tc>
          <w:tcPr>
            <w:tcW w:w="1115" w:type="dxa"/>
            <w:shd w:val="clear" w:color="auto" w:fill="FBD4B4" w:themeFill="accent6" w:themeFillTint="66"/>
          </w:tcPr>
          <w:p w14:paraId="4B24EFD6" w14:textId="77777777" w:rsidR="003554A9" w:rsidRPr="009A7BE8" w:rsidRDefault="003554A9" w:rsidP="001C78F9">
            <w:pPr>
              <w:keepLines/>
              <w:widowControl w:val="0"/>
              <w:suppressAutoHyphens/>
              <w:autoSpaceDE w:val="0"/>
              <w:autoSpaceDN w:val="0"/>
              <w:adjustRightInd w:val="0"/>
              <w:jc w:val="right"/>
              <w:textAlignment w:val="baseline"/>
              <w:rPr>
                <w:rFonts w:asciiTheme="minorHAnsi" w:hAnsiTheme="minorHAnsi" w:cs="Arial"/>
                <w:b/>
                <w:lang w:eastAsia="en-GB"/>
              </w:rPr>
            </w:pPr>
            <w:r w:rsidRPr="009A7BE8">
              <w:rPr>
                <w:rFonts w:asciiTheme="minorHAnsi" w:hAnsiTheme="minorHAnsi" w:cs="Arial"/>
                <w:b/>
                <w:lang w:eastAsia="en-GB"/>
              </w:rPr>
              <w:t>n/a</w:t>
            </w:r>
          </w:p>
        </w:tc>
        <w:tc>
          <w:tcPr>
            <w:tcW w:w="1115" w:type="dxa"/>
            <w:shd w:val="clear" w:color="auto" w:fill="FBD4B4" w:themeFill="accent6" w:themeFillTint="66"/>
          </w:tcPr>
          <w:p w14:paraId="6311CACB" w14:textId="77777777" w:rsidR="003554A9" w:rsidRPr="009A7BE8" w:rsidRDefault="003554A9" w:rsidP="001C78F9">
            <w:pPr>
              <w:keepLines/>
              <w:widowControl w:val="0"/>
              <w:suppressAutoHyphens/>
              <w:autoSpaceDE w:val="0"/>
              <w:autoSpaceDN w:val="0"/>
              <w:adjustRightInd w:val="0"/>
              <w:jc w:val="right"/>
              <w:textAlignment w:val="baseline"/>
              <w:rPr>
                <w:rFonts w:asciiTheme="minorHAnsi" w:hAnsiTheme="minorHAnsi" w:cs="Arial"/>
                <w:b/>
                <w:lang w:eastAsia="en-GB"/>
              </w:rPr>
            </w:pPr>
            <w:r w:rsidRPr="009A7BE8">
              <w:rPr>
                <w:rFonts w:asciiTheme="minorHAnsi" w:hAnsiTheme="minorHAnsi" w:cs="Arial"/>
                <w:b/>
                <w:lang w:eastAsia="en-GB"/>
              </w:rPr>
              <w:t>100</w:t>
            </w:r>
          </w:p>
        </w:tc>
        <w:tc>
          <w:tcPr>
            <w:tcW w:w="1318" w:type="dxa"/>
            <w:shd w:val="clear" w:color="auto" w:fill="FBD4B4" w:themeFill="accent6" w:themeFillTint="66"/>
          </w:tcPr>
          <w:p w14:paraId="3C9DB6B9" w14:textId="77777777" w:rsidR="003554A9" w:rsidRPr="009A7BE8" w:rsidRDefault="003554A9" w:rsidP="001C78F9">
            <w:pPr>
              <w:keepLines/>
              <w:widowControl w:val="0"/>
              <w:suppressAutoHyphens/>
              <w:autoSpaceDE w:val="0"/>
              <w:autoSpaceDN w:val="0"/>
              <w:adjustRightInd w:val="0"/>
              <w:jc w:val="right"/>
              <w:textAlignment w:val="baseline"/>
              <w:rPr>
                <w:rFonts w:asciiTheme="minorHAnsi" w:hAnsiTheme="minorHAnsi" w:cs="Arial"/>
                <w:b/>
                <w:lang w:eastAsia="en-GB"/>
              </w:rPr>
            </w:pPr>
            <w:r w:rsidRPr="009A7BE8">
              <w:rPr>
                <w:rFonts w:asciiTheme="minorHAnsi" w:hAnsiTheme="minorHAnsi" w:cs="Arial"/>
                <w:b/>
                <w:lang w:eastAsia="en-GB"/>
              </w:rPr>
              <w:t>31,413</w:t>
            </w:r>
          </w:p>
        </w:tc>
        <w:tc>
          <w:tcPr>
            <w:tcW w:w="1318" w:type="dxa"/>
            <w:shd w:val="clear" w:color="auto" w:fill="FBD4B4" w:themeFill="accent6" w:themeFillTint="66"/>
          </w:tcPr>
          <w:p w14:paraId="09779D0B" w14:textId="35B3955E" w:rsidR="00BC4D51" w:rsidRPr="009A7BE8" w:rsidRDefault="00BC4D51" w:rsidP="00BC4D51">
            <w:pPr>
              <w:keepLines/>
              <w:widowControl w:val="0"/>
              <w:suppressAutoHyphens/>
              <w:autoSpaceDE w:val="0"/>
              <w:autoSpaceDN w:val="0"/>
              <w:adjustRightInd w:val="0"/>
              <w:jc w:val="right"/>
              <w:textAlignment w:val="baseline"/>
              <w:rPr>
                <w:rFonts w:asciiTheme="minorHAnsi" w:hAnsiTheme="minorHAnsi" w:cs="Arial"/>
                <w:b/>
                <w:lang w:eastAsia="en-GB"/>
              </w:rPr>
            </w:pPr>
            <w:r>
              <w:rPr>
                <w:rFonts w:asciiTheme="minorHAnsi" w:hAnsiTheme="minorHAnsi" w:cs="Arial"/>
                <w:b/>
                <w:lang w:eastAsia="en-GB"/>
              </w:rPr>
              <w:t>31,413</w:t>
            </w:r>
          </w:p>
        </w:tc>
      </w:tr>
    </w:tbl>
    <w:p w14:paraId="7307FA7C" w14:textId="77777777" w:rsidR="00CF046C" w:rsidRPr="00814F64" w:rsidRDefault="00CF046C" w:rsidP="00CF046C">
      <w:pPr>
        <w:keepLines/>
        <w:widowControl w:val="0"/>
        <w:suppressAutoHyphens/>
        <w:autoSpaceDE w:val="0"/>
        <w:autoSpaceDN w:val="0"/>
        <w:adjustRightInd w:val="0"/>
        <w:spacing w:before="240" w:after="120"/>
        <w:jc w:val="both"/>
        <w:textAlignment w:val="baseline"/>
        <w:rPr>
          <w:rFonts w:asciiTheme="minorHAnsi" w:hAnsiTheme="minorHAnsi" w:cs="Arial"/>
          <w:b/>
          <w:sz w:val="24"/>
          <w:szCs w:val="24"/>
          <w:lang w:eastAsia="en-GB"/>
        </w:rPr>
      </w:pPr>
      <w:r w:rsidRPr="00814F64">
        <w:rPr>
          <w:rFonts w:asciiTheme="minorHAnsi" w:hAnsiTheme="minorHAnsi" w:cs="Arial"/>
          <w:b/>
          <w:sz w:val="24"/>
          <w:szCs w:val="24"/>
          <w:lang w:eastAsia="en-GB"/>
        </w:rPr>
        <w:t>Market risk</w:t>
      </w:r>
    </w:p>
    <w:p w14:paraId="14216AB3" w14:textId="77777777" w:rsidR="00CF046C" w:rsidRPr="00814F64"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814F64">
        <w:rPr>
          <w:rFonts w:asciiTheme="minorHAnsi" w:hAnsiTheme="minorHAnsi" w:cs="Arial"/>
          <w:b/>
          <w:sz w:val="22"/>
          <w:szCs w:val="22"/>
          <w:lang w:eastAsia="en-GB"/>
        </w:rPr>
        <w:t>Interest rate risk</w:t>
      </w:r>
      <w:r w:rsidRPr="00814F64">
        <w:rPr>
          <w:rFonts w:asciiTheme="minorHAnsi" w:hAnsiTheme="minorHAnsi" w:cs="Arial"/>
          <w:sz w:val="22"/>
          <w:szCs w:val="22"/>
          <w:lang w:eastAsia="en-GB"/>
        </w:rPr>
        <w:t xml:space="preserve"> - The Council is exposed to interest rate movements on its borrowings and investments.  Movements in interest rates have a complex impact on the Council, depending on how variable and fixed interest rates move across differing financial instrument periods.  For instance, a rise in variable and fixed interest rates would have the following effects:</w:t>
      </w:r>
    </w:p>
    <w:p w14:paraId="61070E0C" w14:textId="77777777" w:rsidR="00CF046C" w:rsidRPr="00814F64"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66B2C4F7" w14:textId="77777777" w:rsidR="00CF046C" w:rsidRPr="00814F64" w:rsidRDefault="00CF046C" w:rsidP="00C76AD3">
      <w:pPr>
        <w:keepLines/>
        <w:widowControl w:val="0"/>
        <w:numPr>
          <w:ilvl w:val="0"/>
          <w:numId w:val="17"/>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 xml:space="preserve">Borrowings at variable rates – the interest expense charged to the Comprehensive Income and Expenditure Statement will </w:t>
      </w:r>
      <w:proofErr w:type="gramStart"/>
      <w:r w:rsidRPr="00814F64">
        <w:rPr>
          <w:rFonts w:asciiTheme="minorHAnsi" w:hAnsiTheme="minorHAnsi" w:cs="Arial"/>
          <w:sz w:val="22"/>
          <w:szCs w:val="22"/>
          <w:lang w:eastAsia="en-GB"/>
        </w:rPr>
        <w:t>rise;</w:t>
      </w:r>
      <w:proofErr w:type="gramEnd"/>
    </w:p>
    <w:p w14:paraId="733B1311" w14:textId="77777777" w:rsidR="00CF046C" w:rsidRPr="00814F64" w:rsidRDefault="00CF046C" w:rsidP="00C76AD3">
      <w:pPr>
        <w:keepLines/>
        <w:widowControl w:val="0"/>
        <w:numPr>
          <w:ilvl w:val="0"/>
          <w:numId w:val="17"/>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Borrowings at fixed rates – the fair value of the borrowing will fall (no impact on revenue balances</w:t>
      </w:r>
      <w:proofErr w:type="gramStart"/>
      <w:r w:rsidRPr="00814F64">
        <w:rPr>
          <w:rFonts w:asciiTheme="minorHAnsi" w:hAnsiTheme="minorHAnsi" w:cs="Arial"/>
          <w:sz w:val="22"/>
          <w:szCs w:val="22"/>
          <w:lang w:eastAsia="en-GB"/>
        </w:rPr>
        <w:t>);</w:t>
      </w:r>
      <w:proofErr w:type="gramEnd"/>
    </w:p>
    <w:p w14:paraId="3C575D20" w14:textId="77777777" w:rsidR="00CF046C" w:rsidRPr="00814F64" w:rsidRDefault="00CF046C" w:rsidP="00C76AD3">
      <w:pPr>
        <w:keepLines/>
        <w:widowControl w:val="0"/>
        <w:numPr>
          <w:ilvl w:val="0"/>
          <w:numId w:val="17"/>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Investments at variable rates – the interest income credited to the Comprehensive Income and Expenditure Statement will rise; and</w:t>
      </w:r>
    </w:p>
    <w:p w14:paraId="7E9C6877" w14:textId="77777777" w:rsidR="00CF046C" w:rsidRPr="00814F64" w:rsidRDefault="00CF046C" w:rsidP="00C76AD3">
      <w:pPr>
        <w:keepLines/>
        <w:widowControl w:val="0"/>
        <w:numPr>
          <w:ilvl w:val="0"/>
          <w:numId w:val="17"/>
        </w:numPr>
        <w:tabs>
          <w:tab w:val="clear" w:pos="720"/>
          <w:tab w:val="num" w:pos="360"/>
        </w:tabs>
        <w:suppressAutoHyphens/>
        <w:autoSpaceDE w:val="0"/>
        <w:autoSpaceDN w:val="0"/>
        <w:adjustRightInd w:val="0"/>
        <w:spacing w:after="120"/>
        <w:ind w:left="36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Investments at fixed rates – the fair value of the assets will fall (no impact on revenue balances).</w:t>
      </w:r>
    </w:p>
    <w:p w14:paraId="5160A73F" w14:textId="32A0FDF9" w:rsidR="00CF046C"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Borrowings are not carried at fair value on the balance sheet, so nominal gains and losses on fixed rate borrowings would not impact on the Surplus or Deficit on the Provision of Services or Other Comprehensive Income and Expenditure.  However, changes in interest payable and receivable on variable rate borrowings and investments will be posted to the Surplus or Deficit on the Provision of Services and affect the General Fund Balance.  Movements in the fair value of fixed rate investments that have a quoted market price will be reflected in the Other Comprehensive Income and Expenditure Statement.</w:t>
      </w:r>
    </w:p>
    <w:p w14:paraId="7217AF81" w14:textId="77777777" w:rsidR="00FD7082" w:rsidRDefault="00FD7082"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1DCA0B72" w14:textId="77777777" w:rsidR="00CF046C" w:rsidRPr="00814F64"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sidRPr="00814F64">
        <w:rPr>
          <w:rFonts w:asciiTheme="minorHAnsi" w:hAnsiTheme="minorHAnsi" w:cs="Arial"/>
          <w:sz w:val="22"/>
          <w:szCs w:val="22"/>
          <w:lang w:eastAsia="en-GB"/>
        </w:rPr>
        <w:t>The Council has a number of strategies for managing interest rate risk.  The Annual Treasury Management Strategy draws together</w:t>
      </w:r>
      <w:r w:rsidR="00ED61B7" w:rsidRPr="00814F64">
        <w:rPr>
          <w:rFonts w:asciiTheme="minorHAnsi" w:hAnsiTheme="minorHAnsi" w:cs="Arial"/>
          <w:sz w:val="22"/>
          <w:szCs w:val="22"/>
          <w:lang w:eastAsia="en-GB"/>
        </w:rPr>
        <w:t xml:space="preserve"> the</w:t>
      </w:r>
      <w:r w:rsidRPr="00814F64">
        <w:rPr>
          <w:rFonts w:asciiTheme="minorHAnsi" w:hAnsiTheme="minorHAnsi" w:cs="Arial"/>
          <w:sz w:val="22"/>
          <w:szCs w:val="22"/>
          <w:lang w:eastAsia="en-GB"/>
        </w:rPr>
        <w:t xml:space="preserve"> Council’s prudential and treasury indicators and its expected treasury operations, including an expectation of interest rate movements.  From this Strategy a treasury indicator is set which provides maximum limits for fixed and variable interest rate exposure.  The treasury manager will monitor market and forecast interest rates within the year to adjust exposures appropriately.  For </w:t>
      </w:r>
      <w:proofErr w:type="gramStart"/>
      <w:r w:rsidRPr="00814F64">
        <w:rPr>
          <w:rFonts w:asciiTheme="minorHAnsi" w:hAnsiTheme="minorHAnsi" w:cs="Arial"/>
          <w:sz w:val="22"/>
          <w:szCs w:val="22"/>
          <w:lang w:eastAsia="en-GB"/>
        </w:rPr>
        <w:t>instance</w:t>
      </w:r>
      <w:proofErr w:type="gramEnd"/>
      <w:r w:rsidRPr="00814F64">
        <w:rPr>
          <w:rFonts w:asciiTheme="minorHAnsi" w:hAnsiTheme="minorHAnsi" w:cs="Arial"/>
          <w:sz w:val="22"/>
          <w:szCs w:val="22"/>
          <w:lang w:eastAsia="en-GB"/>
        </w:rPr>
        <w:t xml:space="preserve"> during periods of falling interest rates, and where economic circumstances make it favourable, fixed rate investments may be taken for longer periods to secure better long term returns, similarly the drawing of longer term fixed rates borrowing would be postponed.  </w:t>
      </w:r>
    </w:p>
    <w:p w14:paraId="6B25E51C" w14:textId="77777777" w:rsidR="00CF046C" w:rsidRPr="00814F64" w:rsidRDefault="00CF046C"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p w14:paraId="27D35511" w14:textId="7BA7F9AA" w:rsidR="00CF046C" w:rsidRDefault="00814F64"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r>
        <w:rPr>
          <w:rFonts w:asciiTheme="minorHAnsi" w:hAnsiTheme="minorHAnsi" w:cs="Arial"/>
          <w:sz w:val="22"/>
          <w:szCs w:val="22"/>
          <w:lang w:eastAsia="en-GB"/>
        </w:rPr>
        <w:t xml:space="preserve">According to this assessment strategy, </w:t>
      </w:r>
      <w:proofErr w:type="gramStart"/>
      <w:r>
        <w:rPr>
          <w:rFonts w:asciiTheme="minorHAnsi" w:hAnsiTheme="minorHAnsi" w:cs="Arial"/>
          <w:sz w:val="22"/>
          <w:szCs w:val="22"/>
          <w:lang w:eastAsia="en-GB"/>
        </w:rPr>
        <w:t>at</w:t>
      </w:r>
      <w:proofErr w:type="gramEnd"/>
      <w:r>
        <w:rPr>
          <w:rFonts w:asciiTheme="minorHAnsi" w:hAnsiTheme="minorHAnsi" w:cs="Arial"/>
          <w:sz w:val="22"/>
          <w:szCs w:val="22"/>
          <w:lang w:eastAsia="en-GB"/>
        </w:rPr>
        <w:t xml:space="preserve"> 31 March 202</w:t>
      </w:r>
      <w:r w:rsidR="00EF1C9E">
        <w:rPr>
          <w:rFonts w:asciiTheme="minorHAnsi" w:hAnsiTheme="minorHAnsi" w:cs="Arial"/>
          <w:sz w:val="22"/>
          <w:szCs w:val="22"/>
          <w:lang w:eastAsia="en-GB"/>
        </w:rPr>
        <w:t>3</w:t>
      </w:r>
      <w:r>
        <w:rPr>
          <w:rFonts w:asciiTheme="minorHAnsi" w:hAnsiTheme="minorHAnsi" w:cs="Arial"/>
          <w:sz w:val="22"/>
          <w:szCs w:val="22"/>
          <w:lang w:eastAsia="en-GB"/>
        </w:rPr>
        <w:t>, i</w:t>
      </w:r>
      <w:r w:rsidR="00CF046C" w:rsidRPr="00814F64">
        <w:rPr>
          <w:rFonts w:asciiTheme="minorHAnsi" w:hAnsiTheme="minorHAnsi" w:cs="Arial"/>
          <w:sz w:val="22"/>
          <w:szCs w:val="22"/>
          <w:lang w:eastAsia="en-GB"/>
        </w:rPr>
        <w:t>f all interest rates had been 1% higher (with all other variables held constant) the financial effect would be:</w:t>
      </w:r>
    </w:p>
    <w:p w14:paraId="0CED9B28" w14:textId="77777777" w:rsidR="00EF1C9E" w:rsidRDefault="00EF1C9E" w:rsidP="00CF046C">
      <w:pPr>
        <w:keepLines/>
        <w:widowControl w:val="0"/>
        <w:suppressAutoHyphens/>
        <w:autoSpaceDE w:val="0"/>
        <w:autoSpaceDN w:val="0"/>
        <w:adjustRightInd w:val="0"/>
        <w:jc w:val="both"/>
        <w:textAlignment w:val="baseline"/>
        <w:rPr>
          <w:rFonts w:asciiTheme="minorHAnsi" w:hAnsiTheme="minorHAnsi" w:cs="Arial"/>
          <w:sz w:val="22"/>
          <w:szCs w:val="22"/>
          <w:lang w:eastAsia="en-GB"/>
        </w:rPr>
      </w:pPr>
    </w:p>
    <w:tbl>
      <w:tblPr>
        <w:tblW w:w="0" w:type="auto"/>
        <w:tblInd w:w="10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Caption w:val="Effect of 1% interest rate"/>
        <w:tblDescription w:val="Effect of 1% interest rate"/>
      </w:tblPr>
      <w:tblGrid>
        <w:gridCol w:w="6697"/>
        <w:gridCol w:w="1448"/>
      </w:tblGrid>
      <w:tr w:rsidR="003554A9" w:rsidRPr="002277D3" w14:paraId="5AE92056" w14:textId="77777777" w:rsidTr="00CD3384">
        <w:trPr>
          <w:cantSplit/>
          <w:trHeight w:val="537"/>
          <w:tblHeader/>
        </w:trPr>
        <w:tc>
          <w:tcPr>
            <w:tcW w:w="6697" w:type="dxa"/>
            <w:shd w:val="clear" w:color="auto" w:fill="FABF8F" w:themeFill="accent6" w:themeFillTint="99"/>
            <w:vAlign w:val="center"/>
          </w:tcPr>
          <w:p w14:paraId="69427221" w14:textId="77777777" w:rsidR="003554A9" w:rsidRPr="002277D3" w:rsidRDefault="003554A9" w:rsidP="001C78F9">
            <w:pPr>
              <w:keepLines/>
              <w:widowControl w:val="0"/>
              <w:suppressAutoHyphens/>
              <w:autoSpaceDE w:val="0"/>
              <w:autoSpaceDN w:val="0"/>
              <w:adjustRightInd w:val="0"/>
              <w:spacing w:before="100" w:beforeAutospacing="1" w:after="100" w:afterAutospacing="1"/>
              <w:textAlignment w:val="baseline"/>
              <w:rPr>
                <w:rFonts w:ascii="Arial" w:hAnsi="Arial" w:cs="Arial"/>
                <w:b/>
                <w:highlight w:val="yellow"/>
                <w:lang w:eastAsia="en-GB"/>
              </w:rPr>
            </w:pPr>
          </w:p>
        </w:tc>
        <w:tc>
          <w:tcPr>
            <w:tcW w:w="1448" w:type="dxa"/>
            <w:shd w:val="clear" w:color="auto" w:fill="FABF8F" w:themeFill="accent6" w:themeFillTint="99"/>
            <w:vAlign w:val="center"/>
          </w:tcPr>
          <w:p w14:paraId="352155E6" w14:textId="77777777" w:rsidR="003554A9" w:rsidRPr="00441736" w:rsidRDefault="003554A9"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highlight w:val="yellow"/>
                <w:lang w:eastAsia="en-GB"/>
              </w:rPr>
            </w:pPr>
            <w:r w:rsidRPr="00441736">
              <w:rPr>
                <w:rFonts w:asciiTheme="minorHAnsi" w:hAnsiTheme="minorHAnsi" w:cs="Arial"/>
                <w:lang w:eastAsia="en-GB"/>
              </w:rPr>
              <w:t>£</w:t>
            </w:r>
            <w:r>
              <w:rPr>
                <w:rFonts w:asciiTheme="minorHAnsi" w:hAnsiTheme="minorHAnsi" w:cs="Arial"/>
                <w:lang w:eastAsia="en-GB"/>
              </w:rPr>
              <w:t>’</w:t>
            </w:r>
            <w:r w:rsidRPr="00441736">
              <w:rPr>
                <w:rFonts w:asciiTheme="minorHAnsi" w:hAnsiTheme="minorHAnsi" w:cs="Arial"/>
                <w:lang w:eastAsia="en-GB"/>
              </w:rPr>
              <w:t>000</w:t>
            </w:r>
          </w:p>
        </w:tc>
      </w:tr>
      <w:tr w:rsidR="003554A9" w:rsidRPr="002277D3" w14:paraId="76819EB4" w14:textId="77777777" w:rsidTr="00D3279C">
        <w:trPr>
          <w:trHeight w:val="279"/>
        </w:trPr>
        <w:tc>
          <w:tcPr>
            <w:tcW w:w="6697" w:type="dxa"/>
            <w:shd w:val="clear" w:color="auto" w:fill="FDE9D9" w:themeFill="accent6" w:themeFillTint="33"/>
            <w:vAlign w:val="center"/>
          </w:tcPr>
          <w:p w14:paraId="3C8A5D88" w14:textId="77777777" w:rsidR="003554A9" w:rsidRPr="00441736"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lang w:eastAsia="en-GB"/>
              </w:rPr>
            </w:pPr>
            <w:r w:rsidRPr="00441736">
              <w:rPr>
                <w:rFonts w:asciiTheme="minorHAnsi" w:hAnsiTheme="minorHAnsi" w:cs="Arial"/>
                <w:lang w:eastAsia="en-GB"/>
              </w:rPr>
              <w:t>Increase in interest receivable on variable rate investments</w:t>
            </w:r>
          </w:p>
        </w:tc>
        <w:tc>
          <w:tcPr>
            <w:tcW w:w="1448" w:type="dxa"/>
            <w:shd w:val="clear" w:color="auto" w:fill="FDE9D9" w:themeFill="accent6" w:themeFillTint="33"/>
            <w:vAlign w:val="center"/>
          </w:tcPr>
          <w:p w14:paraId="2332FF87" w14:textId="00ECAF81" w:rsidR="003554A9" w:rsidRPr="00D04970" w:rsidRDefault="00345459" w:rsidP="003554A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lang w:eastAsia="en-GB"/>
              </w:rPr>
            </w:pPr>
            <w:r>
              <w:rPr>
                <w:rFonts w:asciiTheme="minorHAnsi" w:hAnsiTheme="minorHAnsi" w:cs="Arial"/>
                <w:lang w:eastAsia="en-GB"/>
              </w:rPr>
              <w:t>-</w:t>
            </w:r>
            <w:r w:rsidR="007256D1">
              <w:rPr>
                <w:rFonts w:asciiTheme="minorHAnsi" w:hAnsiTheme="minorHAnsi" w:cs="Arial"/>
                <w:lang w:eastAsia="en-GB"/>
              </w:rPr>
              <w:t>41</w:t>
            </w:r>
          </w:p>
        </w:tc>
      </w:tr>
      <w:tr w:rsidR="003554A9" w:rsidRPr="002277D3" w14:paraId="5180DEA0" w14:textId="77777777" w:rsidTr="00866286">
        <w:trPr>
          <w:trHeight w:val="405"/>
        </w:trPr>
        <w:tc>
          <w:tcPr>
            <w:tcW w:w="6697" w:type="dxa"/>
            <w:shd w:val="clear" w:color="auto" w:fill="FBD4B4" w:themeFill="accent6" w:themeFillTint="66"/>
            <w:vAlign w:val="center"/>
          </w:tcPr>
          <w:p w14:paraId="65B2563A" w14:textId="77777777" w:rsidR="003554A9" w:rsidRPr="007E2CDB"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b/>
                <w:lang w:eastAsia="en-GB"/>
              </w:rPr>
            </w:pPr>
            <w:r w:rsidRPr="007E2CDB">
              <w:rPr>
                <w:rFonts w:asciiTheme="minorHAnsi" w:hAnsiTheme="minorHAnsi" w:cs="Arial"/>
                <w:b/>
                <w:lang w:eastAsia="en-GB"/>
              </w:rPr>
              <w:t>Impact on Surplus or Deficit on the Provision of Services</w:t>
            </w:r>
          </w:p>
        </w:tc>
        <w:tc>
          <w:tcPr>
            <w:tcW w:w="1448" w:type="dxa"/>
            <w:shd w:val="clear" w:color="auto" w:fill="FBD4B4" w:themeFill="accent6" w:themeFillTint="66"/>
            <w:vAlign w:val="center"/>
          </w:tcPr>
          <w:p w14:paraId="05A2CC36" w14:textId="23053FC0" w:rsidR="003554A9" w:rsidRPr="007E2CDB" w:rsidRDefault="00345459"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b/>
                <w:lang w:eastAsia="en-GB"/>
              </w:rPr>
            </w:pPr>
            <w:r>
              <w:rPr>
                <w:rFonts w:asciiTheme="minorHAnsi" w:hAnsiTheme="minorHAnsi" w:cs="Arial"/>
                <w:b/>
                <w:lang w:eastAsia="en-GB"/>
              </w:rPr>
              <w:t>-</w:t>
            </w:r>
            <w:r w:rsidR="007256D1">
              <w:rPr>
                <w:rFonts w:asciiTheme="minorHAnsi" w:hAnsiTheme="minorHAnsi" w:cs="Arial"/>
                <w:b/>
                <w:lang w:eastAsia="en-GB"/>
              </w:rPr>
              <w:t>41</w:t>
            </w:r>
          </w:p>
        </w:tc>
      </w:tr>
      <w:tr w:rsidR="003554A9" w:rsidRPr="002277D3" w14:paraId="46551828" w14:textId="77777777" w:rsidTr="00D3279C">
        <w:trPr>
          <w:trHeight w:val="274"/>
        </w:trPr>
        <w:tc>
          <w:tcPr>
            <w:tcW w:w="6697" w:type="dxa"/>
            <w:shd w:val="clear" w:color="auto" w:fill="FDE9D9" w:themeFill="accent6" w:themeFillTint="33"/>
            <w:vAlign w:val="center"/>
          </w:tcPr>
          <w:p w14:paraId="57E98401" w14:textId="77777777" w:rsidR="003554A9" w:rsidRPr="00441736"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lang w:eastAsia="en-GB"/>
              </w:rPr>
            </w:pPr>
            <w:r w:rsidRPr="00441736">
              <w:rPr>
                <w:rFonts w:asciiTheme="minorHAnsi" w:hAnsiTheme="minorHAnsi" w:cs="Arial"/>
                <w:lang w:eastAsia="en-GB"/>
              </w:rPr>
              <w:t>Decrease in fair value of fixed rate investment assets</w:t>
            </w:r>
          </w:p>
        </w:tc>
        <w:tc>
          <w:tcPr>
            <w:tcW w:w="1448" w:type="dxa"/>
            <w:shd w:val="clear" w:color="auto" w:fill="FDE9D9" w:themeFill="accent6" w:themeFillTint="33"/>
            <w:vAlign w:val="center"/>
          </w:tcPr>
          <w:p w14:paraId="3479F913" w14:textId="574EE5C0" w:rsidR="003554A9" w:rsidRPr="00D04970" w:rsidRDefault="007256D1"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lang w:eastAsia="en-GB"/>
              </w:rPr>
            </w:pPr>
            <w:r>
              <w:rPr>
                <w:rFonts w:asciiTheme="minorHAnsi" w:hAnsiTheme="minorHAnsi" w:cs="Arial"/>
                <w:lang w:eastAsia="en-GB"/>
              </w:rPr>
              <w:t>45</w:t>
            </w:r>
          </w:p>
        </w:tc>
      </w:tr>
      <w:tr w:rsidR="003554A9" w:rsidRPr="002277D3" w14:paraId="387C4823" w14:textId="77777777" w:rsidTr="00866286">
        <w:trPr>
          <w:trHeight w:val="405"/>
        </w:trPr>
        <w:tc>
          <w:tcPr>
            <w:tcW w:w="6697" w:type="dxa"/>
            <w:shd w:val="clear" w:color="auto" w:fill="FBD4B4" w:themeFill="accent6" w:themeFillTint="66"/>
            <w:vAlign w:val="center"/>
          </w:tcPr>
          <w:p w14:paraId="498C9098" w14:textId="77777777" w:rsidR="003554A9" w:rsidRPr="007E2CDB"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b/>
                <w:lang w:eastAsia="en-GB"/>
              </w:rPr>
            </w:pPr>
            <w:r w:rsidRPr="007E2CDB">
              <w:rPr>
                <w:rFonts w:asciiTheme="minorHAnsi" w:hAnsiTheme="minorHAnsi" w:cs="Arial"/>
                <w:b/>
                <w:lang w:eastAsia="en-GB"/>
              </w:rPr>
              <w:t>Impact on Other Comprehensive Income and Expenditure</w:t>
            </w:r>
          </w:p>
        </w:tc>
        <w:tc>
          <w:tcPr>
            <w:tcW w:w="1448" w:type="dxa"/>
            <w:shd w:val="clear" w:color="auto" w:fill="FBD4B4" w:themeFill="accent6" w:themeFillTint="66"/>
            <w:vAlign w:val="center"/>
          </w:tcPr>
          <w:p w14:paraId="3093FDCC" w14:textId="2E50C758" w:rsidR="003554A9" w:rsidRPr="007E2CDB" w:rsidRDefault="007256D1"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b/>
                <w:lang w:eastAsia="en-GB"/>
              </w:rPr>
            </w:pPr>
            <w:r>
              <w:rPr>
                <w:rFonts w:asciiTheme="minorHAnsi" w:hAnsiTheme="minorHAnsi" w:cs="Arial"/>
                <w:b/>
                <w:lang w:eastAsia="en-GB"/>
              </w:rPr>
              <w:t>45</w:t>
            </w:r>
          </w:p>
        </w:tc>
      </w:tr>
      <w:tr w:rsidR="003554A9" w:rsidRPr="002277D3" w14:paraId="474829AC" w14:textId="77777777" w:rsidTr="00D3279C">
        <w:trPr>
          <w:trHeight w:val="160"/>
        </w:trPr>
        <w:tc>
          <w:tcPr>
            <w:tcW w:w="6697" w:type="dxa"/>
            <w:shd w:val="clear" w:color="auto" w:fill="FDE9D9" w:themeFill="accent6" w:themeFillTint="33"/>
            <w:vAlign w:val="center"/>
          </w:tcPr>
          <w:p w14:paraId="12E83611" w14:textId="77777777" w:rsidR="003554A9" w:rsidRPr="00ED3C11"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b/>
                <w:lang w:eastAsia="en-GB"/>
              </w:rPr>
            </w:pPr>
          </w:p>
        </w:tc>
        <w:tc>
          <w:tcPr>
            <w:tcW w:w="1448" w:type="dxa"/>
            <w:shd w:val="clear" w:color="auto" w:fill="FDE9D9" w:themeFill="accent6" w:themeFillTint="33"/>
            <w:vAlign w:val="center"/>
          </w:tcPr>
          <w:p w14:paraId="716EEB5C" w14:textId="77777777" w:rsidR="003554A9" w:rsidRPr="00ED3C11" w:rsidRDefault="003554A9"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b/>
                <w:lang w:eastAsia="en-GB"/>
              </w:rPr>
            </w:pPr>
          </w:p>
        </w:tc>
      </w:tr>
      <w:tr w:rsidR="003554A9" w:rsidRPr="002277D3" w14:paraId="32A5D375" w14:textId="77777777" w:rsidTr="00D3279C">
        <w:trPr>
          <w:trHeight w:val="886"/>
        </w:trPr>
        <w:tc>
          <w:tcPr>
            <w:tcW w:w="6697" w:type="dxa"/>
            <w:shd w:val="clear" w:color="auto" w:fill="FBD4B4" w:themeFill="accent6" w:themeFillTint="66"/>
            <w:vAlign w:val="center"/>
          </w:tcPr>
          <w:p w14:paraId="36739210" w14:textId="77777777" w:rsidR="003554A9" w:rsidRPr="007E2CDB" w:rsidRDefault="003554A9" w:rsidP="001C78F9">
            <w:pPr>
              <w:keepLines/>
              <w:widowControl w:val="0"/>
              <w:suppressAutoHyphens/>
              <w:autoSpaceDE w:val="0"/>
              <w:autoSpaceDN w:val="0"/>
              <w:adjustRightInd w:val="0"/>
              <w:spacing w:before="100" w:beforeAutospacing="1" w:after="100" w:afterAutospacing="1"/>
              <w:textAlignment w:val="baseline"/>
              <w:rPr>
                <w:rFonts w:asciiTheme="minorHAnsi" w:hAnsiTheme="minorHAnsi" w:cs="Arial"/>
                <w:b/>
                <w:lang w:eastAsia="en-GB"/>
              </w:rPr>
            </w:pPr>
            <w:r w:rsidRPr="007E2CDB">
              <w:rPr>
                <w:rFonts w:asciiTheme="minorHAnsi" w:hAnsiTheme="minorHAnsi" w:cs="Arial"/>
                <w:b/>
                <w:lang w:eastAsia="en-GB"/>
              </w:rPr>
              <w:t>Decrease in fair value of fixed rate borrowings liabilities (no impact on the Surplus or Deficit on the Provision of Services or Other Comprehensive Income and Expenditure)</w:t>
            </w:r>
          </w:p>
        </w:tc>
        <w:tc>
          <w:tcPr>
            <w:tcW w:w="1448" w:type="dxa"/>
            <w:shd w:val="clear" w:color="auto" w:fill="FBD4B4" w:themeFill="accent6" w:themeFillTint="66"/>
            <w:vAlign w:val="center"/>
          </w:tcPr>
          <w:p w14:paraId="0AB73CD8" w14:textId="1D7D1E50" w:rsidR="003554A9" w:rsidRPr="007256D1" w:rsidRDefault="00F75456" w:rsidP="001C78F9">
            <w:pPr>
              <w:keepLines/>
              <w:widowControl w:val="0"/>
              <w:suppressAutoHyphens/>
              <w:autoSpaceDE w:val="0"/>
              <w:autoSpaceDN w:val="0"/>
              <w:adjustRightInd w:val="0"/>
              <w:spacing w:before="100" w:beforeAutospacing="1" w:after="100" w:afterAutospacing="1"/>
              <w:jc w:val="right"/>
              <w:textAlignment w:val="baseline"/>
              <w:rPr>
                <w:rFonts w:asciiTheme="minorHAnsi" w:hAnsiTheme="minorHAnsi" w:cs="Arial"/>
                <w:b/>
                <w:highlight w:val="yellow"/>
                <w:lang w:eastAsia="en-GB"/>
              </w:rPr>
            </w:pPr>
            <w:r w:rsidRPr="00F75456">
              <w:rPr>
                <w:rFonts w:asciiTheme="minorHAnsi" w:hAnsiTheme="minorHAnsi" w:cs="Arial"/>
                <w:b/>
                <w:lang w:eastAsia="en-GB"/>
              </w:rPr>
              <w:t>3,749</w:t>
            </w:r>
          </w:p>
        </w:tc>
      </w:tr>
    </w:tbl>
    <w:p w14:paraId="1EADF0B2" w14:textId="77777777" w:rsidR="00CF046C" w:rsidRPr="002277D3" w:rsidRDefault="00CF046C" w:rsidP="00CF046C">
      <w:pPr>
        <w:jc w:val="both"/>
        <w:rPr>
          <w:rFonts w:ascii="Arial" w:hAnsi="Arial" w:cs="Arial"/>
          <w:spacing w:val="-5"/>
          <w:highlight w:val="yellow"/>
          <w:lang w:eastAsia="en-GB"/>
        </w:rPr>
      </w:pPr>
    </w:p>
    <w:p w14:paraId="11F79131" w14:textId="77777777" w:rsidR="00CF046C" w:rsidRPr="00814F64" w:rsidRDefault="00CF046C" w:rsidP="00CF046C">
      <w:pPr>
        <w:jc w:val="both"/>
        <w:rPr>
          <w:rFonts w:asciiTheme="minorHAnsi" w:hAnsiTheme="minorHAnsi" w:cs="Arial"/>
          <w:spacing w:val="-5"/>
          <w:sz w:val="22"/>
          <w:szCs w:val="22"/>
          <w:lang w:eastAsia="en-GB"/>
        </w:rPr>
      </w:pPr>
      <w:r w:rsidRPr="00814F64">
        <w:rPr>
          <w:rFonts w:asciiTheme="minorHAnsi" w:hAnsiTheme="minorHAnsi" w:cs="Arial"/>
          <w:spacing w:val="-5"/>
          <w:sz w:val="22"/>
          <w:szCs w:val="22"/>
          <w:lang w:eastAsia="en-GB"/>
        </w:rPr>
        <w:t>The approximate impact of a 1% fall in interest rates would be as above but with the movements being reversed.  These assumptions are based on the same methodology as used in the Note – Fair value of Assets and Liabilities carried at Amortised Cost</w:t>
      </w:r>
    </w:p>
    <w:p w14:paraId="6189C4F0" w14:textId="77777777" w:rsidR="00CF046C" w:rsidRPr="00814F64" w:rsidRDefault="00CF046C" w:rsidP="00CF046C">
      <w:pPr>
        <w:jc w:val="both"/>
        <w:rPr>
          <w:rFonts w:asciiTheme="minorHAnsi" w:hAnsiTheme="minorHAnsi" w:cs="Arial"/>
          <w:sz w:val="22"/>
          <w:szCs w:val="22"/>
          <w:lang w:eastAsia="en-GB"/>
        </w:rPr>
      </w:pPr>
    </w:p>
    <w:p w14:paraId="7D55179B" w14:textId="558295D4" w:rsidR="00CF046C" w:rsidRPr="00814F64" w:rsidRDefault="00CF046C" w:rsidP="00CF046C">
      <w:pPr>
        <w:pStyle w:val="ExampleText"/>
        <w:spacing w:before="0" w:line="240" w:lineRule="auto"/>
        <w:ind w:left="0"/>
        <w:jc w:val="both"/>
        <w:rPr>
          <w:rFonts w:asciiTheme="minorHAnsi" w:hAnsiTheme="minorHAnsi" w:cs="Arial"/>
          <w:color w:val="auto"/>
          <w:sz w:val="22"/>
          <w:szCs w:val="22"/>
          <w:lang w:val="en-GB"/>
        </w:rPr>
      </w:pPr>
      <w:r w:rsidRPr="007256D1">
        <w:rPr>
          <w:rFonts w:asciiTheme="minorHAnsi" w:hAnsiTheme="minorHAnsi" w:cs="Arial"/>
          <w:b/>
          <w:color w:val="auto"/>
          <w:sz w:val="22"/>
          <w:szCs w:val="22"/>
          <w:lang w:val="en-GB"/>
        </w:rPr>
        <w:t>Price risk</w:t>
      </w:r>
      <w:r w:rsidRPr="007256D1">
        <w:rPr>
          <w:rFonts w:asciiTheme="minorHAnsi" w:hAnsiTheme="minorHAnsi" w:cs="Arial"/>
          <w:color w:val="auto"/>
          <w:sz w:val="22"/>
          <w:szCs w:val="22"/>
          <w:lang w:val="en-GB"/>
        </w:rPr>
        <w:t xml:space="preserve"> - The Council</w:t>
      </w:r>
      <w:r w:rsidR="00814F64" w:rsidRPr="007256D1">
        <w:rPr>
          <w:rFonts w:asciiTheme="minorHAnsi" w:hAnsiTheme="minorHAnsi" w:cs="Arial"/>
          <w:color w:val="auto"/>
          <w:sz w:val="22"/>
          <w:szCs w:val="22"/>
          <w:lang w:val="en-GB"/>
        </w:rPr>
        <w:t xml:space="preserve"> holds £</w:t>
      </w:r>
      <w:r w:rsidR="007256D1" w:rsidRPr="007256D1">
        <w:rPr>
          <w:rFonts w:asciiTheme="minorHAnsi" w:hAnsiTheme="minorHAnsi" w:cs="Arial"/>
          <w:color w:val="auto"/>
          <w:sz w:val="22"/>
          <w:szCs w:val="22"/>
          <w:lang w:val="en-GB"/>
        </w:rPr>
        <w:t>1</w:t>
      </w:r>
      <w:r w:rsidR="00BC4D51" w:rsidRPr="007256D1">
        <w:rPr>
          <w:rFonts w:asciiTheme="minorHAnsi" w:hAnsiTheme="minorHAnsi" w:cs="Arial"/>
          <w:color w:val="auto"/>
          <w:sz w:val="22"/>
          <w:szCs w:val="22"/>
          <w:lang w:val="en-GB"/>
        </w:rPr>
        <w:t>.</w:t>
      </w:r>
      <w:r w:rsidR="007256D1" w:rsidRPr="007256D1">
        <w:rPr>
          <w:rFonts w:asciiTheme="minorHAnsi" w:hAnsiTheme="minorHAnsi" w:cs="Arial"/>
          <w:color w:val="auto"/>
          <w:sz w:val="22"/>
          <w:szCs w:val="22"/>
          <w:lang w:val="en-GB"/>
        </w:rPr>
        <w:t>848</w:t>
      </w:r>
      <w:r w:rsidR="00410D0C" w:rsidRPr="007256D1">
        <w:rPr>
          <w:rFonts w:asciiTheme="minorHAnsi" w:hAnsiTheme="minorHAnsi" w:cs="Arial"/>
          <w:color w:val="auto"/>
          <w:sz w:val="22"/>
          <w:szCs w:val="22"/>
          <w:lang w:val="en-GB"/>
        </w:rPr>
        <w:t>m in property/multi-asset funds, and their price varies</w:t>
      </w:r>
      <w:r w:rsidR="00B42A47" w:rsidRPr="007256D1">
        <w:rPr>
          <w:rFonts w:asciiTheme="minorHAnsi" w:hAnsiTheme="minorHAnsi" w:cs="Arial"/>
          <w:color w:val="auto"/>
          <w:sz w:val="22"/>
          <w:szCs w:val="22"/>
          <w:lang w:val="en-GB"/>
        </w:rPr>
        <w:t>. However, any movements in price will not impact on the General Fund Balance as regulations are in force to ameliorate the impact of fair value movements</w:t>
      </w:r>
      <w:r w:rsidR="00410D0C" w:rsidRPr="007256D1">
        <w:rPr>
          <w:rFonts w:asciiTheme="minorHAnsi" w:hAnsiTheme="minorHAnsi" w:cs="Arial"/>
          <w:color w:val="auto"/>
          <w:sz w:val="22"/>
          <w:szCs w:val="22"/>
          <w:lang w:val="en-GB"/>
        </w:rPr>
        <w:t>.</w:t>
      </w:r>
      <w:r w:rsidR="00410D0C" w:rsidRPr="00814F64">
        <w:rPr>
          <w:rFonts w:asciiTheme="minorHAnsi" w:hAnsiTheme="minorHAnsi" w:cs="Arial"/>
          <w:color w:val="auto"/>
          <w:sz w:val="22"/>
          <w:szCs w:val="22"/>
          <w:lang w:val="en-GB"/>
        </w:rPr>
        <w:t xml:space="preserve"> </w:t>
      </w:r>
    </w:p>
    <w:p w14:paraId="44778F24" w14:textId="77777777" w:rsidR="00CF046C" w:rsidRPr="00814F64" w:rsidRDefault="00CF046C" w:rsidP="00CF046C">
      <w:pPr>
        <w:pStyle w:val="ExampleText"/>
        <w:spacing w:before="0" w:line="240" w:lineRule="auto"/>
        <w:ind w:left="0"/>
        <w:jc w:val="both"/>
        <w:rPr>
          <w:rFonts w:asciiTheme="minorHAnsi" w:hAnsiTheme="minorHAnsi" w:cs="Arial"/>
          <w:color w:val="auto"/>
          <w:sz w:val="22"/>
          <w:szCs w:val="22"/>
          <w:lang w:val="en-GB"/>
        </w:rPr>
      </w:pPr>
    </w:p>
    <w:p w14:paraId="39BB3F68" w14:textId="37C8B6E8" w:rsidR="00CF046C" w:rsidRDefault="00CF046C" w:rsidP="00CF046C">
      <w:pPr>
        <w:pStyle w:val="ExampleText"/>
        <w:spacing w:before="0" w:line="240" w:lineRule="auto"/>
        <w:ind w:left="0"/>
        <w:jc w:val="both"/>
        <w:rPr>
          <w:rFonts w:asciiTheme="minorHAnsi" w:hAnsiTheme="minorHAnsi" w:cs="Arial"/>
          <w:color w:val="auto"/>
          <w:sz w:val="22"/>
          <w:szCs w:val="22"/>
          <w:lang w:val="en-GB"/>
        </w:rPr>
      </w:pPr>
      <w:r w:rsidRPr="00814F64">
        <w:rPr>
          <w:rFonts w:asciiTheme="minorHAnsi" w:hAnsiTheme="minorHAnsi" w:cs="Arial"/>
          <w:b/>
          <w:color w:val="auto"/>
          <w:sz w:val="22"/>
          <w:szCs w:val="22"/>
          <w:lang w:val="en-GB"/>
        </w:rPr>
        <w:t>Foreign exchange risk</w:t>
      </w:r>
      <w:r w:rsidR="00FD7082">
        <w:rPr>
          <w:rFonts w:asciiTheme="minorHAnsi" w:hAnsiTheme="minorHAnsi" w:cs="Arial"/>
          <w:b/>
          <w:color w:val="auto"/>
          <w:sz w:val="22"/>
          <w:szCs w:val="22"/>
          <w:lang w:val="en-GB"/>
        </w:rPr>
        <w:t xml:space="preserve"> </w:t>
      </w:r>
      <w:r w:rsidRPr="00814F64">
        <w:rPr>
          <w:rFonts w:asciiTheme="minorHAnsi" w:hAnsiTheme="minorHAnsi" w:cs="Arial"/>
          <w:b/>
          <w:color w:val="auto"/>
          <w:sz w:val="22"/>
          <w:szCs w:val="22"/>
          <w:lang w:val="en-GB"/>
        </w:rPr>
        <w:t>-</w:t>
      </w:r>
      <w:r w:rsidRPr="00814F64">
        <w:rPr>
          <w:rFonts w:asciiTheme="minorHAnsi" w:hAnsiTheme="minorHAnsi" w:cs="Arial"/>
          <w:color w:val="auto"/>
          <w:sz w:val="22"/>
          <w:szCs w:val="22"/>
          <w:lang w:val="en-GB"/>
        </w:rPr>
        <w:t xml:space="preserve"> </w:t>
      </w:r>
      <w:r w:rsidR="00FD7082">
        <w:rPr>
          <w:rFonts w:asciiTheme="minorHAnsi" w:hAnsiTheme="minorHAnsi" w:cs="Arial"/>
          <w:color w:val="auto"/>
          <w:sz w:val="22"/>
          <w:szCs w:val="22"/>
          <w:lang w:val="en-GB"/>
        </w:rPr>
        <w:t>T</w:t>
      </w:r>
      <w:r w:rsidRPr="00814F64">
        <w:rPr>
          <w:rFonts w:asciiTheme="minorHAnsi" w:hAnsiTheme="minorHAnsi" w:cs="Arial"/>
          <w:color w:val="auto"/>
          <w:sz w:val="22"/>
          <w:szCs w:val="22"/>
          <w:lang w:val="en-GB"/>
        </w:rPr>
        <w:t>he Council has no financial assets or liabilities denominated in foreign currencies and thus has no exposure to losses arising from movements in exchange rates</w:t>
      </w:r>
      <w:r w:rsidR="00FD7082">
        <w:rPr>
          <w:rFonts w:asciiTheme="minorHAnsi" w:hAnsiTheme="minorHAnsi" w:cs="Arial"/>
          <w:color w:val="auto"/>
          <w:sz w:val="22"/>
          <w:szCs w:val="22"/>
          <w:lang w:val="en-GB"/>
        </w:rPr>
        <w:t>.</w:t>
      </w:r>
    </w:p>
    <w:p w14:paraId="346CB311" w14:textId="77777777" w:rsidR="00FD7082" w:rsidRDefault="00FD7082" w:rsidP="00CF046C">
      <w:pPr>
        <w:pStyle w:val="ExampleText"/>
        <w:spacing w:before="0" w:line="240" w:lineRule="auto"/>
        <w:ind w:left="0"/>
        <w:jc w:val="both"/>
        <w:rPr>
          <w:rFonts w:asciiTheme="minorHAnsi" w:hAnsiTheme="minorHAnsi" w:cs="Arial"/>
          <w:color w:val="auto"/>
          <w:sz w:val="22"/>
          <w:szCs w:val="22"/>
          <w:lang w:val="en-GB"/>
        </w:rPr>
      </w:pPr>
    </w:p>
    <w:p w14:paraId="3090B562" w14:textId="2D10F0A0" w:rsidR="00FD7082" w:rsidRDefault="00FD7082" w:rsidP="00CF046C">
      <w:pPr>
        <w:pStyle w:val="ExampleText"/>
        <w:spacing w:before="0" w:line="240" w:lineRule="auto"/>
        <w:ind w:left="0"/>
        <w:jc w:val="both"/>
        <w:rPr>
          <w:rFonts w:asciiTheme="minorHAnsi" w:hAnsiTheme="minorHAnsi" w:cs="Arial"/>
          <w:color w:val="auto"/>
          <w:sz w:val="22"/>
          <w:szCs w:val="22"/>
          <w:lang w:val="en-GB"/>
        </w:rPr>
      </w:pPr>
      <w:r>
        <w:rPr>
          <w:rFonts w:asciiTheme="minorHAnsi" w:hAnsiTheme="minorHAnsi" w:cs="Arial"/>
          <w:b/>
          <w:bCs/>
          <w:color w:val="auto"/>
          <w:sz w:val="22"/>
          <w:szCs w:val="22"/>
          <w:lang w:val="en-GB"/>
        </w:rPr>
        <w:t xml:space="preserve">Pooled Funds – </w:t>
      </w:r>
      <w:r>
        <w:rPr>
          <w:rFonts w:asciiTheme="minorHAnsi" w:hAnsiTheme="minorHAnsi" w:cs="Arial"/>
          <w:color w:val="auto"/>
          <w:sz w:val="22"/>
          <w:szCs w:val="22"/>
          <w:lang w:val="en-GB"/>
        </w:rPr>
        <w:t>For investments subject to statutory over-ride for pooled investments (extended to 31 March 2025) there has been an unrealised loss taken to reserves.  The following considerations in relation to risk exposure have been disclosed:</w:t>
      </w:r>
    </w:p>
    <w:p w14:paraId="5DFA1F19" w14:textId="77777777" w:rsidR="00FD7082" w:rsidRDefault="00FD7082" w:rsidP="00CF046C">
      <w:pPr>
        <w:pStyle w:val="ExampleText"/>
        <w:spacing w:before="0" w:line="240" w:lineRule="auto"/>
        <w:ind w:left="0"/>
        <w:jc w:val="both"/>
        <w:rPr>
          <w:rFonts w:asciiTheme="minorHAnsi" w:hAnsiTheme="minorHAnsi" w:cs="Arial"/>
          <w:color w:val="auto"/>
          <w:sz w:val="22"/>
          <w:szCs w:val="22"/>
          <w:lang w:val="en-GB"/>
        </w:rPr>
      </w:pPr>
    </w:p>
    <w:p w14:paraId="7AA237AE" w14:textId="44EBDD7E" w:rsidR="00FD7082" w:rsidRDefault="00FD7082" w:rsidP="00FD7082">
      <w:pPr>
        <w:pStyle w:val="ExampleText"/>
        <w:numPr>
          <w:ilvl w:val="0"/>
          <w:numId w:val="51"/>
        </w:numPr>
        <w:spacing w:before="0" w:line="240" w:lineRule="auto"/>
        <w:jc w:val="both"/>
        <w:rPr>
          <w:rFonts w:asciiTheme="minorHAnsi" w:hAnsiTheme="minorHAnsi" w:cs="Arial"/>
          <w:color w:val="auto"/>
          <w:sz w:val="22"/>
          <w:szCs w:val="22"/>
          <w:lang w:val="en-GB"/>
        </w:rPr>
      </w:pPr>
      <w:r>
        <w:rPr>
          <w:rFonts w:asciiTheme="minorHAnsi" w:hAnsiTheme="minorHAnsi" w:cs="Arial"/>
          <w:color w:val="auto"/>
          <w:sz w:val="22"/>
          <w:szCs w:val="22"/>
          <w:lang w:val="en-GB"/>
        </w:rPr>
        <w:lastRenderedPageBreak/>
        <w:t>The market in the underlying asse</w:t>
      </w:r>
      <w:r w:rsidR="008A6F1D">
        <w:rPr>
          <w:rFonts w:asciiTheme="minorHAnsi" w:hAnsiTheme="minorHAnsi" w:cs="Arial"/>
          <w:color w:val="auto"/>
          <w:sz w:val="22"/>
          <w:szCs w:val="22"/>
          <w:lang w:val="en-GB"/>
        </w:rPr>
        <w:t>ts for these financial instruments has weakened considerably in the past year.</w:t>
      </w:r>
    </w:p>
    <w:p w14:paraId="4B628841" w14:textId="77777777" w:rsidR="008A6F1D" w:rsidRDefault="008A6F1D" w:rsidP="008A6F1D">
      <w:pPr>
        <w:pStyle w:val="ExampleText"/>
        <w:spacing w:before="0" w:line="240" w:lineRule="auto"/>
        <w:ind w:left="720"/>
        <w:jc w:val="both"/>
        <w:rPr>
          <w:rFonts w:asciiTheme="minorHAnsi" w:hAnsiTheme="minorHAnsi" w:cs="Arial"/>
          <w:color w:val="auto"/>
          <w:sz w:val="22"/>
          <w:szCs w:val="22"/>
          <w:lang w:val="en-GB"/>
        </w:rPr>
      </w:pPr>
    </w:p>
    <w:p w14:paraId="56673ECA" w14:textId="2A52C8BE" w:rsidR="008A6F1D" w:rsidRDefault="008A6F1D" w:rsidP="00FD7082">
      <w:pPr>
        <w:pStyle w:val="ExampleText"/>
        <w:numPr>
          <w:ilvl w:val="0"/>
          <w:numId w:val="51"/>
        </w:numPr>
        <w:spacing w:before="0" w:line="240" w:lineRule="auto"/>
        <w:jc w:val="both"/>
        <w:rPr>
          <w:rFonts w:asciiTheme="minorHAnsi" w:hAnsiTheme="minorHAnsi" w:cs="Arial"/>
          <w:color w:val="auto"/>
          <w:sz w:val="22"/>
          <w:szCs w:val="22"/>
          <w:lang w:val="en-GB"/>
        </w:rPr>
      </w:pPr>
      <w:r>
        <w:rPr>
          <w:rFonts w:asciiTheme="minorHAnsi" w:hAnsiTheme="minorHAnsi" w:cs="Arial"/>
          <w:color w:val="auto"/>
          <w:sz w:val="22"/>
          <w:szCs w:val="22"/>
          <w:lang w:val="en-GB"/>
        </w:rPr>
        <w:t>It is likely that the fund’s portfolios will become stressed in terms of value, liquidity and income.</w:t>
      </w:r>
    </w:p>
    <w:p w14:paraId="4C5C37C3" w14:textId="77777777" w:rsidR="008A6F1D" w:rsidRDefault="008A6F1D" w:rsidP="008A6F1D">
      <w:pPr>
        <w:pStyle w:val="ExampleText"/>
        <w:spacing w:before="0" w:line="240" w:lineRule="auto"/>
        <w:ind w:left="0"/>
        <w:jc w:val="both"/>
        <w:rPr>
          <w:rFonts w:asciiTheme="minorHAnsi" w:hAnsiTheme="minorHAnsi" w:cs="Arial"/>
          <w:color w:val="auto"/>
          <w:sz w:val="22"/>
          <w:szCs w:val="22"/>
          <w:lang w:val="en-GB"/>
        </w:rPr>
      </w:pPr>
    </w:p>
    <w:p w14:paraId="5CD47E82" w14:textId="7BD4B5E3" w:rsidR="008A6F1D" w:rsidRDefault="008A6F1D" w:rsidP="00FD7082">
      <w:pPr>
        <w:pStyle w:val="ExampleText"/>
        <w:numPr>
          <w:ilvl w:val="0"/>
          <w:numId w:val="51"/>
        </w:numPr>
        <w:spacing w:before="0" w:line="240" w:lineRule="auto"/>
        <w:jc w:val="both"/>
        <w:rPr>
          <w:rFonts w:asciiTheme="minorHAnsi" w:hAnsiTheme="minorHAnsi" w:cs="Arial"/>
          <w:color w:val="auto"/>
          <w:sz w:val="22"/>
          <w:szCs w:val="22"/>
          <w:lang w:val="en-GB"/>
        </w:rPr>
      </w:pPr>
      <w:r>
        <w:rPr>
          <w:rFonts w:asciiTheme="minorHAnsi" w:hAnsiTheme="minorHAnsi" w:cs="Arial"/>
          <w:color w:val="auto"/>
          <w:sz w:val="22"/>
          <w:szCs w:val="22"/>
          <w:lang w:val="en-GB"/>
        </w:rPr>
        <w:t>Disclosure of any income potentially at risk (</w:t>
      </w:r>
      <w:proofErr w:type="spellStart"/>
      <w:proofErr w:type="gramStart"/>
      <w:r>
        <w:rPr>
          <w:rFonts w:asciiTheme="minorHAnsi" w:hAnsiTheme="minorHAnsi" w:cs="Arial"/>
          <w:color w:val="auto"/>
          <w:sz w:val="22"/>
          <w:szCs w:val="22"/>
          <w:lang w:val="en-GB"/>
        </w:rPr>
        <w:t>eg</w:t>
      </w:r>
      <w:proofErr w:type="spellEnd"/>
      <w:proofErr w:type="gramEnd"/>
      <w:r>
        <w:rPr>
          <w:rFonts w:asciiTheme="minorHAnsi" w:hAnsiTheme="minorHAnsi" w:cs="Arial"/>
          <w:color w:val="auto"/>
          <w:sz w:val="22"/>
          <w:szCs w:val="22"/>
          <w:lang w:val="en-GB"/>
        </w:rPr>
        <w:t xml:space="preserve"> pooled fund dividend income).</w:t>
      </w:r>
    </w:p>
    <w:p w14:paraId="364A3735" w14:textId="77777777" w:rsidR="008A6F1D" w:rsidRDefault="008A6F1D" w:rsidP="008A6F1D">
      <w:pPr>
        <w:pStyle w:val="ExampleText"/>
        <w:spacing w:before="0" w:line="240" w:lineRule="auto"/>
        <w:ind w:left="0"/>
        <w:jc w:val="both"/>
        <w:rPr>
          <w:rFonts w:asciiTheme="minorHAnsi" w:hAnsiTheme="minorHAnsi" w:cs="Arial"/>
          <w:color w:val="auto"/>
          <w:sz w:val="22"/>
          <w:szCs w:val="22"/>
          <w:lang w:val="en-GB"/>
        </w:rPr>
      </w:pPr>
    </w:p>
    <w:p w14:paraId="143FF48B" w14:textId="613CFD77" w:rsidR="008A6F1D" w:rsidRPr="00FD7082" w:rsidRDefault="008A6F1D" w:rsidP="00FD7082">
      <w:pPr>
        <w:pStyle w:val="ExampleText"/>
        <w:numPr>
          <w:ilvl w:val="0"/>
          <w:numId w:val="51"/>
        </w:numPr>
        <w:spacing w:before="0" w:line="240" w:lineRule="auto"/>
        <w:jc w:val="both"/>
        <w:rPr>
          <w:rFonts w:asciiTheme="minorHAnsi" w:hAnsiTheme="minorHAnsi" w:cs="Arial"/>
          <w:color w:val="auto"/>
          <w:sz w:val="22"/>
          <w:szCs w:val="22"/>
          <w:lang w:val="en-GB"/>
        </w:rPr>
      </w:pPr>
      <w:r>
        <w:rPr>
          <w:rFonts w:asciiTheme="minorHAnsi" w:hAnsiTheme="minorHAnsi" w:cs="Arial"/>
          <w:color w:val="auto"/>
          <w:sz w:val="22"/>
          <w:szCs w:val="22"/>
          <w:lang w:val="en-GB"/>
        </w:rPr>
        <w:t>Details of any separate earmarked reserve established to manage the risks of the fair value movements.</w:t>
      </w:r>
    </w:p>
    <w:p w14:paraId="5F7C3EC3" w14:textId="77777777" w:rsidR="00CF046C" w:rsidRDefault="00CF046C" w:rsidP="00CF046C">
      <w:pPr>
        <w:pStyle w:val="ExampleText"/>
        <w:spacing w:before="0" w:line="240" w:lineRule="auto"/>
        <w:ind w:left="0"/>
        <w:jc w:val="both"/>
        <w:rPr>
          <w:rFonts w:ascii="Arial" w:hAnsi="Arial" w:cs="Arial"/>
          <w:color w:val="auto"/>
          <w:sz w:val="20"/>
          <w:szCs w:val="20"/>
          <w:lang w:val="en-GB"/>
        </w:rPr>
      </w:pPr>
    </w:p>
    <w:p w14:paraId="3C80B1B5" w14:textId="56564F58" w:rsidR="003E779D" w:rsidRPr="003E779D" w:rsidRDefault="003E779D" w:rsidP="007C6C6F">
      <w:pPr>
        <w:pStyle w:val="Heading2"/>
      </w:pPr>
      <w:r w:rsidRPr="003E779D">
        <w:t>2</w:t>
      </w:r>
      <w:r w:rsidR="00D3279C">
        <w:t>4</w:t>
      </w:r>
      <w:r w:rsidR="00484DC3">
        <w:tab/>
      </w:r>
      <w:r w:rsidRPr="003E779D">
        <w:t>Capital Expenditure and Capital Financing</w:t>
      </w:r>
    </w:p>
    <w:p w14:paraId="302E31B0" w14:textId="77777777" w:rsidR="003E779D" w:rsidRDefault="003E779D" w:rsidP="003E779D">
      <w:pPr>
        <w:widowControl w:val="0"/>
        <w:tabs>
          <w:tab w:val="left" w:pos="2520"/>
          <w:tab w:val="left" w:pos="7200"/>
          <w:tab w:val="left" w:pos="8460"/>
        </w:tabs>
        <w:rPr>
          <w:rFonts w:ascii="Arial" w:hAnsi="Arial" w:cs="Arial"/>
        </w:rPr>
      </w:pPr>
    </w:p>
    <w:p w14:paraId="77350AF8" w14:textId="76C4DDBA" w:rsidR="003E779D" w:rsidRDefault="003E779D" w:rsidP="00047178">
      <w:pPr>
        <w:widowControl w:val="0"/>
        <w:tabs>
          <w:tab w:val="left" w:pos="2520"/>
          <w:tab w:val="left" w:pos="7200"/>
          <w:tab w:val="left" w:pos="8460"/>
        </w:tabs>
        <w:jc w:val="both"/>
        <w:rPr>
          <w:rFonts w:asciiTheme="minorHAnsi" w:hAnsiTheme="minorHAnsi" w:cs="Arial"/>
          <w:sz w:val="22"/>
          <w:szCs w:val="22"/>
        </w:rPr>
      </w:pPr>
      <w:r w:rsidRPr="003E779D">
        <w:rPr>
          <w:rFonts w:asciiTheme="minorHAnsi" w:hAnsiTheme="minorHAnsi" w:cs="Arial"/>
          <w:sz w:val="22"/>
          <w:szCs w:val="22"/>
        </w:rPr>
        <w:t xml:space="preserve">The total amount of capital expenditure incurred in the year is shown in the table below together with the resources that have been used to finance it.  Where capital expenditure is to be financed in future </w:t>
      </w:r>
      <w:proofErr w:type="gramStart"/>
      <w:r w:rsidRPr="003E779D">
        <w:rPr>
          <w:rFonts w:asciiTheme="minorHAnsi" w:hAnsiTheme="minorHAnsi" w:cs="Arial"/>
          <w:sz w:val="22"/>
          <w:szCs w:val="22"/>
        </w:rPr>
        <w:t>years  by</w:t>
      </w:r>
      <w:proofErr w:type="gramEnd"/>
      <w:r w:rsidRPr="003E779D">
        <w:rPr>
          <w:rFonts w:asciiTheme="minorHAnsi" w:hAnsiTheme="minorHAnsi" w:cs="Arial"/>
          <w:sz w:val="22"/>
          <w:szCs w:val="22"/>
        </w:rPr>
        <w:t xml:space="preserve"> charges to revenue as assets are used by the Council, the expenditure results in an increase in the Capital Financing Requirement (CFR), a measure of the capital expenditure incurred historically by the Council that has yet to be financed.  The CFR is analysed in the second part of this note.</w:t>
      </w:r>
    </w:p>
    <w:p w14:paraId="347A3419" w14:textId="77777777" w:rsidR="00274A22" w:rsidRDefault="00274A22" w:rsidP="00047178">
      <w:pPr>
        <w:widowControl w:val="0"/>
        <w:tabs>
          <w:tab w:val="left" w:pos="2520"/>
          <w:tab w:val="left" w:pos="7200"/>
          <w:tab w:val="left" w:pos="846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Capital Expenditure and Capital Financing"/>
        <w:tblDescription w:val="Capital Expenditure and Capital Financing"/>
      </w:tblPr>
      <w:tblGrid>
        <w:gridCol w:w="1680"/>
        <w:gridCol w:w="5840"/>
        <w:gridCol w:w="1720"/>
      </w:tblGrid>
      <w:tr w:rsidR="003E779D" w:rsidRPr="003E779D" w14:paraId="3D1B7E3D"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7C74D89B" w14:textId="0D328C6C" w:rsidR="003E779D" w:rsidRPr="003E779D" w:rsidRDefault="003E779D" w:rsidP="000767BD">
            <w:pPr>
              <w:jc w:val="right"/>
              <w:rPr>
                <w:rFonts w:ascii="Calibri" w:hAnsi="Calibri"/>
                <w:color w:val="000000"/>
                <w:lang w:eastAsia="en-GB"/>
              </w:rPr>
            </w:pPr>
            <w:r w:rsidRPr="003E779D">
              <w:rPr>
                <w:rFonts w:ascii="Calibri" w:hAnsi="Calibri"/>
                <w:color w:val="000000"/>
                <w:lang w:eastAsia="en-GB"/>
              </w:rPr>
              <w:t>20</w:t>
            </w:r>
            <w:r w:rsidR="004F54C5">
              <w:rPr>
                <w:rFonts w:ascii="Calibri" w:hAnsi="Calibri"/>
                <w:color w:val="000000"/>
                <w:lang w:eastAsia="en-GB"/>
              </w:rPr>
              <w:t>2</w:t>
            </w:r>
            <w:r w:rsidR="00EF1C9E">
              <w:rPr>
                <w:rFonts w:ascii="Calibri" w:hAnsi="Calibri"/>
                <w:color w:val="000000"/>
                <w:lang w:eastAsia="en-GB"/>
              </w:rPr>
              <w:t>1</w:t>
            </w:r>
            <w:r w:rsidRPr="003E779D">
              <w:rPr>
                <w:rFonts w:ascii="Calibri" w:hAnsi="Calibri"/>
                <w:color w:val="000000"/>
                <w:lang w:eastAsia="en-GB"/>
              </w:rPr>
              <w:t>-</w:t>
            </w:r>
            <w:r w:rsidR="000767BD">
              <w:rPr>
                <w:rFonts w:ascii="Calibri" w:hAnsi="Calibri"/>
                <w:color w:val="000000"/>
                <w:lang w:eastAsia="en-GB"/>
              </w:rPr>
              <w:t>2</w:t>
            </w:r>
            <w:r w:rsidR="00EF1C9E">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FABF8F"/>
            <w:vAlign w:val="center"/>
            <w:hideMark/>
          </w:tcPr>
          <w:p w14:paraId="29A6A267" w14:textId="77777777" w:rsidR="003E779D" w:rsidRPr="003E779D" w:rsidRDefault="003E779D" w:rsidP="003E779D">
            <w:pPr>
              <w:ind w:firstLineChars="100" w:firstLine="200"/>
              <w:rPr>
                <w:rFonts w:ascii="Calibri" w:hAnsi="Calibri"/>
                <w:color w:val="000000"/>
                <w:lang w:eastAsia="en-GB"/>
              </w:rPr>
            </w:pPr>
            <w:r w:rsidRPr="003E779D">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FABF8F"/>
            <w:vAlign w:val="center"/>
            <w:hideMark/>
          </w:tcPr>
          <w:p w14:paraId="78B11910" w14:textId="48ADD34B" w:rsidR="003E779D" w:rsidRPr="003E779D" w:rsidRDefault="000767BD" w:rsidP="000767BD">
            <w:pPr>
              <w:jc w:val="right"/>
              <w:rPr>
                <w:rFonts w:ascii="Calibri" w:hAnsi="Calibri"/>
                <w:color w:val="000000"/>
                <w:lang w:eastAsia="en-GB"/>
              </w:rPr>
            </w:pPr>
            <w:r>
              <w:rPr>
                <w:rFonts w:ascii="Calibri" w:hAnsi="Calibri"/>
                <w:color w:val="000000"/>
                <w:lang w:eastAsia="en-GB"/>
              </w:rPr>
              <w:t>202</w:t>
            </w:r>
            <w:r w:rsidR="00EF1C9E">
              <w:rPr>
                <w:rFonts w:ascii="Calibri" w:hAnsi="Calibri"/>
                <w:color w:val="000000"/>
                <w:lang w:eastAsia="en-GB"/>
              </w:rPr>
              <w:t>2</w:t>
            </w:r>
            <w:r w:rsidR="008A4B3E">
              <w:rPr>
                <w:rFonts w:ascii="Calibri" w:hAnsi="Calibri"/>
                <w:color w:val="000000"/>
                <w:lang w:eastAsia="en-GB"/>
              </w:rPr>
              <w:t>-2</w:t>
            </w:r>
            <w:r w:rsidR="00EF1C9E">
              <w:rPr>
                <w:rFonts w:ascii="Calibri" w:hAnsi="Calibri"/>
                <w:color w:val="000000"/>
                <w:lang w:eastAsia="en-GB"/>
              </w:rPr>
              <w:t>3</w:t>
            </w:r>
          </w:p>
        </w:tc>
      </w:tr>
      <w:tr w:rsidR="003E779D" w:rsidRPr="003E779D" w14:paraId="785F264F" w14:textId="77777777" w:rsidTr="003E779D">
        <w:trPr>
          <w:trHeight w:val="300"/>
        </w:trPr>
        <w:tc>
          <w:tcPr>
            <w:tcW w:w="1680" w:type="dxa"/>
            <w:tcBorders>
              <w:top w:val="nil"/>
              <w:left w:val="single" w:sz="4" w:space="0" w:color="FFFFFF"/>
              <w:bottom w:val="single" w:sz="4" w:space="0" w:color="FFFFFF"/>
              <w:right w:val="single" w:sz="4" w:space="0" w:color="FFFFFF"/>
            </w:tcBorders>
            <w:shd w:val="clear" w:color="000000" w:fill="FABF8F"/>
            <w:vAlign w:val="center"/>
            <w:hideMark/>
          </w:tcPr>
          <w:p w14:paraId="62C6B4B6"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FABF8F"/>
            <w:vAlign w:val="center"/>
            <w:hideMark/>
          </w:tcPr>
          <w:p w14:paraId="7C0FA00D" w14:textId="77777777" w:rsidR="003E779D" w:rsidRPr="003E779D" w:rsidRDefault="003E779D" w:rsidP="003E779D">
            <w:pPr>
              <w:ind w:firstLineChars="100" w:firstLine="200"/>
              <w:jc w:val="right"/>
              <w:rPr>
                <w:rFonts w:ascii="Calibri" w:hAnsi="Calibri"/>
                <w:color w:val="000000"/>
                <w:lang w:eastAsia="en-GB"/>
              </w:rPr>
            </w:pPr>
            <w:r w:rsidRPr="003E779D">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FABF8F"/>
            <w:vAlign w:val="center"/>
            <w:hideMark/>
          </w:tcPr>
          <w:p w14:paraId="7E7C0F2D"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£’000</w:t>
            </w:r>
          </w:p>
        </w:tc>
      </w:tr>
      <w:tr w:rsidR="003E779D" w:rsidRPr="003E779D" w14:paraId="7272E66C" w14:textId="77777777" w:rsidTr="003E779D">
        <w:trPr>
          <w:trHeight w:val="300"/>
        </w:trPr>
        <w:tc>
          <w:tcPr>
            <w:tcW w:w="1680" w:type="dxa"/>
            <w:tcBorders>
              <w:top w:val="nil"/>
              <w:left w:val="single" w:sz="4" w:space="0" w:color="FFFFFF"/>
              <w:bottom w:val="single" w:sz="4" w:space="0" w:color="FFFFFF"/>
              <w:right w:val="single" w:sz="4" w:space="0" w:color="FFFFFF"/>
            </w:tcBorders>
            <w:shd w:val="clear" w:color="000000" w:fill="FCD5B4"/>
            <w:vAlign w:val="center"/>
            <w:hideMark/>
          </w:tcPr>
          <w:p w14:paraId="754D935E" w14:textId="25F52E2E" w:rsidR="003E779D" w:rsidRPr="003E779D" w:rsidRDefault="003E779D" w:rsidP="008A4B3E">
            <w:pPr>
              <w:jc w:val="right"/>
              <w:rPr>
                <w:rFonts w:ascii="Calibri" w:hAnsi="Calibri"/>
                <w:b/>
                <w:bCs/>
                <w:color w:val="000000"/>
                <w:lang w:eastAsia="en-GB"/>
              </w:rPr>
            </w:pPr>
            <w:r w:rsidRPr="003E779D">
              <w:rPr>
                <w:rFonts w:ascii="Calibri" w:hAnsi="Calibri"/>
                <w:b/>
                <w:bCs/>
                <w:color w:val="000000"/>
                <w:lang w:eastAsia="en-GB"/>
              </w:rPr>
              <w:t>31,</w:t>
            </w:r>
            <w:r w:rsidR="008A4B3E">
              <w:rPr>
                <w:rFonts w:ascii="Calibri" w:hAnsi="Calibri"/>
                <w:b/>
                <w:bCs/>
                <w:color w:val="000000"/>
                <w:lang w:eastAsia="en-GB"/>
              </w:rPr>
              <w:t>5</w:t>
            </w:r>
            <w:r w:rsidR="00EF1C9E">
              <w:rPr>
                <w:rFonts w:ascii="Calibri" w:hAnsi="Calibri"/>
                <w:b/>
                <w:bCs/>
                <w:color w:val="000000"/>
                <w:lang w:eastAsia="en-GB"/>
              </w:rPr>
              <w:t>62</w:t>
            </w:r>
          </w:p>
        </w:tc>
        <w:tc>
          <w:tcPr>
            <w:tcW w:w="5840" w:type="dxa"/>
            <w:tcBorders>
              <w:top w:val="nil"/>
              <w:left w:val="nil"/>
              <w:bottom w:val="single" w:sz="4" w:space="0" w:color="FFFFFF"/>
              <w:right w:val="single" w:sz="4" w:space="0" w:color="FFFFFF"/>
            </w:tcBorders>
            <w:shd w:val="clear" w:color="000000" w:fill="FCD5B4"/>
            <w:vAlign w:val="center"/>
            <w:hideMark/>
          </w:tcPr>
          <w:p w14:paraId="3C1B61ED"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Opening Capital Financing Requirement</w:t>
            </w:r>
          </w:p>
        </w:tc>
        <w:tc>
          <w:tcPr>
            <w:tcW w:w="1720" w:type="dxa"/>
            <w:tcBorders>
              <w:top w:val="nil"/>
              <w:left w:val="nil"/>
              <w:bottom w:val="single" w:sz="4" w:space="0" w:color="FFFFFF"/>
              <w:right w:val="single" w:sz="4" w:space="0" w:color="FFFFFF"/>
            </w:tcBorders>
            <w:shd w:val="clear" w:color="000000" w:fill="FCD5B4"/>
            <w:vAlign w:val="center"/>
            <w:hideMark/>
          </w:tcPr>
          <w:p w14:paraId="0188A6C8" w14:textId="68E70ECB" w:rsidR="003E779D" w:rsidRPr="003E779D" w:rsidRDefault="003E779D" w:rsidP="000767BD">
            <w:pPr>
              <w:jc w:val="right"/>
              <w:rPr>
                <w:rFonts w:ascii="Calibri" w:hAnsi="Calibri"/>
                <w:b/>
                <w:bCs/>
                <w:color w:val="000000"/>
                <w:lang w:eastAsia="en-GB"/>
              </w:rPr>
            </w:pPr>
            <w:r w:rsidRPr="003E779D">
              <w:rPr>
                <w:rFonts w:ascii="Calibri" w:hAnsi="Calibri"/>
                <w:b/>
                <w:bCs/>
                <w:color w:val="000000"/>
                <w:lang w:eastAsia="en-GB"/>
              </w:rPr>
              <w:t>31,</w:t>
            </w:r>
            <w:r w:rsidR="002E1270">
              <w:rPr>
                <w:rFonts w:ascii="Calibri" w:hAnsi="Calibri"/>
                <w:b/>
                <w:bCs/>
                <w:color w:val="000000"/>
                <w:lang w:eastAsia="en-GB"/>
              </w:rPr>
              <w:t>5</w:t>
            </w:r>
            <w:r w:rsidR="00EF1C9E">
              <w:rPr>
                <w:rFonts w:ascii="Calibri" w:hAnsi="Calibri"/>
                <w:b/>
                <w:bCs/>
                <w:color w:val="000000"/>
                <w:lang w:eastAsia="en-GB"/>
              </w:rPr>
              <w:t>50</w:t>
            </w:r>
          </w:p>
        </w:tc>
      </w:tr>
      <w:tr w:rsidR="003E779D" w:rsidRPr="003E779D" w14:paraId="4D7B0D76" w14:textId="77777777" w:rsidTr="003E779D">
        <w:trPr>
          <w:trHeight w:val="300"/>
        </w:trPr>
        <w:tc>
          <w:tcPr>
            <w:tcW w:w="1680" w:type="dxa"/>
            <w:tcBorders>
              <w:top w:val="nil"/>
              <w:left w:val="nil"/>
              <w:bottom w:val="nil"/>
              <w:right w:val="nil"/>
            </w:tcBorders>
            <w:shd w:val="clear" w:color="000000" w:fill="FDE9D9"/>
            <w:vAlign w:val="center"/>
            <w:hideMark/>
          </w:tcPr>
          <w:p w14:paraId="3CFEBE0A"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 </w:t>
            </w:r>
          </w:p>
        </w:tc>
        <w:tc>
          <w:tcPr>
            <w:tcW w:w="5840" w:type="dxa"/>
            <w:tcBorders>
              <w:top w:val="nil"/>
              <w:left w:val="nil"/>
              <w:bottom w:val="nil"/>
              <w:right w:val="nil"/>
            </w:tcBorders>
            <w:shd w:val="clear" w:color="000000" w:fill="FDE9D9"/>
            <w:vAlign w:val="center"/>
            <w:hideMark/>
          </w:tcPr>
          <w:p w14:paraId="13CD4DF1"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Capital Investment:</w:t>
            </w:r>
          </w:p>
        </w:tc>
        <w:tc>
          <w:tcPr>
            <w:tcW w:w="1720" w:type="dxa"/>
            <w:tcBorders>
              <w:top w:val="nil"/>
              <w:left w:val="nil"/>
              <w:bottom w:val="nil"/>
              <w:right w:val="nil"/>
            </w:tcBorders>
            <w:shd w:val="clear" w:color="000000" w:fill="FDE9D9"/>
            <w:vAlign w:val="center"/>
            <w:hideMark/>
          </w:tcPr>
          <w:p w14:paraId="4633D4E4"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 </w:t>
            </w:r>
          </w:p>
        </w:tc>
      </w:tr>
      <w:tr w:rsidR="003E779D" w:rsidRPr="003E779D" w14:paraId="7D5906EA" w14:textId="77777777" w:rsidTr="004A22D5">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04C05185" w14:textId="0EF9B530" w:rsidR="003E779D" w:rsidRPr="003E779D" w:rsidRDefault="000767BD" w:rsidP="002E1270">
            <w:pPr>
              <w:jc w:val="right"/>
              <w:rPr>
                <w:rFonts w:ascii="Calibri" w:hAnsi="Calibri"/>
                <w:color w:val="000000"/>
                <w:lang w:eastAsia="en-GB"/>
              </w:rPr>
            </w:pPr>
            <w:r>
              <w:rPr>
                <w:rFonts w:ascii="Calibri" w:hAnsi="Calibri"/>
                <w:color w:val="000000"/>
                <w:lang w:eastAsia="en-GB"/>
              </w:rPr>
              <w:t>2,</w:t>
            </w:r>
            <w:r w:rsidR="00EF1C9E">
              <w:rPr>
                <w:rFonts w:ascii="Calibri" w:hAnsi="Calibri"/>
                <w:color w:val="000000"/>
                <w:lang w:eastAsia="en-GB"/>
              </w:rPr>
              <w:t>146</w:t>
            </w:r>
          </w:p>
        </w:tc>
        <w:tc>
          <w:tcPr>
            <w:tcW w:w="5840" w:type="dxa"/>
            <w:tcBorders>
              <w:top w:val="single" w:sz="4" w:space="0" w:color="FFFFFF"/>
              <w:left w:val="nil"/>
              <w:bottom w:val="single" w:sz="4" w:space="0" w:color="FFFFFF"/>
              <w:right w:val="single" w:sz="4" w:space="0" w:color="FFFFFF"/>
            </w:tcBorders>
            <w:shd w:val="clear" w:color="000000" w:fill="FDE9D9"/>
            <w:vAlign w:val="center"/>
            <w:hideMark/>
          </w:tcPr>
          <w:p w14:paraId="61041323" w14:textId="77777777" w:rsidR="003E779D" w:rsidRPr="003E779D" w:rsidRDefault="003E779D" w:rsidP="003E779D">
            <w:pPr>
              <w:rPr>
                <w:rFonts w:ascii="Calibri" w:hAnsi="Calibri"/>
                <w:color w:val="000000"/>
                <w:lang w:eastAsia="en-GB"/>
              </w:rPr>
            </w:pPr>
            <w:r w:rsidRPr="003E779D">
              <w:rPr>
                <w:rFonts w:ascii="Calibri" w:hAnsi="Calibri"/>
                <w:color w:val="000000"/>
                <w:lang w:eastAsia="en-GB"/>
              </w:rPr>
              <w:t>Property, Plant and Equipment</w:t>
            </w:r>
          </w:p>
        </w:tc>
        <w:tc>
          <w:tcPr>
            <w:tcW w:w="1720" w:type="dxa"/>
            <w:tcBorders>
              <w:top w:val="single" w:sz="4" w:space="0" w:color="FFFFFF"/>
              <w:left w:val="nil"/>
              <w:bottom w:val="single" w:sz="4" w:space="0" w:color="FFFFFF"/>
              <w:right w:val="single" w:sz="4" w:space="0" w:color="FFFFFF"/>
            </w:tcBorders>
            <w:shd w:val="clear" w:color="000000" w:fill="FDE9D9"/>
            <w:vAlign w:val="center"/>
          </w:tcPr>
          <w:p w14:paraId="745F0BEA" w14:textId="3BE40CE1" w:rsidR="003E779D" w:rsidRPr="003E779D" w:rsidRDefault="00A17425" w:rsidP="001601DB">
            <w:pPr>
              <w:jc w:val="right"/>
              <w:rPr>
                <w:rFonts w:ascii="Calibri" w:hAnsi="Calibri"/>
                <w:color w:val="000000"/>
                <w:lang w:eastAsia="en-GB"/>
              </w:rPr>
            </w:pPr>
            <w:r>
              <w:rPr>
                <w:rFonts w:ascii="Calibri" w:hAnsi="Calibri"/>
                <w:color w:val="000000"/>
                <w:lang w:eastAsia="en-GB"/>
              </w:rPr>
              <w:t>3,727</w:t>
            </w:r>
          </w:p>
        </w:tc>
      </w:tr>
      <w:tr w:rsidR="003E779D" w:rsidRPr="003E779D" w14:paraId="38FAAD1F"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DE9D9"/>
            <w:vAlign w:val="center"/>
            <w:hideMark/>
          </w:tcPr>
          <w:p w14:paraId="5B6B4966" w14:textId="15950CA4" w:rsidR="003E779D" w:rsidRPr="003E779D" w:rsidRDefault="00EF1C9E" w:rsidP="003E779D">
            <w:pPr>
              <w:jc w:val="right"/>
              <w:rPr>
                <w:rFonts w:ascii="Calibri" w:hAnsi="Calibri"/>
                <w:color w:val="000000"/>
                <w:lang w:eastAsia="en-GB"/>
              </w:rPr>
            </w:pPr>
            <w:r>
              <w:rPr>
                <w:rFonts w:ascii="Calibri" w:hAnsi="Calibri"/>
                <w:color w:val="000000"/>
                <w:lang w:eastAsia="en-GB"/>
              </w:rPr>
              <w:t>80</w:t>
            </w:r>
          </w:p>
        </w:tc>
        <w:tc>
          <w:tcPr>
            <w:tcW w:w="5840" w:type="dxa"/>
            <w:tcBorders>
              <w:top w:val="nil"/>
              <w:left w:val="nil"/>
              <w:bottom w:val="single" w:sz="4" w:space="0" w:color="FFFFFF"/>
              <w:right w:val="single" w:sz="4" w:space="0" w:color="FFFFFF"/>
            </w:tcBorders>
            <w:shd w:val="clear" w:color="000000" w:fill="FDE9D9"/>
            <w:vAlign w:val="center"/>
            <w:hideMark/>
          </w:tcPr>
          <w:p w14:paraId="3DEBBAC7" w14:textId="77777777" w:rsidR="003E779D" w:rsidRPr="003E779D" w:rsidRDefault="003E779D" w:rsidP="003E779D">
            <w:pPr>
              <w:rPr>
                <w:rFonts w:ascii="Calibri" w:hAnsi="Calibri"/>
                <w:color w:val="000000"/>
                <w:lang w:eastAsia="en-GB"/>
              </w:rPr>
            </w:pPr>
            <w:r w:rsidRPr="003E779D">
              <w:rPr>
                <w:rFonts w:ascii="Calibri" w:hAnsi="Calibri"/>
                <w:color w:val="000000"/>
                <w:lang w:eastAsia="en-GB"/>
              </w:rPr>
              <w:t>Intangible Assets</w:t>
            </w:r>
          </w:p>
        </w:tc>
        <w:tc>
          <w:tcPr>
            <w:tcW w:w="1720" w:type="dxa"/>
            <w:tcBorders>
              <w:top w:val="nil"/>
              <w:left w:val="nil"/>
              <w:bottom w:val="single" w:sz="4" w:space="0" w:color="FFFFFF"/>
              <w:right w:val="single" w:sz="4" w:space="0" w:color="FFFFFF"/>
            </w:tcBorders>
            <w:shd w:val="clear" w:color="000000" w:fill="FDE9D9"/>
            <w:vAlign w:val="center"/>
          </w:tcPr>
          <w:p w14:paraId="17692D47" w14:textId="36CED680" w:rsidR="003E779D" w:rsidRPr="003E779D" w:rsidRDefault="00A17425" w:rsidP="00835831">
            <w:pPr>
              <w:jc w:val="right"/>
              <w:rPr>
                <w:rFonts w:ascii="Calibri" w:hAnsi="Calibri"/>
                <w:color w:val="000000"/>
                <w:lang w:eastAsia="en-GB"/>
              </w:rPr>
            </w:pPr>
            <w:r>
              <w:rPr>
                <w:rFonts w:ascii="Calibri" w:hAnsi="Calibri"/>
                <w:color w:val="000000"/>
                <w:lang w:eastAsia="en-GB"/>
              </w:rPr>
              <w:t>0</w:t>
            </w:r>
          </w:p>
        </w:tc>
      </w:tr>
      <w:tr w:rsidR="003E779D" w:rsidRPr="003E779D" w14:paraId="0EA6A4AF"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DE9D9"/>
            <w:vAlign w:val="center"/>
            <w:hideMark/>
          </w:tcPr>
          <w:p w14:paraId="03D05E2D" w14:textId="7E650D3B" w:rsidR="003E779D" w:rsidRPr="003E779D" w:rsidRDefault="004F54C5" w:rsidP="003E779D">
            <w:pPr>
              <w:jc w:val="right"/>
              <w:rPr>
                <w:rFonts w:ascii="Calibri" w:hAnsi="Calibri"/>
                <w:color w:val="000000"/>
                <w:lang w:eastAsia="en-GB"/>
              </w:rPr>
            </w:pPr>
            <w:r>
              <w:rPr>
                <w:rFonts w:ascii="Calibri" w:hAnsi="Calibri"/>
                <w:color w:val="000000"/>
                <w:lang w:eastAsia="en-GB"/>
              </w:rPr>
              <w:t>2</w:t>
            </w:r>
            <w:r w:rsidR="00EF1C9E">
              <w:rPr>
                <w:rFonts w:ascii="Calibri" w:hAnsi="Calibri"/>
                <w:color w:val="000000"/>
                <w:lang w:eastAsia="en-GB"/>
              </w:rPr>
              <w:t>82</w:t>
            </w:r>
          </w:p>
        </w:tc>
        <w:tc>
          <w:tcPr>
            <w:tcW w:w="5840" w:type="dxa"/>
            <w:tcBorders>
              <w:top w:val="nil"/>
              <w:left w:val="nil"/>
              <w:bottom w:val="single" w:sz="4" w:space="0" w:color="FFFFFF"/>
              <w:right w:val="single" w:sz="4" w:space="0" w:color="FFFFFF"/>
            </w:tcBorders>
            <w:shd w:val="clear" w:color="000000" w:fill="FDE9D9"/>
            <w:vAlign w:val="center"/>
            <w:hideMark/>
          </w:tcPr>
          <w:p w14:paraId="6BB984A4" w14:textId="77777777" w:rsidR="003E779D" w:rsidRPr="003E779D" w:rsidRDefault="003E779D" w:rsidP="003E779D">
            <w:pPr>
              <w:rPr>
                <w:rFonts w:ascii="Calibri" w:hAnsi="Calibri"/>
                <w:color w:val="000000"/>
                <w:lang w:eastAsia="en-GB"/>
              </w:rPr>
            </w:pPr>
            <w:r w:rsidRPr="003E779D">
              <w:rPr>
                <w:rFonts w:ascii="Calibri" w:hAnsi="Calibri"/>
                <w:color w:val="000000"/>
                <w:lang w:eastAsia="en-GB"/>
              </w:rPr>
              <w:t>Revenue Expenditure funded from Capital under statute</w:t>
            </w:r>
          </w:p>
        </w:tc>
        <w:tc>
          <w:tcPr>
            <w:tcW w:w="1720" w:type="dxa"/>
            <w:tcBorders>
              <w:top w:val="nil"/>
              <w:left w:val="nil"/>
              <w:bottom w:val="single" w:sz="4" w:space="0" w:color="FFFFFF"/>
              <w:right w:val="single" w:sz="4" w:space="0" w:color="FFFFFF"/>
            </w:tcBorders>
            <w:shd w:val="clear" w:color="000000" w:fill="FDE9D9"/>
            <w:vAlign w:val="center"/>
          </w:tcPr>
          <w:p w14:paraId="47226C6E" w14:textId="5AFF010A" w:rsidR="003E779D" w:rsidRPr="003E779D" w:rsidRDefault="00A17425" w:rsidP="00DA1D31">
            <w:pPr>
              <w:jc w:val="right"/>
              <w:rPr>
                <w:rFonts w:ascii="Calibri" w:hAnsi="Calibri"/>
                <w:color w:val="000000"/>
                <w:lang w:eastAsia="en-GB"/>
              </w:rPr>
            </w:pPr>
            <w:r>
              <w:rPr>
                <w:rFonts w:ascii="Calibri" w:hAnsi="Calibri"/>
                <w:color w:val="000000"/>
                <w:lang w:eastAsia="en-GB"/>
              </w:rPr>
              <w:t>586</w:t>
            </w:r>
          </w:p>
        </w:tc>
      </w:tr>
      <w:tr w:rsidR="003E779D" w:rsidRPr="003E779D" w14:paraId="796ED30B" w14:textId="77777777" w:rsidTr="004A22D5">
        <w:trPr>
          <w:trHeight w:val="300"/>
        </w:trPr>
        <w:tc>
          <w:tcPr>
            <w:tcW w:w="1680" w:type="dxa"/>
            <w:tcBorders>
              <w:top w:val="nil"/>
              <w:left w:val="nil"/>
              <w:bottom w:val="nil"/>
              <w:right w:val="nil"/>
            </w:tcBorders>
            <w:shd w:val="clear" w:color="000000" w:fill="FDE9D9"/>
            <w:vAlign w:val="center"/>
            <w:hideMark/>
          </w:tcPr>
          <w:p w14:paraId="2A08968E"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 </w:t>
            </w:r>
          </w:p>
        </w:tc>
        <w:tc>
          <w:tcPr>
            <w:tcW w:w="5840" w:type="dxa"/>
            <w:tcBorders>
              <w:top w:val="nil"/>
              <w:left w:val="nil"/>
              <w:bottom w:val="nil"/>
              <w:right w:val="nil"/>
            </w:tcBorders>
            <w:shd w:val="clear" w:color="000000" w:fill="FDE9D9"/>
            <w:vAlign w:val="center"/>
            <w:hideMark/>
          </w:tcPr>
          <w:p w14:paraId="26849C48"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Sources of Finance</w:t>
            </w:r>
          </w:p>
        </w:tc>
        <w:tc>
          <w:tcPr>
            <w:tcW w:w="1720" w:type="dxa"/>
            <w:tcBorders>
              <w:top w:val="nil"/>
              <w:left w:val="nil"/>
              <w:bottom w:val="nil"/>
              <w:right w:val="nil"/>
            </w:tcBorders>
            <w:shd w:val="clear" w:color="000000" w:fill="FDE9D9"/>
            <w:vAlign w:val="center"/>
          </w:tcPr>
          <w:p w14:paraId="486C2FB3" w14:textId="77777777" w:rsidR="003E779D" w:rsidRPr="003E779D" w:rsidRDefault="003E779D" w:rsidP="003E779D">
            <w:pPr>
              <w:jc w:val="right"/>
              <w:rPr>
                <w:rFonts w:ascii="Calibri" w:hAnsi="Calibri"/>
                <w:color w:val="000000"/>
                <w:lang w:eastAsia="en-GB"/>
              </w:rPr>
            </w:pPr>
          </w:p>
        </w:tc>
      </w:tr>
      <w:tr w:rsidR="003E779D" w:rsidRPr="003E779D" w14:paraId="0B157730" w14:textId="77777777" w:rsidTr="004A22D5">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BA35837" w14:textId="56D33ADA" w:rsidR="003E779D" w:rsidRPr="003E779D" w:rsidRDefault="003E779D" w:rsidP="002E1270">
            <w:pPr>
              <w:jc w:val="right"/>
              <w:rPr>
                <w:rFonts w:ascii="Calibri" w:hAnsi="Calibri"/>
                <w:color w:val="000000"/>
                <w:lang w:eastAsia="en-GB"/>
              </w:rPr>
            </w:pPr>
            <w:r w:rsidRPr="003E779D">
              <w:rPr>
                <w:rFonts w:ascii="Calibri" w:hAnsi="Calibri"/>
                <w:color w:val="000000"/>
                <w:lang w:eastAsia="en-GB"/>
              </w:rPr>
              <w:t>-</w:t>
            </w:r>
            <w:r w:rsidR="00EF1C9E">
              <w:rPr>
                <w:rFonts w:ascii="Calibri" w:hAnsi="Calibri"/>
                <w:color w:val="000000"/>
                <w:lang w:eastAsia="en-GB"/>
              </w:rPr>
              <w:t>985</w:t>
            </w:r>
          </w:p>
        </w:tc>
        <w:tc>
          <w:tcPr>
            <w:tcW w:w="5840" w:type="dxa"/>
            <w:tcBorders>
              <w:top w:val="single" w:sz="4" w:space="0" w:color="FFFFFF"/>
              <w:left w:val="nil"/>
              <w:bottom w:val="single" w:sz="4" w:space="0" w:color="FFFFFF"/>
              <w:right w:val="single" w:sz="4" w:space="0" w:color="FFFFFF"/>
            </w:tcBorders>
            <w:shd w:val="clear" w:color="000000" w:fill="FDE9D9"/>
            <w:vAlign w:val="center"/>
            <w:hideMark/>
          </w:tcPr>
          <w:p w14:paraId="347BFC57" w14:textId="77777777" w:rsidR="003E779D" w:rsidRPr="00F61B7C" w:rsidRDefault="003E779D" w:rsidP="003E779D">
            <w:pPr>
              <w:rPr>
                <w:rFonts w:ascii="Calibri" w:hAnsi="Calibri"/>
                <w:color w:val="000000"/>
                <w:lang w:eastAsia="en-GB"/>
              </w:rPr>
            </w:pPr>
            <w:r w:rsidRPr="00F61B7C">
              <w:rPr>
                <w:rFonts w:ascii="Calibri" w:hAnsi="Calibri"/>
                <w:color w:val="000000"/>
                <w:lang w:eastAsia="en-GB"/>
              </w:rPr>
              <w:t>Capital Receipts</w:t>
            </w:r>
          </w:p>
        </w:tc>
        <w:tc>
          <w:tcPr>
            <w:tcW w:w="1720" w:type="dxa"/>
            <w:tcBorders>
              <w:top w:val="single" w:sz="4" w:space="0" w:color="FFFFFF"/>
              <w:left w:val="nil"/>
              <w:bottom w:val="single" w:sz="4" w:space="0" w:color="FFFFFF"/>
              <w:right w:val="single" w:sz="4" w:space="0" w:color="FFFFFF"/>
            </w:tcBorders>
            <w:shd w:val="clear" w:color="000000" w:fill="FDE9D9"/>
            <w:vAlign w:val="center"/>
          </w:tcPr>
          <w:p w14:paraId="138C5E97" w14:textId="02223385" w:rsidR="003E779D" w:rsidRPr="00F61B7C" w:rsidRDefault="00A17425" w:rsidP="00172F9F">
            <w:pPr>
              <w:jc w:val="right"/>
              <w:rPr>
                <w:rFonts w:ascii="Calibri" w:hAnsi="Calibri"/>
                <w:color w:val="000000"/>
                <w:lang w:eastAsia="en-GB"/>
              </w:rPr>
            </w:pPr>
            <w:r>
              <w:rPr>
                <w:rFonts w:ascii="Calibri" w:hAnsi="Calibri"/>
                <w:color w:val="000000"/>
                <w:lang w:eastAsia="en-GB"/>
              </w:rPr>
              <w:t>-1,315</w:t>
            </w:r>
          </w:p>
        </w:tc>
      </w:tr>
      <w:tr w:rsidR="003E779D" w:rsidRPr="003E779D" w14:paraId="27D20B99"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DE9D9"/>
            <w:vAlign w:val="center"/>
            <w:hideMark/>
          </w:tcPr>
          <w:p w14:paraId="518A25FB" w14:textId="66148188" w:rsidR="003E779D" w:rsidRPr="003E779D" w:rsidRDefault="003E779D" w:rsidP="002E1270">
            <w:pPr>
              <w:jc w:val="right"/>
              <w:rPr>
                <w:rFonts w:ascii="Calibri" w:hAnsi="Calibri"/>
                <w:color w:val="000000"/>
                <w:lang w:eastAsia="en-GB"/>
              </w:rPr>
            </w:pPr>
            <w:r w:rsidRPr="003E779D">
              <w:rPr>
                <w:rFonts w:ascii="Calibri" w:hAnsi="Calibri"/>
                <w:color w:val="000000"/>
                <w:lang w:eastAsia="en-GB"/>
              </w:rPr>
              <w:t>-</w:t>
            </w:r>
            <w:r w:rsidR="00EF1C9E">
              <w:rPr>
                <w:rFonts w:ascii="Calibri" w:hAnsi="Calibri"/>
                <w:color w:val="000000"/>
                <w:lang w:eastAsia="en-GB"/>
              </w:rPr>
              <w:t>296</w:t>
            </w:r>
          </w:p>
        </w:tc>
        <w:tc>
          <w:tcPr>
            <w:tcW w:w="5840" w:type="dxa"/>
            <w:tcBorders>
              <w:top w:val="nil"/>
              <w:left w:val="nil"/>
              <w:bottom w:val="single" w:sz="4" w:space="0" w:color="FFFFFF"/>
              <w:right w:val="single" w:sz="4" w:space="0" w:color="FFFFFF"/>
            </w:tcBorders>
            <w:shd w:val="clear" w:color="000000" w:fill="FDE9D9"/>
            <w:vAlign w:val="center"/>
            <w:hideMark/>
          </w:tcPr>
          <w:p w14:paraId="3BDFFB34" w14:textId="77777777" w:rsidR="003E779D" w:rsidRPr="001601DB" w:rsidRDefault="003E779D" w:rsidP="003E779D">
            <w:pPr>
              <w:rPr>
                <w:rFonts w:ascii="Calibri" w:hAnsi="Calibri"/>
                <w:lang w:eastAsia="en-GB"/>
              </w:rPr>
            </w:pPr>
            <w:r w:rsidRPr="001601DB">
              <w:rPr>
                <w:rFonts w:ascii="Calibri" w:hAnsi="Calibri"/>
                <w:lang w:eastAsia="en-GB"/>
              </w:rPr>
              <w:t>Government Grants and other contributions</w:t>
            </w:r>
          </w:p>
        </w:tc>
        <w:tc>
          <w:tcPr>
            <w:tcW w:w="1720" w:type="dxa"/>
            <w:tcBorders>
              <w:top w:val="nil"/>
              <w:left w:val="nil"/>
              <w:bottom w:val="single" w:sz="4" w:space="0" w:color="FFFFFF"/>
              <w:right w:val="single" w:sz="4" w:space="0" w:color="FFFFFF"/>
            </w:tcBorders>
            <w:shd w:val="clear" w:color="000000" w:fill="FDE9D9"/>
            <w:vAlign w:val="center"/>
          </w:tcPr>
          <w:p w14:paraId="1AB4DEBF" w14:textId="0FFC471C" w:rsidR="003E779D" w:rsidRPr="001601DB" w:rsidRDefault="00A17425" w:rsidP="00425D7E">
            <w:pPr>
              <w:jc w:val="right"/>
              <w:rPr>
                <w:rFonts w:ascii="Calibri" w:hAnsi="Calibri"/>
                <w:lang w:eastAsia="en-GB"/>
              </w:rPr>
            </w:pPr>
            <w:r>
              <w:rPr>
                <w:rFonts w:ascii="Calibri" w:hAnsi="Calibri"/>
                <w:lang w:eastAsia="en-GB"/>
              </w:rPr>
              <w:t>-827</w:t>
            </w:r>
          </w:p>
        </w:tc>
      </w:tr>
      <w:tr w:rsidR="003E779D" w:rsidRPr="003E779D" w14:paraId="5913B85F" w14:textId="77777777" w:rsidTr="004A22D5">
        <w:trPr>
          <w:trHeight w:val="300"/>
        </w:trPr>
        <w:tc>
          <w:tcPr>
            <w:tcW w:w="1680" w:type="dxa"/>
            <w:tcBorders>
              <w:top w:val="nil"/>
              <w:left w:val="nil"/>
              <w:bottom w:val="nil"/>
              <w:right w:val="nil"/>
            </w:tcBorders>
            <w:shd w:val="clear" w:color="000000" w:fill="FDE9D9"/>
            <w:vAlign w:val="center"/>
            <w:hideMark/>
          </w:tcPr>
          <w:p w14:paraId="4013A7A0"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 </w:t>
            </w:r>
          </w:p>
        </w:tc>
        <w:tc>
          <w:tcPr>
            <w:tcW w:w="5840" w:type="dxa"/>
            <w:tcBorders>
              <w:top w:val="nil"/>
              <w:left w:val="nil"/>
              <w:bottom w:val="nil"/>
              <w:right w:val="nil"/>
            </w:tcBorders>
            <w:shd w:val="clear" w:color="000000" w:fill="FDE9D9"/>
            <w:vAlign w:val="center"/>
            <w:hideMark/>
          </w:tcPr>
          <w:p w14:paraId="4D12840F" w14:textId="77777777" w:rsidR="003E779D" w:rsidRPr="001601DB" w:rsidRDefault="003E779D" w:rsidP="003E779D">
            <w:pPr>
              <w:rPr>
                <w:rFonts w:ascii="Calibri" w:hAnsi="Calibri"/>
                <w:b/>
                <w:bCs/>
                <w:color w:val="000000"/>
                <w:lang w:eastAsia="en-GB"/>
              </w:rPr>
            </w:pPr>
            <w:r w:rsidRPr="001601DB">
              <w:rPr>
                <w:rFonts w:ascii="Calibri" w:hAnsi="Calibri"/>
                <w:b/>
                <w:bCs/>
                <w:color w:val="000000"/>
                <w:lang w:eastAsia="en-GB"/>
              </w:rPr>
              <w:t>Sums set aside from revenue:</w:t>
            </w:r>
          </w:p>
        </w:tc>
        <w:tc>
          <w:tcPr>
            <w:tcW w:w="1720" w:type="dxa"/>
            <w:tcBorders>
              <w:top w:val="nil"/>
              <w:left w:val="nil"/>
              <w:bottom w:val="nil"/>
              <w:right w:val="nil"/>
            </w:tcBorders>
            <w:shd w:val="clear" w:color="000000" w:fill="FDE9D9"/>
            <w:vAlign w:val="center"/>
          </w:tcPr>
          <w:p w14:paraId="5A61129B" w14:textId="77777777" w:rsidR="003E779D" w:rsidRPr="001601DB" w:rsidRDefault="003E779D" w:rsidP="003E779D">
            <w:pPr>
              <w:jc w:val="right"/>
              <w:rPr>
                <w:rFonts w:ascii="Calibri" w:hAnsi="Calibri"/>
                <w:color w:val="000000"/>
                <w:lang w:eastAsia="en-GB"/>
              </w:rPr>
            </w:pPr>
          </w:p>
        </w:tc>
      </w:tr>
      <w:tr w:rsidR="003E779D" w:rsidRPr="00574DB5" w14:paraId="35A028DF" w14:textId="77777777" w:rsidTr="004A22D5">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494FC36" w14:textId="6DB215F8" w:rsidR="003E779D" w:rsidRPr="003E779D" w:rsidRDefault="002E1270" w:rsidP="003E779D">
            <w:pPr>
              <w:jc w:val="right"/>
              <w:rPr>
                <w:rFonts w:ascii="Calibri" w:hAnsi="Calibri"/>
                <w:color w:val="000000"/>
                <w:lang w:eastAsia="en-GB"/>
              </w:rPr>
            </w:pPr>
            <w:r>
              <w:rPr>
                <w:rFonts w:ascii="Calibri" w:hAnsi="Calibri"/>
                <w:color w:val="000000"/>
                <w:lang w:eastAsia="en-GB"/>
              </w:rPr>
              <w:t>-</w:t>
            </w:r>
            <w:r w:rsidR="004F54C5">
              <w:rPr>
                <w:rFonts w:ascii="Calibri" w:hAnsi="Calibri"/>
                <w:color w:val="000000"/>
                <w:lang w:eastAsia="en-GB"/>
              </w:rPr>
              <w:t>1,</w:t>
            </w:r>
            <w:r w:rsidR="00EF1C9E">
              <w:rPr>
                <w:rFonts w:ascii="Calibri" w:hAnsi="Calibri"/>
                <w:color w:val="000000"/>
                <w:lang w:eastAsia="en-GB"/>
              </w:rPr>
              <w:t>227</w:t>
            </w:r>
          </w:p>
        </w:tc>
        <w:tc>
          <w:tcPr>
            <w:tcW w:w="5840" w:type="dxa"/>
            <w:tcBorders>
              <w:top w:val="single" w:sz="4" w:space="0" w:color="FFFFFF"/>
              <w:left w:val="nil"/>
              <w:bottom w:val="single" w:sz="4" w:space="0" w:color="FFFFFF"/>
              <w:right w:val="single" w:sz="4" w:space="0" w:color="FFFFFF"/>
            </w:tcBorders>
            <w:shd w:val="clear" w:color="000000" w:fill="FDE9D9"/>
            <w:vAlign w:val="center"/>
            <w:hideMark/>
          </w:tcPr>
          <w:p w14:paraId="429C8C71" w14:textId="77777777" w:rsidR="003E779D" w:rsidRPr="001601DB" w:rsidRDefault="003E779D" w:rsidP="003E779D">
            <w:pPr>
              <w:rPr>
                <w:rFonts w:ascii="Calibri" w:hAnsi="Calibri"/>
                <w:color w:val="000000"/>
                <w:lang w:eastAsia="en-GB"/>
              </w:rPr>
            </w:pPr>
            <w:r w:rsidRPr="001601DB">
              <w:rPr>
                <w:rFonts w:ascii="Calibri" w:hAnsi="Calibri"/>
                <w:color w:val="000000"/>
                <w:lang w:eastAsia="en-GB"/>
              </w:rPr>
              <w:t>Direct revenue contributions</w:t>
            </w:r>
          </w:p>
        </w:tc>
        <w:tc>
          <w:tcPr>
            <w:tcW w:w="1720" w:type="dxa"/>
            <w:tcBorders>
              <w:top w:val="single" w:sz="4" w:space="0" w:color="FFFFFF"/>
              <w:left w:val="nil"/>
              <w:bottom w:val="single" w:sz="4" w:space="0" w:color="FFFFFF"/>
              <w:right w:val="single" w:sz="4" w:space="0" w:color="FFFFFF"/>
            </w:tcBorders>
            <w:shd w:val="clear" w:color="000000" w:fill="FDE9D9"/>
            <w:vAlign w:val="center"/>
          </w:tcPr>
          <w:p w14:paraId="0AC4A950" w14:textId="3D0114DF" w:rsidR="003E779D" w:rsidRPr="001601DB" w:rsidRDefault="00A17425" w:rsidP="001601DB">
            <w:pPr>
              <w:jc w:val="right"/>
              <w:rPr>
                <w:rFonts w:ascii="Calibri" w:hAnsi="Calibri"/>
                <w:color w:val="000000"/>
                <w:lang w:eastAsia="en-GB"/>
              </w:rPr>
            </w:pPr>
            <w:r>
              <w:rPr>
                <w:rFonts w:ascii="Calibri" w:hAnsi="Calibri"/>
                <w:color w:val="000000"/>
                <w:lang w:eastAsia="en-GB"/>
              </w:rPr>
              <w:t>-2,171</w:t>
            </w:r>
          </w:p>
        </w:tc>
      </w:tr>
      <w:tr w:rsidR="003E779D" w:rsidRPr="003E779D" w14:paraId="65097790"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DE9D9"/>
            <w:vAlign w:val="center"/>
            <w:hideMark/>
          </w:tcPr>
          <w:p w14:paraId="5C4CBF70"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-1</w:t>
            </w:r>
            <w:r w:rsidR="004A22D5">
              <w:rPr>
                <w:rFonts w:ascii="Calibri" w:hAnsi="Calibri"/>
                <w:color w:val="000000"/>
                <w:lang w:eastAsia="en-GB"/>
              </w:rPr>
              <w:t>2</w:t>
            </w:r>
          </w:p>
        </w:tc>
        <w:tc>
          <w:tcPr>
            <w:tcW w:w="5840" w:type="dxa"/>
            <w:tcBorders>
              <w:top w:val="nil"/>
              <w:left w:val="nil"/>
              <w:bottom w:val="single" w:sz="4" w:space="0" w:color="FFFFFF"/>
              <w:right w:val="single" w:sz="4" w:space="0" w:color="FFFFFF"/>
            </w:tcBorders>
            <w:shd w:val="clear" w:color="000000" w:fill="FDE9D9"/>
            <w:vAlign w:val="center"/>
            <w:hideMark/>
          </w:tcPr>
          <w:p w14:paraId="07591005" w14:textId="77777777" w:rsidR="003E779D" w:rsidRPr="001601DB" w:rsidRDefault="003E779D" w:rsidP="003E779D">
            <w:pPr>
              <w:rPr>
                <w:rFonts w:ascii="Calibri" w:hAnsi="Calibri"/>
                <w:color w:val="000000"/>
                <w:lang w:eastAsia="en-GB"/>
              </w:rPr>
            </w:pPr>
            <w:r w:rsidRPr="001601DB">
              <w:rPr>
                <w:rFonts w:ascii="Calibri" w:hAnsi="Calibri"/>
                <w:color w:val="000000"/>
                <w:lang w:eastAsia="en-GB"/>
              </w:rPr>
              <w:t>(MRP/loans fund principal)</w:t>
            </w:r>
          </w:p>
        </w:tc>
        <w:tc>
          <w:tcPr>
            <w:tcW w:w="1720" w:type="dxa"/>
            <w:tcBorders>
              <w:top w:val="nil"/>
              <w:left w:val="nil"/>
              <w:bottom w:val="single" w:sz="4" w:space="0" w:color="FFFFFF"/>
              <w:right w:val="single" w:sz="4" w:space="0" w:color="FFFFFF"/>
            </w:tcBorders>
            <w:shd w:val="clear" w:color="000000" w:fill="FDE9D9"/>
            <w:vAlign w:val="center"/>
          </w:tcPr>
          <w:p w14:paraId="7EC84B9B" w14:textId="13148BD0" w:rsidR="003E779D" w:rsidRPr="001601DB" w:rsidRDefault="00A17425" w:rsidP="003E779D">
            <w:pPr>
              <w:jc w:val="right"/>
              <w:rPr>
                <w:rFonts w:ascii="Calibri" w:hAnsi="Calibri"/>
                <w:color w:val="000000"/>
                <w:lang w:eastAsia="en-GB"/>
              </w:rPr>
            </w:pPr>
            <w:r>
              <w:rPr>
                <w:rFonts w:ascii="Calibri" w:hAnsi="Calibri"/>
                <w:color w:val="000000"/>
                <w:lang w:eastAsia="en-GB"/>
              </w:rPr>
              <w:t>-11</w:t>
            </w:r>
          </w:p>
        </w:tc>
      </w:tr>
      <w:tr w:rsidR="003E779D" w:rsidRPr="003E779D" w14:paraId="7DCAA841"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CD5B4"/>
            <w:vAlign w:val="center"/>
            <w:hideMark/>
          </w:tcPr>
          <w:p w14:paraId="373CABB3" w14:textId="3EF3FDFA" w:rsidR="003E779D" w:rsidRPr="003E779D" w:rsidRDefault="003E779D" w:rsidP="002E1270">
            <w:pPr>
              <w:jc w:val="right"/>
              <w:rPr>
                <w:rFonts w:ascii="Calibri" w:hAnsi="Calibri"/>
                <w:b/>
                <w:bCs/>
                <w:color w:val="000000"/>
                <w:lang w:eastAsia="en-GB"/>
              </w:rPr>
            </w:pPr>
            <w:r w:rsidRPr="003E779D">
              <w:rPr>
                <w:rFonts w:ascii="Calibri" w:hAnsi="Calibri"/>
                <w:b/>
                <w:bCs/>
                <w:color w:val="000000"/>
                <w:lang w:eastAsia="en-GB"/>
              </w:rPr>
              <w:t>31,</w:t>
            </w:r>
            <w:r w:rsidR="004F54C5">
              <w:rPr>
                <w:rFonts w:ascii="Calibri" w:hAnsi="Calibri"/>
                <w:b/>
                <w:bCs/>
                <w:color w:val="000000"/>
                <w:lang w:eastAsia="en-GB"/>
              </w:rPr>
              <w:t>5</w:t>
            </w:r>
            <w:r w:rsidR="00EF1C9E">
              <w:rPr>
                <w:rFonts w:ascii="Calibri" w:hAnsi="Calibri"/>
                <w:b/>
                <w:bCs/>
                <w:color w:val="000000"/>
                <w:lang w:eastAsia="en-GB"/>
              </w:rPr>
              <w:t>50</w:t>
            </w:r>
          </w:p>
        </w:tc>
        <w:tc>
          <w:tcPr>
            <w:tcW w:w="5840" w:type="dxa"/>
            <w:tcBorders>
              <w:top w:val="nil"/>
              <w:left w:val="nil"/>
              <w:bottom w:val="single" w:sz="4" w:space="0" w:color="FFFFFF"/>
              <w:right w:val="single" w:sz="4" w:space="0" w:color="FFFFFF"/>
            </w:tcBorders>
            <w:shd w:val="clear" w:color="000000" w:fill="FCD5B4"/>
            <w:vAlign w:val="center"/>
            <w:hideMark/>
          </w:tcPr>
          <w:p w14:paraId="2D93CA72"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Closing Capital Financing Requirement</w:t>
            </w:r>
          </w:p>
        </w:tc>
        <w:tc>
          <w:tcPr>
            <w:tcW w:w="1720" w:type="dxa"/>
            <w:tcBorders>
              <w:top w:val="nil"/>
              <w:left w:val="nil"/>
              <w:bottom w:val="single" w:sz="4" w:space="0" w:color="FFFFFF"/>
              <w:right w:val="single" w:sz="4" w:space="0" w:color="FFFFFF"/>
            </w:tcBorders>
            <w:shd w:val="clear" w:color="000000" w:fill="FCD5B4"/>
            <w:vAlign w:val="center"/>
          </w:tcPr>
          <w:p w14:paraId="19CA37C8" w14:textId="6A1FBFE7" w:rsidR="003E779D" w:rsidRPr="003E779D" w:rsidRDefault="00A17425" w:rsidP="003E779D">
            <w:pPr>
              <w:jc w:val="right"/>
              <w:rPr>
                <w:rFonts w:ascii="Calibri" w:hAnsi="Calibri"/>
                <w:b/>
                <w:bCs/>
                <w:color w:val="000000"/>
                <w:lang w:eastAsia="en-GB"/>
              </w:rPr>
            </w:pPr>
            <w:r>
              <w:rPr>
                <w:rFonts w:ascii="Calibri" w:hAnsi="Calibri"/>
                <w:b/>
                <w:bCs/>
                <w:color w:val="000000"/>
                <w:lang w:eastAsia="en-GB"/>
              </w:rPr>
              <w:t>31,539</w:t>
            </w:r>
          </w:p>
        </w:tc>
      </w:tr>
      <w:tr w:rsidR="003E779D" w:rsidRPr="003E779D" w14:paraId="52F877E1" w14:textId="77777777" w:rsidTr="004A22D5">
        <w:trPr>
          <w:trHeight w:val="300"/>
        </w:trPr>
        <w:tc>
          <w:tcPr>
            <w:tcW w:w="1680" w:type="dxa"/>
            <w:tcBorders>
              <w:top w:val="nil"/>
              <w:left w:val="nil"/>
              <w:bottom w:val="nil"/>
              <w:right w:val="nil"/>
            </w:tcBorders>
            <w:shd w:val="clear" w:color="000000" w:fill="FDE9D9"/>
            <w:vAlign w:val="center"/>
            <w:hideMark/>
          </w:tcPr>
          <w:p w14:paraId="62A5B315" w14:textId="77777777" w:rsidR="003E779D" w:rsidRPr="003E779D" w:rsidRDefault="003E779D" w:rsidP="003E779D">
            <w:pPr>
              <w:jc w:val="right"/>
              <w:rPr>
                <w:rFonts w:ascii="Calibri" w:hAnsi="Calibri"/>
                <w:b/>
                <w:bCs/>
                <w:color w:val="000000"/>
                <w:lang w:eastAsia="en-GB"/>
              </w:rPr>
            </w:pPr>
            <w:r w:rsidRPr="003E779D">
              <w:rPr>
                <w:rFonts w:ascii="Calibri" w:hAnsi="Calibri"/>
                <w:b/>
                <w:bCs/>
                <w:color w:val="000000"/>
                <w:lang w:eastAsia="en-GB"/>
              </w:rPr>
              <w:t> </w:t>
            </w:r>
          </w:p>
        </w:tc>
        <w:tc>
          <w:tcPr>
            <w:tcW w:w="5840" w:type="dxa"/>
            <w:tcBorders>
              <w:top w:val="nil"/>
              <w:left w:val="nil"/>
              <w:bottom w:val="nil"/>
              <w:right w:val="nil"/>
            </w:tcBorders>
            <w:shd w:val="clear" w:color="000000" w:fill="FDE9D9"/>
            <w:vAlign w:val="center"/>
            <w:hideMark/>
          </w:tcPr>
          <w:p w14:paraId="09D41502"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Explanation of Movements in Year</w:t>
            </w:r>
          </w:p>
        </w:tc>
        <w:tc>
          <w:tcPr>
            <w:tcW w:w="1720" w:type="dxa"/>
            <w:tcBorders>
              <w:top w:val="nil"/>
              <w:left w:val="nil"/>
              <w:bottom w:val="nil"/>
              <w:right w:val="nil"/>
            </w:tcBorders>
            <w:shd w:val="clear" w:color="000000" w:fill="FDE9D9"/>
            <w:vAlign w:val="center"/>
          </w:tcPr>
          <w:p w14:paraId="2836A22E" w14:textId="77777777" w:rsidR="003E779D" w:rsidRPr="003E779D" w:rsidRDefault="003E779D" w:rsidP="003E779D">
            <w:pPr>
              <w:jc w:val="right"/>
              <w:rPr>
                <w:rFonts w:ascii="Calibri" w:hAnsi="Calibri"/>
                <w:b/>
                <w:bCs/>
                <w:color w:val="000000"/>
                <w:lang w:eastAsia="en-GB"/>
              </w:rPr>
            </w:pPr>
          </w:p>
        </w:tc>
      </w:tr>
      <w:tr w:rsidR="003E779D" w:rsidRPr="003E779D" w14:paraId="28DAC7EE" w14:textId="77777777" w:rsidTr="004A22D5">
        <w:trPr>
          <w:trHeight w:val="510"/>
        </w:trPr>
        <w:tc>
          <w:tcPr>
            <w:tcW w:w="168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11BE348"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0</w:t>
            </w:r>
          </w:p>
        </w:tc>
        <w:tc>
          <w:tcPr>
            <w:tcW w:w="5840" w:type="dxa"/>
            <w:tcBorders>
              <w:top w:val="single" w:sz="4" w:space="0" w:color="FFFFFF"/>
              <w:left w:val="nil"/>
              <w:bottom w:val="single" w:sz="4" w:space="0" w:color="FFFFFF"/>
              <w:right w:val="single" w:sz="4" w:space="0" w:color="FFFFFF"/>
            </w:tcBorders>
            <w:shd w:val="clear" w:color="000000" w:fill="FDE9D9"/>
            <w:vAlign w:val="center"/>
            <w:hideMark/>
          </w:tcPr>
          <w:p w14:paraId="45EB1440" w14:textId="77777777" w:rsidR="003E779D" w:rsidRPr="003E779D" w:rsidRDefault="003E779D" w:rsidP="003E779D">
            <w:pPr>
              <w:rPr>
                <w:rFonts w:ascii="Calibri" w:hAnsi="Calibri"/>
                <w:color w:val="000000"/>
                <w:lang w:eastAsia="en-GB"/>
              </w:rPr>
            </w:pPr>
            <w:r w:rsidRPr="003E779D">
              <w:rPr>
                <w:rFonts w:ascii="Calibri" w:hAnsi="Calibri"/>
                <w:color w:val="000000"/>
                <w:lang w:eastAsia="en-GB"/>
              </w:rPr>
              <w:t>Increase in underlying need to borrow (supported by Government financial assistance)</w:t>
            </w:r>
          </w:p>
        </w:tc>
        <w:tc>
          <w:tcPr>
            <w:tcW w:w="1720" w:type="dxa"/>
            <w:tcBorders>
              <w:top w:val="single" w:sz="4" w:space="0" w:color="FFFFFF"/>
              <w:left w:val="nil"/>
              <w:bottom w:val="single" w:sz="4" w:space="0" w:color="FFFFFF"/>
              <w:right w:val="single" w:sz="4" w:space="0" w:color="FFFFFF"/>
            </w:tcBorders>
            <w:shd w:val="clear" w:color="000000" w:fill="FDE9D9"/>
            <w:vAlign w:val="center"/>
          </w:tcPr>
          <w:p w14:paraId="6674C5F2" w14:textId="5C5A1055" w:rsidR="003E779D" w:rsidRPr="003E779D" w:rsidRDefault="00563E2C" w:rsidP="003E779D">
            <w:pPr>
              <w:jc w:val="right"/>
              <w:rPr>
                <w:rFonts w:ascii="Calibri" w:hAnsi="Calibri"/>
                <w:color w:val="000000"/>
                <w:lang w:eastAsia="en-GB"/>
              </w:rPr>
            </w:pPr>
            <w:r>
              <w:rPr>
                <w:rFonts w:ascii="Calibri" w:hAnsi="Calibri"/>
                <w:color w:val="000000"/>
                <w:lang w:eastAsia="en-GB"/>
              </w:rPr>
              <w:t>0</w:t>
            </w:r>
          </w:p>
        </w:tc>
      </w:tr>
      <w:tr w:rsidR="003E779D" w:rsidRPr="003E779D" w14:paraId="7AEA2D1D" w14:textId="77777777" w:rsidTr="004A22D5">
        <w:trPr>
          <w:trHeight w:val="510"/>
        </w:trPr>
        <w:tc>
          <w:tcPr>
            <w:tcW w:w="1680" w:type="dxa"/>
            <w:tcBorders>
              <w:top w:val="nil"/>
              <w:left w:val="single" w:sz="4" w:space="0" w:color="FFFFFF"/>
              <w:bottom w:val="single" w:sz="4" w:space="0" w:color="FFFFFF"/>
              <w:right w:val="single" w:sz="4" w:space="0" w:color="FFFFFF"/>
            </w:tcBorders>
            <w:shd w:val="clear" w:color="000000" w:fill="FDE9D9"/>
            <w:vAlign w:val="center"/>
            <w:hideMark/>
          </w:tcPr>
          <w:p w14:paraId="6C34C854" w14:textId="77777777" w:rsidR="003E779D" w:rsidRPr="003E779D" w:rsidRDefault="003E779D" w:rsidP="003E779D">
            <w:pPr>
              <w:jc w:val="right"/>
              <w:rPr>
                <w:rFonts w:ascii="Calibri" w:hAnsi="Calibri"/>
                <w:color w:val="000000"/>
                <w:lang w:eastAsia="en-GB"/>
              </w:rPr>
            </w:pPr>
            <w:r w:rsidRPr="003E779D">
              <w:rPr>
                <w:rFonts w:ascii="Calibri" w:hAnsi="Calibri"/>
                <w:color w:val="000000"/>
                <w:lang w:eastAsia="en-GB"/>
              </w:rPr>
              <w:t>-1</w:t>
            </w:r>
            <w:r w:rsidR="004A22D5">
              <w:rPr>
                <w:rFonts w:ascii="Calibri" w:hAnsi="Calibri"/>
                <w:color w:val="000000"/>
                <w:lang w:eastAsia="en-GB"/>
              </w:rPr>
              <w:t>2</w:t>
            </w:r>
          </w:p>
        </w:tc>
        <w:tc>
          <w:tcPr>
            <w:tcW w:w="5840" w:type="dxa"/>
            <w:tcBorders>
              <w:top w:val="nil"/>
              <w:left w:val="nil"/>
              <w:bottom w:val="single" w:sz="4" w:space="0" w:color="FFFFFF"/>
              <w:right w:val="single" w:sz="4" w:space="0" w:color="FFFFFF"/>
            </w:tcBorders>
            <w:shd w:val="clear" w:color="000000" w:fill="FDE9D9"/>
            <w:vAlign w:val="center"/>
            <w:hideMark/>
          </w:tcPr>
          <w:p w14:paraId="3FF63AAC" w14:textId="77777777" w:rsidR="003E779D" w:rsidRPr="003E779D" w:rsidRDefault="003E779D" w:rsidP="003E779D">
            <w:pPr>
              <w:rPr>
                <w:rFonts w:ascii="Calibri" w:hAnsi="Calibri"/>
                <w:color w:val="000000"/>
                <w:lang w:eastAsia="en-GB"/>
              </w:rPr>
            </w:pPr>
            <w:r w:rsidRPr="003E779D">
              <w:rPr>
                <w:rFonts w:ascii="Calibri" w:hAnsi="Calibri"/>
                <w:color w:val="000000"/>
                <w:lang w:eastAsia="en-GB"/>
              </w:rPr>
              <w:t>Increase in underlying need to borrow (un-supported by Government financial assistance)</w:t>
            </w:r>
          </w:p>
        </w:tc>
        <w:tc>
          <w:tcPr>
            <w:tcW w:w="1720" w:type="dxa"/>
            <w:tcBorders>
              <w:top w:val="nil"/>
              <w:left w:val="nil"/>
              <w:bottom w:val="single" w:sz="4" w:space="0" w:color="FFFFFF"/>
              <w:right w:val="single" w:sz="4" w:space="0" w:color="FFFFFF"/>
            </w:tcBorders>
            <w:shd w:val="clear" w:color="000000" w:fill="FDE9D9"/>
            <w:vAlign w:val="center"/>
          </w:tcPr>
          <w:p w14:paraId="6435B192" w14:textId="7300C95A" w:rsidR="003E779D" w:rsidRPr="003E779D" w:rsidRDefault="00A17425" w:rsidP="003E779D">
            <w:pPr>
              <w:jc w:val="right"/>
              <w:rPr>
                <w:rFonts w:ascii="Calibri" w:hAnsi="Calibri"/>
                <w:color w:val="000000"/>
                <w:lang w:eastAsia="en-GB"/>
              </w:rPr>
            </w:pPr>
            <w:r>
              <w:rPr>
                <w:rFonts w:ascii="Calibri" w:hAnsi="Calibri"/>
                <w:color w:val="000000"/>
                <w:lang w:eastAsia="en-GB"/>
              </w:rPr>
              <w:t>-11</w:t>
            </w:r>
          </w:p>
        </w:tc>
      </w:tr>
      <w:tr w:rsidR="003E779D" w:rsidRPr="003E779D" w14:paraId="73B8CCD1" w14:textId="77777777" w:rsidTr="004A22D5">
        <w:trPr>
          <w:trHeight w:val="300"/>
        </w:trPr>
        <w:tc>
          <w:tcPr>
            <w:tcW w:w="1680" w:type="dxa"/>
            <w:tcBorders>
              <w:top w:val="nil"/>
              <w:left w:val="single" w:sz="4" w:space="0" w:color="FFFFFF"/>
              <w:bottom w:val="single" w:sz="4" w:space="0" w:color="FFFFFF"/>
              <w:right w:val="single" w:sz="4" w:space="0" w:color="FFFFFF"/>
            </w:tcBorders>
            <w:shd w:val="clear" w:color="000000" w:fill="FCD5B4"/>
            <w:vAlign w:val="center"/>
            <w:hideMark/>
          </w:tcPr>
          <w:p w14:paraId="04D1B424" w14:textId="77777777" w:rsidR="003E779D" w:rsidRPr="003E779D" w:rsidRDefault="003E779D" w:rsidP="003E779D">
            <w:pPr>
              <w:jc w:val="right"/>
              <w:rPr>
                <w:rFonts w:ascii="Calibri" w:hAnsi="Calibri"/>
                <w:b/>
                <w:bCs/>
                <w:color w:val="000000"/>
                <w:lang w:eastAsia="en-GB"/>
              </w:rPr>
            </w:pPr>
            <w:r w:rsidRPr="003E779D">
              <w:rPr>
                <w:rFonts w:ascii="Calibri" w:hAnsi="Calibri"/>
                <w:b/>
                <w:bCs/>
                <w:color w:val="000000"/>
                <w:lang w:eastAsia="en-GB"/>
              </w:rPr>
              <w:t>-1</w:t>
            </w:r>
            <w:r w:rsidR="004A22D5">
              <w:rPr>
                <w:rFonts w:ascii="Calibri" w:hAnsi="Calibri"/>
                <w:b/>
                <w:bCs/>
                <w:color w:val="000000"/>
                <w:lang w:eastAsia="en-GB"/>
              </w:rPr>
              <w:t>2</w:t>
            </w:r>
          </w:p>
        </w:tc>
        <w:tc>
          <w:tcPr>
            <w:tcW w:w="5840" w:type="dxa"/>
            <w:tcBorders>
              <w:top w:val="nil"/>
              <w:left w:val="nil"/>
              <w:bottom w:val="single" w:sz="4" w:space="0" w:color="FFFFFF"/>
              <w:right w:val="single" w:sz="4" w:space="0" w:color="FFFFFF"/>
            </w:tcBorders>
            <w:shd w:val="clear" w:color="000000" w:fill="FCD5B4"/>
            <w:vAlign w:val="center"/>
            <w:hideMark/>
          </w:tcPr>
          <w:p w14:paraId="7BF86D44" w14:textId="77777777" w:rsidR="003E779D" w:rsidRPr="003E779D" w:rsidRDefault="003E779D" w:rsidP="003E779D">
            <w:pPr>
              <w:rPr>
                <w:rFonts w:ascii="Calibri" w:hAnsi="Calibri"/>
                <w:b/>
                <w:bCs/>
                <w:color w:val="000000"/>
                <w:lang w:eastAsia="en-GB"/>
              </w:rPr>
            </w:pPr>
            <w:r w:rsidRPr="003E779D">
              <w:rPr>
                <w:rFonts w:ascii="Calibri" w:hAnsi="Calibri"/>
                <w:b/>
                <w:bCs/>
                <w:color w:val="000000"/>
                <w:lang w:eastAsia="en-GB"/>
              </w:rPr>
              <w:t>Increase/ decrease (-) in Capital Financing Requirement</w:t>
            </w:r>
          </w:p>
        </w:tc>
        <w:tc>
          <w:tcPr>
            <w:tcW w:w="1720" w:type="dxa"/>
            <w:tcBorders>
              <w:top w:val="nil"/>
              <w:left w:val="nil"/>
              <w:bottom w:val="single" w:sz="4" w:space="0" w:color="FFFFFF"/>
              <w:right w:val="single" w:sz="4" w:space="0" w:color="FFFFFF"/>
            </w:tcBorders>
            <w:shd w:val="clear" w:color="000000" w:fill="FCD5B4"/>
            <w:vAlign w:val="center"/>
          </w:tcPr>
          <w:p w14:paraId="0484BFA5" w14:textId="0E0D8A8A" w:rsidR="003E779D" w:rsidRPr="003E779D" w:rsidRDefault="00A17425" w:rsidP="003E779D">
            <w:pPr>
              <w:jc w:val="right"/>
              <w:rPr>
                <w:rFonts w:ascii="Calibri" w:hAnsi="Calibri"/>
                <w:b/>
                <w:bCs/>
                <w:color w:val="000000"/>
                <w:lang w:eastAsia="en-GB"/>
              </w:rPr>
            </w:pPr>
            <w:r>
              <w:rPr>
                <w:rFonts w:ascii="Calibri" w:hAnsi="Calibri"/>
                <w:b/>
                <w:bCs/>
                <w:color w:val="000000"/>
                <w:lang w:eastAsia="en-GB"/>
              </w:rPr>
              <w:t>-11</w:t>
            </w:r>
          </w:p>
        </w:tc>
      </w:tr>
    </w:tbl>
    <w:p w14:paraId="585FD927" w14:textId="77777777" w:rsidR="00EF1C9E" w:rsidRDefault="00EF1C9E" w:rsidP="007C6C6F">
      <w:pPr>
        <w:pStyle w:val="Heading2"/>
      </w:pPr>
    </w:p>
    <w:p w14:paraId="0D705549" w14:textId="152F731D" w:rsidR="003E779D" w:rsidRDefault="00894595" w:rsidP="007C6C6F">
      <w:pPr>
        <w:pStyle w:val="Heading2"/>
      </w:pPr>
      <w:r>
        <w:t>2</w:t>
      </w:r>
      <w:r w:rsidR="00D3279C">
        <w:t>5</w:t>
      </w:r>
      <w:r w:rsidR="003E779D" w:rsidRPr="00894595">
        <w:tab/>
        <w:t>L</w:t>
      </w:r>
      <w:r w:rsidRPr="00894595">
        <w:t>eases</w:t>
      </w:r>
    </w:p>
    <w:p w14:paraId="29849BB3"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Leases are classified as finance leases where the terms of the lease transfer substantially all the risks and rewards incidental to ownership of the property, plant or equipment from the lessor to the lessee. All other leases are classified as operating leases.</w:t>
      </w:r>
    </w:p>
    <w:p w14:paraId="5F55F51F"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 </w:t>
      </w:r>
    </w:p>
    <w:p w14:paraId="7FA990F5"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Where a lease covers both land and buildings, the land and buildings elements are considered separately for classification. </w:t>
      </w:r>
    </w:p>
    <w:p w14:paraId="272AFA05" w14:textId="77777777" w:rsidR="00D13CF7" w:rsidRPr="00B921B9" w:rsidRDefault="00D13CF7" w:rsidP="00D13CF7">
      <w:pPr>
        <w:widowControl w:val="0"/>
        <w:spacing w:line="228" w:lineRule="auto"/>
        <w:jc w:val="both"/>
        <w:rPr>
          <w:rFonts w:asciiTheme="minorHAnsi" w:hAnsiTheme="minorHAnsi" w:cs="Arial"/>
          <w:sz w:val="22"/>
          <w:szCs w:val="22"/>
        </w:rPr>
      </w:pPr>
    </w:p>
    <w:p w14:paraId="36C664C3"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Arrangements that do not have the legal status of a lease but convey a right to use an asset in return for payment are accounted for under this policy where fulfilment of the arrangement is dependent on the use of specific assets.  </w:t>
      </w:r>
    </w:p>
    <w:p w14:paraId="74146999" w14:textId="77777777" w:rsidR="00421390" w:rsidRDefault="00421390" w:rsidP="003E779D">
      <w:pPr>
        <w:pStyle w:val="BodyTextIndent3"/>
        <w:ind w:left="426" w:right="425" w:hanging="426"/>
        <w:rPr>
          <w:rFonts w:asciiTheme="minorHAnsi" w:hAnsiTheme="minorHAnsi" w:cs="Arial"/>
          <w:b/>
          <w:sz w:val="24"/>
          <w:szCs w:val="24"/>
        </w:rPr>
      </w:pPr>
    </w:p>
    <w:p w14:paraId="015340B5" w14:textId="77777777" w:rsidR="00DF42A3" w:rsidRDefault="00DF42A3" w:rsidP="003E779D">
      <w:pPr>
        <w:pStyle w:val="BodyTextIndent3"/>
        <w:ind w:left="426" w:right="425" w:hanging="426"/>
        <w:rPr>
          <w:rFonts w:asciiTheme="minorHAnsi" w:hAnsiTheme="minorHAnsi" w:cs="Arial"/>
          <w:b/>
          <w:sz w:val="24"/>
          <w:szCs w:val="24"/>
        </w:rPr>
      </w:pPr>
    </w:p>
    <w:p w14:paraId="2251720C" w14:textId="77777777" w:rsidR="00DF42A3" w:rsidRDefault="00DF42A3" w:rsidP="003E779D">
      <w:pPr>
        <w:pStyle w:val="BodyTextIndent3"/>
        <w:ind w:left="426" w:right="425" w:hanging="426"/>
        <w:rPr>
          <w:rFonts w:asciiTheme="minorHAnsi" w:hAnsiTheme="minorHAnsi" w:cs="Arial"/>
          <w:b/>
          <w:sz w:val="24"/>
          <w:szCs w:val="24"/>
        </w:rPr>
      </w:pPr>
    </w:p>
    <w:p w14:paraId="4E240DD7" w14:textId="77777777" w:rsidR="003E779D" w:rsidRPr="00894595" w:rsidRDefault="003E779D" w:rsidP="003E779D">
      <w:pPr>
        <w:pStyle w:val="BodyTextIndent3"/>
        <w:ind w:left="426" w:right="425" w:hanging="426"/>
        <w:rPr>
          <w:rFonts w:asciiTheme="minorHAnsi" w:hAnsiTheme="minorHAnsi" w:cs="Arial"/>
          <w:b/>
          <w:sz w:val="24"/>
          <w:szCs w:val="24"/>
        </w:rPr>
      </w:pPr>
      <w:r w:rsidRPr="00894595">
        <w:rPr>
          <w:rFonts w:asciiTheme="minorHAnsi" w:hAnsiTheme="minorHAnsi" w:cs="Arial"/>
          <w:b/>
          <w:sz w:val="24"/>
          <w:szCs w:val="24"/>
        </w:rPr>
        <w:lastRenderedPageBreak/>
        <w:t>Authority as Lessee</w:t>
      </w:r>
    </w:p>
    <w:p w14:paraId="5833C34D" w14:textId="77777777" w:rsidR="003E779D" w:rsidRPr="00894595" w:rsidRDefault="003E779D" w:rsidP="003E779D">
      <w:pPr>
        <w:pStyle w:val="BodyTextIndent3"/>
        <w:ind w:left="426" w:right="425" w:hanging="426"/>
        <w:rPr>
          <w:rFonts w:asciiTheme="minorHAnsi" w:hAnsiTheme="minorHAnsi" w:cs="Arial"/>
          <w:b/>
          <w:sz w:val="22"/>
          <w:szCs w:val="22"/>
        </w:rPr>
      </w:pPr>
    </w:p>
    <w:p w14:paraId="54D844C7" w14:textId="77777777" w:rsidR="003E779D" w:rsidRPr="00894595" w:rsidRDefault="003E779D" w:rsidP="003E779D">
      <w:pPr>
        <w:pStyle w:val="BodyTextIndent3"/>
        <w:ind w:left="426" w:right="425" w:hanging="426"/>
        <w:rPr>
          <w:rFonts w:asciiTheme="minorHAnsi" w:hAnsiTheme="minorHAnsi" w:cs="Arial"/>
          <w:b/>
          <w:sz w:val="22"/>
          <w:szCs w:val="22"/>
        </w:rPr>
      </w:pPr>
      <w:r w:rsidRPr="00894595">
        <w:rPr>
          <w:rFonts w:asciiTheme="minorHAnsi" w:hAnsiTheme="minorHAnsi" w:cs="Arial"/>
          <w:b/>
          <w:sz w:val="22"/>
          <w:szCs w:val="22"/>
        </w:rPr>
        <w:t>Finance Leases</w:t>
      </w:r>
    </w:p>
    <w:p w14:paraId="07D35E0A" w14:textId="77777777" w:rsidR="00D13CF7" w:rsidRDefault="00D13CF7" w:rsidP="003E779D">
      <w:pPr>
        <w:pStyle w:val="BodyTextIndent3"/>
        <w:ind w:left="0" w:right="425"/>
        <w:rPr>
          <w:rFonts w:asciiTheme="minorHAnsi" w:hAnsiTheme="minorHAnsi" w:cs="Arial"/>
          <w:sz w:val="22"/>
          <w:szCs w:val="22"/>
        </w:rPr>
      </w:pPr>
    </w:p>
    <w:p w14:paraId="52CB4DA5"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Property, plant and equipment held under finance leases is recognised on the Balance Sheet at the commencement of the lease at its fair value measured at the lease’s inception (or the present value of the minimum lease payments, if lower). The asset recognised is matched by a liability for the obligation to pay the lessor. Initial direct costs of the Council are added to the carrying amount of the asset. Premiums paid on entry into a lease are applied in writing down the lease liability. Contingent rents are charged as expenses in the period in which they are incurred. </w:t>
      </w:r>
    </w:p>
    <w:p w14:paraId="5C6E8CA1" w14:textId="77777777" w:rsidR="00D13CF7" w:rsidRPr="00B921B9" w:rsidRDefault="00D13CF7" w:rsidP="00D13CF7">
      <w:pPr>
        <w:widowControl w:val="0"/>
        <w:spacing w:line="228" w:lineRule="auto"/>
        <w:jc w:val="both"/>
        <w:rPr>
          <w:rFonts w:asciiTheme="minorHAnsi" w:hAnsiTheme="minorHAnsi" w:cs="Arial"/>
          <w:sz w:val="22"/>
          <w:szCs w:val="22"/>
        </w:rPr>
      </w:pPr>
    </w:p>
    <w:p w14:paraId="1815E697"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Lease payments are apportioned between:</w:t>
      </w:r>
    </w:p>
    <w:p w14:paraId="1B3BEA20" w14:textId="77777777" w:rsidR="00D13CF7" w:rsidRPr="00B921B9" w:rsidRDefault="00D13CF7" w:rsidP="00D13CF7">
      <w:pPr>
        <w:widowControl w:val="0"/>
        <w:spacing w:line="228" w:lineRule="auto"/>
        <w:jc w:val="both"/>
        <w:rPr>
          <w:rFonts w:asciiTheme="minorHAnsi" w:hAnsiTheme="minorHAnsi" w:cs="Arial"/>
          <w:sz w:val="22"/>
          <w:szCs w:val="22"/>
        </w:rPr>
      </w:pPr>
    </w:p>
    <w:p w14:paraId="64919B19" w14:textId="655BE9CC" w:rsidR="00D13CF7" w:rsidRPr="00B921B9" w:rsidRDefault="00D13CF7" w:rsidP="00C76AD3">
      <w:pPr>
        <w:pStyle w:val="ListParagraph"/>
        <w:widowControl w:val="0"/>
        <w:numPr>
          <w:ilvl w:val="0"/>
          <w:numId w:val="22"/>
        </w:numPr>
        <w:spacing w:line="228" w:lineRule="auto"/>
        <w:ind w:left="709" w:hanging="283"/>
        <w:jc w:val="both"/>
        <w:rPr>
          <w:rFonts w:asciiTheme="minorHAnsi" w:hAnsiTheme="minorHAnsi" w:cs="Arial"/>
          <w:sz w:val="22"/>
          <w:szCs w:val="22"/>
        </w:rPr>
      </w:pPr>
      <w:r w:rsidRPr="00B921B9">
        <w:rPr>
          <w:rFonts w:asciiTheme="minorHAnsi" w:hAnsiTheme="minorHAnsi" w:cs="Arial"/>
          <w:sz w:val="22"/>
          <w:szCs w:val="22"/>
        </w:rPr>
        <w:t>A charge for the acquisition of the interest in the property, plant or equipment – applied to write down the lease liability</w:t>
      </w:r>
      <w:r w:rsidR="001E1E1D">
        <w:rPr>
          <w:rFonts w:asciiTheme="minorHAnsi" w:hAnsiTheme="minorHAnsi" w:cs="Arial"/>
          <w:sz w:val="22"/>
          <w:szCs w:val="22"/>
        </w:rPr>
        <w:t>;</w:t>
      </w:r>
      <w:r w:rsidRPr="00B921B9">
        <w:rPr>
          <w:rFonts w:asciiTheme="minorHAnsi" w:hAnsiTheme="minorHAnsi" w:cs="Arial"/>
          <w:sz w:val="22"/>
          <w:szCs w:val="22"/>
        </w:rPr>
        <w:t xml:space="preserve"> and </w:t>
      </w:r>
    </w:p>
    <w:p w14:paraId="40F8073E" w14:textId="77777777" w:rsidR="00D13CF7" w:rsidRPr="00B921B9" w:rsidRDefault="00D13CF7" w:rsidP="00C76AD3">
      <w:pPr>
        <w:pStyle w:val="ListParagraph"/>
        <w:widowControl w:val="0"/>
        <w:numPr>
          <w:ilvl w:val="0"/>
          <w:numId w:val="22"/>
        </w:numPr>
        <w:spacing w:line="228" w:lineRule="auto"/>
        <w:ind w:left="709" w:hanging="283"/>
        <w:jc w:val="both"/>
        <w:rPr>
          <w:rFonts w:asciiTheme="minorHAnsi" w:hAnsiTheme="minorHAnsi" w:cs="Arial"/>
          <w:sz w:val="22"/>
          <w:szCs w:val="22"/>
        </w:rPr>
      </w:pPr>
      <w:r w:rsidRPr="00B921B9">
        <w:rPr>
          <w:rFonts w:asciiTheme="minorHAnsi" w:hAnsiTheme="minorHAnsi" w:cs="Arial"/>
          <w:sz w:val="22"/>
          <w:szCs w:val="22"/>
        </w:rPr>
        <w:t>a finance charge (debited to the Financing Income and Expenditure line in the Comprehensive Income and Expenditure Statement).</w:t>
      </w:r>
    </w:p>
    <w:p w14:paraId="063AA45A"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Property, Plant and Equipment recognised under finance leases is accounted for using the policies applied generally to such assets, subject to depreciation being charged over the lease term if this is shorter than the asset’s estimated useful life (where ownership of the asset does not transfer to the Council at the end of the lease period).</w:t>
      </w:r>
    </w:p>
    <w:p w14:paraId="12BFC779" w14:textId="77777777" w:rsidR="00D13CF7" w:rsidRPr="00B921B9" w:rsidRDefault="00D13CF7" w:rsidP="00D13CF7">
      <w:pPr>
        <w:widowControl w:val="0"/>
        <w:spacing w:line="228" w:lineRule="auto"/>
        <w:jc w:val="both"/>
        <w:rPr>
          <w:rFonts w:asciiTheme="minorHAnsi" w:hAnsiTheme="minorHAnsi" w:cs="Arial"/>
          <w:sz w:val="22"/>
          <w:szCs w:val="22"/>
        </w:rPr>
      </w:pPr>
    </w:p>
    <w:p w14:paraId="625417F7"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The Council is not required to raise council tax to cover depreciation or revaluation and impairment losses arising on leased assets. Instead, a prudent annual contribution is made from revenue funds towards the deemed capital investment in accordance with statutory requirements. Depreciation and revaluation and impairment losses are therefore substituted by a revenue contribution in the General Fund Balance, by way of an adjusting transaction with the Capital Adjustment Account in the Movement in Reserves Statement for the difference between the two.</w:t>
      </w:r>
    </w:p>
    <w:p w14:paraId="4F28429C" w14:textId="77777777" w:rsidR="00D13CF7" w:rsidRDefault="00D13CF7" w:rsidP="003E779D">
      <w:pPr>
        <w:pStyle w:val="BodyTextIndent3"/>
        <w:ind w:left="0" w:right="425"/>
        <w:rPr>
          <w:rFonts w:asciiTheme="minorHAnsi" w:hAnsiTheme="minorHAnsi" w:cs="Arial"/>
          <w:sz w:val="22"/>
          <w:szCs w:val="22"/>
        </w:rPr>
      </w:pPr>
    </w:p>
    <w:p w14:paraId="56903961" w14:textId="77777777" w:rsidR="003E779D" w:rsidRPr="00894595" w:rsidRDefault="003E779D" w:rsidP="003E779D">
      <w:pPr>
        <w:pStyle w:val="BodyTextIndent3"/>
        <w:ind w:left="0" w:right="425"/>
        <w:rPr>
          <w:rFonts w:asciiTheme="minorHAnsi" w:hAnsiTheme="minorHAnsi" w:cs="Arial"/>
          <w:sz w:val="22"/>
          <w:szCs w:val="22"/>
        </w:rPr>
      </w:pPr>
      <w:r w:rsidRPr="00894595">
        <w:rPr>
          <w:rFonts w:asciiTheme="minorHAnsi" w:hAnsiTheme="minorHAnsi" w:cs="Arial"/>
          <w:sz w:val="22"/>
          <w:szCs w:val="22"/>
        </w:rPr>
        <w:t>The authority holds no finance leases.</w:t>
      </w:r>
    </w:p>
    <w:p w14:paraId="75F62EDA" w14:textId="77777777" w:rsidR="003E779D" w:rsidRPr="00894595" w:rsidRDefault="003E779D" w:rsidP="003E779D">
      <w:pPr>
        <w:pStyle w:val="BodyTextIndent3"/>
        <w:ind w:left="0" w:right="425"/>
        <w:rPr>
          <w:rFonts w:asciiTheme="minorHAnsi" w:hAnsiTheme="minorHAnsi" w:cs="Arial"/>
          <w:sz w:val="22"/>
          <w:szCs w:val="22"/>
        </w:rPr>
      </w:pPr>
    </w:p>
    <w:p w14:paraId="007061A0" w14:textId="77777777" w:rsidR="003E779D" w:rsidRPr="00894595" w:rsidRDefault="003E779D" w:rsidP="003E779D">
      <w:pPr>
        <w:pStyle w:val="BodyTextIndent3"/>
        <w:ind w:left="0" w:right="425"/>
        <w:rPr>
          <w:rFonts w:asciiTheme="minorHAnsi" w:hAnsiTheme="minorHAnsi" w:cs="Arial"/>
          <w:b/>
          <w:sz w:val="22"/>
          <w:szCs w:val="22"/>
        </w:rPr>
      </w:pPr>
      <w:r w:rsidRPr="00894595">
        <w:rPr>
          <w:rFonts w:asciiTheme="minorHAnsi" w:hAnsiTheme="minorHAnsi" w:cs="Arial"/>
          <w:b/>
          <w:sz w:val="22"/>
          <w:szCs w:val="22"/>
        </w:rPr>
        <w:t>Operating Leases</w:t>
      </w:r>
    </w:p>
    <w:p w14:paraId="725DF77C" w14:textId="77777777" w:rsidR="00D13CF7" w:rsidRDefault="00D13CF7" w:rsidP="003E779D">
      <w:pPr>
        <w:pStyle w:val="BodyTextIndent3"/>
        <w:ind w:left="0" w:right="425"/>
        <w:rPr>
          <w:rFonts w:asciiTheme="minorHAnsi" w:hAnsiTheme="minorHAnsi" w:cs="Arial"/>
          <w:sz w:val="22"/>
          <w:szCs w:val="22"/>
        </w:rPr>
      </w:pPr>
    </w:p>
    <w:p w14:paraId="19EC5160"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 xml:space="preserve">Rentals paid under operating leases are charged to the Comprehensive Income and Expenditure Statement as an expense of the services benefitting from use of the leased property, plant or equipment. Charges are made on a </w:t>
      </w:r>
      <w:proofErr w:type="gramStart"/>
      <w:r w:rsidRPr="00B921B9">
        <w:rPr>
          <w:rFonts w:asciiTheme="minorHAnsi" w:hAnsiTheme="minorHAnsi" w:cs="Arial"/>
          <w:sz w:val="22"/>
          <w:szCs w:val="22"/>
        </w:rPr>
        <w:t>straight line</w:t>
      </w:r>
      <w:proofErr w:type="gramEnd"/>
      <w:r w:rsidRPr="00B921B9">
        <w:rPr>
          <w:rFonts w:asciiTheme="minorHAnsi" w:hAnsiTheme="minorHAnsi" w:cs="Arial"/>
          <w:sz w:val="22"/>
          <w:szCs w:val="22"/>
        </w:rPr>
        <w:t xml:space="preserve"> basis over the life of the lease; even if this does not match the pattern of payments (e.g. there is a rent-free period at the commencement of the lease).</w:t>
      </w:r>
    </w:p>
    <w:p w14:paraId="19FAA286" w14:textId="77777777" w:rsidR="00D13CF7" w:rsidRDefault="00D13CF7" w:rsidP="003E779D">
      <w:pPr>
        <w:pStyle w:val="BodyTextIndent3"/>
        <w:ind w:left="0" w:right="425"/>
        <w:rPr>
          <w:rFonts w:asciiTheme="minorHAnsi" w:hAnsiTheme="minorHAnsi" w:cs="Arial"/>
          <w:sz w:val="22"/>
          <w:szCs w:val="22"/>
        </w:rPr>
      </w:pPr>
    </w:p>
    <w:p w14:paraId="3F39AF91" w14:textId="77777777" w:rsidR="0004640C" w:rsidRPr="00894595" w:rsidRDefault="0004640C" w:rsidP="00316C77">
      <w:pPr>
        <w:widowControl w:val="0"/>
        <w:spacing w:after="120"/>
        <w:jc w:val="both"/>
        <w:rPr>
          <w:rFonts w:asciiTheme="minorHAnsi" w:hAnsiTheme="minorHAnsi" w:cs="Arial"/>
          <w:sz w:val="22"/>
          <w:szCs w:val="22"/>
        </w:rPr>
      </w:pPr>
      <w:r w:rsidRPr="00E23A06">
        <w:rPr>
          <w:rFonts w:asciiTheme="minorHAnsi" w:hAnsiTheme="minorHAnsi" w:cs="Arial"/>
          <w:sz w:val="22"/>
          <w:szCs w:val="22"/>
        </w:rPr>
        <w:t>The authority holds a number of operating leases for the provision of services including car parking arrangemen</w:t>
      </w:r>
      <w:r w:rsidR="00C70368">
        <w:rPr>
          <w:rFonts w:asciiTheme="minorHAnsi" w:hAnsiTheme="minorHAnsi" w:cs="Arial"/>
          <w:sz w:val="22"/>
          <w:szCs w:val="22"/>
        </w:rPr>
        <w:t>ts, land at the skate park and</w:t>
      </w:r>
      <w:r w:rsidRPr="00E23A06">
        <w:rPr>
          <w:rFonts w:asciiTheme="minorHAnsi" w:hAnsiTheme="minorHAnsi" w:cs="Arial"/>
          <w:sz w:val="22"/>
          <w:szCs w:val="22"/>
        </w:rPr>
        <w:t xml:space="preserve"> MFD photocopier</w:t>
      </w:r>
      <w:r w:rsidR="00C70368">
        <w:rPr>
          <w:rFonts w:asciiTheme="minorHAnsi" w:hAnsiTheme="minorHAnsi" w:cs="Arial"/>
          <w:sz w:val="22"/>
          <w:szCs w:val="22"/>
        </w:rPr>
        <w:t>s</w:t>
      </w:r>
      <w:r w:rsidRPr="00E23A06">
        <w:rPr>
          <w:rFonts w:asciiTheme="minorHAnsi" w:hAnsiTheme="minorHAnsi" w:cs="Arial"/>
          <w:sz w:val="22"/>
          <w:szCs w:val="22"/>
        </w:rPr>
        <w:t xml:space="preserve">. </w:t>
      </w:r>
    </w:p>
    <w:p w14:paraId="2311330E" w14:textId="76F82EFA" w:rsidR="0004640C" w:rsidRDefault="0004640C" w:rsidP="0004640C">
      <w:pPr>
        <w:widowControl w:val="0"/>
        <w:spacing w:after="120"/>
        <w:rPr>
          <w:rFonts w:asciiTheme="minorHAnsi" w:hAnsiTheme="minorHAnsi" w:cs="Arial"/>
          <w:sz w:val="22"/>
          <w:szCs w:val="22"/>
        </w:rPr>
      </w:pPr>
      <w:r w:rsidRPr="00E23A06">
        <w:rPr>
          <w:rFonts w:asciiTheme="minorHAnsi" w:hAnsiTheme="minorHAnsi" w:cs="Arial"/>
          <w:sz w:val="22"/>
          <w:szCs w:val="22"/>
        </w:rPr>
        <w:t>The future minimum lease payments due under non-cancellable leases in future years are:</w:t>
      </w:r>
    </w:p>
    <w:tbl>
      <w:tblPr>
        <w:tblW w:w="8460" w:type="dxa"/>
        <w:tblInd w:w="93" w:type="dxa"/>
        <w:tblLook w:val="04A0" w:firstRow="1" w:lastRow="0" w:firstColumn="1" w:lastColumn="0" w:noHBand="0" w:noVBand="1"/>
        <w:tblCaption w:val="Minimum Lease payments due"/>
        <w:tblDescription w:val="Minimum Lease payments due"/>
      </w:tblPr>
      <w:tblGrid>
        <w:gridCol w:w="4420"/>
        <w:gridCol w:w="2020"/>
        <w:gridCol w:w="2020"/>
      </w:tblGrid>
      <w:tr w:rsidR="00C70368" w:rsidRPr="00614314" w14:paraId="377D3C71" w14:textId="77777777" w:rsidTr="00CD3384">
        <w:trPr>
          <w:cantSplit/>
          <w:trHeight w:val="300"/>
          <w:tblHeader/>
        </w:trPr>
        <w:tc>
          <w:tcPr>
            <w:tcW w:w="4420" w:type="dxa"/>
            <w:tcBorders>
              <w:top w:val="single" w:sz="4" w:space="0" w:color="FFFFFF"/>
              <w:left w:val="single" w:sz="4" w:space="0" w:color="FFFFFF"/>
              <w:bottom w:val="nil"/>
              <w:right w:val="single" w:sz="4" w:space="0" w:color="FFFFFF"/>
            </w:tcBorders>
            <w:shd w:val="clear" w:color="000000" w:fill="FABF8F"/>
            <w:noWrap/>
            <w:vAlign w:val="bottom"/>
            <w:hideMark/>
          </w:tcPr>
          <w:p w14:paraId="65E070B5"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w:t>
            </w:r>
          </w:p>
        </w:tc>
        <w:tc>
          <w:tcPr>
            <w:tcW w:w="2020" w:type="dxa"/>
            <w:tcBorders>
              <w:top w:val="single" w:sz="4" w:space="0" w:color="FFFFFF"/>
              <w:left w:val="nil"/>
              <w:bottom w:val="single" w:sz="4" w:space="0" w:color="FFFFFF"/>
              <w:right w:val="nil"/>
            </w:tcBorders>
            <w:shd w:val="clear" w:color="000000" w:fill="FABF8F"/>
            <w:vAlign w:val="center"/>
          </w:tcPr>
          <w:p w14:paraId="6E50BAAD" w14:textId="48A55C43" w:rsidR="00C70368" w:rsidRPr="00E23A06" w:rsidRDefault="00C70368" w:rsidP="000767BD">
            <w:pPr>
              <w:jc w:val="right"/>
              <w:rPr>
                <w:rFonts w:ascii="Calibri" w:hAnsi="Calibri"/>
                <w:color w:val="000000"/>
                <w:lang w:eastAsia="en-GB"/>
              </w:rPr>
            </w:pPr>
            <w:r w:rsidRPr="00E23A06">
              <w:rPr>
                <w:rFonts w:ascii="Calibri" w:hAnsi="Calibri"/>
                <w:color w:val="000000"/>
                <w:lang w:eastAsia="en-GB"/>
              </w:rPr>
              <w:t xml:space="preserve">     31 Mar 20</w:t>
            </w:r>
            <w:r w:rsidR="000767BD">
              <w:rPr>
                <w:rFonts w:ascii="Calibri" w:hAnsi="Calibri"/>
                <w:color w:val="000000"/>
                <w:lang w:eastAsia="en-GB"/>
              </w:rPr>
              <w:t>2</w:t>
            </w:r>
            <w:r w:rsidR="00EF1C9E">
              <w:rPr>
                <w:rFonts w:ascii="Calibri" w:hAnsi="Calibri"/>
                <w:color w:val="000000"/>
                <w:lang w:eastAsia="en-GB"/>
              </w:rPr>
              <w:t>2</w:t>
            </w:r>
          </w:p>
        </w:tc>
        <w:tc>
          <w:tcPr>
            <w:tcW w:w="2020" w:type="dxa"/>
            <w:tcBorders>
              <w:top w:val="single" w:sz="4" w:space="0" w:color="FFFFFF"/>
              <w:left w:val="nil"/>
              <w:bottom w:val="single" w:sz="4" w:space="0" w:color="FFFFFF"/>
              <w:right w:val="single" w:sz="4" w:space="0" w:color="FFFFFF"/>
            </w:tcBorders>
            <w:shd w:val="clear" w:color="000000" w:fill="FABF8F"/>
            <w:noWrap/>
            <w:vAlign w:val="center"/>
            <w:hideMark/>
          </w:tcPr>
          <w:p w14:paraId="2A166068" w14:textId="1DDDA547" w:rsidR="00C70368" w:rsidRPr="00E23A06" w:rsidRDefault="00C70368" w:rsidP="000767BD">
            <w:pPr>
              <w:jc w:val="right"/>
              <w:rPr>
                <w:rFonts w:ascii="Calibri" w:hAnsi="Calibri"/>
                <w:color w:val="000000"/>
                <w:lang w:eastAsia="en-GB"/>
              </w:rPr>
            </w:pPr>
            <w:r w:rsidRPr="00E23A06">
              <w:rPr>
                <w:rFonts w:ascii="Calibri" w:hAnsi="Calibri"/>
                <w:color w:val="000000"/>
                <w:lang w:eastAsia="en-GB"/>
              </w:rPr>
              <w:t xml:space="preserve">     31 Mar 20</w:t>
            </w:r>
            <w:r w:rsidR="000763A3">
              <w:rPr>
                <w:rFonts w:ascii="Calibri" w:hAnsi="Calibri"/>
                <w:color w:val="000000"/>
                <w:lang w:eastAsia="en-GB"/>
              </w:rPr>
              <w:t>2</w:t>
            </w:r>
            <w:r w:rsidR="00EF1C9E">
              <w:rPr>
                <w:rFonts w:ascii="Calibri" w:hAnsi="Calibri"/>
                <w:color w:val="000000"/>
                <w:lang w:eastAsia="en-GB"/>
              </w:rPr>
              <w:t>3</w:t>
            </w:r>
          </w:p>
        </w:tc>
      </w:tr>
      <w:tr w:rsidR="00C70368" w:rsidRPr="00614314" w14:paraId="6333EA0B"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ABF8F"/>
            <w:noWrap/>
            <w:vAlign w:val="bottom"/>
            <w:hideMark/>
          </w:tcPr>
          <w:p w14:paraId="5A84798A"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w:t>
            </w:r>
          </w:p>
        </w:tc>
        <w:tc>
          <w:tcPr>
            <w:tcW w:w="2020" w:type="dxa"/>
            <w:tcBorders>
              <w:top w:val="nil"/>
              <w:left w:val="nil"/>
              <w:bottom w:val="single" w:sz="4" w:space="0" w:color="FFFFFF"/>
              <w:right w:val="nil"/>
            </w:tcBorders>
            <w:shd w:val="clear" w:color="000000" w:fill="FABF8F"/>
          </w:tcPr>
          <w:p w14:paraId="27378FB5" w14:textId="77777777" w:rsidR="00C70368" w:rsidRPr="00E23A06" w:rsidRDefault="00C70368" w:rsidP="00DA530F">
            <w:pPr>
              <w:jc w:val="right"/>
              <w:rPr>
                <w:rFonts w:ascii="Calibri" w:hAnsi="Calibri"/>
                <w:color w:val="000000"/>
                <w:lang w:eastAsia="en-GB"/>
              </w:rPr>
            </w:pPr>
            <w:r w:rsidRPr="00E23A06">
              <w:rPr>
                <w:rFonts w:ascii="Calibri" w:hAnsi="Calibri"/>
                <w:color w:val="000000"/>
                <w:lang w:eastAsia="en-GB"/>
              </w:rPr>
              <w:t>£’000</w:t>
            </w:r>
          </w:p>
        </w:tc>
        <w:tc>
          <w:tcPr>
            <w:tcW w:w="2020" w:type="dxa"/>
            <w:tcBorders>
              <w:top w:val="nil"/>
              <w:left w:val="nil"/>
              <w:bottom w:val="single" w:sz="4" w:space="0" w:color="FFFFFF"/>
              <w:right w:val="single" w:sz="4" w:space="0" w:color="FFFFFF"/>
            </w:tcBorders>
            <w:shd w:val="clear" w:color="000000" w:fill="FABF8F"/>
            <w:noWrap/>
            <w:vAlign w:val="center"/>
            <w:hideMark/>
          </w:tcPr>
          <w:p w14:paraId="1990CDCD" w14:textId="77777777" w:rsidR="00C70368" w:rsidRPr="00E23A06" w:rsidRDefault="00C70368" w:rsidP="00DA530F">
            <w:pPr>
              <w:jc w:val="right"/>
              <w:rPr>
                <w:rFonts w:ascii="Calibri" w:hAnsi="Calibri"/>
                <w:color w:val="000000"/>
                <w:lang w:eastAsia="en-GB"/>
              </w:rPr>
            </w:pPr>
            <w:r w:rsidRPr="00E23A06">
              <w:rPr>
                <w:rFonts w:ascii="Calibri" w:hAnsi="Calibri"/>
                <w:color w:val="000000"/>
                <w:lang w:eastAsia="en-GB"/>
              </w:rPr>
              <w:t xml:space="preserve">    £’000</w:t>
            </w:r>
          </w:p>
        </w:tc>
      </w:tr>
      <w:tr w:rsidR="00C70368" w:rsidRPr="00614314" w14:paraId="2169332E" w14:textId="77777777" w:rsidTr="00001E85">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59A68727"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Not later than 1 year</w:t>
            </w:r>
          </w:p>
        </w:tc>
        <w:tc>
          <w:tcPr>
            <w:tcW w:w="2020" w:type="dxa"/>
            <w:tcBorders>
              <w:top w:val="nil"/>
              <w:left w:val="nil"/>
              <w:bottom w:val="single" w:sz="4" w:space="0" w:color="FFFFFF"/>
              <w:right w:val="nil"/>
            </w:tcBorders>
            <w:shd w:val="clear" w:color="000000" w:fill="FDE9D9"/>
            <w:vAlign w:val="center"/>
          </w:tcPr>
          <w:p w14:paraId="649BD73B" w14:textId="1D21F069" w:rsidR="00C70368" w:rsidRPr="00E23A06" w:rsidRDefault="00EF1C9E" w:rsidP="00001E85">
            <w:pPr>
              <w:jc w:val="right"/>
              <w:rPr>
                <w:rFonts w:ascii="Calibri" w:hAnsi="Calibri"/>
                <w:color w:val="000000"/>
                <w:lang w:eastAsia="en-GB"/>
              </w:rPr>
            </w:pPr>
            <w:r>
              <w:rPr>
                <w:rFonts w:ascii="Calibri" w:hAnsi="Calibri"/>
                <w:color w:val="000000"/>
                <w:lang w:eastAsia="en-GB"/>
              </w:rPr>
              <w:t>4</w:t>
            </w:r>
          </w:p>
        </w:tc>
        <w:tc>
          <w:tcPr>
            <w:tcW w:w="2020" w:type="dxa"/>
            <w:tcBorders>
              <w:top w:val="nil"/>
              <w:left w:val="nil"/>
              <w:bottom w:val="single" w:sz="4" w:space="0" w:color="FFFFFF"/>
              <w:right w:val="single" w:sz="4" w:space="0" w:color="FFFFFF"/>
            </w:tcBorders>
            <w:shd w:val="clear" w:color="000000" w:fill="FDE9D9"/>
            <w:noWrap/>
            <w:vAlign w:val="center"/>
          </w:tcPr>
          <w:p w14:paraId="499CDA22" w14:textId="392EC8BE" w:rsidR="00C70368" w:rsidRPr="00E23A06" w:rsidRDefault="00735715" w:rsidP="00D445E5">
            <w:pPr>
              <w:jc w:val="right"/>
              <w:rPr>
                <w:rFonts w:ascii="Calibri" w:hAnsi="Calibri"/>
                <w:color w:val="000000"/>
                <w:lang w:eastAsia="en-GB"/>
              </w:rPr>
            </w:pPr>
            <w:r>
              <w:rPr>
                <w:rFonts w:ascii="Calibri" w:hAnsi="Calibri"/>
                <w:color w:val="000000"/>
                <w:lang w:eastAsia="en-GB"/>
              </w:rPr>
              <w:t>28</w:t>
            </w:r>
          </w:p>
        </w:tc>
      </w:tr>
      <w:tr w:rsidR="00C70368" w:rsidRPr="00614314" w14:paraId="1902D381" w14:textId="77777777" w:rsidTr="00001E85">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5BDD239B"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xml:space="preserve">Later than one year and not later than five </w:t>
            </w:r>
            <w:proofErr w:type="gramStart"/>
            <w:r w:rsidRPr="00E23A06">
              <w:rPr>
                <w:rFonts w:ascii="Calibri" w:hAnsi="Calibri"/>
                <w:color w:val="000000"/>
                <w:lang w:eastAsia="en-GB"/>
              </w:rPr>
              <w:t>year</w:t>
            </w:r>
            <w:proofErr w:type="gramEnd"/>
          </w:p>
        </w:tc>
        <w:tc>
          <w:tcPr>
            <w:tcW w:w="2020" w:type="dxa"/>
            <w:tcBorders>
              <w:top w:val="nil"/>
              <w:left w:val="nil"/>
              <w:bottom w:val="single" w:sz="4" w:space="0" w:color="FFFFFF"/>
              <w:right w:val="nil"/>
            </w:tcBorders>
            <w:shd w:val="clear" w:color="000000" w:fill="FDE9D9"/>
            <w:vAlign w:val="center"/>
          </w:tcPr>
          <w:p w14:paraId="4DABDE7B" w14:textId="2B8BDFA4" w:rsidR="00C70368" w:rsidRPr="00E23A06" w:rsidRDefault="00E54BEA" w:rsidP="00001E85">
            <w:pPr>
              <w:jc w:val="right"/>
              <w:rPr>
                <w:rFonts w:ascii="Calibri" w:hAnsi="Calibri"/>
                <w:color w:val="000000"/>
                <w:lang w:eastAsia="en-GB"/>
              </w:rPr>
            </w:pPr>
            <w:r>
              <w:rPr>
                <w:rFonts w:ascii="Calibri" w:hAnsi="Calibri"/>
                <w:color w:val="000000"/>
                <w:lang w:eastAsia="en-GB"/>
              </w:rPr>
              <w:t>1</w:t>
            </w:r>
            <w:r w:rsidR="00EF1C9E">
              <w:rPr>
                <w:rFonts w:ascii="Calibri" w:hAnsi="Calibri"/>
                <w:color w:val="000000"/>
                <w:lang w:eastAsia="en-GB"/>
              </w:rPr>
              <w:t>3</w:t>
            </w:r>
          </w:p>
        </w:tc>
        <w:tc>
          <w:tcPr>
            <w:tcW w:w="2020" w:type="dxa"/>
            <w:tcBorders>
              <w:top w:val="nil"/>
              <w:left w:val="nil"/>
              <w:bottom w:val="single" w:sz="4" w:space="0" w:color="FFFFFF"/>
              <w:right w:val="single" w:sz="4" w:space="0" w:color="FFFFFF"/>
            </w:tcBorders>
            <w:shd w:val="clear" w:color="000000" w:fill="FDE9D9"/>
            <w:noWrap/>
            <w:vAlign w:val="center"/>
          </w:tcPr>
          <w:p w14:paraId="5582E11C" w14:textId="3EC62FBD" w:rsidR="00C70368" w:rsidRPr="00E23A06" w:rsidRDefault="00735715" w:rsidP="00DA530F">
            <w:pPr>
              <w:jc w:val="right"/>
              <w:rPr>
                <w:rFonts w:ascii="Calibri" w:hAnsi="Calibri"/>
                <w:color w:val="000000"/>
                <w:lang w:eastAsia="en-GB"/>
              </w:rPr>
            </w:pPr>
            <w:r>
              <w:rPr>
                <w:rFonts w:ascii="Calibri" w:hAnsi="Calibri"/>
                <w:color w:val="000000"/>
                <w:lang w:eastAsia="en-GB"/>
              </w:rPr>
              <w:t>86</w:t>
            </w:r>
          </w:p>
        </w:tc>
      </w:tr>
      <w:tr w:rsidR="00C70368" w:rsidRPr="00614314" w14:paraId="345066CF" w14:textId="77777777" w:rsidTr="00001E85">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1C78B7A9"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Later than five years</w:t>
            </w:r>
          </w:p>
        </w:tc>
        <w:tc>
          <w:tcPr>
            <w:tcW w:w="2020" w:type="dxa"/>
            <w:tcBorders>
              <w:top w:val="nil"/>
              <w:left w:val="nil"/>
              <w:bottom w:val="single" w:sz="4" w:space="0" w:color="FFFFFF"/>
              <w:right w:val="nil"/>
            </w:tcBorders>
            <w:shd w:val="clear" w:color="000000" w:fill="FDE9D9"/>
            <w:vAlign w:val="center"/>
          </w:tcPr>
          <w:p w14:paraId="5E2A7FEC" w14:textId="1F40EBC6" w:rsidR="00C70368" w:rsidRPr="00E23A06" w:rsidRDefault="000763A3" w:rsidP="00001E85">
            <w:pPr>
              <w:jc w:val="right"/>
              <w:rPr>
                <w:rFonts w:ascii="Calibri" w:hAnsi="Calibri"/>
                <w:color w:val="000000"/>
                <w:lang w:eastAsia="en-GB"/>
              </w:rPr>
            </w:pPr>
            <w:r>
              <w:rPr>
                <w:rFonts w:ascii="Calibri" w:hAnsi="Calibri"/>
                <w:color w:val="000000"/>
                <w:lang w:eastAsia="en-GB"/>
              </w:rPr>
              <w:t>5</w:t>
            </w:r>
            <w:r w:rsidR="00E54BEA">
              <w:rPr>
                <w:rFonts w:ascii="Calibri" w:hAnsi="Calibri"/>
                <w:color w:val="000000"/>
                <w:lang w:eastAsia="en-GB"/>
              </w:rPr>
              <w:t>5</w:t>
            </w:r>
          </w:p>
        </w:tc>
        <w:tc>
          <w:tcPr>
            <w:tcW w:w="2020" w:type="dxa"/>
            <w:tcBorders>
              <w:top w:val="nil"/>
              <w:left w:val="nil"/>
              <w:bottom w:val="single" w:sz="4" w:space="0" w:color="FFFFFF"/>
              <w:right w:val="single" w:sz="4" w:space="0" w:color="FFFFFF"/>
            </w:tcBorders>
            <w:shd w:val="clear" w:color="000000" w:fill="FDE9D9"/>
            <w:noWrap/>
            <w:vAlign w:val="center"/>
          </w:tcPr>
          <w:p w14:paraId="1F7A5D0C" w14:textId="4101E223" w:rsidR="00C70368" w:rsidRPr="00E23A06" w:rsidRDefault="00735715" w:rsidP="00DA530F">
            <w:pPr>
              <w:jc w:val="right"/>
              <w:rPr>
                <w:rFonts w:ascii="Calibri" w:hAnsi="Calibri"/>
                <w:color w:val="000000"/>
                <w:lang w:eastAsia="en-GB"/>
              </w:rPr>
            </w:pPr>
            <w:r>
              <w:rPr>
                <w:rFonts w:ascii="Calibri" w:hAnsi="Calibri"/>
                <w:color w:val="000000"/>
                <w:lang w:eastAsia="en-GB"/>
              </w:rPr>
              <w:t>55</w:t>
            </w:r>
          </w:p>
        </w:tc>
      </w:tr>
      <w:tr w:rsidR="00C70368" w:rsidRPr="00894595" w14:paraId="143E6303" w14:textId="77777777" w:rsidTr="00001E85">
        <w:trPr>
          <w:trHeight w:val="300"/>
        </w:trPr>
        <w:tc>
          <w:tcPr>
            <w:tcW w:w="4420" w:type="dxa"/>
            <w:tcBorders>
              <w:top w:val="nil"/>
              <w:left w:val="single" w:sz="4" w:space="0" w:color="FFFFFF"/>
              <w:bottom w:val="single" w:sz="4" w:space="0" w:color="FFFFFF"/>
              <w:right w:val="single" w:sz="4" w:space="0" w:color="FFFFFF"/>
            </w:tcBorders>
            <w:shd w:val="clear" w:color="000000" w:fill="FCD5B4"/>
            <w:noWrap/>
            <w:vAlign w:val="bottom"/>
            <w:hideMark/>
          </w:tcPr>
          <w:p w14:paraId="0B84D7B0"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w:t>
            </w:r>
          </w:p>
        </w:tc>
        <w:tc>
          <w:tcPr>
            <w:tcW w:w="2020" w:type="dxa"/>
            <w:tcBorders>
              <w:top w:val="nil"/>
              <w:left w:val="nil"/>
              <w:bottom w:val="single" w:sz="4" w:space="0" w:color="FFFFFF"/>
              <w:right w:val="nil"/>
            </w:tcBorders>
            <w:shd w:val="clear" w:color="000000" w:fill="FCD5B4"/>
            <w:vAlign w:val="center"/>
          </w:tcPr>
          <w:p w14:paraId="02532F2B" w14:textId="5986DF7E" w:rsidR="00C70368" w:rsidRPr="00894595" w:rsidRDefault="00E54BEA" w:rsidP="00001E85">
            <w:pPr>
              <w:jc w:val="right"/>
              <w:rPr>
                <w:rFonts w:ascii="Calibri" w:hAnsi="Calibri"/>
                <w:b/>
                <w:bCs/>
                <w:color w:val="000000"/>
                <w:lang w:eastAsia="en-GB"/>
              </w:rPr>
            </w:pPr>
            <w:r>
              <w:rPr>
                <w:rFonts w:ascii="Calibri" w:hAnsi="Calibri"/>
                <w:b/>
                <w:bCs/>
                <w:color w:val="000000"/>
                <w:lang w:eastAsia="en-GB"/>
              </w:rPr>
              <w:t>7</w:t>
            </w:r>
            <w:r w:rsidR="00EF1C9E">
              <w:rPr>
                <w:rFonts w:ascii="Calibri" w:hAnsi="Calibri"/>
                <w:b/>
                <w:bCs/>
                <w:color w:val="000000"/>
                <w:lang w:eastAsia="en-GB"/>
              </w:rPr>
              <w:t>2</w:t>
            </w:r>
          </w:p>
        </w:tc>
        <w:tc>
          <w:tcPr>
            <w:tcW w:w="2020" w:type="dxa"/>
            <w:tcBorders>
              <w:top w:val="nil"/>
              <w:left w:val="nil"/>
              <w:bottom w:val="single" w:sz="4" w:space="0" w:color="FFFFFF"/>
              <w:right w:val="single" w:sz="4" w:space="0" w:color="FFFFFF"/>
            </w:tcBorders>
            <w:shd w:val="clear" w:color="000000" w:fill="FCD5B4"/>
            <w:noWrap/>
            <w:vAlign w:val="center"/>
          </w:tcPr>
          <w:p w14:paraId="4C4528E3" w14:textId="7CDD6126" w:rsidR="00C70368" w:rsidRPr="00894595" w:rsidRDefault="00735715" w:rsidP="00D445E5">
            <w:pPr>
              <w:jc w:val="right"/>
              <w:rPr>
                <w:rFonts w:ascii="Calibri" w:hAnsi="Calibri"/>
                <w:b/>
                <w:bCs/>
                <w:color w:val="000000"/>
                <w:lang w:eastAsia="en-GB"/>
              </w:rPr>
            </w:pPr>
            <w:r>
              <w:rPr>
                <w:rFonts w:ascii="Calibri" w:hAnsi="Calibri"/>
                <w:b/>
                <w:bCs/>
                <w:color w:val="000000"/>
                <w:lang w:eastAsia="en-GB"/>
              </w:rPr>
              <w:t>169</w:t>
            </w:r>
          </w:p>
        </w:tc>
      </w:tr>
    </w:tbl>
    <w:p w14:paraId="38692CB4" w14:textId="77777777" w:rsidR="0004640C" w:rsidRPr="00894595" w:rsidRDefault="0004640C" w:rsidP="0004640C">
      <w:pPr>
        <w:pStyle w:val="BodyTextIndent3"/>
        <w:ind w:left="0" w:right="425"/>
        <w:rPr>
          <w:rFonts w:asciiTheme="minorHAnsi" w:hAnsiTheme="minorHAnsi" w:cs="Arial"/>
          <w:sz w:val="22"/>
          <w:szCs w:val="22"/>
        </w:rPr>
      </w:pPr>
    </w:p>
    <w:p w14:paraId="35E4BB3A" w14:textId="77777777" w:rsidR="0004640C" w:rsidRDefault="0004640C" w:rsidP="0004640C">
      <w:pPr>
        <w:pStyle w:val="BodyTextIndent3"/>
        <w:ind w:left="0" w:right="425"/>
        <w:rPr>
          <w:rFonts w:asciiTheme="minorHAnsi" w:hAnsiTheme="minorHAnsi" w:cs="Arial"/>
          <w:sz w:val="22"/>
          <w:szCs w:val="22"/>
        </w:rPr>
      </w:pPr>
      <w:r w:rsidRPr="00E23A06">
        <w:rPr>
          <w:rFonts w:asciiTheme="minorHAnsi" w:hAnsiTheme="minorHAnsi" w:cs="Arial"/>
          <w:sz w:val="22"/>
          <w:szCs w:val="22"/>
        </w:rPr>
        <w:t xml:space="preserve">The expenditure charged to the </w:t>
      </w:r>
      <w:r>
        <w:rPr>
          <w:rFonts w:asciiTheme="minorHAnsi" w:hAnsiTheme="minorHAnsi" w:cs="Arial"/>
          <w:sz w:val="22"/>
          <w:szCs w:val="22"/>
        </w:rPr>
        <w:t xml:space="preserve">General </w:t>
      </w:r>
      <w:r w:rsidR="00ED61B7">
        <w:rPr>
          <w:rFonts w:asciiTheme="minorHAnsi" w:hAnsiTheme="minorHAnsi" w:cs="Arial"/>
          <w:sz w:val="22"/>
          <w:szCs w:val="22"/>
        </w:rPr>
        <w:t>Expenses</w:t>
      </w:r>
      <w:r>
        <w:rPr>
          <w:rFonts w:asciiTheme="minorHAnsi" w:hAnsiTheme="minorHAnsi" w:cs="Arial"/>
          <w:sz w:val="22"/>
          <w:szCs w:val="22"/>
        </w:rPr>
        <w:t xml:space="preserve"> </w:t>
      </w:r>
      <w:r w:rsidRPr="00E23A06">
        <w:rPr>
          <w:rFonts w:asciiTheme="minorHAnsi" w:hAnsiTheme="minorHAnsi" w:cs="Arial"/>
          <w:sz w:val="22"/>
          <w:szCs w:val="22"/>
        </w:rPr>
        <w:t>line</w:t>
      </w:r>
      <w:r>
        <w:rPr>
          <w:rFonts w:asciiTheme="minorHAnsi" w:hAnsiTheme="minorHAnsi" w:cs="Arial"/>
          <w:sz w:val="22"/>
          <w:szCs w:val="22"/>
        </w:rPr>
        <w:t>s</w:t>
      </w:r>
      <w:r w:rsidRPr="00E23A06">
        <w:rPr>
          <w:rFonts w:asciiTheme="minorHAnsi" w:hAnsiTheme="minorHAnsi" w:cs="Arial"/>
          <w:sz w:val="22"/>
          <w:szCs w:val="22"/>
        </w:rPr>
        <w:t xml:space="preserve"> in the Comprehensive Income and Expenditure Statement during the year in relation to these leases was:</w:t>
      </w:r>
    </w:p>
    <w:tbl>
      <w:tblPr>
        <w:tblW w:w="8460" w:type="dxa"/>
        <w:tblInd w:w="93" w:type="dxa"/>
        <w:tblLook w:val="04A0" w:firstRow="1" w:lastRow="0" w:firstColumn="1" w:lastColumn="0" w:noHBand="0" w:noVBand="1"/>
        <w:tblCaption w:val="Lease expenditure charged to the Comprehensive Income and Expenditure Statement"/>
        <w:tblDescription w:val="Lease expenditure charged to the Comprehensive Income and Expenditure Statement"/>
      </w:tblPr>
      <w:tblGrid>
        <w:gridCol w:w="4420"/>
        <w:gridCol w:w="2020"/>
        <w:gridCol w:w="2020"/>
      </w:tblGrid>
      <w:tr w:rsidR="00C70368" w:rsidRPr="00614314" w14:paraId="1CD15A9C" w14:textId="77777777" w:rsidTr="00CD3384">
        <w:trPr>
          <w:cantSplit/>
          <w:trHeight w:val="300"/>
          <w:tblHeader/>
        </w:trPr>
        <w:tc>
          <w:tcPr>
            <w:tcW w:w="4420" w:type="dxa"/>
            <w:tcBorders>
              <w:top w:val="single" w:sz="4" w:space="0" w:color="FFFFFF"/>
              <w:left w:val="single" w:sz="4" w:space="0" w:color="FFFFFF"/>
              <w:bottom w:val="nil"/>
              <w:right w:val="single" w:sz="4" w:space="0" w:color="FFFFFF"/>
            </w:tcBorders>
            <w:shd w:val="clear" w:color="000000" w:fill="FABF8F"/>
            <w:noWrap/>
            <w:vAlign w:val="bottom"/>
            <w:hideMark/>
          </w:tcPr>
          <w:p w14:paraId="540E6064"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w:t>
            </w:r>
          </w:p>
        </w:tc>
        <w:tc>
          <w:tcPr>
            <w:tcW w:w="2020" w:type="dxa"/>
            <w:tcBorders>
              <w:top w:val="single" w:sz="4" w:space="0" w:color="FFFFFF"/>
              <w:left w:val="nil"/>
              <w:bottom w:val="single" w:sz="4" w:space="0" w:color="FFFFFF"/>
              <w:right w:val="nil"/>
            </w:tcBorders>
            <w:shd w:val="clear" w:color="000000" w:fill="FABF8F"/>
            <w:vAlign w:val="center"/>
          </w:tcPr>
          <w:p w14:paraId="4694B99D" w14:textId="55C06788" w:rsidR="00C70368" w:rsidRPr="00E23A06" w:rsidRDefault="00C70368" w:rsidP="000767BD">
            <w:pPr>
              <w:jc w:val="right"/>
              <w:rPr>
                <w:rFonts w:ascii="Calibri" w:hAnsi="Calibri"/>
                <w:color w:val="000000"/>
                <w:lang w:eastAsia="en-GB"/>
              </w:rPr>
            </w:pPr>
            <w:r w:rsidRPr="00E23A06">
              <w:rPr>
                <w:rFonts w:ascii="Calibri" w:hAnsi="Calibri"/>
                <w:color w:val="000000"/>
                <w:lang w:eastAsia="en-GB"/>
              </w:rPr>
              <w:t xml:space="preserve">     31 Mar 20</w:t>
            </w:r>
            <w:r w:rsidR="000767BD">
              <w:rPr>
                <w:rFonts w:ascii="Calibri" w:hAnsi="Calibri"/>
                <w:color w:val="000000"/>
                <w:lang w:eastAsia="en-GB"/>
              </w:rPr>
              <w:t>2</w:t>
            </w:r>
            <w:r w:rsidR="00EF1C9E">
              <w:rPr>
                <w:rFonts w:ascii="Calibri" w:hAnsi="Calibri"/>
                <w:color w:val="000000"/>
                <w:lang w:eastAsia="en-GB"/>
              </w:rPr>
              <w:t>2</w:t>
            </w:r>
          </w:p>
        </w:tc>
        <w:tc>
          <w:tcPr>
            <w:tcW w:w="2020" w:type="dxa"/>
            <w:tcBorders>
              <w:top w:val="single" w:sz="4" w:space="0" w:color="FFFFFF"/>
              <w:left w:val="nil"/>
              <w:bottom w:val="single" w:sz="4" w:space="0" w:color="FFFFFF"/>
              <w:right w:val="single" w:sz="4" w:space="0" w:color="FFFFFF"/>
            </w:tcBorders>
            <w:shd w:val="clear" w:color="000000" w:fill="FABF8F"/>
            <w:noWrap/>
            <w:vAlign w:val="center"/>
            <w:hideMark/>
          </w:tcPr>
          <w:p w14:paraId="52A19B58" w14:textId="1DCA3347" w:rsidR="00C70368" w:rsidRPr="00E23A06" w:rsidRDefault="00C70368" w:rsidP="000767BD">
            <w:pPr>
              <w:jc w:val="right"/>
              <w:rPr>
                <w:rFonts w:ascii="Calibri" w:hAnsi="Calibri"/>
                <w:color w:val="000000"/>
                <w:lang w:eastAsia="en-GB"/>
              </w:rPr>
            </w:pPr>
            <w:r w:rsidRPr="00E23A06">
              <w:rPr>
                <w:rFonts w:ascii="Calibri" w:hAnsi="Calibri"/>
                <w:color w:val="000000"/>
                <w:lang w:eastAsia="en-GB"/>
              </w:rPr>
              <w:t xml:space="preserve">     31 Mar 20</w:t>
            </w:r>
            <w:r w:rsidR="000763A3">
              <w:rPr>
                <w:rFonts w:ascii="Calibri" w:hAnsi="Calibri"/>
                <w:color w:val="000000"/>
                <w:lang w:eastAsia="en-GB"/>
              </w:rPr>
              <w:t>2</w:t>
            </w:r>
            <w:r w:rsidR="00EF1C9E">
              <w:rPr>
                <w:rFonts w:ascii="Calibri" w:hAnsi="Calibri"/>
                <w:color w:val="000000"/>
                <w:lang w:eastAsia="en-GB"/>
              </w:rPr>
              <w:t>3</w:t>
            </w:r>
          </w:p>
        </w:tc>
      </w:tr>
      <w:tr w:rsidR="00C70368" w:rsidRPr="00614314" w14:paraId="6A6D498C"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ABF8F"/>
            <w:noWrap/>
            <w:vAlign w:val="bottom"/>
            <w:hideMark/>
          </w:tcPr>
          <w:p w14:paraId="268DCBC5"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 </w:t>
            </w:r>
          </w:p>
        </w:tc>
        <w:tc>
          <w:tcPr>
            <w:tcW w:w="2020" w:type="dxa"/>
            <w:tcBorders>
              <w:top w:val="nil"/>
              <w:left w:val="nil"/>
              <w:bottom w:val="single" w:sz="4" w:space="0" w:color="FFFFFF"/>
              <w:right w:val="nil"/>
            </w:tcBorders>
            <w:shd w:val="clear" w:color="000000" w:fill="FABF8F"/>
            <w:vAlign w:val="center"/>
          </w:tcPr>
          <w:p w14:paraId="28CF07C7" w14:textId="77777777" w:rsidR="00C70368" w:rsidRPr="00E23A06" w:rsidRDefault="00C70368" w:rsidP="00001E85">
            <w:pPr>
              <w:jc w:val="right"/>
              <w:rPr>
                <w:rFonts w:ascii="Calibri" w:hAnsi="Calibri"/>
                <w:color w:val="000000"/>
                <w:lang w:eastAsia="en-GB"/>
              </w:rPr>
            </w:pPr>
            <w:r w:rsidRPr="00E23A06">
              <w:rPr>
                <w:rFonts w:ascii="Calibri" w:hAnsi="Calibri"/>
                <w:color w:val="000000"/>
                <w:lang w:eastAsia="en-GB"/>
              </w:rPr>
              <w:t xml:space="preserve">    £’000</w:t>
            </w:r>
          </w:p>
        </w:tc>
        <w:tc>
          <w:tcPr>
            <w:tcW w:w="2020" w:type="dxa"/>
            <w:tcBorders>
              <w:top w:val="nil"/>
              <w:left w:val="nil"/>
              <w:bottom w:val="single" w:sz="4" w:space="0" w:color="FFFFFF"/>
              <w:right w:val="single" w:sz="4" w:space="0" w:color="FFFFFF"/>
            </w:tcBorders>
            <w:shd w:val="clear" w:color="000000" w:fill="FABF8F"/>
            <w:noWrap/>
            <w:vAlign w:val="center"/>
            <w:hideMark/>
          </w:tcPr>
          <w:p w14:paraId="296A3483" w14:textId="77777777" w:rsidR="00C70368" w:rsidRPr="00E23A06" w:rsidRDefault="00C70368" w:rsidP="00DA530F">
            <w:pPr>
              <w:jc w:val="right"/>
              <w:rPr>
                <w:rFonts w:ascii="Calibri" w:hAnsi="Calibri"/>
                <w:color w:val="000000"/>
                <w:lang w:eastAsia="en-GB"/>
              </w:rPr>
            </w:pPr>
            <w:r w:rsidRPr="00E23A06">
              <w:rPr>
                <w:rFonts w:ascii="Calibri" w:hAnsi="Calibri"/>
                <w:color w:val="000000"/>
                <w:lang w:eastAsia="en-GB"/>
              </w:rPr>
              <w:t xml:space="preserve">    £’000</w:t>
            </w:r>
          </w:p>
        </w:tc>
      </w:tr>
      <w:tr w:rsidR="00C70368" w:rsidRPr="00614314" w14:paraId="6A51B1A0"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7DAB7664" w14:textId="77777777" w:rsidR="00C70368" w:rsidRPr="00565288" w:rsidRDefault="00C70368" w:rsidP="00DA530F">
            <w:pPr>
              <w:rPr>
                <w:rFonts w:ascii="Calibri" w:hAnsi="Calibri"/>
                <w:color w:val="000000"/>
                <w:lang w:eastAsia="en-GB"/>
              </w:rPr>
            </w:pPr>
            <w:r w:rsidRPr="00565288">
              <w:rPr>
                <w:rFonts w:ascii="Calibri" w:hAnsi="Calibri"/>
                <w:color w:val="000000"/>
                <w:lang w:eastAsia="en-GB"/>
              </w:rPr>
              <w:t>Minimum Lease Payments</w:t>
            </w:r>
          </w:p>
        </w:tc>
        <w:tc>
          <w:tcPr>
            <w:tcW w:w="2020" w:type="dxa"/>
            <w:tcBorders>
              <w:top w:val="nil"/>
              <w:left w:val="nil"/>
              <w:bottom w:val="single" w:sz="4" w:space="0" w:color="FFFFFF"/>
              <w:right w:val="nil"/>
            </w:tcBorders>
            <w:shd w:val="clear" w:color="000000" w:fill="FDE9D9"/>
            <w:vAlign w:val="center"/>
          </w:tcPr>
          <w:p w14:paraId="35E9E82B" w14:textId="6C8D8429" w:rsidR="00C70368" w:rsidRPr="00565288" w:rsidRDefault="00EF1C9E" w:rsidP="00001E85">
            <w:pPr>
              <w:jc w:val="right"/>
              <w:rPr>
                <w:rFonts w:ascii="Calibri" w:hAnsi="Calibri"/>
                <w:color w:val="000000"/>
                <w:lang w:eastAsia="en-GB"/>
              </w:rPr>
            </w:pPr>
            <w:r>
              <w:rPr>
                <w:rFonts w:ascii="Calibri" w:hAnsi="Calibri"/>
                <w:color w:val="000000"/>
                <w:lang w:eastAsia="en-GB"/>
              </w:rPr>
              <w:t>34</w:t>
            </w:r>
          </w:p>
        </w:tc>
        <w:tc>
          <w:tcPr>
            <w:tcW w:w="2020" w:type="dxa"/>
            <w:tcBorders>
              <w:top w:val="nil"/>
              <w:left w:val="nil"/>
              <w:bottom w:val="single" w:sz="4" w:space="0" w:color="FFFFFF"/>
              <w:right w:val="single" w:sz="4" w:space="0" w:color="FFFFFF"/>
            </w:tcBorders>
            <w:shd w:val="clear" w:color="000000" w:fill="FDE9D9"/>
            <w:noWrap/>
            <w:vAlign w:val="center"/>
          </w:tcPr>
          <w:p w14:paraId="697C8D9D" w14:textId="0F11244E" w:rsidR="00C70368" w:rsidRPr="00565288" w:rsidRDefault="00735715" w:rsidP="00DA530F">
            <w:pPr>
              <w:jc w:val="right"/>
              <w:rPr>
                <w:rFonts w:ascii="Calibri" w:hAnsi="Calibri"/>
                <w:color w:val="000000"/>
                <w:lang w:eastAsia="en-GB"/>
              </w:rPr>
            </w:pPr>
            <w:r>
              <w:rPr>
                <w:rFonts w:ascii="Calibri" w:hAnsi="Calibri"/>
                <w:color w:val="000000"/>
                <w:lang w:eastAsia="en-GB"/>
              </w:rPr>
              <w:t>39</w:t>
            </w:r>
          </w:p>
        </w:tc>
      </w:tr>
      <w:tr w:rsidR="00C70368" w:rsidRPr="00614314" w14:paraId="2306BE8C"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5B182F0D" w14:textId="77777777" w:rsidR="00C70368" w:rsidRPr="00E23A06" w:rsidRDefault="00C70368" w:rsidP="00DA530F">
            <w:pPr>
              <w:rPr>
                <w:rFonts w:ascii="Calibri" w:hAnsi="Calibri"/>
                <w:color w:val="000000"/>
                <w:lang w:eastAsia="en-GB"/>
              </w:rPr>
            </w:pPr>
            <w:r w:rsidRPr="00E23A06">
              <w:rPr>
                <w:rFonts w:ascii="Calibri" w:hAnsi="Calibri"/>
                <w:color w:val="000000"/>
                <w:lang w:eastAsia="en-GB"/>
              </w:rPr>
              <w:t>Contingent Rents</w:t>
            </w:r>
          </w:p>
        </w:tc>
        <w:tc>
          <w:tcPr>
            <w:tcW w:w="2020" w:type="dxa"/>
            <w:tcBorders>
              <w:top w:val="nil"/>
              <w:left w:val="nil"/>
              <w:bottom w:val="single" w:sz="4" w:space="0" w:color="FFFFFF"/>
              <w:right w:val="nil"/>
            </w:tcBorders>
            <w:shd w:val="clear" w:color="000000" w:fill="FDE9D9"/>
            <w:vAlign w:val="center"/>
          </w:tcPr>
          <w:p w14:paraId="49D1DD17" w14:textId="77777777" w:rsidR="00C70368" w:rsidRPr="00E23A06" w:rsidRDefault="00C70368" w:rsidP="00001E85">
            <w:pPr>
              <w:jc w:val="right"/>
              <w:rPr>
                <w:rFonts w:ascii="Calibri" w:hAnsi="Calibri"/>
                <w:color w:val="000000"/>
                <w:lang w:eastAsia="en-GB"/>
              </w:rPr>
            </w:pPr>
            <w:r w:rsidRPr="00E23A06">
              <w:rPr>
                <w:rFonts w:ascii="Calibri" w:hAnsi="Calibri"/>
                <w:color w:val="000000"/>
                <w:lang w:eastAsia="en-GB"/>
              </w:rPr>
              <w:t>0</w:t>
            </w:r>
          </w:p>
        </w:tc>
        <w:tc>
          <w:tcPr>
            <w:tcW w:w="2020" w:type="dxa"/>
            <w:tcBorders>
              <w:top w:val="nil"/>
              <w:left w:val="nil"/>
              <w:bottom w:val="single" w:sz="4" w:space="0" w:color="FFFFFF"/>
              <w:right w:val="single" w:sz="4" w:space="0" w:color="FFFFFF"/>
            </w:tcBorders>
            <w:shd w:val="clear" w:color="000000" w:fill="FDE9D9"/>
            <w:noWrap/>
            <w:vAlign w:val="center"/>
          </w:tcPr>
          <w:p w14:paraId="131B8D41" w14:textId="6F3FD262" w:rsidR="00C70368" w:rsidRPr="00E23A06" w:rsidRDefault="008D5F98" w:rsidP="00DA530F">
            <w:pPr>
              <w:jc w:val="right"/>
              <w:rPr>
                <w:rFonts w:ascii="Calibri" w:hAnsi="Calibri"/>
                <w:color w:val="000000"/>
                <w:lang w:eastAsia="en-GB"/>
              </w:rPr>
            </w:pPr>
            <w:r>
              <w:rPr>
                <w:rFonts w:ascii="Calibri" w:hAnsi="Calibri"/>
                <w:color w:val="000000"/>
                <w:lang w:eastAsia="en-GB"/>
              </w:rPr>
              <w:t>0</w:t>
            </w:r>
          </w:p>
        </w:tc>
      </w:tr>
      <w:tr w:rsidR="00C70368" w:rsidRPr="00614314" w14:paraId="6F1A1835"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54C8C2B8" w14:textId="77777777" w:rsidR="00C70368" w:rsidRPr="00565288" w:rsidRDefault="00C70368" w:rsidP="00DA530F">
            <w:pPr>
              <w:rPr>
                <w:rFonts w:ascii="Calibri" w:hAnsi="Calibri"/>
                <w:color w:val="000000"/>
                <w:lang w:eastAsia="en-GB"/>
              </w:rPr>
            </w:pPr>
            <w:r>
              <w:rPr>
                <w:rFonts w:ascii="Calibri" w:hAnsi="Calibri"/>
                <w:color w:val="000000"/>
                <w:lang w:eastAsia="en-GB"/>
              </w:rPr>
              <w:t>Sublease payments receivable</w:t>
            </w:r>
          </w:p>
        </w:tc>
        <w:tc>
          <w:tcPr>
            <w:tcW w:w="2020" w:type="dxa"/>
            <w:tcBorders>
              <w:top w:val="nil"/>
              <w:left w:val="nil"/>
              <w:bottom w:val="single" w:sz="4" w:space="0" w:color="FFFFFF"/>
              <w:right w:val="nil"/>
            </w:tcBorders>
            <w:shd w:val="clear" w:color="000000" w:fill="FDE9D9"/>
            <w:vAlign w:val="center"/>
          </w:tcPr>
          <w:p w14:paraId="34E30016" w14:textId="77777777" w:rsidR="00C70368" w:rsidRPr="00E23A06" w:rsidRDefault="00C70368" w:rsidP="00001E85">
            <w:pPr>
              <w:jc w:val="right"/>
              <w:rPr>
                <w:rFonts w:ascii="Calibri" w:hAnsi="Calibri"/>
                <w:color w:val="000000"/>
                <w:lang w:eastAsia="en-GB"/>
              </w:rPr>
            </w:pPr>
            <w:r w:rsidRPr="00E23A06">
              <w:rPr>
                <w:rFonts w:ascii="Calibri" w:hAnsi="Calibri"/>
                <w:color w:val="000000"/>
                <w:lang w:eastAsia="en-GB"/>
              </w:rPr>
              <w:t>0</w:t>
            </w:r>
          </w:p>
        </w:tc>
        <w:tc>
          <w:tcPr>
            <w:tcW w:w="2020" w:type="dxa"/>
            <w:tcBorders>
              <w:top w:val="nil"/>
              <w:left w:val="nil"/>
              <w:bottom w:val="single" w:sz="4" w:space="0" w:color="FFFFFF"/>
              <w:right w:val="single" w:sz="4" w:space="0" w:color="FFFFFF"/>
            </w:tcBorders>
            <w:shd w:val="clear" w:color="000000" w:fill="FDE9D9"/>
            <w:noWrap/>
            <w:vAlign w:val="center"/>
          </w:tcPr>
          <w:p w14:paraId="03870D69" w14:textId="7E76FB99" w:rsidR="00C70368" w:rsidRPr="00E23A06" w:rsidRDefault="008D5F98" w:rsidP="00ED61B7">
            <w:pPr>
              <w:jc w:val="right"/>
              <w:rPr>
                <w:rFonts w:ascii="Calibri" w:hAnsi="Calibri"/>
                <w:color w:val="000000"/>
                <w:lang w:eastAsia="en-GB"/>
              </w:rPr>
            </w:pPr>
            <w:r>
              <w:rPr>
                <w:rFonts w:ascii="Calibri" w:hAnsi="Calibri"/>
                <w:color w:val="000000"/>
                <w:lang w:eastAsia="en-GB"/>
              </w:rPr>
              <w:t>0</w:t>
            </w:r>
          </w:p>
        </w:tc>
      </w:tr>
      <w:tr w:rsidR="00C70368" w:rsidRPr="00894595" w14:paraId="69159DBC" w14:textId="77777777" w:rsidTr="00C70368">
        <w:trPr>
          <w:trHeight w:val="300"/>
        </w:trPr>
        <w:tc>
          <w:tcPr>
            <w:tcW w:w="4420" w:type="dxa"/>
            <w:tcBorders>
              <w:top w:val="nil"/>
              <w:left w:val="single" w:sz="4" w:space="0" w:color="FFFFFF"/>
              <w:bottom w:val="single" w:sz="4" w:space="0" w:color="FFFFFF"/>
              <w:right w:val="single" w:sz="4" w:space="0" w:color="FFFFFF"/>
            </w:tcBorders>
            <w:shd w:val="clear" w:color="000000" w:fill="FCD5B4"/>
            <w:noWrap/>
            <w:vAlign w:val="bottom"/>
            <w:hideMark/>
          </w:tcPr>
          <w:p w14:paraId="571FA9C1" w14:textId="77777777" w:rsidR="00C70368" w:rsidRPr="00565288" w:rsidRDefault="00C70368" w:rsidP="00DA530F">
            <w:pPr>
              <w:rPr>
                <w:rFonts w:ascii="Calibri" w:hAnsi="Calibri"/>
                <w:color w:val="000000"/>
                <w:lang w:eastAsia="en-GB"/>
              </w:rPr>
            </w:pPr>
            <w:r w:rsidRPr="00565288">
              <w:rPr>
                <w:rFonts w:ascii="Calibri" w:hAnsi="Calibri"/>
                <w:color w:val="000000"/>
                <w:lang w:eastAsia="en-GB"/>
              </w:rPr>
              <w:t> </w:t>
            </w:r>
          </w:p>
        </w:tc>
        <w:tc>
          <w:tcPr>
            <w:tcW w:w="2020" w:type="dxa"/>
            <w:tcBorders>
              <w:top w:val="nil"/>
              <w:left w:val="nil"/>
              <w:bottom w:val="single" w:sz="4" w:space="0" w:color="FFFFFF"/>
              <w:right w:val="nil"/>
            </w:tcBorders>
            <w:shd w:val="clear" w:color="000000" w:fill="FCD5B4"/>
            <w:vAlign w:val="center"/>
          </w:tcPr>
          <w:p w14:paraId="74C03EBB" w14:textId="65CED040" w:rsidR="00C70368" w:rsidRPr="00894595" w:rsidRDefault="00EF1C9E" w:rsidP="00001E85">
            <w:pPr>
              <w:jc w:val="right"/>
              <w:rPr>
                <w:rFonts w:ascii="Calibri" w:hAnsi="Calibri"/>
                <w:b/>
                <w:bCs/>
                <w:color w:val="000000"/>
                <w:lang w:eastAsia="en-GB"/>
              </w:rPr>
            </w:pPr>
            <w:r>
              <w:rPr>
                <w:rFonts w:ascii="Calibri" w:hAnsi="Calibri"/>
                <w:b/>
                <w:bCs/>
                <w:color w:val="000000"/>
                <w:lang w:eastAsia="en-GB"/>
              </w:rPr>
              <w:t>34</w:t>
            </w:r>
          </w:p>
        </w:tc>
        <w:tc>
          <w:tcPr>
            <w:tcW w:w="2020" w:type="dxa"/>
            <w:tcBorders>
              <w:top w:val="nil"/>
              <w:left w:val="nil"/>
              <w:bottom w:val="single" w:sz="4" w:space="0" w:color="FFFFFF"/>
              <w:right w:val="single" w:sz="4" w:space="0" w:color="FFFFFF"/>
            </w:tcBorders>
            <w:shd w:val="clear" w:color="000000" w:fill="FCD5B4"/>
            <w:noWrap/>
            <w:vAlign w:val="center"/>
          </w:tcPr>
          <w:p w14:paraId="0E33822C" w14:textId="6958DD04" w:rsidR="00C70368" w:rsidRPr="00894595" w:rsidRDefault="00735715" w:rsidP="00DA530F">
            <w:pPr>
              <w:jc w:val="right"/>
              <w:rPr>
                <w:rFonts w:ascii="Calibri" w:hAnsi="Calibri"/>
                <w:b/>
                <w:bCs/>
                <w:color w:val="000000"/>
                <w:lang w:eastAsia="en-GB"/>
              </w:rPr>
            </w:pPr>
            <w:r>
              <w:rPr>
                <w:rFonts w:ascii="Calibri" w:hAnsi="Calibri"/>
                <w:b/>
                <w:bCs/>
                <w:color w:val="000000"/>
                <w:lang w:eastAsia="en-GB"/>
              </w:rPr>
              <w:t>39</w:t>
            </w:r>
          </w:p>
        </w:tc>
      </w:tr>
    </w:tbl>
    <w:p w14:paraId="2D6A7919" w14:textId="77777777" w:rsidR="003E779D" w:rsidRPr="00894595" w:rsidRDefault="003E779D" w:rsidP="003E779D">
      <w:pPr>
        <w:widowControl w:val="0"/>
        <w:spacing w:after="120"/>
        <w:rPr>
          <w:rFonts w:asciiTheme="minorHAnsi" w:hAnsiTheme="minorHAnsi" w:cs="Arial"/>
          <w:b/>
          <w:sz w:val="24"/>
          <w:szCs w:val="24"/>
        </w:rPr>
      </w:pPr>
      <w:r w:rsidRPr="00894595">
        <w:rPr>
          <w:rFonts w:asciiTheme="minorHAnsi" w:hAnsiTheme="minorHAnsi" w:cs="Arial"/>
          <w:b/>
          <w:sz w:val="24"/>
          <w:szCs w:val="24"/>
        </w:rPr>
        <w:lastRenderedPageBreak/>
        <w:t>Authority as Lessor</w:t>
      </w:r>
    </w:p>
    <w:p w14:paraId="68B488AD" w14:textId="77777777" w:rsidR="003E779D" w:rsidRDefault="003E779D" w:rsidP="003E779D">
      <w:pPr>
        <w:widowControl w:val="0"/>
        <w:spacing w:after="120"/>
        <w:rPr>
          <w:rFonts w:asciiTheme="minorHAnsi" w:hAnsiTheme="minorHAnsi" w:cs="Arial"/>
          <w:b/>
          <w:sz w:val="22"/>
          <w:szCs w:val="22"/>
        </w:rPr>
      </w:pPr>
      <w:r w:rsidRPr="00894595">
        <w:rPr>
          <w:rFonts w:asciiTheme="minorHAnsi" w:hAnsiTheme="minorHAnsi" w:cs="Arial"/>
          <w:b/>
          <w:sz w:val="22"/>
          <w:szCs w:val="22"/>
        </w:rPr>
        <w:t>Finance Leases</w:t>
      </w:r>
    </w:p>
    <w:p w14:paraId="70EC3175" w14:textId="75DD86AC"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Where the Council grants a finance lease over a property or an item of plant or equipment, the relevant asset is written out of the Balance Sheet as a disposal. At the commencement of the lease, the carrying amount of the asset in the Balance Sheet (whether Property, Plant and Equipment or Assets Held for Sale) is written off to the Other Operating Expenditure line in the Comprehensive Income and Expenditure Statement as part of the gain or loss on disposal. A gain, representing the Council’s net investment in the lease, is credited to the same line in the Comprehensive Income and Expenditure Statement also as part of the gain or loss on disposal (</w:t>
      </w:r>
      <w:r w:rsidR="00120BFE">
        <w:rPr>
          <w:rFonts w:asciiTheme="minorHAnsi" w:hAnsiTheme="minorHAnsi" w:cs="Arial"/>
          <w:sz w:val="22"/>
          <w:szCs w:val="22"/>
        </w:rPr>
        <w:t>for example,</w:t>
      </w:r>
      <w:r w:rsidRPr="00B921B9">
        <w:rPr>
          <w:rFonts w:asciiTheme="minorHAnsi" w:hAnsiTheme="minorHAnsi" w:cs="Arial"/>
          <w:sz w:val="22"/>
          <w:szCs w:val="22"/>
        </w:rPr>
        <w:t xml:space="preserve"> netted off against the carrying value of the asset at the time of disposal), matched by a lease (long-term debtor) asset in the Balance Sheet.</w:t>
      </w:r>
    </w:p>
    <w:p w14:paraId="303242D3" w14:textId="77777777" w:rsidR="00D13CF7" w:rsidRPr="00B921B9" w:rsidRDefault="00D13CF7" w:rsidP="00D13CF7">
      <w:pPr>
        <w:widowControl w:val="0"/>
        <w:spacing w:line="228" w:lineRule="auto"/>
        <w:jc w:val="both"/>
        <w:rPr>
          <w:rFonts w:asciiTheme="minorHAnsi" w:hAnsiTheme="minorHAnsi" w:cs="Arial"/>
          <w:sz w:val="22"/>
          <w:szCs w:val="22"/>
        </w:rPr>
      </w:pPr>
    </w:p>
    <w:p w14:paraId="133A7318"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Lease rentals receivable are apportioned between:</w:t>
      </w:r>
    </w:p>
    <w:p w14:paraId="445E1C69" w14:textId="77777777" w:rsidR="00D13CF7" w:rsidRPr="00B921B9" w:rsidRDefault="00D13CF7" w:rsidP="00D13CF7">
      <w:pPr>
        <w:widowControl w:val="0"/>
        <w:spacing w:line="228" w:lineRule="auto"/>
        <w:jc w:val="both"/>
        <w:rPr>
          <w:rFonts w:asciiTheme="minorHAnsi" w:hAnsiTheme="minorHAnsi" w:cs="Arial"/>
          <w:sz w:val="22"/>
          <w:szCs w:val="22"/>
        </w:rPr>
      </w:pPr>
    </w:p>
    <w:p w14:paraId="6974C6ED" w14:textId="12251E10" w:rsidR="00D13CF7" w:rsidRPr="00B921B9" w:rsidRDefault="00D13CF7" w:rsidP="00C76AD3">
      <w:pPr>
        <w:pStyle w:val="ListParagraph"/>
        <w:widowControl w:val="0"/>
        <w:numPr>
          <w:ilvl w:val="0"/>
          <w:numId w:val="22"/>
        </w:numPr>
        <w:spacing w:line="228" w:lineRule="auto"/>
        <w:ind w:left="709" w:hanging="283"/>
        <w:jc w:val="both"/>
        <w:rPr>
          <w:rFonts w:asciiTheme="minorHAnsi" w:hAnsiTheme="minorHAnsi" w:cs="Arial"/>
          <w:sz w:val="22"/>
          <w:szCs w:val="22"/>
        </w:rPr>
      </w:pPr>
      <w:r w:rsidRPr="00B921B9">
        <w:rPr>
          <w:rFonts w:asciiTheme="minorHAnsi" w:hAnsiTheme="minorHAnsi" w:cs="Arial"/>
          <w:sz w:val="22"/>
          <w:szCs w:val="22"/>
        </w:rPr>
        <w:t>A charge for the acquisition of the interest in the property – applied to write down the lease debtor (together with any premiums received)</w:t>
      </w:r>
      <w:r w:rsidR="001E1E1D">
        <w:rPr>
          <w:rFonts w:asciiTheme="minorHAnsi" w:hAnsiTheme="minorHAnsi" w:cs="Arial"/>
          <w:sz w:val="22"/>
          <w:szCs w:val="22"/>
        </w:rPr>
        <w:t>;</w:t>
      </w:r>
      <w:r w:rsidRPr="00B921B9">
        <w:rPr>
          <w:rFonts w:asciiTheme="minorHAnsi" w:hAnsiTheme="minorHAnsi" w:cs="Arial"/>
          <w:sz w:val="22"/>
          <w:szCs w:val="22"/>
        </w:rPr>
        <w:t xml:space="preserve"> and</w:t>
      </w:r>
    </w:p>
    <w:p w14:paraId="400069AF" w14:textId="77777777" w:rsidR="00D13CF7" w:rsidRPr="00B921B9" w:rsidRDefault="00D13CF7" w:rsidP="00C76AD3">
      <w:pPr>
        <w:pStyle w:val="ListParagraph"/>
        <w:widowControl w:val="0"/>
        <w:numPr>
          <w:ilvl w:val="0"/>
          <w:numId w:val="22"/>
        </w:numPr>
        <w:spacing w:line="228" w:lineRule="auto"/>
        <w:ind w:left="709" w:hanging="283"/>
        <w:jc w:val="both"/>
        <w:rPr>
          <w:rFonts w:asciiTheme="minorHAnsi" w:hAnsiTheme="minorHAnsi" w:cs="Arial"/>
          <w:sz w:val="22"/>
          <w:szCs w:val="22"/>
        </w:rPr>
      </w:pPr>
      <w:r w:rsidRPr="00B921B9">
        <w:rPr>
          <w:rFonts w:asciiTheme="minorHAnsi" w:hAnsiTheme="minorHAnsi" w:cs="Arial"/>
          <w:sz w:val="22"/>
          <w:szCs w:val="22"/>
        </w:rPr>
        <w:t>Finance income (credited to the Financing and Investment Income and Expenditure line in the Comprehensive Income and Expenditure Statement).</w:t>
      </w:r>
    </w:p>
    <w:p w14:paraId="6AE33484" w14:textId="77777777" w:rsidR="00D13CF7" w:rsidRPr="00B921B9" w:rsidRDefault="00D13CF7" w:rsidP="00D13CF7">
      <w:pPr>
        <w:widowControl w:val="0"/>
        <w:spacing w:line="228" w:lineRule="auto"/>
        <w:jc w:val="both"/>
        <w:rPr>
          <w:rFonts w:asciiTheme="minorHAnsi" w:hAnsiTheme="minorHAnsi" w:cs="Arial"/>
          <w:sz w:val="22"/>
          <w:szCs w:val="22"/>
        </w:rPr>
      </w:pPr>
    </w:p>
    <w:p w14:paraId="296292E8"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The gain credited to the Comprehensive Income and Expenditure Statement on disposal is not permitted by statute to increase the General Fund Balance and is required to be treated as a capital receipt. Where a premium has been received, this is posted out of the General Fund Balance to the Capital Receipts Reserve in the Movement in Reserves Statement. Where the amount due in relation to the lease asset is to be settled by the payment of rentals in financial years, this is posted out of the General Fund Balance to the Deferred Capital Receipts Reserve in the Movement in Reserves Statement. When the future rentals are received, the element for the capital receipt for the disposal of the asset is used to write down the lease debtor. At this point, the deferred capital receipts are transferred to the Capital Receipts Reserve.</w:t>
      </w:r>
    </w:p>
    <w:p w14:paraId="45AA97F0" w14:textId="77777777" w:rsidR="00D13CF7" w:rsidRPr="00B921B9" w:rsidRDefault="00D13CF7" w:rsidP="00D13CF7">
      <w:pPr>
        <w:widowControl w:val="0"/>
        <w:spacing w:line="228" w:lineRule="auto"/>
        <w:jc w:val="both"/>
        <w:rPr>
          <w:rFonts w:asciiTheme="minorHAnsi" w:hAnsiTheme="minorHAnsi" w:cs="Arial"/>
          <w:sz w:val="22"/>
          <w:szCs w:val="22"/>
        </w:rPr>
      </w:pPr>
    </w:p>
    <w:p w14:paraId="3C939ADE" w14:textId="77777777" w:rsidR="00D13CF7" w:rsidRPr="00B921B9" w:rsidRDefault="00D13CF7" w:rsidP="00D13CF7">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The written-off value of disposals is not a charge against council tax, as the cost of non-current assets is fully provided for under separate arrangements for capital financing. Amounts are therefore appropriated to the Capital Adjustment Account from the General Fund Balance in the Movement in Reserves Statement.</w:t>
      </w:r>
    </w:p>
    <w:p w14:paraId="05A917D6" w14:textId="77777777" w:rsidR="00770A05" w:rsidRDefault="00770A05" w:rsidP="00770A05">
      <w:pPr>
        <w:widowControl w:val="0"/>
        <w:jc w:val="both"/>
        <w:rPr>
          <w:rFonts w:asciiTheme="minorHAnsi" w:hAnsiTheme="minorHAnsi" w:cs="Arial"/>
          <w:sz w:val="22"/>
          <w:szCs w:val="22"/>
        </w:rPr>
      </w:pPr>
    </w:p>
    <w:p w14:paraId="43041068" w14:textId="605A37EF" w:rsidR="003E779D" w:rsidRDefault="003E779D" w:rsidP="00770A05">
      <w:pPr>
        <w:widowControl w:val="0"/>
        <w:jc w:val="both"/>
        <w:rPr>
          <w:rFonts w:asciiTheme="minorHAnsi" w:hAnsiTheme="minorHAnsi" w:cs="Arial"/>
          <w:sz w:val="22"/>
          <w:szCs w:val="22"/>
        </w:rPr>
      </w:pPr>
      <w:r w:rsidRPr="00894595">
        <w:rPr>
          <w:rFonts w:asciiTheme="minorHAnsi" w:hAnsiTheme="minorHAnsi" w:cs="Arial"/>
          <w:sz w:val="22"/>
          <w:szCs w:val="22"/>
        </w:rPr>
        <w:t xml:space="preserve">The </w:t>
      </w:r>
      <w:r w:rsidRPr="007F2C2C">
        <w:rPr>
          <w:rFonts w:asciiTheme="minorHAnsi" w:hAnsiTheme="minorHAnsi" w:cs="Arial"/>
          <w:sz w:val="22"/>
          <w:szCs w:val="22"/>
        </w:rPr>
        <w:t xml:space="preserve">Council holds one finance lease in respect of land at Nottingham Road which is being written down over the 125 years of the lease in accordance with proper accounting practice.  The current value </w:t>
      </w:r>
      <w:r w:rsidRPr="00176E71">
        <w:rPr>
          <w:rFonts w:asciiTheme="minorHAnsi" w:hAnsiTheme="minorHAnsi" w:cs="Arial"/>
          <w:sz w:val="22"/>
          <w:szCs w:val="22"/>
        </w:rPr>
        <w:t xml:space="preserve">of the </w:t>
      </w:r>
      <w:r w:rsidRPr="00CB0D37">
        <w:rPr>
          <w:rFonts w:asciiTheme="minorHAnsi" w:hAnsiTheme="minorHAnsi" w:cs="Arial"/>
          <w:sz w:val="22"/>
          <w:szCs w:val="22"/>
        </w:rPr>
        <w:t xml:space="preserve">lease is </w:t>
      </w:r>
      <w:r w:rsidR="00615E12">
        <w:rPr>
          <w:rFonts w:asciiTheme="minorHAnsi" w:hAnsiTheme="minorHAnsi" w:cs="Arial"/>
          <w:sz w:val="22"/>
          <w:szCs w:val="22"/>
        </w:rPr>
        <w:t xml:space="preserve">£817,054 </w:t>
      </w:r>
      <w:r w:rsidRPr="00CB0D37">
        <w:rPr>
          <w:rFonts w:asciiTheme="minorHAnsi" w:hAnsiTheme="minorHAnsi" w:cs="Arial"/>
          <w:sz w:val="22"/>
          <w:szCs w:val="22"/>
        </w:rPr>
        <w:t xml:space="preserve">as </w:t>
      </w:r>
      <w:proofErr w:type="gramStart"/>
      <w:r w:rsidRPr="00CB0D37">
        <w:rPr>
          <w:rFonts w:asciiTheme="minorHAnsi" w:hAnsiTheme="minorHAnsi" w:cs="Arial"/>
          <w:sz w:val="22"/>
          <w:szCs w:val="22"/>
        </w:rPr>
        <w:t>at</w:t>
      </w:r>
      <w:proofErr w:type="gramEnd"/>
      <w:r w:rsidRPr="00176E71">
        <w:rPr>
          <w:rFonts w:asciiTheme="minorHAnsi" w:hAnsiTheme="minorHAnsi" w:cs="Arial"/>
          <w:sz w:val="22"/>
          <w:szCs w:val="22"/>
        </w:rPr>
        <w:t xml:space="preserve"> 31 March 20</w:t>
      </w:r>
      <w:r w:rsidR="000763A3">
        <w:rPr>
          <w:rFonts w:asciiTheme="minorHAnsi" w:hAnsiTheme="minorHAnsi" w:cs="Arial"/>
          <w:sz w:val="22"/>
          <w:szCs w:val="22"/>
        </w:rPr>
        <w:t>2</w:t>
      </w:r>
      <w:r w:rsidR="00EF1C9E">
        <w:rPr>
          <w:rFonts w:asciiTheme="minorHAnsi" w:hAnsiTheme="minorHAnsi" w:cs="Arial"/>
          <w:sz w:val="22"/>
          <w:szCs w:val="22"/>
        </w:rPr>
        <w:t>3</w:t>
      </w:r>
      <w:r w:rsidRPr="00176E71">
        <w:rPr>
          <w:rFonts w:asciiTheme="minorHAnsi" w:hAnsiTheme="minorHAnsi" w:cs="Arial"/>
          <w:sz w:val="22"/>
          <w:szCs w:val="22"/>
        </w:rPr>
        <w:t>.</w:t>
      </w:r>
    </w:p>
    <w:p w14:paraId="0DF6514F" w14:textId="77777777" w:rsidR="00001E85" w:rsidRPr="00894595" w:rsidRDefault="00001E85" w:rsidP="00770A05">
      <w:pPr>
        <w:widowControl w:val="0"/>
        <w:jc w:val="both"/>
        <w:rPr>
          <w:rFonts w:asciiTheme="minorHAnsi" w:hAnsiTheme="minorHAnsi" w:cs="Arial"/>
          <w:sz w:val="22"/>
          <w:szCs w:val="22"/>
        </w:rPr>
      </w:pPr>
    </w:p>
    <w:p w14:paraId="3D99E9EA" w14:textId="77777777" w:rsidR="003E779D" w:rsidRPr="00894595" w:rsidRDefault="003E779D" w:rsidP="003E779D">
      <w:pPr>
        <w:widowControl w:val="0"/>
        <w:spacing w:after="120"/>
        <w:rPr>
          <w:rFonts w:asciiTheme="minorHAnsi" w:hAnsiTheme="minorHAnsi" w:cs="Arial"/>
          <w:sz w:val="22"/>
          <w:szCs w:val="22"/>
        </w:rPr>
      </w:pPr>
      <w:r w:rsidRPr="00894595">
        <w:rPr>
          <w:rFonts w:asciiTheme="minorHAnsi" w:hAnsiTheme="minorHAnsi" w:cs="Arial"/>
          <w:sz w:val="22"/>
          <w:szCs w:val="22"/>
        </w:rPr>
        <w:t xml:space="preserve">The </w:t>
      </w:r>
      <w:r w:rsidR="007C0C11">
        <w:rPr>
          <w:rFonts w:asciiTheme="minorHAnsi" w:hAnsiTheme="minorHAnsi" w:cs="Arial"/>
          <w:sz w:val="22"/>
          <w:szCs w:val="22"/>
        </w:rPr>
        <w:t xml:space="preserve">gross investment in the lease and the </w:t>
      </w:r>
      <w:r w:rsidRPr="00894595">
        <w:rPr>
          <w:rFonts w:asciiTheme="minorHAnsi" w:hAnsiTheme="minorHAnsi" w:cs="Arial"/>
          <w:sz w:val="22"/>
          <w:szCs w:val="22"/>
        </w:rPr>
        <w:t>minimum lease payments receivable under this non-cancellable lease in future years are:</w:t>
      </w:r>
    </w:p>
    <w:tbl>
      <w:tblPr>
        <w:tblW w:w="10471" w:type="dxa"/>
        <w:tblInd w:w="93" w:type="dxa"/>
        <w:tblLook w:val="04A0" w:firstRow="1" w:lastRow="0" w:firstColumn="1" w:lastColumn="0" w:noHBand="0" w:noVBand="1"/>
        <w:tblCaption w:val="Minimum Lease payments receivable"/>
        <w:tblDescription w:val="Minimum Lease payments receivable"/>
      </w:tblPr>
      <w:tblGrid>
        <w:gridCol w:w="4422"/>
        <w:gridCol w:w="413"/>
        <w:gridCol w:w="1417"/>
        <w:gridCol w:w="1418"/>
        <w:gridCol w:w="1383"/>
        <w:gridCol w:w="1418"/>
      </w:tblGrid>
      <w:tr w:rsidR="007C0C11" w:rsidRPr="00894595" w14:paraId="7C654D32" w14:textId="77777777" w:rsidTr="00CD3384">
        <w:trPr>
          <w:cantSplit/>
          <w:trHeight w:val="300"/>
          <w:tblHeader/>
        </w:trPr>
        <w:tc>
          <w:tcPr>
            <w:tcW w:w="4422" w:type="dxa"/>
            <w:tcBorders>
              <w:top w:val="single" w:sz="4" w:space="0" w:color="FFFFFF"/>
              <w:left w:val="single" w:sz="4" w:space="0" w:color="FFFFFF"/>
              <w:bottom w:val="nil"/>
              <w:right w:val="single" w:sz="4" w:space="0" w:color="FFFFFF"/>
            </w:tcBorders>
            <w:shd w:val="clear" w:color="000000" w:fill="FABF8F"/>
            <w:noWrap/>
            <w:vAlign w:val="bottom"/>
          </w:tcPr>
          <w:p w14:paraId="54AF81E9" w14:textId="77777777" w:rsidR="007C0C11" w:rsidRPr="00894595" w:rsidRDefault="007C0C11" w:rsidP="00894595">
            <w:pPr>
              <w:rPr>
                <w:rFonts w:ascii="Calibri" w:hAnsi="Calibri"/>
                <w:color w:val="000000"/>
                <w:lang w:eastAsia="en-GB"/>
              </w:rPr>
            </w:pPr>
          </w:p>
        </w:tc>
        <w:tc>
          <w:tcPr>
            <w:tcW w:w="3248" w:type="dxa"/>
            <w:gridSpan w:val="3"/>
            <w:tcBorders>
              <w:top w:val="single" w:sz="4" w:space="0" w:color="FFFFFF"/>
              <w:left w:val="nil"/>
              <w:bottom w:val="single" w:sz="4" w:space="0" w:color="FFFFFF"/>
              <w:right w:val="single" w:sz="4" w:space="0" w:color="FFFFFF"/>
            </w:tcBorders>
            <w:shd w:val="clear" w:color="000000" w:fill="FABF8F"/>
          </w:tcPr>
          <w:p w14:paraId="6C17A18E" w14:textId="77777777" w:rsidR="007C0C11" w:rsidRPr="00CE2FEF" w:rsidRDefault="007C0C11" w:rsidP="00894595">
            <w:pPr>
              <w:jc w:val="right"/>
              <w:rPr>
                <w:rFonts w:ascii="Calibri" w:hAnsi="Calibri"/>
                <w:b/>
                <w:color w:val="000000"/>
                <w:lang w:eastAsia="en-GB"/>
              </w:rPr>
            </w:pPr>
            <w:r w:rsidRPr="00CE2FEF">
              <w:rPr>
                <w:rFonts w:ascii="Calibri" w:hAnsi="Calibri"/>
                <w:b/>
                <w:color w:val="000000"/>
                <w:lang w:eastAsia="en-GB"/>
              </w:rPr>
              <w:t xml:space="preserve">Gross Investment in the Lease </w:t>
            </w:r>
          </w:p>
        </w:tc>
        <w:tc>
          <w:tcPr>
            <w:tcW w:w="2801" w:type="dxa"/>
            <w:gridSpan w:val="2"/>
            <w:tcBorders>
              <w:top w:val="single" w:sz="4" w:space="0" w:color="FFFFFF"/>
              <w:left w:val="nil"/>
              <w:bottom w:val="single" w:sz="4" w:space="0" w:color="FFFFFF"/>
              <w:right w:val="single" w:sz="4" w:space="0" w:color="FFFFFF"/>
            </w:tcBorders>
            <w:shd w:val="clear" w:color="000000" w:fill="FABF8F"/>
            <w:noWrap/>
            <w:vAlign w:val="center"/>
          </w:tcPr>
          <w:p w14:paraId="619DC396" w14:textId="77777777" w:rsidR="007C0C11" w:rsidRPr="00CE2FEF" w:rsidRDefault="007C0C11" w:rsidP="00894595">
            <w:pPr>
              <w:jc w:val="right"/>
              <w:rPr>
                <w:rFonts w:ascii="Calibri" w:hAnsi="Calibri"/>
                <w:b/>
                <w:color w:val="000000"/>
                <w:lang w:eastAsia="en-GB"/>
              </w:rPr>
            </w:pPr>
            <w:r w:rsidRPr="00CE2FEF">
              <w:rPr>
                <w:rFonts w:ascii="Calibri" w:hAnsi="Calibri"/>
                <w:b/>
                <w:color w:val="000000"/>
                <w:lang w:eastAsia="en-GB"/>
              </w:rPr>
              <w:t>Minimum Lease Payments</w:t>
            </w:r>
          </w:p>
        </w:tc>
      </w:tr>
      <w:tr w:rsidR="006056E4" w:rsidRPr="00894595" w14:paraId="2695D8E6" w14:textId="77777777" w:rsidTr="00C75F6D">
        <w:trPr>
          <w:trHeight w:val="300"/>
        </w:trPr>
        <w:tc>
          <w:tcPr>
            <w:tcW w:w="4422" w:type="dxa"/>
            <w:tcBorders>
              <w:top w:val="single" w:sz="4" w:space="0" w:color="FFFFFF"/>
              <w:left w:val="single" w:sz="4" w:space="0" w:color="FFFFFF"/>
              <w:bottom w:val="nil"/>
              <w:right w:val="single" w:sz="4" w:space="0" w:color="FFFFFF"/>
            </w:tcBorders>
            <w:shd w:val="clear" w:color="000000" w:fill="FABF8F"/>
            <w:noWrap/>
            <w:vAlign w:val="bottom"/>
            <w:hideMark/>
          </w:tcPr>
          <w:p w14:paraId="554F7318"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 </w:t>
            </w:r>
          </w:p>
        </w:tc>
        <w:tc>
          <w:tcPr>
            <w:tcW w:w="413" w:type="dxa"/>
            <w:tcBorders>
              <w:top w:val="single" w:sz="4" w:space="0" w:color="FFFFFF"/>
              <w:left w:val="nil"/>
              <w:bottom w:val="single" w:sz="4" w:space="0" w:color="FFFFFF"/>
              <w:right w:val="nil"/>
            </w:tcBorders>
            <w:shd w:val="clear" w:color="000000" w:fill="FABF8F"/>
          </w:tcPr>
          <w:p w14:paraId="63FF4A57" w14:textId="77777777" w:rsidR="006056E4" w:rsidRDefault="006056E4" w:rsidP="00894595">
            <w:pPr>
              <w:jc w:val="right"/>
              <w:rPr>
                <w:rFonts w:ascii="Calibri" w:hAnsi="Calibri"/>
                <w:color w:val="000000"/>
                <w:lang w:eastAsia="en-GB"/>
              </w:rPr>
            </w:pPr>
          </w:p>
        </w:tc>
        <w:tc>
          <w:tcPr>
            <w:tcW w:w="1417" w:type="dxa"/>
            <w:tcBorders>
              <w:top w:val="single" w:sz="4" w:space="0" w:color="FFFFFF"/>
              <w:left w:val="nil"/>
              <w:bottom w:val="single" w:sz="4" w:space="0" w:color="FFFFFF"/>
              <w:right w:val="nil"/>
            </w:tcBorders>
            <w:shd w:val="clear" w:color="000000" w:fill="FABF8F"/>
          </w:tcPr>
          <w:p w14:paraId="53D3D7A7" w14:textId="7D1035E2" w:rsidR="006056E4" w:rsidRPr="00CE2FEF" w:rsidRDefault="006056E4" w:rsidP="000767BD">
            <w:pPr>
              <w:jc w:val="right"/>
              <w:rPr>
                <w:rFonts w:ascii="Calibri" w:hAnsi="Calibri"/>
                <w:b/>
                <w:color w:val="000000"/>
                <w:lang w:eastAsia="en-GB"/>
              </w:rPr>
            </w:pPr>
            <w:r w:rsidRPr="00CE2FEF">
              <w:rPr>
                <w:rFonts w:ascii="Calibri" w:hAnsi="Calibri"/>
                <w:b/>
                <w:color w:val="000000"/>
                <w:lang w:eastAsia="en-GB"/>
              </w:rPr>
              <w:t>31 March 20</w:t>
            </w:r>
            <w:r w:rsidR="000767BD">
              <w:rPr>
                <w:rFonts w:ascii="Calibri" w:hAnsi="Calibri"/>
                <w:b/>
                <w:color w:val="000000"/>
                <w:lang w:eastAsia="en-GB"/>
              </w:rPr>
              <w:t>2</w:t>
            </w:r>
            <w:r w:rsidR="00EF1C9E">
              <w:rPr>
                <w:rFonts w:ascii="Calibri" w:hAnsi="Calibri"/>
                <w:b/>
                <w:color w:val="000000"/>
                <w:lang w:eastAsia="en-GB"/>
              </w:rPr>
              <w:t>2</w:t>
            </w:r>
          </w:p>
        </w:tc>
        <w:tc>
          <w:tcPr>
            <w:tcW w:w="1418" w:type="dxa"/>
            <w:tcBorders>
              <w:top w:val="single" w:sz="4" w:space="0" w:color="FFFFFF"/>
              <w:left w:val="nil"/>
              <w:bottom w:val="single" w:sz="4" w:space="0" w:color="FFFFFF"/>
              <w:right w:val="single" w:sz="4" w:space="0" w:color="FFFFFF"/>
            </w:tcBorders>
            <w:shd w:val="clear" w:color="000000" w:fill="FABF8F"/>
            <w:vAlign w:val="center"/>
          </w:tcPr>
          <w:p w14:paraId="0104F8AA" w14:textId="22AEB35D" w:rsidR="006056E4" w:rsidRPr="00CE2FEF" w:rsidRDefault="006056E4" w:rsidP="000767BD">
            <w:pPr>
              <w:jc w:val="right"/>
              <w:rPr>
                <w:rFonts w:ascii="Calibri" w:hAnsi="Calibri"/>
                <w:b/>
                <w:color w:val="000000"/>
                <w:lang w:eastAsia="en-GB"/>
              </w:rPr>
            </w:pPr>
            <w:r w:rsidRPr="00CE2FEF">
              <w:rPr>
                <w:rFonts w:ascii="Calibri" w:hAnsi="Calibri"/>
                <w:b/>
                <w:color w:val="000000"/>
                <w:lang w:eastAsia="en-GB"/>
              </w:rPr>
              <w:t xml:space="preserve">       31 March 20</w:t>
            </w:r>
            <w:r w:rsidR="000763A3">
              <w:rPr>
                <w:rFonts w:ascii="Calibri" w:hAnsi="Calibri"/>
                <w:b/>
                <w:color w:val="000000"/>
                <w:lang w:eastAsia="en-GB"/>
              </w:rPr>
              <w:t>2</w:t>
            </w:r>
            <w:r w:rsidR="00EF1C9E">
              <w:rPr>
                <w:rFonts w:ascii="Calibri" w:hAnsi="Calibri"/>
                <w:b/>
                <w:color w:val="000000"/>
                <w:lang w:eastAsia="en-GB"/>
              </w:rPr>
              <w:t>3</w:t>
            </w:r>
          </w:p>
        </w:tc>
        <w:tc>
          <w:tcPr>
            <w:tcW w:w="1383" w:type="dxa"/>
            <w:tcBorders>
              <w:top w:val="single" w:sz="4" w:space="0" w:color="FFFFFF"/>
              <w:left w:val="nil"/>
              <w:bottom w:val="single" w:sz="4" w:space="0" w:color="FFFFFF"/>
              <w:right w:val="single" w:sz="4" w:space="0" w:color="FFFFFF"/>
            </w:tcBorders>
            <w:shd w:val="clear" w:color="000000" w:fill="FABF8F"/>
            <w:noWrap/>
            <w:vAlign w:val="center"/>
            <w:hideMark/>
          </w:tcPr>
          <w:p w14:paraId="36C440D0" w14:textId="2F88E17D" w:rsidR="006056E4" w:rsidRPr="00CE2FEF" w:rsidRDefault="006056E4" w:rsidP="000767BD">
            <w:pPr>
              <w:jc w:val="right"/>
              <w:rPr>
                <w:rFonts w:ascii="Calibri" w:hAnsi="Calibri"/>
                <w:b/>
                <w:color w:val="000000"/>
                <w:lang w:eastAsia="en-GB"/>
              </w:rPr>
            </w:pPr>
            <w:r w:rsidRPr="00CE2FEF">
              <w:rPr>
                <w:rFonts w:ascii="Calibri" w:hAnsi="Calibri"/>
                <w:b/>
                <w:color w:val="000000"/>
                <w:lang w:eastAsia="en-GB"/>
              </w:rPr>
              <w:t xml:space="preserve"> 31 </w:t>
            </w:r>
            <w:proofErr w:type="gramStart"/>
            <w:r w:rsidRPr="00CE2FEF">
              <w:rPr>
                <w:rFonts w:ascii="Calibri" w:hAnsi="Calibri"/>
                <w:b/>
                <w:color w:val="000000"/>
                <w:lang w:eastAsia="en-GB"/>
              </w:rPr>
              <w:t>March  20</w:t>
            </w:r>
            <w:r w:rsidR="000767BD">
              <w:rPr>
                <w:rFonts w:ascii="Calibri" w:hAnsi="Calibri"/>
                <w:b/>
                <w:color w:val="000000"/>
                <w:lang w:eastAsia="en-GB"/>
              </w:rPr>
              <w:t>2</w:t>
            </w:r>
            <w:r w:rsidR="00EF1C9E">
              <w:rPr>
                <w:rFonts w:ascii="Calibri" w:hAnsi="Calibri"/>
                <w:b/>
                <w:color w:val="000000"/>
                <w:lang w:eastAsia="en-GB"/>
              </w:rPr>
              <w:t>2</w:t>
            </w:r>
            <w:proofErr w:type="gramEnd"/>
          </w:p>
        </w:tc>
        <w:tc>
          <w:tcPr>
            <w:tcW w:w="1418" w:type="dxa"/>
            <w:tcBorders>
              <w:top w:val="single" w:sz="4" w:space="0" w:color="FFFFFF"/>
              <w:left w:val="nil"/>
              <w:bottom w:val="single" w:sz="4" w:space="0" w:color="FFFFFF"/>
              <w:right w:val="single" w:sz="4" w:space="0" w:color="FFFFFF"/>
            </w:tcBorders>
            <w:shd w:val="clear" w:color="000000" w:fill="FABF8F"/>
            <w:noWrap/>
            <w:vAlign w:val="center"/>
            <w:hideMark/>
          </w:tcPr>
          <w:p w14:paraId="21F7481A" w14:textId="639F85CD" w:rsidR="006056E4" w:rsidRPr="00CE2FEF" w:rsidRDefault="006056E4" w:rsidP="000767BD">
            <w:pPr>
              <w:jc w:val="right"/>
              <w:rPr>
                <w:rFonts w:ascii="Calibri" w:hAnsi="Calibri"/>
                <w:b/>
                <w:color w:val="000000"/>
                <w:lang w:eastAsia="en-GB"/>
              </w:rPr>
            </w:pPr>
            <w:r w:rsidRPr="00CE2FEF">
              <w:rPr>
                <w:rFonts w:ascii="Calibri" w:hAnsi="Calibri"/>
                <w:b/>
                <w:color w:val="000000"/>
                <w:lang w:eastAsia="en-GB"/>
              </w:rPr>
              <w:t xml:space="preserve">       31 March 20</w:t>
            </w:r>
            <w:r w:rsidR="000763A3">
              <w:rPr>
                <w:rFonts w:ascii="Calibri" w:hAnsi="Calibri"/>
                <w:b/>
                <w:color w:val="000000"/>
                <w:lang w:eastAsia="en-GB"/>
              </w:rPr>
              <w:t>2</w:t>
            </w:r>
            <w:r w:rsidR="00EF1C9E">
              <w:rPr>
                <w:rFonts w:ascii="Calibri" w:hAnsi="Calibri"/>
                <w:b/>
                <w:color w:val="000000"/>
                <w:lang w:eastAsia="en-GB"/>
              </w:rPr>
              <w:t>3</w:t>
            </w:r>
          </w:p>
        </w:tc>
      </w:tr>
      <w:tr w:rsidR="006056E4" w:rsidRPr="00894595" w14:paraId="5059FC28" w14:textId="77777777" w:rsidTr="00C75F6D">
        <w:trPr>
          <w:trHeight w:val="300"/>
        </w:trPr>
        <w:tc>
          <w:tcPr>
            <w:tcW w:w="4422" w:type="dxa"/>
            <w:tcBorders>
              <w:top w:val="nil"/>
              <w:left w:val="single" w:sz="4" w:space="0" w:color="FFFFFF"/>
              <w:bottom w:val="single" w:sz="4" w:space="0" w:color="FFFFFF"/>
              <w:right w:val="single" w:sz="4" w:space="0" w:color="FFFFFF"/>
            </w:tcBorders>
            <w:shd w:val="clear" w:color="000000" w:fill="FABF8F"/>
            <w:noWrap/>
            <w:vAlign w:val="bottom"/>
            <w:hideMark/>
          </w:tcPr>
          <w:p w14:paraId="5DAEC605"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 </w:t>
            </w:r>
          </w:p>
        </w:tc>
        <w:tc>
          <w:tcPr>
            <w:tcW w:w="413" w:type="dxa"/>
            <w:tcBorders>
              <w:top w:val="nil"/>
              <w:left w:val="nil"/>
              <w:bottom w:val="single" w:sz="4" w:space="0" w:color="FFFFFF"/>
              <w:right w:val="nil"/>
            </w:tcBorders>
            <w:shd w:val="clear" w:color="000000" w:fill="FABF8F"/>
          </w:tcPr>
          <w:p w14:paraId="14EF9F30" w14:textId="77777777" w:rsidR="006056E4" w:rsidRPr="00894595" w:rsidRDefault="006056E4" w:rsidP="00894595">
            <w:pPr>
              <w:jc w:val="right"/>
              <w:rPr>
                <w:rFonts w:ascii="Calibri" w:hAnsi="Calibri"/>
                <w:color w:val="000000"/>
                <w:lang w:eastAsia="en-GB"/>
              </w:rPr>
            </w:pPr>
          </w:p>
        </w:tc>
        <w:tc>
          <w:tcPr>
            <w:tcW w:w="1417" w:type="dxa"/>
            <w:tcBorders>
              <w:top w:val="nil"/>
              <w:left w:val="nil"/>
              <w:bottom w:val="single" w:sz="4" w:space="0" w:color="FFFFFF"/>
              <w:right w:val="nil"/>
            </w:tcBorders>
            <w:shd w:val="clear" w:color="000000" w:fill="FABF8F"/>
          </w:tcPr>
          <w:p w14:paraId="47BAA118" w14:textId="77777777" w:rsidR="006056E4" w:rsidRPr="00894595" w:rsidRDefault="006056E4" w:rsidP="00894595">
            <w:pPr>
              <w:jc w:val="right"/>
              <w:rPr>
                <w:rFonts w:ascii="Calibri" w:hAnsi="Calibri"/>
                <w:color w:val="000000"/>
                <w:lang w:eastAsia="en-GB"/>
              </w:rPr>
            </w:pPr>
            <w:r w:rsidRPr="00894595">
              <w:rPr>
                <w:rFonts w:ascii="Calibri" w:hAnsi="Calibri"/>
                <w:color w:val="000000"/>
                <w:lang w:eastAsia="en-GB"/>
              </w:rPr>
              <w:t xml:space="preserve">     £’000</w:t>
            </w:r>
          </w:p>
        </w:tc>
        <w:tc>
          <w:tcPr>
            <w:tcW w:w="1418" w:type="dxa"/>
            <w:tcBorders>
              <w:top w:val="nil"/>
              <w:left w:val="nil"/>
              <w:bottom w:val="single" w:sz="4" w:space="0" w:color="FFFFFF"/>
              <w:right w:val="single" w:sz="4" w:space="0" w:color="FFFFFF"/>
            </w:tcBorders>
            <w:shd w:val="clear" w:color="000000" w:fill="FABF8F"/>
            <w:vAlign w:val="center"/>
          </w:tcPr>
          <w:p w14:paraId="5DC2F972" w14:textId="77777777" w:rsidR="006056E4" w:rsidRPr="00894595" w:rsidRDefault="006056E4" w:rsidP="00C75F6D">
            <w:pPr>
              <w:jc w:val="right"/>
              <w:rPr>
                <w:rFonts w:ascii="Calibri" w:hAnsi="Calibri"/>
                <w:color w:val="000000"/>
                <w:lang w:eastAsia="en-GB"/>
              </w:rPr>
            </w:pPr>
            <w:r w:rsidRPr="00894595">
              <w:rPr>
                <w:rFonts w:ascii="Calibri" w:hAnsi="Calibri"/>
                <w:color w:val="000000"/>
                <w:lang w:eastAsia="en-GB"/>
              </w:rPr>
              <w:t xml:space="preserve">     £’000</w:t>
            </w:r>
          </w:p>
        </w:tc>
        <w:tc>
          <w:tcPr>
            <w:tcW w:w="1383" w:type="dxa"/>
            <w:tcBorders>
              <w:top w:val="nil"/>
              <w:left w:val="nil"/>
              <w:bottom w:val="single" w:sz="4" w:space="0" w:color="FFFFFF"/>
              <w:right w:val="single" w:sz="4" w:space="0" w:color="FFFFFF"/>
            </w:tcBorders>
            <w:shd w:val="clear" w:color="000000" w:fill="FABF8F"/>
            <w:noWrap/>
            <w:vAlign w:val="center"/>
            <w:hideMark/>
          </w:tcPr>
          <w:p w14:paraId="1BE8818D" w14:textId="77777777" w:rsidR="006056E4" w:rsidRPr="00894595" w:rsidRDefault="006056E4" w:rsidP="00894595">
            <w:pPr>
              <w:jc w:val="right"/>
              <w:rPr>
                <w:rFonts w:ascii="Calibri" w:hAnsi="Calibri"/>
                <w:color w:val="000000"/>
                <w:lang w:eastAsia="en-GB"/>
              </w:rPr>
            </w:pPr>
            <w:r w:rsidRPr="00894595">
              <w:rPr>
                <w:rFonts w:ascii="Calibri" w:hAnsi="Calibri"/>
                <w:color w:val="000000"/>
                <w:lang w:eastAsia="en-GB"/>
              </w:rPr>
              <w:t xml:space="preserve">             £’000</w:t>
            </w:r>
          </w:p>
        </w:tc>
        <w:tc>
          <w:tcPr>
            <w:tcW w:w="1418" w:type="dxa"/>
            <w:tcBorders>
              <w:top w:val="nil"/>
              <w:left w:val="nil"/>
              <w:bottom w:val="single" w:sz="4" w:space="0" w:color="FFFFFF"/>
              <w:right w:val="single" w:sz="4" w:space="0" w:color="FFFFFF"/>
            </w:tcBorders>
            <w:shd w:val="clear" w:color="000000" w:fill="FABF8F"/>
            <w:noWrap/>
            <w:vAlign w:val="center"/>
            <w:hideMark/>
          </w:tcPr>
          <w:p w14:paraId="41BED0B8" w14:textId="77777777" w:rsidR="006056E4" w:rsidRPr="00894595" w:rsidRDefault="006056E4" w:rsidP="00894595">
            <w:pPr>
              <w:jc w:val="right"/>
              <w:rPr>
                <w:rFonts w:ascii="Calibri" w:hAnsi="Calibri"/>
                <w:color w:val="000000"/>
                <w:lang w:eastAsia="en-GB"/>
              </w:rPr>
            </w:pPr>
            <w:r w:rsidRPr="00894595">
              <w:rPr>
                <w:rFonts w:ascii="Calibri" w:hAnsi="Calibri"/>
                <w:color w:val="000000"/>
                <w:lang w:eastAsia="en-GB"/>
              </w:rPr>
              <w:t xml:space="preserve">     £’000</w:t>
            </w:r>
          </w:p>
        </w:tc>
      </w:tr>
      <w:tr w:rsidR="006056E4" w:rsidRPr="00894595" w14:paraId="075E2E4E" w14:textId="77777777" w:rsidTr="00C75F6D">
        <w:trPr>
          <w:trHeight w:val="300"/>
        </w:trPr>
        <w:tc>
          <w:tcPr>
            <w:tcW w:w="4422" w:type="dxa"/>
            <w:tcBorders>
              <w:top w:val="nil"/>
              <w:left w:val="single" w:sz="4" w:space="0" w:color="FFFFFF"/>
              <w:bottom w:val="single" w:sz="4" w:space="0" w:color="FFFFFF"/>
              <w:right w:val="single" w:sz="4" w:space="0" w:color="FFFFFF"/>
            </w:tcBorders>
            <w:shd w:val="clear" w:color="000000" w:fill="FDE9D9"/>
            <w:noWrap/>
            <w:vAlign w:val="center"/>
            <w:hideMark/>
          </w:tcPr>
          <w:p w14:paraId="272B7827"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Not later than 1 year</w:t>
            </w:r>
          </w:p>
        </w:tc>
        <w:tc>
          <w:tcPr>
            <w:tcW w:w="413" w:type="dxa"/>
            <w:tcBorders>
              <w:top w:val="nil"/>
              <w:left w:val="nil"/>
              <w:bottom w:val="single" w:sz="4" w:space="0" w:color="FFFFFF"/>
              <w:right w:val="nil"/>
            </w:tcBorders>
            <w:shd w:val="clear" w:color="000000" w:fill="FDE9D9"/>
          </w:tcPr>
          <w:p w14:paraId="49AD400B" w14:textId="77777777" w:rsidR="006056E4" w:rsidRPr="00894595" w:rsidRDefault="006056E4" w:rsidP="00E634D7">
            <w:pPr>
              <w:jc w:val="right"/>
              <w:rPr>
                <w:rFonts w:ascii="Calibri" w:hAnsi="Calibri"/>
                <w:color w:val="000000"/>
                <w:lang w:eastAsia="en-GB"/>
              </w:rPr>
            </w:pPr>
          </w:p>
        </w:tc>
        <w:tc>
          <w:tcPr>
            <w:tcW w:w="1417" w:type="dxa"/>
            <w:tcBorders>
              <w:top w:val="nil"/>
              <w:left w:val="nil"/>
              <w:bottom w:val="single" w:sz="4" w:space="0" w:color="FFFFFF"/>
              <w:right w:val="nil"/>
            </w:tcBorders>
            <w:shd w:val="clear" w:color="000000" w:fill="FDE9D9"/>
          </w:tcPr>
          <w:p w14:paraId="167EB19A" w14:textId="2DE6193F" w:rsidR="006056E4" w:rsidRPr="00894595" w:rsidRDefault="00E54BEA" w:rsidP="004A22D5">
            <w:pPr>
              <w:jc w:val="right"/>
              <w:rPr>
                <w:rFonts w:ascii="Calibri" w:hAnsi="Calibri"/>
                <w:color w:val="000000"/>
                <w:lang w:eastAsia="en-GB"/>
              </w:rPr>
            </w:pPr>
            <w:r>
              <w:rPr>
                <w:rFonts w:ascii="Calibri" w:hAnsi="Calibri"/>
                <w:color w:val="000000"/>
                <w:lang w:eastAsia="en-GB"/>
              </w:rPr>
              <w:t>3</w:t>
            </w:r>
            <w:r w:rsidR="00EF1C9E">
              <w:rPr>
                <w:rFonts w:ascii="Calibri" w:hAnsi="Calibri"/>
                <w:color w:val="000000"/>
                <w:lang w:eastAsia="en-GB"/>
              </w:rPr>
              <w:t>3</w:t>
            </w:r>
          </w:p>
        </w:tc>
        <w:tc>
          <w:tcPr>
            <w:tcW w:w="1418" w:type="dxa"/>
            <w:tcBorders>
              <w:top w:val="nil"/>
              <w:left w:val="nil"/>
              <w:bottom w:val="single" w:sz="4" w:space="0" w:color="FFFFFF"/>
              <w:right w:val="single" w:sz="4" w:space="0" w:color="FFFFFF"/>
            </w:tcBorders>
            <w:shd w:val="clear" w:color="000000" w:fill="FDE9D9"/>
            <w:vAlign w:val="center"/>
          </w:tcPr>
          <w:p w14:paraId="15701EFD" w14:textId="4D9743CE" w:rsidR="006056E4" w:rsidRPr="00894595" w:rsidRDefault="00113500" w:rsidP="00C75F6D">
            <w:pPr>
              <w:jc w:val="right"/>
              <w:rPr>
                <w:rFonts w:ascii="Calibri" w:hAnsi="Calibri"/>
                <w:color w:val="000000"/>
                <w:lang w:eastAsia="en-GB"/>
              </w:rPr>
            </w:pPr>
            <w:r>
              <w:rPr>
                <w:rFonts w:ascii="Calibri" w:hAnsi="Calibri"/>
                <w:color w:val="000000"/>
                <w:lang w:eastAsia="en-GB"/>
              </w:rPr>
              <w:t>33</w:t>
            </w:r>
          </w:p>
        </w:tc>
        <w:tc>
          <w:tcPr>
            <w:tcW w:w="1383" w:type="dxa"/>
            <w:tcBorders>
              <w:top w:val="nil"/>
              <w:left w:val="nil"/>
              <w:bottom w:val="single" w:sz="4" w:space="0" w:color="FFFFFF"/>
              <w:right w:val="single" w:sz="4" w:space="0" w:color="FFFFFF"/>
            </w:tcBorders>
            <w:shd w:val="clear" w:color="000000" w:fill="FDE9D9"/>
            <w:noWrap/>
            <w:vAlign w:val="center"/>
            <w:hideMark/>
          </w:tcPr>
          <w:p w14:paraId="096192AD" w14:textId="755E3DD1" w:rsidR="006056E4" w:rsidRPr="00894595" w:rsidRDefault="00E54BEA" w:rsidP="004A22D5">
            <w:pPr>
              <w:jc w:val="right"/>
              <w:rPr>
                <w:rFonts w:ascii="Calibri" w:hAnsi="Calibri"/>
                <w:color w:val="000000"/>
                <w:lang w:eastAsia="en-GB"/>
              </w:rPr>
            </w:pPr>
            <w:r>
              <w:rPr>
                <w:rFonts w:ascii="Calibri" w:hAnsi="Calibri"/>
                <w:color w:val="000000"/>
                <w:lang w:eastAsia="en-GB"/>
              </w:rPr>
              <w:t>3</w:t>
            </w:r>
            <w:r w:rsidR="00EF1C9E">
              <w:rPr>
                <w:rFonts w:ascii="Calibri" w:hAnsi="Calibri"/>
                <w:color w:val="000000"/>
                <w:lang w:eastAsia="en-GB"/>
              </w:rPr>
              <w:t>3</w:t>
            </w:r>
          </w:p>
        </w:tc>
        <w:tc>
          <w:tcPr>
            <w:tcW w:w="1418" w:type="dxa"/>
            <w:tcBorders>
              <w:top w:val="nil"/>
              <w:left w:val="nil"/>
              <w:bottom w:val="single" w:sz="4" w:space="0" w:color="FFFFFF"/>
              <w:right w:val="single" w:sz="4" w:space="0" w:color="FFFFFF"/>
            </w:tcBorders>
            <w:shd w:val="clear" w:color="000000" w:fill="FDE9D9"/>
            <w:noWrap/>
            <w:vAlign w:val="center"/>
          </w:tcPr>
          <w:p w14:paraId="7F44A440" w14:textId="52761626" w:rsidR="006056E4" w:rsidRPr="00894595" w:rsidRDefault="00113500" w:rsidP="00894595">
            <w:pPr>
              <w:jc w:val="right"/>
              <w:rPr>
                <w:rFonts w:ascii="Calibri" w:hAnsi="Calibri"/>
                <w:color w:val="000000"/>
                <w:lang w:eastAsia="en-GB"/>
              </w:rPr>
            </w:pPr>
            <w:r>
              <w:rPr>
                <w:rFonts w:ascii="Calibri" w:hAnsi="Calibri"/>
                <w:color w:val="000000"/>
                <w:lang w:eastAsia="en-GB"/>
              </w:rPr>
              <w:t>33</w:t>
            </w:r>
          </w:p>
        </w:tc>
      </w:tr>
      <w:tr w:rsidR="006056E4" w:rsidRPr="00894595" w14:paraId="717AF527" w14:textId="77777777" w:rsidTr="00C75F6D">
        <w:trPr>
          <w:trHeight w:val="300"/>
        </w:trPr>
        <w:tc>
          <w:tcPr>
            <w:tcW w:w="4422" w:type="dxa"/>
            <w:tcBorders>
              <w:top w:val="nil"/>
              <w:left w:val="single" w:sz="4" w:space="0" w:color="FFFFFF"/>
              <w:bottom w:val="single" w:sz="4" w:space="0" w:color="FFFFFF"/>
              <w:right w:val="single" w:sz="4" w:space="0" w:color="FFFFFF"/>
            </w:tcBorders>
            <w:shd w:val="clear" w:color="000000" w:fill="FDE9D9"/>
            <w:noWrap/>
            <w:vAlign w:val="center"/>
            <w:hideMark/>
          </w:tcPr>
          <w:p w14:paraId="43230DF9"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 xml:space="preserve">Later than one year and not later than five years </w:t>
            </w:r>
          </w:p>
        </w:tc>
        <w:tc>
          <w:tcPr>
            <w:tcW w:w="413" w:type="dxa"/>
            <w:tcBorders>
              <w:top w:val="nil"/>
              <w:left w:val="nil"/>
              <w:bottom w:val="single" w:sz="4" w:space="0" w:color="FFFFFF"/>
              <w:right w:val="nil"/>
            </w:tcBorders>
            <w:shd w:val="clear" w:color="000000" w:fill="FDE9D9"/>
          </w:tcPr>
          <w:p w14:paraId="32DBE6AB" w14:textId="77777777" w:rsidR="006056E4" w:rsidRPr="00894595" w:rsidRDefault="006056E4" w:rsidP="00E634D7">
            <w:pPr>
              <w:jc w:val="right"/>
              <w:rPr>
                <w:rFonts w:ascii="Calibri" w:hAnsi="Calibri"/>
                <w:color w:val="000000"/>
                <w:lang w:eastAsia="en-GB"/>
              </w:rPr>
            </w:pPr>
          </w:p>
        </w:tc>
        <w:tc>
          <w:tcPr>
            <w:tcW w:w="1417" w:type="dxa"/>
            <w:tcBorders>
              <w:top w:val="nil"/>
              <w:left w:val="nil"/>
              <w:bottom w:val="single" w:sz="4" w:space="0" w:color="FFFFFF"/>
              <w:right w:val="nil"/>
            </w:tcBorders>
            <w:shd w:val="clear" w:color="000000" w:fill="FDE9D9"/>
          </w:tcPr>
          <w:p w14:paraId="392D0676" w14:textId="5295B1A8" w:rsidR="006056E4" w:rsidRPr="00894595" w:rsidRDefault="006056E4" w:rsidP="000767BD">
            <w:pPr>
              <w:jc w:val="right"/>
              <w:rPr>
                <w:rFonts w:ascii="Calibri" w:hAnsi="Calibri"/>
                <w:color w:val="000000"/>
                <w:lang w:eastAsia="en-GB"/>
              </w:rPr>
            </w:pPr>
            <w:r>
              <w:rPr>
                <w:rFonts w:ascii="Calibri" w:hAnsi="Calibri"/>
                <w:color w:val="000000"/>
                <w:lang w:eastAsia="en-GB"/>
              </w:rPr>
              <w:t>1</w:t>
            </w:r>
            <w:r w:rsidR="000767BD">
              <w:rPr>
                <w:rFonts w:ascii="Calibri" w:hAnsi="Calibri"/>
                <w:color w:val="000000"/>
                <w:lang w:eastAsia="en-GB"/>
              </w:rPr>
              <w:t>3</w:t>
            </w:r>
            <w:r w:rsidR="00EF1C9E">
              <w:rPr>
                <w:rFonts w:ascii="Calibri" w:hAnsi="Calibri"/>
                <w:color w:val="000000"/>
                <w:lang w:eastAsia="en-GB"/>
              </w:rPr>
              <w:t>5</w:t>
            </w:r>
          </w:p>
        </w:tc>
        <w:tc>
          <w:tcPr>
            <w:tcW w:w="1418" w:type="dxa"/>
            <w:tcBorders>
              <w:top w:val="nil"/>
              <w:left w:val="nil"/>
              <w:bottom w:val="single" w:sz="4" w:space="0" w:color="FFFFFF"/>
              <w:right w:val="single" w:sz="4" w:space="0" w:color="FFFFFF"/>
            </w:tcBorders>
            <w:shd w:val="clear" w:color="000000" w:fill="FDE9D9"/>
            <w:vAlign w:val="center"/>
          </w:tcPr>
          <w:p w14:paraId="0F5DBCA1" w14:textId="20FC8208" w:rsidR="006056E4" w:rsidRPr="00894595" w:rsidRDefault="00113500" w:rsidP="00C75F6D">
            <w:pPr>
              <w:jc w:val="right"/>
              <w:rPr>
                <w:rFonts w:ascii="Calibri" w:hAnsi="Calibri"/>
                <w:color w:val="000000"/>
                <w:lang w:eastAsia="en-GB"/>
              </w:rPr>
            </w:pPr>
            <w:r>
              <w:rPr>
                <w:rFonts w:ascii="Calibri" w:hAnsi="Calibri"/>
                <w:color w:val="000000"/>
                <w:lang w:eastAsia="en-GB"/>
              </w:rPr>
              <w:t>141</w:t>
            </w:r>
          </w:p>
        </w:tc>
        <w:tc>
          <w:tcPr>
            <w:tcW w:w="1383" w:type="dxa"/>
            <w:tcBorders>
              <w:top w:val="nil"/>
              <w:left w:val="nil"/>
              <w:bottom w:val="single" w:sz="4" w:space="0" w:color="FFFFFF"/>
              <w:right w:val="single" w:sz="4" w:space="0" w:color="FFFFFF"/>
            </w:tcBorders>
            <w:shd w:val="clear" w:color="000000" w:fill="FDE9D9"/>
            <w:noWrap/>
            <w:vAlign w:val="bottom"/>
            <w:hideMark/>
          </w:tcPr>
          <w:p w14:paraId="1A1A2536" w14:textId="4C166A75" w:rsidR="006056E4" w:rsidRPr="00894595" w:rsidRDefault="006056E4" w:rsidP="000767BD">
            <w:pPr>
              <w:jc w:val="right"/>
              <w:rPr>
                <w:rFonts w:ascii="Calibri" w:hAnsi="Calibri"/>
                <w:color w:val="000000"/>
                <w:lang w:eastAsia="en-GB"/>
              </w:rPr>
            </w:pPr>
            <w:r w:rsidRPr="00894595">
              <w:rPr>
                <w:rFonts w:ascii="Calibri" w:hAnsi="Calibri"/>
                <w:color w:val="000000"/>
                <w:lang w:eastAsia="en-GB"/>
              </w:rPr>
              <w:t>1</w:t>
            </w:r>
            <w:r w:rsidR="000767BD">
              <w:rPr>
                <w:rFonts w:ascii="Calibri" w:hAnsi="Calibri"/>
                <w:color w:val="000000"/>
                <w:lang w:eastAsia="en-GB"/>
              </w:rPr>
              <w:t>3</w:t>
            </w:r>
            <w:r w:rsidR="00EF1C9E">
              <w:rPr>
                <w:rFonts w:ascii="Calibri" w:hAnsi="Calibri"/>
                <w:color w:val="000000"/>
                <w:lang w:eastAsia="en-GB"/>
              </w:rPr>
              <w:t>5</w:t>
            </w:r>
          </w:p>
        </w:tc>
        <w:tc>
          <w:tcPr>
            <w:tcW w:w="1418" w:type="dxa"/>
            <w:tcBorders>
              <w:top w:val="nil"/>
              <w:left w:val="nil"/>
              <w:bottom w:val="single" w:sz="4" w:space="0" w:color="FFFFFF"/>
              <w:right w:val="single" w:sz="4" w:space="0" w:color="FFFFFF"/>
            </w:tcBorders>
            <w:shd w:val="clear" w:color="000000" w:fill="FDE9D9"/>
            <w:noWrap/>
            <w:vAlign w:val="center"/>
          </w:tcPr>
          <w:p w14:paraId="78124F59" w14:textId="07722397" w:rsidR="006056E4" w:rsidRPr="00894595" w:rsidRDefault="00113500" w:rsidP="00894595">
            <w:pPr>
              <w:jc w:val="right"/>
              <w:rPr>
                <w:rFonts w:ascii="Calibri" w:hAnsi="Calibri"/>
                <w:color w:val="000000"/>
                <w:lang w:eastAsia="en-GB"/>
              </w:rPr>
            </w:pPr>
            <w:r>
              <w:rPr>
                <w:rFonts w:ascii="Calibri" w:hAnsi="Calibri"/>
                <w:color w:val="000000"/>
                <w:lang w:eastAsia="en-GB"/>
              </w:rPr>
              <w:t>141</w:t>
            </w:r>
          </w:p>
        </w:tc>
      </w:tr>
      <w:tr w:rsidR="006056E4" w:rsidRPr="00894595" w14:paraId="594C849F" w14:textId="77777777" w:rsidTr="00C75F6D">
        <w:trPr>
          <w:trHeight w:val="300"/>
        </w:trPr>
        <w:tc>
          <w:tcPr>
            <w:tcW w:w="4422" w:type="dxa"/>
            <w:tcBorders>
              <w:top w:val="nil"/>
              <w:left w:val="single" w:sz="4" w:space="0" w:color="FFFFFF"/>
              <w:bottom w:val="single" w:sz="4" w:space="0" w:color="FFFFFF"/>
              <w:right w:val="single" w:sz="4" w:space="0" w:color="FFFFFF"/>
            </w:tcBorders>
            <w:shd w:val="clear" w:color="000000" w:fill="FDE9D9"/>
            <w:noWrap/>
            <w:vAlign w:val="center"/>
            <w:hideMark/>
          </w:tcPr>
          <w:p w14:paraId="151BC1B2"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Later than five years</w:t>
            </w:r>
          </w:p>
        </w:tc>
        <w:tc>
          <w:tcPr>
            <w:tcW w:w="413" w:type="dxa"/>
            <w:tcBorders>
              <w:top w:val="nil"/>
              <w:left w:val="nil"/>
              <w:bottom w:val="single" w:sz="4" w:space="0" w:color="FFFFFF"/>
              <w:right w:val="nil"/>
            </w:tcBorders>
            <w:shd w:val="clear" w:color="000000" w:fill="FDE9D9"/>
          </w:tcPr>
          <w:p w14:paraId="64E28C20" w14:textId="77777777" w:rsidR="006056E4" w:rsidRPr="00894595" w:rsidRDefault="006056E4" w:rsidP="00E634D7">
            <w:pPr>
              <w:jc w:val="right"/>
              <w:rPr>
                <w:rFonts w:ascii="Calibri" w:hAnsi="Calibri"/>
                <w:color w:val="000000"/>
                <w:lang w:eastAsia="en-GB"/>
              </w:rPr>
            </w:pPr>
          </w:p>
        </w:tc>
        <w:tc>
          <w:tcPr>
            <w:tcW w:w="1417" w:type="dxa"/>
            <w:tcBorders>
              <w:top w:val="nil"/>
              <w:left w:val="nil"/>
              <w:bottom w:val="single" w:sz="4" w:space="0" w:color="FFFFFF"/>
              <w:right w:val="nil"/>
            </w:tcBorders>
            <w:shd w:val="clear" w:color="000000" w:fill="FDE9D9"/>
          </w:tcPr>
          <w:p w14:paraId="622685E2" w14:textId="6FAA06BB" w:rsidR="006056E4" w:rsidRPr="00894595" w:rsidRDefault="006056E4" w:rsidP="00D45469">
            <w:pPr>
              <w:jc w:val="right"/>
              <w:rPr>
                <w:rFonts w:ascii="Calibri" w:hAnsi="Calibri"/>
                <w:color w:val="000000"/>
                <w:lang w:eastAsia="en-GB"/>
              </w:rPr>
            </w:pPr>
            <w:r>
              <w:rPr>
                <w:rFonts w:ascii="Calibri" w:hAnsi="Calibri"/>
                <w:color w:val="000000"/>
                <w:lang w:eastAsia="en-GB"/>
              </w:rPr>
              <w:t>26,</w:t>
            </w:r>
            <w:r w:rsidR="00E54BEA">
              <w:rPr>
                <w:rFonts w:ascii="Calibri" w:hAnsi="Calibri"/>
                <w:color w:val="000000"/>
                <w:lang w:eastAsia="en-GB"/>
              </w:rPr>
              <w:t>2</w:t>
            </w:r>
            <w:r w:rsidR="00EF1C9E">
              <w:rPr>
                <w:rFonts w:ascii="Calibri" w:hAnsi="Calibri"/>
                <w:color w:val="000000"/>
                <w:lang w:eastAsia="en-GB"/>
              </w:rPr>
              <w:t>55</w:t>
            </w:r>
          </w:p>
        </w:tc>
        <w:tc>
          <w:tcPr>
            <w:tcW w:w="1418" w:type="dxa"/>
            <w:tcBorders>
              <w:top w:val="nil"/>
              <w:left w:val="nil"/>
              <w:bottom w:val="single" w:sz="4" w:space="0" w:color="FFFFFF"/>
              <w:right w:val="single" w:sz="4" w:space="0" w:color="FFFFFF"/>
            </w:tcBorders>
            <w:shd w:val="clear" w:color="000000" w:fill="FDE9D9"/>
            <w:vAlign w:val="center"/>
          </w:tcPr>
          <w:p w14:paraId="7AEB1C45" w14:textId="1BAF9EE6" w:rsidR="006056E4" w:rsidRPr="00894595" w:rsidRDefault="00113500" w:rsidP="00C75F6D">
            <w:pPr>
              <w:jc w:val="right"/>
              <w:rPr>
                <w:rFonts w:ascii="Calibri" w:hAnsi="Calibri"/>
                <w:color w:val="000000"/>
                <w:lang w:eastAsia="en-GB"/>
              </w:rPr>
            </w:pPr>
            <w:r>
              <w:rPr>
                <w:rFonts w:ascii="Calibri" w:hAnsi="Calibri"/>
                <w:color w:val="000000"/>
                <w:lang w:eastAsia="en-GB"/>
              </w:rPr>
              <w:t>26,216</w:t>
            </w:r>
          </w:p>
        </w:tc>
        <w:tc>
          <w:tcPr>
            <w:tcW w:w="1383" w:type="dxa"/>
            <w:tcBorders>
              <w:top w:val="nil"/>
              <w:left w:val="nil"/>
              <w:bottom w:val="single" w:sz="4" w:space="0" w:color="FFFFFF"/>
              <w:right w:val="single" w:sz="4" w:space="0" w:color="FFFFFF"/>
            </w:tcBorders>
            <w:shd w:val="clear" w:color="000000" w:fill="FDE9D9"/>
            <w:noWrap/>
            <w:vAlign w:val="center"/>
            <w:hideMark/>
          </w:tcPr>
          <w:p w14:paraId="28A875DC" w14:textId="1E17BFF0" w:rsidR="006056E4" w:rsidRPr="00894595" w:rsidRDefault="006056E4" w:rsidP="00D45469">
            <w:pPr>
              <w:jc w:val="right"/>
              <w:rPr>
                <w:rFonts w:ascii="Calibri" w:hAnsi="Calibri"/>
                <w:color w:val="000000"/>
                <w:lang w:eastAsia="en-GB"/>
              </w:rPr>
            </w:pPr>
            <w:r w:rsidRPr="00894595">
              <w:rPr>
                <w:rFonts w:ascii="Calibri" w:hAnsi="Calibri"/>
                <w:color w:val="000000"/>
                <w:lang w:eastAsia="en-GB"/>
              </w:rPr>
              <w:t>26,</w:t>
            </w:r>
            <w:r w:rsidR="00E54BEA">
              <w:rPr>
                <w:rFonts w:ascii="Calibri" w:hAnsi="Calibri"/>
                <w:color w:val="000000"/>
                <w:lang w:eastAsia="en-GB"/>
              </w:rPr>
              <w:t>2</w:t>
            </w:r>
            <w:r w:rsidR="00EF1C9E">
              <w:rPr>
                <w:rFonts w:ascii="Calibri" w:hAnsi="Calibri"/>
                <w:color w:val="000000"/>
                <w:lang w:eastAsia="en-GB"/>
              </w:rPr>
              <w:t>55</w:t>
            </w:r>
          </w:p>
        </w:tc>
        <w:tc>
          <w:tcPr>
            <w:tcW w:w="1418" w:type="dxa"/>
            <w:tcBorders>
              <w:top w:val="nil"/>
              <w:left w:val="nil"/>
              <w:bottom w:val="single" w:sz="4" w:space="0" w:color="FFFFFF"/>
              <w:right w:val="single" w:sz="4" w:space="0" w:color="FFFFFF"/>
            </w:tcBorders>
            <w:shd w:val="clear" w:color="000000" w:fill="FDE9D9"/>
            <w:noWrap/>
            <w:vAlign w:val="center"/>
          </w:tcPr>
          <w:p w14:paraId="61BE36E3" w14:textId="1C7FCA10" w:rsidR="006056E4" w:rsidRPr="00894595" w:rsidRDefault="00113500" w:rsidP="00894595">
            <w:pPr>
              <w:jc w:val="right"/>
              <w:rPr>
                <w:rFonts w:ascii="Calibri" w:hAnsi="Calibri"/>
                <w:color w:val="000000"/>
                <w:lang w:eastAsia="en-GB"/>
              </w:rPr>
            </w:pPr>
            <w:r>
              <w:rPr>
                <w:rFonts w:ascii="Calibri" w:hAnsi="Calibri"/>
                <w:color w:val="000000"/>
                <w:lang w:eastAsia="en-GB"/>
              </w:rPr>
              <w:t>26,216</w:t>
            </w:r>
          </w:p>
        </w:tc>
      </w:tr>
      <w:tr w:rsidR="006056E4" w:rsidRPr="00894595" w14:paraId="7BAABC78" w14:textId="77777777" w:rsidTr="00C75F6D">
        <w:trPr>
          <w:trHeight w:val="300"/>
        </w:trPr>
        <w:tc>
          <w:tcPr>
            <w:tcW w:w="4422" w:type="dxa"/>
            <w:tcBorders>
              <w:top w:val="nil"/>
              <w:left w:val="single" w:sz="4" w:space="0" w:color="FFFFFF"/>
              <w:bottom w:val="single" w:sz="4" w:space="0" w:color="FFFFFF"/>
              <w:right w:val="single" w:sz="4" w:space="0" w:color="FFFFFF"/>
            </w:tcBorders>
            <w:shd w:val="clear" w:color="000000" w:fill="FCD5B4"/>
            <w:noWrap/>
            <w:vAlign w:val="bottom"/>
            <w:hideMark/>
          </w:tcPr>
          <w:p w14:paraId="67889FA7" w14:textId="77777777" w:rsidR="006056E4" w:rsidRPr="00894595" w:rsidRDefault="006056E4" w:rsidP="00894595">
            <w:pPr>
              <w:rPr>
                <w:rFonts w:ascii="Calibri" w:hAnsi="Calibri"/>
                <w:color w:val="000000"/>
                <w:lang w:eastAsia="en-GB"/>
              </w:rPr>
            </w:pPr>
            <w:r w:rsidRPr="00894595">
              <w:rPr>
                <w:rFonts w:ascii="Calibri" w:hAnsi="Calibri"/>
                <w:color w:val="000000"/>
                <w:lang w:eastAsia="en-GB"/>
              </w:rPr>
              <w:t> </w:t>
            </w:r>
          </w:p>
        </w:tc>
        <w:tc>
          <w:tcPr>
            <w:tcW w:w="413" w:type="dxa"/>
            <w:tcBorders>
              <w:top w:val="nil"/>
              <w:left w:val="nil"/>
              <w:bottom w:val="single" w:sz="4" w:space="0" w:color="FFFFFF"/>
              <w:right w:val="nil"/>
            </w:tcBorders>
            <w:shd w:val="clear" w:color="000000" w:fill="FCD5B4"/>
          </w:tcPr>
          <w:p w14:paraId="7F61A5FA" w14:textId="77777777" w:rsidR="006056E4" w:rsidRPr="00894595" w:rsidRDefault="006056E4" w:rsidP="00E634D7">
            <w:pPr>
              <w:jc w:val="right"/>
              <w:rPr>
                <w:rFonts w:ascii="Calibri" w:hAnsi="Calibri"/>
                <w:b/>
                <w:bCs/>
                <w:color w:val="000000"/>
                <w:lang w:eastAsia="en-GB"/>
              </w:rPr>
            </w:pPr>
          </w:p>
        </w:tc>
        <w:tc>
          <w:tcPr>
            <w:tcW w:w="1417" w:type="dxa"/>
            <w:tcBorders>
              <w:top w:val="nil"/>
              <w:left w:val="nil"/>
              <w:bottom w:val="single" w:sz="4" w:space="0" w:color="FFFFFF"/>
              <w:right w:val="nil"/>
            </w:tcBorders>
            <w:shd w:val="clear" w:color="000000" w:fill="FCD5B4"/>
          </w:tcPr>
          <w:p w14:paraId="60295FA1" w14:textId="368A3FBE" w:rsidR="006056E4" w:rsidRPr="00894595" w:rsidRDefault="006056E4" w:rsidP="00D45469">
            <w:pPr>
              <w:jc w:val="right"/>
              <w:rPr>
                <w:rFonts w:ascii="Calibri" w:hAnsi="Calibri"/>
                <w:b/>
                <w:bCs/>
                <w:color w:val="000000"/>
                <w:lang w:eastAsia="en-GB"/>
              </w:rPr>
            </w:pPr>
            <w:r>
              <w:rPr>
                <w:rFonts w:ascii="Calibri" w:hAnsi="Calibri"/>
                <w:b/>
                <w:bCs/>
                <w:color w:val="000000"/>
                <w:lang w:eastAsia="en-GB"/>
              </w:rPr>
              <w:t>26</w:t>
            </w:r>
            <w:r w:rsidR="00D45469">
              <w:rPr>
                <w:rFonts w:ascii="Calibri" w:hAnsi="Calibri"/>
                <w:b/>
                <w:bCs/>
                <w:color w:val="000000"/>
                <w:lang w:eastAsia="en-GB"/>
              </w:rPr>
              <w:t>,</w:t>
            </w:r>
            <w:r w:rsidR="000767BD">
              <w:rPr>
                <w:rFonts w:ascii="Calibri" w:hAnsi="Calibri"/>
                <w:b/>
                <w:bCs/>
                <w:color w:val="000000"/>
                <w:lang w:eastAsia="en-GB"/>
              </w:rPr>
              <w:t>4</w:t>
            </w:r>
            <w:r w:rsidR="00EF1C9E">
              <w:rPr>
                <w:rFonts w:ascii="Calibri" w:hAnsi="Calibri"/>
                <w:b/>
                <w:bCs/>
                <w:color w:val="000000"/>
                <w:lang w:eastAsia="en-GB"/>
              </w:rPr>
              <w:t>23</w:t>
            </w:r>
          </w:p>
        </w:tc>
        <w:tc>
          <w:tcPr>
            <w:tcW w:w="1418" w:type="dxa"/>
            <w:tcBorders>
              <w:top w:val="nil"/>
              <w:left w:val="nil"/>
              <w:bottom w:val="single" w:sz="4" w:space="0" w:color="FFFFFF"/>
              <w:right w:val="single" w:sz="4" w:space="0" w:color="FFFFFF"/>
            </w:tcBorders>
            <w:shd w:val="clear" w:color="000000" w:fill="FCD5B4"/>
            <w:vAlign w:val="center"/>
          </w:tcPr>
          <w:p w14:paraId="2E468E6A" w14:textId="1E2C29CD" w:rsidR="006056E4" w:rsidRPr="00894595" w:rsidRDefault="00113500" w:rsidP="00DA1EB5">
            <w:pPr>
              <w:jc w:val="right"/>
              <w:rPr>
                <w:rFonts w:ascii="Calibri" w:hAnsi="Calibri"/>
                <w:b/>
                <w:bCs/>
                <w:color w:val="000000"/>
                <w:lang w:eastAsia="en-GB"/>
              </w:rPr>
            </w:pPr>
            <w:r>
              <w:rPr>
                <w:rFonts w:ascii="Calibri" w:hAnsi="Calibri"/>
                <w:b/>
                <w:bCs/>
                <w:color w:val="000000"/>
                <w:lang w:eastAsia="en-GB"/>
              </w:rPr>
              <w:t>26,390</w:t>
            </w:r>
          </w:p>
        </w:tc>
        <w:tc>
          <w:tcPr>
            <w:tcW w:w="1383" w:type="dxa"/>
            <w:tcBorders>
              <w:top w:val="nil"/>
              <w:left w:val="nil"/>
              <w:bottom w:val="single" w:sz="4" w:space="0" w:color="FFFFFF"/>
              <w:right w:val="single" w:sz="4" w:space="0" w:color="FFFFFF"/>
            </w:tcBorders>
            <w:shd w:val="clear" w:color="000000" w:fill="FCD5B4"/>
            <w:noWrap/>
            <w:vAlign w:val="center"/>
            <w:hideMark/>
          </w:tcPr>
          <w:p w14:paraId="63D233B3" w14:textId="1B8F1004" w:rsidR="006056E4" w:rsidRPr="00894595" w:rsidRDefault="006056E4" w:rsidP="00D45469">
            <w:pPr>
              <w:jc w:val="right"/>
              <w:rPr>
                <w:rFonts w:ascii="Calibri" w:hAnsi="Calibri"/>
                <w:b/>
                <w:bCs/>
                <w:color w:val="000000"/>
                <w:lang w:eastAsia="en-GB"/>
              </w:rPr>
            </w:pPr>
            <w:r w:rsidRPr="00894595">
              <w:rPr>
                <w:rFonts w:ascii="Calibri" w:hAnsi="Calibri"/>
                <w:b/>
                <w:bCs/>
                <w:color w:val="000000"/>
                <w:lang w:eastAsia="en-GB"/>
              </w:rPr>
              <w:t>26,</w:t>
            </w:r>
            <w:r w:rsidR="000767BD">
              <w:rPr>
                <w:rFonts w:ascii="Calibri" w:hAnsi="Calibri"/>
                <w:b/>
                <w:bCs/>
                <w:color w:val="000000"/>
                <w:lang w:eastAsia="en-GB"/>
              </w:rPr>
              <w:t>4</w:t>
            </w:r>
            <w:r w:rsidR="00EF1C9E">
              <w:rPr>
                <w:rFonts w:ascii="Calibri" w:hAnsi="Calibri"/>
                <w:b/>
                <w:bCs/>
                <w:color w:val="000000"/>
                <w:lang w:eastAsia="en-GB"/>
              </w:rPr>
              <w:t>23</w:t>
            </w:r>
          </w:p>
        </w:tc>
        <w:tc>
          <w:tcPr>
            <w:tcW w:w="1418" w:type="dxa"/>
            <w:tcBorders>
              <w:top w:val="nil"/>
              <w:left w:val="nil"/>
              <w:bottom w:val="single" w:sz="4" w:space="0" w:color="FFFFFF"/>
              <w:right w:val="single" w:sz="4" w:space="0" w:color="FFFFFF"/>
            </w:tcBorders>
            <w:shd w:val="clear" w:color="000000" w:fill="FCD5B4"/>
            <w:noWrap/>
            <w:vAlign w:val="center"/>
          </w:tcPr>
          <w:p w14:paraId="121646E7" w14:textId="60A63D84" w:rsidR="006056E4" w:rsidRPr="00894595" w:rsidRDefault="00113500" w:rsidP="00DA1EB5">
            <w:pPr>
              <w:jc w:val="right"/>
              <w:rPr>
                <w:rFonts w:ascii="Calibri" w:hAnsi="Calibri"/>
                <w:b/>
                <w:bCs/>
                <w:color w:val="000000"/>
                <w:lang w:eastAsia="en-GB"/>
              </w:rPr>
            </w:pPr>
            <w:r>
              <w:rPr>
                <w:rFonts w:ascii="Calibri" w:hAnsi="Calibri"/>
                <w:b/>
                <w:bCs/>
                <w:color w:val="000000"/>
                <w:lang w:eastAsia="en-GB"/>
              </w:rPr>
              <w:t>26,390</w:t>
            </w:r>
          </w:p>
        </w:tc>
      </w:tr>
    </w:tbl>
    <w:p w14:paraId="2037EEBC" w14:textId="77777777" w:rsidR="00274A22" w:rsidRDefault="00274A22" w:rsidP="003E779D">
      <w:pPr>
        <w:widowControl w:val="0"/>
        <w:spacing w:after="120"/>
        <w:rPr>
          <w:rFonts w:asciiTheme="minorHAnsi" w:hAnsiTheme="minorHAnsi" w:cs="Arial"/>
          <w:b/>
          <w:sz w:val="22"/>
          <w:szCs w:val="22"/>
        </w:rPr>
      </w:pPr>
    </w:p>
    <w:p w14:paraId="600D3C68" w14:textId="4F2D8443" w:rsidR="003E779D" w:rsidRDefault="003E779D" w:rsidP="003E779D">
      <w:pPr>
        <w:widowControl w:val="0"/>
        <w:spacing w:after="120"/>
        <w:rPr>
          <w:rFonts w:asciiTheme="minorHAnsi" w:hAnsiTheme="minorHAnsi" w:cs="Arial"/>
          <w:b/>
          <w:sz w:val="22"/>
          <w:szCs w:val="22"/>
        </w:rPr>
      </w:pPr>
      <w:r w:rsidRPr="00894595">
        <w:rPr>
          <w:rFonts w:asciiTheme="minorHAnsi" w:hAnsiTheme="minorHAnsi" w:cs="Arial"/>
          <w:b/>
          <w:sz w:val="22"/>
          <w:szCs w:val="22"/>
        </w:rPr>
        <w:t>Operating Leases</w:t>
      </w:r>
    </w:p>
    <w:p w14:paraId="76D34283" w14:textId="77777777" w:rsidR="00D13CF7" w:rsidRPr="00894595" w:rsidRDefault="00D13CF7" w:rsidP="00D13CF7">
      <w:pPr>
        <w:widowControl w:val="0"/>
        <w:spacing w:after="120"/>
        <w:jc w:val="both"/>
        <w:rPr>
          <w:rFonts w:asciiTheme="minorHAnsi" w:hAnsiTheme="minorHAnsi" w:cs="Arial"/>
          <w:b/>
          <w:sz w:val="22"/>
          <w:szCs w:val="22"/>
        </w:rPr>
      </w:pPr>
      <w:r w:rsidRPr="00B921B9">
        <w:rPr>
          <w:rFonts w:asciiTheme="minorHAnsi" w:hAnsiTheme="minorHAnsi" w:cs="Arial"/>
          <w:sz w:val="22"/>
          <w:szCs w:val="22"/>
        </w:rPr>
        <w:t>Where the Council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w:t>
      </w:r>
      <w:proofErr w:type="gramStart"/>
      <w:r w:rsidRPr="00B921B9">
        <w:rPr>
          <w:rFonts w:asciiTheme="minorHAnsi" w:hAnsiTheme="minorHAnsi" w:cs="Arial"/>
          <w:sz w:val="22"/>
          <w:szCs w:val="22"/>
        </w:rPr>
        <w:t>e.g.</w:t>
      </w:r>
      <w:proofErr w:type="gramEnd"/>
      <w:r w:rsidRPr="00B921B9">
        <w:rPr>
          <w:rFonts w:asciiTheme="minorHAnsi" w:hAnsiTheme="minorHAnsi" w:cs="Arial"/>
          <w:sz w:val="22"/>
          <w:szCs w:val="22"/>
        </w:rPr>
        <w:t xml:space="preserve"> there is a premium paid at the commencement of the lease). Initial direct costs incurred in negotiating and arranging the lease are added to the carrying amount of the relevant asset and charged </w:t>
      </w:r>
      <w:r w:rsidRPr="00B921B9">
        <w:rPr>
          <w:rFonts w:asciiTheme="minorHAnsi" w:hAnsiTheme="minorHAnsi" w:cs="Arial"/>
          <w:sz w:val="22"/>
          <w:szCs w:val="22"/>
        </w:rPr>
        <w:lastRenderedPageBreak/>
        <w:t xml:space="preserve">as an expense over the lease term on the same basis as rental </w:t>
      </w:r>
      <w:proofErr w:type="gramStart"/>
      <w:r w:rsidRPr="00B921B9">
        <w:rPr>
          <w:rFonts w:asciiTheme="minorHAnsi" w:hAnsiTheme="minorHAnsi" w:cs="Arial"/>
          <w:sz w:val="22"/>
          <w:szCs w:val="22"/>
        </w:rPr>
        <w:t>income</w:t>
      </w:r>
      <w:proofErr w:type="gramEnd"/>
    </w:p>
    <w:p w14:paraId="21AB888A" w14:textId="439E6093" w:rsidR="003E779D" w:rsidRPr="00894595" w:rsidRDefault="003E779D" w:rsidP="00ED61B7">
      <w:pPr>
        <w:widowControl w:val="0"/>
        <w:spacing w:after="120"/>
        <w:jc w:val="both"/>
        <w:rPr>
          <w:rFonts w:asciiTheme="minorHAnsi" w:hAnsiTheme="minorHAnsi" w:cs="Arial"/>
          <w:sz w:val="22"/>
          <w:szCs w:val="22"/>
        </w:rPr>
      </w:pPr>
      <w:r w:rsidRPr="00894595">
        <w:rPr>
          <w:rFonts w:asciiTheme="minorHAnsi" w:hAnsiTheme="minorHAnsi" w:cs="Arial"/>
          <w:sz w:val="22"/>
          <w:szCs w:val="22"/>
        </w:rPr>
        <w:t>The authority leases out property for the provision of services including Snow Hill</w:t>
      </w:r>
      <w:r w:rsidR="004471C7">
        <w:rPr>
          <w:rFonts w:asciiTheme="minorHAnsi" w:hAnsiTheme="minorHAnsi" w:cs="Arial"/>
          <w:sz w:val="22"/>
          <w:szCs w:val="22"/>
        </w:rPr>
        <w:t xml:space="preserve"> Industrial</w:t>
      </w:r>
      <w:r w:rsidRPr="00894595">
        <w:rPr>
          <w:rFonts w:asciiTheme="minorHAnsi" w:hAnsiTheme="minorHAnsi" w:cs="Arial"/>
          <w:sz w:val="22"/>
          <w:szCs w:val="22"/>
        </w:rPr>
        <w:t xml:space="preserve"> Units, Phoenix House</w:t>
      </w:r>
      <w:r w:rsidR="002A2602">
        <w:rPr>
          <w:rFonts w:asciiTheme="minorHAnsi" w:hAnsiTheme="minorHAnsi" w:cs="Arial"/>
          <w:sz w:val="22"/>
          <w:szCs w:val="22"/>
        </w:rPr>
        <w:t>,</w:t>
      </w:r>
      <w:r w:rsidRPr="00894595">
        <w:rPr>
          <w:rFonts w:asciiTheme="minorHAnsi" w:hAnsiTheme="minorHAnsi" w:cs="Arial"/>
          <w:sz w:val="22"/>
          <w:szCs w:val="22"/>
        </w:rPr>
        <w:t xml:space="preserve"> 7 King Street</w:t>
      </w:r>
      <w:r w:rsidR="002A2602">
        <w:rPr>
          <w:rFonts w:asciiTheme="minorHAnsi" w:hAnsiTheme="minorHAnsi" w:cs="Arial"/>
          <w:sz w:val="22"/>
          <w:szCs w:val="22"/>
        </w:rPr>
        <w:t>, Parkside and Cattle Market</w:t>
      </w:r>
      <w:r w:rsidRPr="00894595">
        <w:rPr>
          <w:rFonts w:asciiTheme="minorHAnsi" w:hAnsiTheme="minorHAnsi" w:cs="Arial"/>
          <w:sz w:val="22"/>
          <w:szCs w:val="22"/>
        </w:rPr>
        <w:t>.</w:t>
      </w:r>
    </w:p>
    <w:p w14:paraId="4CA1CDCE" w14:textId="77777777" w:rsidR="003E779D" w:rsidRDefault="003E779D" w:rsidP="003E779D">
      <w:pPr>
        <w:widowControl w:val="0"/>
        <w:spacing w:after="120"/>
        <w:rPr>
          <w:rFonts w:asciiTheme="minorHAnsi" w:hAnsiTheme="minorHAnsi" w:cs="Arial"/>
          <w:sz w:val="22"/>
          <w:szCs w:val="22"/>
        </w:rPr>
      </w:pPr>
      <w:r w:rsidRPr="00894595">
        <w:rPr>
          <w:rFonts w:asciiTheme="minorHAnsi" w:hAnsiTheme="minorHAnsi" w:cs="Arial"/>
          <w:sz w:val="22"/>
          <w:szCs w:val="22"/>
        </w:rPr>
        <w:t>The future minimum lease payments receivable under non-cancellable leases in future years are:</w:t>
      </w:r>
    </w:p>
    <w:tbl>
      <w:tblPr>
        <w:tblW w:w="8360" w:type="dxa"/>
        <w:tblInd w:w="93" w:type="dxa"/>
        <w:tblLook w:val="04A0" w:firstRow="1" w:lastRow="0" w:firstColumn="1" w:lastColumn="0" w:noHBand="0" w:noVBand="1"/>
        <w:tblCaption w:val="Minimum Lease payments receivables for Operating Leases"/>
        <w:tblDescription w:val="Minimum Lease payments receivables for Operating Leases"/>
      </w:tblPr>
      <w:tblGrid>
        <w:gridCol w:w="4420"/>
        <w:gridCol w:w="1920"/>
        <w:gridCol w:w="2020"/>
      </w:tblGrid>
      <w:tr w:rsidR="00894595" w:rsidRPr="00894595" w14:paraId="5D39A797" w14:textId="77777777" w:rsidTr="00CD3384">
        <w:trPr>
          <w:cantSplit/>
          <w:trHeight w:val="300"/>
          <w:tblHeader/>
        </w:trPr>
        <w:tc>
          <w:tcPr>
            <w:tcW w:w="4420" w:type="dxa"/>
            <w:tcBorders>
              <w:top w:val="single" w:sz="4" w:space="0" w:color="FFFFFF"/>
              <w:left w:val="single" w:sz="4" w:space="0" w:color="FFFFFF"/>
              <w:bottom w:val="nil"/>
              <w:right w:val="single" w:sz="4" w:space="0" w:color="FFFFFF"/>
            </w:tcBorders>
            <w:shd w:val="clear" w:color="000000" w:fill="FABF8F"/>
            <w:noWrap/>
            <w:vAlign w:val="bottom"/>
            <w:hideMark/>
          </w:tcPr>
          <w:p w14:paraId="76613019"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 </w:t>
            </w:r>
          </w:p>
        </w:tc>
        <w:tc>
          <w:tcPr>
            <w:tcW w:w="1920" w:type="dxa"/>
            <w:tcBorders>
              <w:top w:val="single" w:sz="4" w:space="0" w:color="FFFFFF"/>
              <w:left w:val="nil"/>
              <w:bottom w:val="single" w:sz="4" w:space="0" w:color="FFFFFF"/>
              <w:right w:val="single" w:sz="4" w:space="0" w:color="FFFFFF"/>
            </w:tcBorders>
            <w:shd w:val="clear" w:color="000000" w:fill="FABF8F"/>
            <w:noWrap/>
            <w:vAlign w:val="center"/>
            <w:hideMark/>
          </w:tcPr>
          <w:p w14:paraId="097F2E3D" w14:textId="6F99B360" w:rsidR="00894595" w:rsidRPr="00894595" w:rsidRDefault="00894595" w:rsidP="000767BD">
            <w:pPr>
              <w:jc w:val="right"/>
              <w:rPr>
                <w:rFonts w:ascii="Calibri" w:hAnsi="Calibri"/>
                <w:color w:val="000000"/>
                <w:lang w:eastAsia="en-GB"/>
              </w:rPr>
            </w:pPr>
            <w:r w:rsidRPr="00894595">
              <w:rPr>
                <w:rFonts w:ascii="Calibri" w:hAnsi="Calibri"/>
                <w:color w:val="000000"/>
                <w:lang w:eastAsia="en-GB"/>
              </w:rPr>
              <w:t xml:space="preserve">              31 Mar 20</w:t>
            </w:r>
            <w:r w:rsidR="000767BD">
              <w:rPr>
                <w:rFonts w:ascii="Calibri" w:hAnsi="Calibri"/>
                <w:color w:val="000000"/>
                <w:lang w:eastAsia="en-GB"/>
              </w:rPr>
              <w:t>2</w:t>
            </w:r>
            <w:r w:rsidR="00EF1C9E">
              <w:rPr>
                <w:rFonts w:ascii="Calibri" w:hAnsi="Calibri"/>
                <w:color w:val="000000"/>
                <w:lang w:eastAsia="en-GB"/>
              </w:rPr>
              <w:t>2</w:t>
            </w:r>
          </w:p>
        </w:tc>
        <w:tc>
          <w:tcPr>
            <w:tcW w:w="2020" w:type="dxa"/>
            <w:tcBorders>
              <w:top w:val="single" w:sz="4" w:space="0" w:color="FFFFFF"/>
              <w:left w:val="nil"/>
              <w:bottom w:val="single" w:sz="4" w:space="0" w:color="FFFFFF"/>
              <w:right w:val="single" w:sz="4" w:space="0" w:color="FFFFFF"/>
            </w:tcBorders>
            <w:shd w:val="clear" w:color="000000" w:fill="FABF8F"/>
            <w:noWrap/>
            <w:vAlign w:val="center"/>
            <w:hideMark/>
          </w:tcPr>
          <w:p w14:paraId="6F1D9713" w14:textId="27FFB03E" w:rsidR="00894595" w:rsidRPr="00894595" w:rsidRDefault="00894595" w:rsidP="000767BD">
            <w:pPr>
              <w:jc w:val="right"/>
              <w:rPr>
                <w:rFonts w:ascii="Calibri" w:hAnsi="Calibri"/>
                <w:color w:val="000000"/>
                <w:lang w:eastAsia="en-GB"/>
              </w:rPr>
            </w:pPr>
            <w:r w:rsidRPr="00894595">
              <w:rPr>
                <w:rFonts w:ascii="Calibri" w:hAnsi="Calibri"/>
                <w:color w:val="000000"/>
                <w:lang w:eastAsia="en-GB"/>
              </w:rPr>
              <w:t xml:space="preserve">     31 Mar 20</w:t>
            </w:r>
            <w:r w:rsidR="000763A3">
              <w:rPr>
                <w:rFonts w:ascii="Calibri" w:hAnsi="Calibri"/>
                <w:color w:val="000000"/>
                <w:lang w:eastAsia="en-GB"/>
              </w:rPr>
              <w:t>2</w:t>
            </w:r>
            <w:r w:rsidR="00EF1C9E">
              <w:rPr>
                <w:rFonts w:ascii="Calibri" w:hAnsi="Calibri"/>
                <w:color w:val="000000"/>
                <w:lang w:eastAsia="en-GB"/>
              </w:rPr>
              <w:t>3</w:t>
            </w:r>
          </w:p>
        </w:tc>
      </w:tr>
      <w:tr w:rsidR="00894595" w:rsidRPr="00894595" w14:paraId="39DAB71F" w14:textId="77777777" w:rsidTr="00894595">
        <w:trPr>
          <w:trHeight w:val="300"/>
        </w:trPr>
        <w:tc>
          <w:tcPr>
            <w:tcW w:w="4420" w:type="dxa"/>
            <w:tcBorders>
              <w:top w:val="nil"/>
              <w:left w:val="single" w:sz="4" w:space="0" w:color="FFFFFF"/>
              <w:bottom w:val="single" w:sz="4" w:space="0" w:color="FFFFFF"/>
              <w:right w:val="single" w:sz="4" w:space="0" w:color="FFFFFF"/>
            </w:tcBorders>
            <w:shd w:val="clear" w:color="000000" w:fill="FABF8F"/>
            <w:noWrap/>
            <w:vAlign w:val="bottom"/>
            <w:hideMark/>
          </w:tcPr>
          <w:p w14:paraId="07DF3715"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 </w:t>
            </w:r>
          </w:p>
        </w:tc>
        <w:tc>
          <w:tcPr>
            <w:tcW w:w="1920" w:type="dxa"/>
            <w:tcBorders>
              <w:top w:val="nil"/>
              <w:left w:val="nil"/>
              <w:bottom w:val="single" w:sz="4" w:space="0" w:color="FFFFFF"/>
              <w:right w:val="single" w:sz="4" w:space="0" w:color="FFFFFF"/>
            </w:tcBorders>
            <w:shd w:val="clear" w:color="000000" w:fill="FABF8F"/>
            <w:noWrap/>
            <w:vAlign w:val="center"/>
            <w:hideMark/>
          </w:tcPr>
          <w:p w14:paraId="1950D156" w14:textId="77777777" w:rsidR="00894595" w:rsidRPr="00894595" w:rsidRDefault="00894595" w:rsidP="00894595">
            <w:pPr>
              <w:jc w:val="right"/>
              <w:rPr>
                <w:rFonts w:ascii="Calibri" w:hAnsi="Calibri"/>
                <w:color w:val="000000"/>
                <w:lang w:eastAsia="en-GB"/>
              </w:rPr>
            </w:pPr>
            <w:r w:rsidRPr="00894595">
              <w:rPr>
                <w:rFonts w:ascii="Calibri" w:hAnsi="Calibri"/>
                <w:color w:val="000000"/>
                <w:lang w:eastAsia="en-GB"/>
              </w:rPr>
              <w:t xml:space="preserve">             £’000</w:t>
            </w:r>
          </w:p>
        </w:tc>
        <w:tc>
          <w:tcPr>
            <w:tcW w:w="2020" w:type="dxa"/>
            <w:tcBorders>
              <w:top w:val="nil"/>
              <w:left w:val="nil"/>
              <w:bottom w:val="single" w:sz="4" w:space="0" w:color="FFFFFF"/>
              <w:right w:val="single" w:sz="4" w:space="0" w:color="FFFFFF"/>
            </w:tcBorders>
            <w:shd w:val="clear" w:color="000000" w:fill="FABF8F"/>
            <w:noWrap/>
            <w:vAlign w:val="center"/>
            <w:hideMark/>
          </w:tcPr>
          <w:p w14:paraId="4C7B8644" w14:textId="77777777" w:rsidR="00894595" w:rsidRPr="00894595" w:rsidRDefault="00894595" w:rsidP="00894595">
            <w:pPr>
              <w:jc w:val="right"/>
              <w:rPr>
                <w:rFonts w:ascii="Calibri" w:hAnsi="Calibri"/>
                <w:color w:val="000000"/>
                <w:lang w:eastAsia="en-GB"/>
              </w:rPr>
            </w:pPr>
            <w:r w:rsidRPr="00894595">
              <w:rPr>
                <w:rFonts w:ascii="Calibri" w:hAnsi="Calibri"/>
                <w:color w:val="000000"/>
                <w:lang w:eastAsia="en-GB"/>
              </w:rPr>
              <w:t xml:space="preserve">    £’000</w:t>
            </w:r>
          </w:p>
        </w:tc>
      </w:tr>
      <w:tr w:rsidR="00894595" w:rsidRPr="00894595" w14:paraId="3D14E93E" w14:textId="77777777" w:rsidTr="00E634D7">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16AFE0A1"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Not later than 1 year</w:t>
            </w:r>
          </w:p>
        </w:tc>
        <w:tc>
          <w:tcPr>
            <w:tcW w:w="1920" w:type="dxa"/>
            <w:tcBorders>
              <w:top w:val="nil"/>
              <w:left w:val="nil"/>
              <w:bottom w:val="single" w:sz="4" w:space="0" w:color="FFFFFF"/>
              <w:right w:val="single" w:sz="4" w:space="0" w:color="FFFFFF"/>
            </w:tcBorders>
            <w:shd w:val="clear" w:color="000000" w:fill="FDE9D9"/>
            <w:noWrap/>
            <w:vAlign w:val="center"/>
            <w:hideMark/>
          </w:tcPr>
          <w:p w14:paraId="74493516" w14:textId="6429F03C" w:rsidR="00894595" w:rsidRPr="00894595" w:rsidRDefault="000763A3" w:rsidP="000767BD">
            <w:pPr>
              <w:jc w:val="right"/>
              <w:rPr>
                <w:rFonts w:ascii="Calibri" w:hAnsi="Calibri"/>
                <w:color w:val="000000"/>
                <w:lang w:eastAsia="en-GB"/>
              </w:rPr>
            </w:pPr>
            <w:r>
              <w:rPr>
                <w:rFonts w:ascii="Calibri" w:hAnsi="Calibri"/>
                <w:color w:val="000000"/>
                <w:lang w:eastAsia="en-GB"/>
              </w:rPr>
              <w:t>2</w:t>
            </w:r>
            <w:r w:rsidR="00EF1C9E">
              <w:rPr>
                <w:rFonts w:ascii="Calibri" w:hAnsi="Calibri"/>
                <w:color w:val="000000"/>
                <w:lang w:eastAsia="en-GB"/>
              </w:rPr>
              <w:t>09</w:t>
            </w:r>
          </w:p>
        </w:tc>
        <w:tc>
          <w:tcPr>
            <w:tcW w:w="2020" w:type="dxa"/>
            <w:tcBorders>
              <w:top w:val="nil"/>
              <w:left w:val="nil"/>
              <w:bottom w:val="single" w:sz="4" w:space="0" w:color="FFFFFF"/>
              <w:right w:val="single" w:sz="4" w:space="0" w:color="FFFFFF"/>
            </w:tcBorders>
            <w:shd w:val="clear" w:color="000000" w:fill="FDE9D9"/>
            <w:noWrap/>
            <w:vAlign w:val="center"/>
          </w:tcPr>
          <w:p w14:paraId="37867A77" w14:textId="5DAB3567" w:rsidR="00894595" w:rsidRPr="00894595" w:rsidRDefault="00735715" w:rsidP="00894595">
            <w:pPr>
              <w:jc w:val="right"/>
              <w:rPr>
                <w:rFonts w:ascii="Calibri" w:hAnsi="Calibri"/>
                <w:color w:val="000000"/>
                <w:lang w:eastAsia="en-GB"/>
              </w:rPr>
            </w:pPr>
            <w:r>
              <w:rPr>
                <w:rFonts w:ascii="Calibri" w:hAnsi="Calibri"/>
                <w:color w:val="000000"/>
                <w:lang w:eastAsia="en-GB"/>
              </w:rPr>
              <w:t>2</w:t>
            </w:r>
            <w:r w:rsidR="003D2B77">
              <w:rPr>
                <w:rFonts w:ascii="Calibri" w:hAnsi="Calibri"/>
                <w:color w:val="000000"/>
                <w:lang w:eastAsia="en-GB"/>
              </w:rPr>
              <w:t>73</w:t>
            </w:r>
          </w:p>
        </w:tc>
      </w:tr>
      <w:tr w:rsidR="00894595" w:rsidRPr="00894595" w14:paraId="115CE535" w14:textId="77777777" w:rsidTr="00E634D7">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6644CA56"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 xml:space="preserve">Later than one year and not later than five </w:t>
            </w:r>
            <w:proofErr w:type="gramStart"/>
            <w:r w:rsidRPr="00894595">
              <w:rPr>
                <w:rFonts w:ascii="Calibri" w:hAnsi="Calibri"/>
                <w:color w:val="000000"/>
                <w:lang w:eastAsia="en-GB"/>
              </w:rPr>
              <w:t>year</w:t>
            </w:r>
            <w:proofErr w:type="gramEnd"/>
          </w:p>
        </w:tc>
        <w:tc>
          <w:tcPr>
            <w:tcW w:w="1920" w:type="dxa"/>
            <w:tcBorders>
              <w:top w:val="nil"/>
              <w:left w:val="nil"/>
              <w:bottom w:val="single" w:sz="4" w:space="0" w:color="FFFFFF"/>
              <w:right w:val="single" w:sz="4" w:space="0" w:color="FFFFFF"/>
            </w:tcBorders>
            <w:shd w:val="clear" w:color="000000" w:fill="FDE9D9"/>
            <w:noWrap/>
            <w:vAlign w:val="bottom"/>
            <w:hideMark/>
          </w:tcPr>
          <w:p w14:paraId="781324C6" w14:textId="34144005" w:rsidR="00894595" w:rsidRPr="00894595" w:rsidRDefault="00EF1C9E" w:rsidP="00E634D7">
            <w:pPr>
              <w:jc w:val="right"/>
              <w:rPr>
                <w:rFonts w:ascii="Calibri" w:hAnsi="Calibri"/>
                <w:color w:val="000000"/>
                <w:lang w:eastAsia="en-GB"/>
              </w:rPr>
            </w:pPr>
            <w:r>
              <w:rPr>
                <w:rFonts w:ascii="Calibri" w:hAnsi="Calibri"/>
                <w:color w:val="000000"/>
                <w:lang w:eastAsia="en-GB"/>
              </w:rPr>
              <w:t>755</w:t>
            </w:r>
          </w:p>
        </w:tc>
        <w:tc>
          <w:tcPr>
            <w:tcW w:w="2020" w:type="dxa"/>
            <w:tcBorders>
              <w:top w:val="nil"/>
              <w:left w:val="nil"/>
              <w:bottom w:val="single" w:sz="4" w:space="0" w:color="FFFFFF"/>
              <w:right w:val="single" w:sz="4" w:space="0" w:color="FFFFFF"/>
            </w:tcBorders>
            <w:shd w:val="clear" w:color="000000" w:fill="FDE9D9"/>
            <w:noWrap/>
            <w:vAlign w:val="center"/>
          </w:tcPr>
          <w:p w14:paraId="1176B07A" w14:textId="6530949A" w:rsidR="00894595" w:rsidRPr="00894595" w:rsidRDefault="003D2B77" w:rsidP="00894595">
            <w:pPr>
              <w:jc w:val="right"/>
              <w:rPr>
                <w:rFonts w:ascii="Calibri" w:hAnsi="Calibri"/>
                <w:color w:val="000000"/>
                <w:lang w:eastAsia="en-GB"/>
              </w:rPr>
            </w:pPr>
            <w:r>
              <w:rPr>
                <w:rFonts w:ascii="Calibri" w:hAnsi="Calibri"/>
                <w:color w:val="000000"/>
                <w:lang w:eastAsia="en-GB"/>
              </w:rPr>
              <w:t>993</w:t>
            </w:r>
          </w:p>
        </w:tc>
      </w:tr>
      <w:tr w:rsidR="00894595" w:rsidRPr="00894595" w14:paraId="6845DBC5" w14:textId="77777777" w:rsidTr="00E634D7">
        <w:trPr>
          <w:trHeight w:val="300"/>
        </w:trPr>
        <w:tc>
          <w:tcPr>
            <w:tcW w:w="4420" w:type="dxa"/>
            <w:tcBorders>
              <w:top w:val="nil"/>
              <w:left w:val="single" w:sz="4" w:space="0" w:color="FFFFFF"/>
              <w:bottom w:val="single" w:sz="4" w:space="0" w:color="FFFFFF"/>
              <w:right w:val="single" w:sz="4" w:space="0" w:color="FFFFFF"/>
            </w:tcBorders>
            <w:shd w:val="clear" w:color="000000" w:fill="FDE9D9"/>
            <w:noWrap/>
            <w:vAlign w:val="center"/>
            <w:hideMark/>
          </w:tcPr>
          <w:p w14:paraId="33D1CE2A"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Later than five years</w:t>
            </w:r>
          </w:p>
        </w:tc>
        <w:tc>
          <w:tcPr>
            <w:tcW w:w="1920" w:type="dxa"/>
            <w:tcBorders>
              <w:top w:val="nil"/>
              <w:left w:val="nil"/>
              <w:bottom w:val="single" w:sz="4" w:space="0" w:color="FFFFFF"/>
              <w:right w:val="single" w:sz="4" w:space="0" w:color="FFFFFF"/>
            </w:tcBorders>
            <w:shd w:val="clear" w:color="000000" w:fill="FDE9D9"/>
            <w:noWrap/>
            <w:vAlign w:val="center"/>
            <w:hideMark/>
          </w:tcPr>
          <w:p w14:paraId="12DEE5AC" w14:textId="2B1BD54E" w:rsidR="00894595" w:rsidRPr="00894595" w:rsidRDefault="004A22D5" w:rsidP="00D45469">
            <w:pPr>
              <w:jc w:val="right"/>
              <w:rPr>
                <w:rFonts w:ascii="Calibri" w:hAnsi="Calibri"/>
                <w:color w:val="000000"/>
                <w:lang w:eastAsia="en-GB"/>
              </w:rPr>
            </w:pPr>
            <w:r>
              <w:rPr>
                <w:rFonts w:ascii="Calibri" w:hAnsi="Calibri"/>
                <w:color w:val="000000"/>
                <w:lang w:eastAsia="en-GB"/>
              </w:rPr>
              <w:t>1</w:t>
            </w:r>
            <w:r w:rsidR="00D45469">
              <w:rPr>
                <w:rFonts w:ascii="Calibri" w:hAnsi="Calibri"/>
                <w:color w:val="000000"/>
                <w:lang w:eastAsia="en-GB"/>
              </w:rPr>
              <w:t>,</w:t>
            </w:r>
            <w:r w:rsidR="00EF1C9E">
              <w:rPr>
                <w:rFonts w:ascii="Calibri" w:hAnsi="Calibri"/>
                <w:color w:val="000000"/>
                <w:lang w:eastAsia="en-GB"/>
              </w:rPr>
              <w:t>129</w:t>
            </w:r>
          </w:p>
        </w:tc>
        <w:tc>
          <w:tcPr>
            <w:tcW w:w="2020" w:type="dxa"/>
            <w:tcBorders>
              <w:top w:val="nil"/>
              <w:left w:val="nil"/>
              <w:bottom w:val="single" w:sz="4" w:space="0" w:color="FFFFFF"/>
              <w:right w:val="single" w:sz="4" w:space="0" w:color="FFFFFF"/>
            </w:tcBorders>
            <w:shd w:val="clear" w:color="000000" w:fill="FDE9D9"/>
            <w:noWrap/>
            <w:vAlign w:val="center"/>
          </w:tcPr>
          <w:p w14:paraId="0C1DA4BF" w14:textId="5900B93C" w:rsidR="00894595" w:rsidRPr="00894595" w:rsidRDefault="00735715" w:rsidP="00894595">
            <w:pPr>
              <w:jc w:val="right"/>
              <w:rPr>
                <w:rFonts w:ascii="Calibri" w:hAnsi="Calibri"/>
                <w:color w:val="000000"/>
                <w:lang w:eastAsia="en-GB"/>
              </w:rPr>
            </w:pPr>
            <w:r>
              <w:rPr>
                <w:rFonts w:ascii="Calibri" w:hAnsi="Calibri"/>
                <w:color w:val="000000"/>
                <w:lang w:eastAsia="en-GB"/>
              </w:rPr>
              <w:t>985</w:t>
            </w:r>
          </w:p>
        </w:tc>
      </w:tr>
      <w:tr w:rsidR="00894595" w:rsidRPr="00894595" w14:paraId="0E6C3184" w14:textId="77777777" w:rsidTr="00E634D7">
        <w:trPr>
          <w:trHeight w:val="300"/>
        </w:trPr>
        <w:tc>
          <w:tcPr>
            <w:tcW w:w="4420" w:type="dxa"/>
            <w:tcBorders>
              <w:top w:val="nil"/>
              <w:left w:val="single" w:sz="4" w:space="0" w:color="FFFFFF"/>
              <w:bottom w:val="single" w:sz="4" w:space="0" w:color="FFFFFF"/>
              <w:right w:val="single" w:sz="4" w:space="0" w:color="FFFFFF"/>
            </w:tcBorders>
            <w:shd w:val="clear" w:color="000000" w:fill="FCD5B4"/>
            <w:noWrap/>
            <w:vAlign w:val="bottom"/>
            <w:hideMark/>
          </w:tcPr>
          <w:p w14:paraId="5B0D1119" w14:textId="77777777" w:rsidR="00894595" w:rsidRPr="00894595" w:rsidRDefault="00894595" w:rsidP="00894595">
            <w:pPr>
              <w:rPr>
                <w:rFonts w:ascii="Calibri" w:hAnsi="Calibri"/>
                <w:color w:val="000000"/>
                <w:lang w:eastAsia="en-GB"/>
              </w:rPr>
            </w:pPr>
            <w:r w:rsidRPr="00894595">
              <w:rPr>
                <w:rFonts w:ascii="Calibri" w:hAnsi="Calibri"/>
                <w:color w:val="000000"/>
                <w:lang w:eastAsia="en-GB"/>
              </w:rPr>
              <w:t> </w:t>
            </w:r>
          </w:p>
        </w:tc>
        <w:tc>
          <w:tcPr>
            <w:tcW w:w="1920" w:type="dxa"/>
            <w:tcBorders>
              <w:top w:val="nil"/>
              <w:left w:val="nil"/>
              <w:bottom w:val="single" w:sz="4" w:space="0" w:color="FFFFFF"/>
              <w:right w:val="single" w:sz="4" w:space="0" w:color="FFFFFF"/>
            </w:tcBorders>
            <w:shd w:val="clear" w:color="000000" w:fill="FCD5B4"/>
            <w:noWrap/>
            <w:vAlign w:val="center"/>
            <w:hideMark/>
          </w:tcPr>
          <w:p w14:paraId="1F55C194" w14:textId="1FD2A58C" w:rsidR="00894595" w:rsidRPr="00894595" w:rsidRDefault="00D45469" w:rsidP="00894595">
            <w:pPr>
              <w:jc w:val="right"/>
              <w:rPr>
                <w:rFonts w:ascii="Calibri" w:hAnsi="Calibri"/>
                <w:b/>
                <w:bCs/>
                <w:color w:val="000000"/>
                <w:lang w:eastAsia="en-GB"/>
              </w:rPr>
            </w:pPr>
            <w:r>
              <w:rPr>
                <w:rFonts w:ascii="Calibri" w:hAnsi="Calibri"/>
                <w:b/>
                <w:bCs/>
                <w:color w:val="000000"/>
                <w:lang w:eastAsia="en-GB"/>
              </w:rPr>
              <w:t>2,</w:t>
            </w:r>
            <w:r w:rsidR="00E54BEA">
              <w:rPr>
                <w:rFonts w:ascii="Calibri" w:hAnsi="Calibri"/>
                <w:b/>
                <w:bCs/>
                <w:color w:val="000000"/>
                <w:lang w:eastAsia="en-GB"/>
              </w:rPr>
              <w:t>0</w:t>
            </w:r>
            <w:r w:rsidR="00EF1C9E">
              <w:rPr>
                <w:rFonts w:ascii="Calibri" w:hAnsi="Calibri"/>
                <w:b/>
                <w:bCs/>
                <w:color w:val="000000"/>
                <w:lang w:eastAsia="en-GB"/>
              </w:rPr>
              <w:t>93</w:t>
            </w:r>
          </w:p>
        </w:tc>
        <w:tc>
          <w:tcPr>
            <w:tcW w:w="2020" w:type="dxa"/>
            <w:tcBorders>
              <w:top w:val="nil"/>
              <w:left w:val="nil"/>
              <w:bottom w:val="single" w:sz="4" w:space="0" w:color="FFFFFF"/>
              <w:right w:val="single" w:sz="4" w:space="0" w:color="FFFFFF"/>
            </w:tcBorders>
            <w:shd w:val="clear" w:color="000000" w:fill="FCD5B4"/>
            <w:noWrap/>
            <w:vAlign w:val="center"/>
          </w:tcPr>
          <w:p w14:paraId="37F007E8" w14:textId="528A4BA1" w:rsidR="00894595" w:rsidRPr="00894595" w:rsidRDefault="003D2B77" w:rsidP="00894595">
            <w:pPr>
              <w:jc w:val="right"/>
              <w:rPr>
                <w:rFonts w:ascii="Calibri" w:hAnsi="Calibri"/>
                <w:b/>
                <w:bCs/>
                <w:color w:val="000000"/>
                <w:lang w:eastAsia="en-GB"/>
              </w:rPr>
            </w:pPr>
            <w:r>
              <w:rPr>
                <w:rFonts w:ascii="Calibri" w:hAnsi="Calibri"/>
                <w:b/>
                <w:bCs/>
                <w:color w:val="000000"/>
                <w:lang w:eastAsia="en-GB"/>
              </w:rPr>
              <w:t>2,251</w:t>
            </w:r>
          </w:p>
        </w:tc>
      </w:tr>
    </w:tbl>
    <w:p w14:paraId="6DB8E729" w14:textId="69890647" w:rsidR="00274A22" w:rsidRDefault="00274A22" w:rsidP="007C6C6F">
      <w:pPr>
        <w:pStyle w:val="Heading2"/>
      </w:pPr>
    </w:p>
    <w:p w14:paraId="0B0C0CF9" w14:textId="3F81B2E6" w:rsidR="003E779D" w:rsidRDefault="00894595" w:rsidP="007C6C6F">
      <w:pPr>
        <w:pStyle w:val="Heading2"/>
      </w:pPr>
      <w:r w:rsidRPr="00E428F7">
        <w:t>2</w:t>
      </w:r>
      <w:r w:rsidR="00D3279C">
        <w:t>6</w:t>
      </w:r>
      <w:r w:rsidR="00E428F7" w:rsidRPr="00E428F7">
        <w:tab/>
        <w:t>Impairment Loss</w:t>
      </w:r>
    </w:p>
    <w:p w14:paraId="685A57EA" w14:textId="77777777" w:rsidR="00421390" w:rsidRPr="00421390" w:rsidRDefault="00421390" w:rsidP="00421390">
      <w:pPr>
        <w:widowControl w:val="0"/>
        <w:rPr>
          <w:rFonts w:asciiTheme="minorHAnsi" w:hAnsiTheme="minorHAnsi" w:cs="Arial"/>
          <w:b/>
          <w:sz w:val="22"/>
          <w:szCs w:val="22"/>
        </w:rPr>
      </w:pPr>
    </w:p>
    <w:p w14:paraId="6CEB9355" w14:textId="24C95977" w:rsidR="003E779D" w:rsidRDefault="003E779D" w:rsidP="00421390">
      <w:pPr>
        <w:widowControl w:val="0"/>
        <w:jc w:val="both"/>
        <w:rPr>
          <w:rFonts w:asciiTheme="minorHAnsi" w:hAnsiTheme="minorHAnsi" w:cs="Arial"/>
          <w:sz w:val="22"/>
          <w:szCs w:val="22"/>
        </w:rPr>
      </w:pPr>
      <w:r w:rsidRPr="00F46071">
        <w:rPr>
          <w:rFonts w:asciiTheme="minorHAnsi" w:hAnsiTheme="minorHAnsi" w:cs="Arial"/>
          <w:sz w:val="22"/>
          <w:szCs w:val="22"/>
        </w:rPr>
        <w:t>During 20</w:t>
      </w:r>
      <w:r w:rsidR="00FF4739" w:rsidRPr="00F46071">
        <w:rPr>
          <w:rFonts w:asciiTheme="minorHAnsi" w:hAnsiTheme="minorHAnsi" w:cs="Arial"/>
          <w:sz w:val="22"/>
          <w:szCs w:val="22"/>
        </w:rPr>
        <w:t>2</w:t>
      </w:r>
      <w:r w:rsidR="00EF1C9E">
        <w:rPr>
          <w:rFonts w:asciiTheme="minorHAnsi" w:hAnsiTheme="minorHAnsi" w:cs="Arial"/>
          <w:sz w:val="22"/>
          <w:szCs w:val="22"/>
        </w:rPr>
        <w:t>2</w:t>
      </w:r>
      <w:r w:rsidR="000763A3" w:rsidRPr="00FA688C">
        <w:rPr>
          <w:rFonts w:asciiTheme="minorHAnsi" w:hAnsiTheme="minorHAnsi" w:cs="Arial"/>
          <w:sz w:val="22"/>
          <w:szCs w:val="22"/>
        </w:rPr>
        <w:t>-2</w:t>
      </w:r>
      <w:r w:rsidR="00EF1C9E" w:rsidRPr="00FA688C">
        <w:rPr>
          <w:rFonts w:asciiTheme="minorHAnsi" w:hAnsiTheme="minorHAnsi" w:cs="Arial"/>
          <w:sz w:val="22"/>
          <w:szCs w:val="22"/>
        </w:rPr>
        <w:t>3</w:t>
      </w:r>
      <w:r w:rsidRPr="00FA688C">
        <w:rPr>
          <w:rFonts w:asciiTheme="minorHAnsi" w:hAnsiTheme="minorHAnsi" w:cs="Arial"/>
          <w:sz w:val="22"/>
          <w:szCs w:val="22"/>
        </w:rPr>
        <w:t xml:space="preserve"> there were no impairment losses recognised.</w:t>
      </w:r>
      <w:r w:rsidRPr="00E428F7">
        <w:rPr>
          <w:rFonts w:asciiTheme="minorHAnsi" w:hAnsiTheme="minorHAnsi" w:cs="Arial"/>
          <w:sz w:val="22"/>
          <w:szCs w:val="22"/>
        </w:rPr>
        <w:t xml:space="preserve">  </w:t>
      </w:r>
    </w:p>
    <w:p w14:paraId="2480103A" w14:textId="1CCE6775" w:rsidR="00421390" w:rsidRDefault="00421390" w:rsidP="00421390">
      <w:pPr>
        <w:widowControl w:val="0"/>
        <w:jc w:val="both"/>
        <w:rPr>
          <w:rFonts w:asciiTheme="minorHAnsi" w:hAnsiTheme="minorHAnsi" w:cs="Arial"/>
          <w:sz w:val="22"/>
          <w:szCs w:val="22"/>
        </w:rPr>
      </w:pPr>
    </w:p>
    <w:p w14:paraId="5FFB4DB8" w14:textId="02C6C5BC" w:rsidR="00E428F7" w:rsidRPr="00502C34" w:rsidRDefault="00502C34" w:rsidP="007C6C6F">
      <w:pPr>
        <w:pStyle w:val="Heading2"/>
      </w:pPr>
      <w:r w:rsidRPr="00502C34">
        <w:t>2</w:t>
      </w:r>
      <w:r w:rsidR="00D3279C">
        <w:t>7</w:t>
      </w:r>
      <w:r w:rsidR="00E428F7" w:rsidRPr="00502C34">
        <w:tab/>
        <w:t>A</w:t>
      </w:r>
      <w:r w:rsidRPr="00502C34">
        <w:t>ssets Held for Sale</w:t>
      </w:r>
    </w:p>
    <w:p w14:paraId="46E18514" w14:textId="77777777" w:rsidR="00E428F7" w:rsidRPr="00CA7994" w:rsidRDefault="00E428F7" w:rsidP="00421390">
      <w:pPr>
        <w:widowControl w:val="0"/>
        <w:tabs>
          <w:tab w:val="left" w:pos="2520"/>
          <w:tab w:val="left" w:pos="7200"/>
          <w:tab w:val="left" w:pos="8460"/>
        </w:tabs>
        <w:rPr>
          <w:rFonts w:ascii="Arial" w:hAnsi="Arial" w:cs="Arial"/>
          <w:b/>
        </w:rPr>
      </w:pPr>
    </w:p>
    <w:tbl>
      <w:tblPr>
        <w:tblW w:w="9240" w:type="dxa"/>
        <w:tblInd w:w="93" w:type="dxa"/>
        <w:tblLook w:val="04A0" w:firstRow="1" w:lastRow="0" w:firstColumn="1" w:lastColumn="0" w:noHBand="0" w:noVBand="1"/>
        <w:tblCaption w:val="Assets Held for Sale"/>
        <w:tblDescription w:val="Assets held for sale as at 31 March 2023 with 31 March 2022 comparables"/>
      </w:tblPr>
      <w:tblGrid>
        <w:gridCol w:w="1680"/>
        <w:gridCol w:w="5840"/>
        <w:gridCol w:w="1720"/>
      </w:tblGrid>
      <w:tr w:rsidR="00502C34" w:rsidRPr="00502C34" w14:paraId="7CE23B2D"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54BB260F" w14:textId="6D9CF607" w:rsidR="00502C34" w:rsidRPr="00502C34" w:rsidRDefault="00502C34" w:rsidP="0060515E">
            <w:pPr>
              <w:jc w:val="right"/>
              <w:rPr>
                <w:rFonts w:ascii="Calibri" w:hAnsi="Calibri"/>
                <w:color w:val="000000"/>
                <w:lang w:eastAsia="en-GB"/>
              </w:rPr>
            </w:pPr>
            <w:r w:rsidRPr="00502C34">
              <w:rPr>
                <w:rFonts w:ascii="Calibri" w:hAnsi="Calibri"/>
                <w:color w:val="000000"/>
                <w:lang w:eastAsia="en-GB"/>
              </w:rPr>
              <w:t>31</w:t>
            </w:r>
            <w:r>
              <w:rPr>
                <w:rFonts w:ascii="Calibri" w:hAnsi="Calibri"/>
                <w:color w:val="000000"/>
                <w:lang w:eastAsia="en-GB"/>
              </w:rPr>
              <w:t xml:space="preserve"> </w:t>
            </w:r>
            <w:r w:rsidRPr="00502C34">
              <w:rPr>
                <w:rFonts w:ascii="Calibri" w:hAnsi="Calibri"/>
                <w:color w:val="000000"/>
                <w:lang w:eastAsia="en-GB"/>
              </w:rPr>
              <w:t>Mar</w:t>
            </w:r>
            <w:r>
              <w:rPr>
                <w:rFonts w:ascii="Calibri" w:hAnsi="Calibri"/>
                <w:color w:val="000000"/>
                <w:lang w:eastAsia="en-GB"/>
              </w:rPr>
              <w:t>ch 20</w:t>
            </w:r>
            <w:r w:rsidR="0060515E">
              <w:rPr>
                <w:rFonts w:ascii="Calibri" w:hAnsi="Calibri"/>
                <w:color w:val="000000"/>
                <w:lang w:eastAsia="en-GB"/>
              </w:rPr>
              <w:t>2</w:t>
            </w:r>
            <w:r w:rsidR="00EF1C9E">
              <w:rPr>
                <w:rFonts w:ascii="Calibri" w:hAnsi="Calibri"/>
                <w:color w:val="000000"/>
                <w:lang w:eastAsia="en-GB"/>
              </w:rPr>
              <w:t>2</w:t>
            </w:r>
          </w:p>
        </w:tc>
        <w:tc>
          <w:tcPr>
            <w:tcW w:w="5840" w:type="dxa"/>
            <w:tcBorders>
              <w:top w:val="nil"/>
              <w:left w:val="nil"/>
              <w:bottom w:val="nil"/>
              <w:right w:val="nil"/>
            </w:tcBorders>
            <w:shd w:val="clear" w:color="000000" w:fill="FABF8F"/>
            <w:noWrap/>
            <w:vAlign w:val="center"/>
            <w:hideMark/>
          </w:tcPr>
          <w:p w14:paraId="2AAFE677"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w:t>
            </w:r>
          </w:p>
        </w:tc>
        <w:tc>
          <w:tcPr>
            <w:tcW w:w="172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392934FA" w14:textId="7D159F1A" w:rsidR="00502C34" w:rsidRPr="00502C34" w:rsidRDefault="00502C34" w:rsidP="0060515E">
            <w:pPr>
              <w:jc w:val="right"/>
              <w:rPr>
                <w:rFonts w:ascii="Calibri" w:hAnsi="Calibri"/>
                <w:color w:val="000000"/>
                <w:lang w:eastAsia="en-GB"/>
              </w:rPr>
            </w:pPr>
            <w:r>
              <w:rPr>
                <w:rFonts w:ascii="Calibri" w:hAnsi="Calibri"/>
                <w:color w:val="000000"/>
                <w:lang w:eastAsia="en-GB"/>
              </w:rPr>
              <w:t xml:space="preserve">31 </w:t>
            </w:r>
            <w:r w:rsidRPr="00502C34">
              <w:rPr>
                <w:rFonts w:ascii="Calibri" w:hAnsi="Calibri"/>
                <w:color w:val="000000"/>
                <w:lang w:eastAsia="en-GB"/>
              </w:rPr>
              <w:t>Mar</w:t>
            </w:r>
            <w:r>
              <w:rPr>
                <w:rFonts w:ascii="Calibri" w:hAnsi="Calibri"/>
                <w:color w:val="000000"/>
                <w:lang w:eastAsia="en-GB"/>
              </w:rPr>
              <w:t>ch 20</w:t>
            </w:r>
            <w:r w:rsidR="000763A3">
              <w:rPr>
                <w:rFonts w:ascii="Calibri" w:hAnsi="Calibri"/>
                <w:color w:val="000000"/>
                <w:lang w:eastAsia="en-GB"/>
              </w:rPr>
              <w:t>2</w:t>
            </w:r>
            <w:r w:rsidR="00EF1C9E">
              <w:rPr>
                <w:rFonts w:ascii="Calibri" w:hAnsi="Calibri"/>
                <w:color w:val="000000"/>
                <w:lang w:eastAsia="en-GB"/>
              </w:rPr>
              <w:t>3</w:t>
            </w:r>
          </w:p>
        </w:tc>
      </w:tr>
      <w:tr w:rsidR="00502C34" w:rsidRPr="00502C34" w14:paraId="08C0E6AB" w14:textId="77777777" w:rsidTr="00502C34">
        <w:trPr>
          <w:trHeight w:val="300"/>
        </w:trPr>
        <w:tc>
          <w:tcPr>
            <w:tcW w:w="1680" w:type="dxa"/>
            <w:tcBorders>
              <w:top w:val="nil"/>
              <w:left w:val="single" w:sz="4" w:space="0" w:color="FFFFFF"/>
              <w:bottom w:val="single" w:sz="4" w:space="0" w:color="FFFFFF"/>
              <w:right w:val="single" w:sz="4" w:space="0" w:color="FFFFFF"/>
            </w:tcBorders>
            <w:shd w:val="clear" w:color="000000" w:fill="FABF8F"/>
            <w:noWrap/>
            <w:vAlign w:val="center"/>
            <w:hideMark/>
          </w:tcPr>
          <w:p w14:paraId="0E051DD2"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£’000</w:t>
            </w:r>
          </w:p>
        </w:tc>
        <w:tc>
          <w:tcPr>
            <w:tcW w:w="5840" w:type="dxa"/>
            <w:tcBorders>
              <w:top w:val="nil"/>
              <w:left w:val="nil"/>
              <w:bottom w:val="nil"/>
              <w:right w:val="nil"/>
            </w:tcBorders>
            <w:shd w:val="clear" w:color="000000" w:fill="FABF8F"/>
            <w:noWrap/>
            <w:vAlign w:val="center"/>
            <w:hideMark/>
          </w:tcPr>
          <w:p w14:paraId="7555A720"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w:t>
            </w:r>
          </w:p>
        </w:tc>
        <w:tc>
          <w:tcPr>
            <w:tcW w:w="1720" w:type="dxa"/>
            <w:tcBorders>
              <w:top w:val="nil"/>
              <w:left w:val="single" w:sz="4" w:space="0" w:color="FFFFFF"/>
              <w:bottom w:val="single" w:sz="4" w:space="0" w:color="FFFFFF"/>
              <w:right w:val="single" w:sz="4" w:space="0" w:color="FFFFFF"/>
            </w:tcBorders>
            <w:shd w:val="clear" w:color="000000" w:fill="FABF8F"/>
            <w:noWrap/>
            <w:vAlign w:val="center"/>
            <w:hideMark/>
          </w:tcPr>
          <w:p w14:paraId="71F96C69"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£’000</w:t>
            </w:r>
          </w:p>
        </w:tc>
      </w:tr>
      <w:tr w:rsidR="00502C34" w:rsidRPr="00502C34" w14:paraId="60766338" w14:textId="77777777" w:rsidTr="00502C34">
        <w:trPr>
          <w:trHeight w:val="300"/>
        </w:trPr>
        <w:tc>
          <w:tcPr>
            <w:tcW w:w="1680" w:type="dxa"/>
            <w:tcBorders>
              <w:top w:val="nil"/>
              <w:left w:val="single" w:sz="4" w:space="0" w:color="FFFFFF"/>
              <w:bottom w:val="single" w:sz="4" w:space="0" w:color="FFFFFF"/>
              <w:right w:val="single" w:sz="4" w:space="0" w:color="FFFFFF"/>
            </w:tcBorders>
            <w:shd w:val="clear" w:color="000000" w:fill="FCD5B4"/>
            <w:noWrap/>
            <w:vAlign w:val="center"/>
            <w:hideMark/>
          </w:tcPr>
          <w:p w14:paraId="6B5DDE99" w14:textId="291CDACB" w:rsidR="00502C34" w:rsidRPr="00502C34" w:rsidRDefault="00EE1721" w:rsidP="00D45469">
            <w:pPr>
              <w:jc w:val="right"/>
              <w:rPr>
                <w:rFonts w:ascii="Calibri" w:hAnsi="Calibri"/>
                <w:b/>
                <w:bCs/>
                <w:color w:val="000000"/>
                <w:lang w:eastAsia="en-GB"/>
              </w:rPr>
            </w:pPr>
            <w:r>
              <w:rPr>
                <w:rFonts w:ascii="Calibri" w:hAnsi="Calibri"/>
                <w:b/>
                <w:bCs/>
                <w:color w:val="000000"/>
                <w:lang w:eastAsia="en-GB"/>
              </w:rPr>
              <w:t>1</w:t>
            </w:r>
            <w:r w:rsidR="00EF1C9E">
              <w:rPr>
                <w:rFonts w:ascii="Calibri" w:hAnsi="Calibri"/>
                <w:b/>
                <w:bCs/>
                <w:color w:val="000000"/>
                <w:lang w:eastAsia="en-GB"/>
              </w:rPr>
              <w:t>25</w:t>
            </w:r>
          </w:p>
        </w:tc>
        <w:tc>
          <w:tcPr>
            <w:tcW w:w="5840" w:type="dxa"/>
            <w:tcBorders>
              <w:top w:val="single" w:sz="4" w:space="0" w:color="FFFFFF"/>
              <w:left w:val="nil"/>
              <w:bottom w:val="single" w:sz="4" w:space="0" w:color="FFFFFF"/>
              <w:right w:val="single" w:sz="4" w:space="0" w:color="FFFFFF"/>
            </w:tcBorders>
            <w:shd w:val="clear" w:color="000000" w:fill="FCD5B4"/>
            <w:noWrap/>
            <w:vAlign w:val="center"/>
            <w:hideMark/>
          </w:tcPr>
          <w:p w14:paraId="0B31816E" w14:textId="77777777" w:rsidR="00502C34" w:rsidRPr="00502C34" w:rsidRDefault="00502C34" w:rsidP="00502C34">
            <w:pPr>
              <w:rPr>
                <w:rFonts w:ascii="Calibri" w:hAnsi="Calibri"/>
                <w:b/>
                <w:bCs/>
                <w:color w:val="000000"/>
                <w:lang w:eastAsia="en-GB"/>
              </w:rPr>
            </w:pPr>
            <w:r w:rsidRPr="00502C34">
              <w:rPr>
                <w:rFonts w:ascii="Calibri" w:hAnsi="Calibri"/>
                <w:b/>
                <w:bCs/>
                <w:color w:val="000000"/>
                <w:lang w:eastAsia="en-GB"/>
              </w:rPr>
              <w:t xml:space="preserve">  Balance outstanding at start of year</w:t>
            </w:r>
          </w:p>
        </w:tc>
        <w:tc>
          <w:tcPr>
            <w:tcW w:w="1720" w:type="dxa"/>
            <w:tcBorders>
              <w:top w:val="nil"/>
              <w:left w:val="nil"/>
              <w:bottom w:val="single" w:sz="4" w:space="0" w:color="FFFFFF"/>
              <w:right w:val="single" w:sz="4" w:space="0" w:color="FFFFFF"/>
            </w:tcBorders>
            <w:shd w:val="clear" w:color="000000" w:fill="FCD5B4"/>
            <w:noWrap/>
            <w:vAlign w:val="center"/>
            <w:hideMark/>
          </w:tcPr>
          <w:p w14:paraId="053F1788" w14:textId="07C5CA97" w:rsidR="00502C34" w:rsidRPr="00502C34" w:rsidRDefault="00EF1C9E" w:rsidP="00F07E4C">
            <w:pPr>
              <w:jc w:val="right"/>
              <w:rPr>
                <w:rFonts w:ascii="Calibri" w:hAnsi="Calibri"/>
                <w:b/>
                <w:bCs/>
                <w:color w:val="000000"/>
                <w:lang w:eastAsia="en-GB"/>
              </w:rPr>
            </w:pPr>
            <w:r>
              <w:rPr>
                <w:rFonts w:ascii="Calibri" w:hAnsi="Calibri"/>
                <w:b/>
                <w:bCs/>
                <w:color w:val="000000"/>
                <w:lang w:eastAsia="en-GB"/>
              </w:rPr>
              <w:t>0</w:t>
            </w:r>
          </w:p>
        </w:tc>
      </w:tr>
      <w:tr w:rsidR="00502C34" w:rsidRPr="00502C34" w14:paraId="451B66D8" w14:textId="77777777" w:rsidTr="00502C34">
        <w:trPr>
          <w:trHeight w:val="300"/>
        </w:trPr>
        <w:tc>
          <w:tcPr>
            <w:tcW w:w="1680" w:type="dxa"/>
            <w:tcBorders>
              <w:top w:val="nil"/>
              <w:left w:val="nil"/>
              <w:bottom w:val="nil"/>
              <w:right w:val="nil"/>
            </w:tcBorders>
            <w:shd w:val="clear" w:color="000000" w:fill="FDE9D9"/>
            <w:noWrap/>
            <w:vAlign w:val="center"/>
            <w:hideMark/>
          </w:tcPr>
          <w:p w14:paraId="38C938A1" w14:textId="77777777" w:rsidR="00502C34" w:rsidRPr="00502C34" w:rsidRDefault="00502C34" w:rsidP="00502C34">
            <w:pPr>
              <w:jc w:val="right"/>
              <w:rPr>
                <w:rFonts w:ascii="Calibri" w:hAnsi="Calibri"/>
                <w:b/>
                <w:bCs/>
                <w:color w:val="000000"/>
                <w:lang w:eastAsia="en-GB"/>
              </w:rPr>
            </w:pPr>
            <w:r w:rsidRPr="00502C34">
              <w:rPr>
                <w:rFonts w:ascii="Calibri" w:hAnsi="Calibri"/>
                <w:b/>
                <w:bCs/>
                <w:color w:val="000000"/>
                <w:lang w:eastAsia="en-GB"/>
              </w:rPr>
              <w:t> </w:t>
            </w:r>
          </w:p>
        </w:tc>
        <w:tc>
          <w:tcPr>
            <w:tcW w:w="5840" w:type="dxa"/>
            <w:tcBorders>
              <w:top w:val="nil"/>
              <w:left w:val="nil"/>
              <w:bottom w:val="nil"/>
              <w:right w:val="nil"/>
            </w:tcBorders>
            <w:shd w:val="clear" w:color="000000" w:fill="FDE9D9"/>
            <w:noWrap/>
            <w:vAlign w:val="center"/>
            <w:hideMark/>
          </w:tcPr>
          <w:p w14:paraId="1A8E57CD" w14:textId="77777777" w:rsidR="00502C34" w:rsidRPr="00502C34" w:rsidRDefault="00502C34" w:rsidP="00502C34">
            <w:pPr>
              <w:rPr>
                <w:rFonts w:ascii="Calibri" w:hAnsi="Calibri"/>
                <w:b/>
                <w:bCs/>
                <w:color w:val="000000"/>
                <w:lang w:eastAsia="en-GB"/>
              </w:rPr>
            </w:pPr>
            <w:r w:rsidRPr="00502C34">
              <w:rPr>
                <w:rFonts w:ascii="Calibri" w:hAnsi="Calibri"/>
                <w:b/>
                <w:bCs/>
                <w:color w:val="000000"/>
                <w:lang w:eastAsia="en-GB"/>
              </w:rPr>
              <w:t xml:space="preserve">  Assets newly classified as held for sale:</w:t>
            </w:r>
          </w:p>
        </w:tc>
        <w:tc>
          <w:tcPr>
            <w:tcW w:w="1720" w:type="dxa"/>
            <w:tcBorders>
              <w:top w:val="nil"/>
              <w:left w:val="nil"/>
              <w:bottom w:val="nil"/>
              <w:right w:val="nil"/>
            </w:tcBorders>
            <w:shd w:val="clear" w:color="000000" w:fill="FDE9D9"/>
            <w:noWrap/>
            <w:vAlign w:val="center"/>
            <w:hideMark/>
          </w:tcPr>
          <w:p w14:paraId="61CB08BF" w14:textId="77777777" w:rsidR="00502C34" w:rsidRPr="00502C34" w:rsidRDefault="00502C34" w:rsidP="00502C34">
            <w:pPr>
              <w:jc w:val="right"/>
              <w:rPr>
                <w:rFonts w:ascii="Calibri" w:hAnsi="Calibri"/>
                <w:b/>
                <w:bCs/>
                <w:color w:val="000000"/>
                <w:lang w:eastAsia="en-GB"/>
              </w:rPr>
            </w:pPr>
            <w:r w:rsidRPr="00502C34">
              <w:rPr>
                <w:rFonts w:ascii="Calibri" w:hAnsi="Calibri"/>
                <w:b/>
                <w:bCs/>
                <w:color w:val="000000"/>
                <w:lang w:eastAsia="en-GB"/>
              </w:rPr>
              <w:t> </w:t>
            </w:r>
          </w:p>
        </w:tc>
      </w:tr>
      <w:tr w:rsidR="00502C34" w:rsidRPr="00502C34" w14:paraId="352C1DBA" w14:textId="77777777" w:rsidTr="00F07E4C">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4745560B" w14:textId="4F7EB067" w:rsidR="00502C34" w:rsidRPr="00502C34" w:rsidRDefault="00EF1C9E" w:rsidP="00502C34">
            <w:pPr>
              <w:jc w:val="right"/>
              <w:rPr>
                <w:rFonts w:ascii="Calibri" w:hAnsi="Calibri"/>
                <w:color w:val="000000"/>
                <w:lang w:eastAsia="en-GB"/>
              </w:rPr>
            </w:pPr>
            <w:r>
              <w:rPr>
                <w:rFonts w:ascii="Calibri" w:hAnsi="Calibri"/>
                <w:color w:val="000000"/>
                <w:lang w:eastAsia="en-GB"/>
              </w:rPr>
              <w:t>0</w:t>
            </w:r>
          </w:p>
        </w:tc>
        <w:tc>
          <w:tcPr>
            <w:tcW w:w="5840" w:type="dxa"/>
            <w:tcBorders>
              <w:top w:val="single" w:sz="4" w:space="0" w:color="FFFFFF"/>
              <w:left w:val="nil"/>
              <w:bottom w:val="single" w:sz="4" w:space="0" w:color="FFFFFF"/>
              <w:right w:val="single" w:sz="4" w:space="0" w:color="FFFFFF"/>
            </w:tcBorders>
            <w:shd w:val="clear" w:color="000000" w:fill="FDE9D9"/>
            <w:noWrap/>
            <w:vAlign w:val="center"/>
            <w:hideMark/>
          </w:tcPr>
          <w:p w14:paraId="4A02BB36" w14:textId="39252202"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Property, Plant </w:t>
            </w:r>
            <w:r w:rsidR="00704A70">
              <w:rPr>
                <w:rFonts w:ascii="Calibri" w:hAnsi="Calibri"/>
                <w:color w:val="000000"/>
                <w:lang w:eastAsia="en-GB"/>
              </w:rPr>
              <w:t>and</w:t>
            </w:r>
            <w:r w:rsidRPr="00502C34">
              <w:rPr>
                <w:rFonts w:ascii="Calibri" w:hAnsi="Calibri"/>
                <w:color w:val="000000"/>
                <w:lang w:eastAsia="en-GB"/>
              </w:rPr>
              <w:t xml:space="preserve"> Equipment</w:t>
            </w:r>
          </w:p>
        </w:tc>
        <w:tc>
          <w:tcPr>
            <w:tcW w:w="1720" w:type="dxa"/>
            <w:tcBorders>
              <w:top w:val="single" w:sz="4" w:space="0" w:color="FFFFFF"/>
              <w:left w:val="nil"/>
              <w:bottom w:val="single" w:sz="4" w:space="0" w:color="FFFFFF"/>
              <w:right w:val="single" w:sz="4" w:space="0" w:color="FFFFFF"/>
            </w:tcBorders>
            <w:shd w:val="clear" w:color="000000" w:fill="FDE9D9"/>
            <w:noWrap/>
            <w:vAlign w:val="center"/>
          </w:tcPr>
          <w:p w14:paraId="65D4F0F0" w14:textId="1FC9EF52" w:rsidR="00502C34" w:rsidRPr="00502C34" w:rsidRDefault="00FA688C" w:rsidP="00244467">
            <w:pPr>
              <w:jc w:val="right"/>
              <w:rPr>
                <w:rFonts w:ascii="Calibri" w:hAnsi="Calibri"/>
                <w:color w:val="000000"/>
                <w:lang w:eastAsia="en-GB"/>
              </w:rPr>
            </w:pPr>
            <w:r>
              <w:rPr>
                <w:rFonts w:ascii="Calibri" w:hAnsi="Calibri"/>
                <w:color w:val="000000"/>
                <w:lang w:eastAsia="en-GB"/>
              </w:rPr>
              <w:t>0</w:t>
            </w:r>
          </w:p>
        </w:tc>
      </w:tr>
      <w:tr w:rsidR="00502C34" w:rsidRPr="00502C34" w14:paraId="74AD2CCF"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787D29AE" w14:textId="25550BE9" w:rsidR="00502C34" w:rsidRPr="00502C34" w:rsidRDefault="00EF1C9E" w:rsidP="000763A3">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FDE9D9"/>
            <w:noWrap/>
            <w:vAlign w:val="center"/>
            <w:hideMark/>
          </w:tcPr>
          <w:p w14:paraId="74B4F27E"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Revaluation Gains/Losses</w:t>
            </w:r>
          </w:p>
        </w:tc>
        <w:tc>
          <w:tcPr>
            <w:tcW w:w="1720" w:type="dxa"/>
            <w:tcBorders>
              <w:top w:val="nil"/>
              <w:left w:val="nil"/>
              <w:bottom w:val="single" w:sz="4" w:space="0" w:color="FFFFFF"/>
              <w:right w:val="single" w:sz="4" w:space="0" w:color="FFFFFF"/>
            </w:tcBorders>
            <w:shd w:val="clear" w:color="000000" w:fill="FDE9D9"/>
            <w:noWrap/>
            <w:vAlign w:val="center"/>
          </w:tcPr>
          <w:p w14:paraId="5CC7B665" w14:textId="03910557" w:rsidR="00502C34" w:rsidRPr="00502C34" w:rsidRDefault="00FA688C" w:rsidP="00502C34">
            <w:pPr>
              <w:jc w:val="right"/>
              <w:rPr>
                <w:rFonts w:ascii="Calibri" w:hAnsi="Calibri"/>
                <w:color w:val="000000"/>
                <w:lang w:eastAsia="en-GB"/>
              </w:rPr>
            </w:pPr>
            <w:r>
              <w:rPr>
                <w:rFonts w:ascii="Calibri" w:hAnsi="Calibri"/>
                <w:color w:val="000000"/>
                <w:lang w:eastAsia="en-GB"/>
              </w:rPr>
              <w:t>0</w:t>
            </w:r>
          </w:p>
        </w:tc>
      </w:tr>
      <w:tr w:rsidR="00502C34" w:rsidRPr="00502C34" w14:paraId="0A2DC98D" w14:textId="77777777" w:rsidTr="00F07E4C">
        <w:trPr>
          <w:trHeight w:val="300"/>
        </w:trPr>
        <w:tc>
          <w:tcPr>
            <w:tcW w:w="1680" w:type="dxa"/>
            <w:tcBorders>
              <w:top w:val="nil"/>
              <w:left w:val="nil"/>
              <w:bottom w:val="nil"/>
              <w:right w:val="nil"/>
            </w:tcBorders>
            <w:shd w:val="clear" w:color="000000" w:fill="FDE9D9"/>
            <w:noWrap/>
            <w:vAlign w:val="center"/>
            <w:hideMark/>
          </w:tcPr>
          <w:p w14:paraId="329D0586"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 </w:t>
            </w:r>
          </w:p>
        </w:tc>
        <w:tc>
          <w:tcPr>
            <w:tcW w:w="5840" w:type="dxa"/>
            <w:tcBorders>
              <w:top w:val="nil"/>
              <w:left w:val="nil"/>
              <w:bottom w:val="nil"/>
              <w:right w:val="nil"/>
            </w:tcBorders>
            <w:shd w:val="clear" w:color="000000" w:fill="FDE9D9"/>
            <w:noWrap/>
            <w:vAlign w:val="center"/>
            <w:hideMark/>
          </w:tcPr>
          <w:p w14:paraId="4CE9B720" w14:textId="77777777" w:rsidR="00502C34" w:rsidRPr="00502C34" w:rsidRDefault="00502C34" w:rsidP="00502C34">
            <w:pPr>
              <w:rPr>
                <w:rFonts w:ascii="Calibri" w:hAnsi="Calibri"/>
                <w:b/>
                <w:bCs/>
                <w:color w:val="000000"/>
                <w:lang w:eastAsia="en-GB"/>
              </w:rPr>
            </w:pPr>
            <w:r w:rsidRPr="00502C34">
              <w:rPr>
                <w:rFonts w:ascii="Calibri" w:hAnsi="Calibri"/>
                <w:b/>
                <w:bCs/>
                <w:color w:val="000000"/>
                <w:lang w:eastAsia="en-GB"/>
              </w:rPr>
              <w:t xml:space="preserve">  Assets declassified as held for sale:</w:t>
            </w:r>
          </w:p>
        </w:tc>
        <w:tc>
          <w:tcPr>
            <w:tcW w:w="1720" w:type="dxa"/>
            <w:tcBorders>
              <w:top w:val="nil"/>
              <w:left w:val="nil"/>
              <w:bottom w:val="nil"/>
              <w:right w:val="nil"/>
            </w:tcBorders>
            <w:shd w:val="clear" w:color="000000" w:fill="FDE9D9"/>
            <w:noWrap/>
            <w:vAlign w:val="center"/>
          </w:tcPr>
          <w:p w14:paraId="3D233179" w14:textId="77777777" w:rsidR="00502C34" w:rsidRPr="00502C34" w:rsidRDefault="00502C34" w:rsidP="00502C34">
            <w:pPr>
              <w:jc w:val="right"/>
              <w:rPr>
                <w:rFonts w:ascii="Calibri" w:hAnsi="Calibri"/>
                <w:color w:val="000000"/>
                <w:lang w:eastAsia="en-GB"/>
              </w:rPr>
            </w:pPr>
          </w:p>
        </w:tc>
      </w:tr>
      <w:tr w:rsidR="00502C34" w:rsidRPr="00502C34" w14:paraId="3D47BAEF" w14:textId="77777777" w:rsidTr="00F07E4C">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1999CA7E" w14:textId="62275A57" w:rsidR="00502C34" w:rsidRPr="00502C34" w:rsidRDefault="00EE1721" w:rsidP="00502C34">
            <w:pPr>
              <w:jc w:val="right"/>
              <w:rPr>
                <w:rFonts w:ascii="Calibri" w:hAnsi="Calibri"/>
                <w:color w:val="000000"/>
                <w:lang w:eastAsia="en-GB"/>
              </w:rPr>
            </w:pPr>
            <w:r>
              <w:rPr>
                <w:rFonts w:ascii="Calibri" w:hAnsi="Calibri"/>
                <w:color w:val="000000"/>
                <w:lang w:eastAsia="en-GB"/>
              </w:rPr>
              <w:t>0</w:t>
            </w:r>
          </w:p>
        </w:tc>
        <w:tc>
          <w:tcPr>
            <w:tcW w:w="5840" w:type="dxa"/>
            <w:tcBorders>
              <w:top w:val="single" w:sz="4" w:space="0" w:color="FFFFFF"/>
              <w:left w:val="nil"/>
              <w:bottom w:val="single" w:sz="4" w:space="0" w:color="FFFFFF"/>
              <w:right w:val="single" w:sz="4" w:space="0" w:color="FFFFFF"/>
            </w:tcBorders>
            <w:shd w:val="clear" w:color="000000" w:fill="FDE9D9"/>
            <w:noWrap/>
            <w:vAlign w:val="center"/>
            <w:hideMark/>
          </w:tcPr>
          <w:p w14:paraId="3BF9F3F4" w14:textId="0764DCA5"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Property, Plant </w:t>
            </w:r>
            <w:r w:rsidR="00704A70">
              <w:rPr>
                <w:rFonts w:ascii="Calibri" w:hAnsi="Calibri"/>
                <w:color w:val="000000"/>
                <w:lang w:eastAsia="en-GB"/>
              </w:rPr>
              <w:t>and</w:t>
            </w:r>
            <w:r w:rsidRPr="00502C34">
              <w:rPr>
                <w:rFonts w:ascii="Calibri" w:hAnsi="Calibri"/>
                <w:color w:val="000000"/>
                <w:lang w:eastAsia="en-GB"/>
              </w:rPr>
              <w:t xml:space="preserve"> Equipment</w:t>
            </w:r>
          </w:p>
        </w:tc>
        <w:tc>
          <w:tcPr>
            <w:tcW w:w="1720" w:type="dxa"/>
            <w:tcBorders>
              <w:top w:val="single" w:sz="4" w:space="0" w:color="FFFFFF"/>
              <w:left w:val="nil"/>
              <w:bottom w:val="single" w:sz="4" w:space="0" w:color="FFFFFF"/>
              <w:right w:val="single" w:sz="4" w:space="0" w:color="FFFFFF"/>
            </w:tcBorders>
            <w:shd w:val="clear" w:color="000000" w:fill="FDE9D9"/>
            <w:noWrap/>
            <w:vAlign w:val="center"/>
          </w:tcPr>
          <w:p w14:paraId="7F10A99C" w14:textId="6D867F18" w:rsidR="00502C34" w:rsidRPr="00502C34" w:rsidRDefault="00FA688C" w:rsidP="00F11DB7">
            <w:pPr>
              <w:jc w:val="right"/>
              <w:rPr>
                <w:rFonts w:ascii="Calibri" w:hAnsi="Calibri"/>
                <w:color w:val="000000"/>
                <w:lang w:eastAsia="en-GB"/>
              </w:rPr>
            </w:pPr>
            <w:r>
              <w:rPr>
                <w:rFonts w:ascii="Calibri" w:hAnsi="Calibri"/>
                <w:color w:val="000000"/>
                <w:lang w:eastAsia="en-GB"/>
              </w:rPr>
              <w:t>0</w:t>
            </w:r>
          </w:p>
        </w:tc>
      </w:tr>
      <w:tr w:rsidR="00502C34" w:rsidRPr="00502C34" w14:paraId="701B76E6"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03DB4702" w14:textId="28BECFD3" w:rsidR="00502C34" w:rsidRPr="00502C34" w:rsidRDefault="00502C34" w:rsidP="00D45469">
            <w:pPr>
              <w:jc w:val="right"/>
              <w:rPr>
                <w:rFonts w:ascii="Calibri" w:hAnsi="Calibri"/>
                <w:color w:val="000000"/>
                <w:lang w:eastAsia="en-GB"/>
              </w:rPr>
            </w:pPr>
            <w:r w:rsidRPr="00502C34">
              <w:rPr>
                <w:rFonts w:ascii="Calibri" w:hAnsi="Calibri"/>
                <w:color w:val="000000"/>
                <w:lang w:eastAsia="en-GB"/>
              </w:rPr>
              <w:t>-</w:t>
            </w:r>
            <w:r w:rsidR="00EE1721">
              <w:rPr>
                <w:rFonts w:ascii="Calibri" w:hAnsi="Calibri"/>
                <w:color w:val="000000"/>
                <w:lang w:eastAsia="en-GB"/>
              </w:rPr>
              <w:t>1</w:t>
            </w:r>
            <w:r w:rsidR="00EF1C9E">
              <w:rPr>
                <w:rFonts w:ascii="Calibri" w:hAnsi="Calibri"/>
                <w:color w:val="000000"/>
                <w:lang w:eastAsia="en-GB"/>
              </w:rPr>
              <w:t>25</w:t>
            </w:r>
          </w:p>
        </w:tc>
        <w:tc>
          <w:tcPr>
            <w:tcW w:w="5840" w:type="dxa"/>
            <w:tcBorders>
              <w:top w:val="nil"/>
              <w:left w:val="nil"/>
              <w:bottom w:val="single" w:sz="4" w:space="0" w:color="FFFFFF"/>
              <w:right w:val="single" w:sz="4" w:space="0" w:color="FFFFFF"/>
            </w:tcBorders>
            <w:shd w:val="clear" w:color="000000" w:fill="FDE9D9"/>
            <w:noWrap/>
            <w:vAlign w:val="center"/>
            <w:hideMark/>
          </w:tcPr>
          <w:p w14:paraId="0E3FC596"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Assets Sold</w:t>
            </w:r>
          </w:p>
        </w:tc>
        <w:tc>
          <w:tcPr>
            <w:tcW w:w="1720" w:type="dxa"/>
            <w:tcBorders>
              <w:top w:val="nil"/>
              <w:left w:val="nil"/>
              <w:bottom w:val="single" w:sz="4" w:space="0" w:color="FFFFFF"/>
              <w:right w:val="single" w:sz="4" w:space="0" w:color="FFFFFF"/>
            </w:tcBorders>
            <w:shd w:val="clear" w:color="000000" w:fill="FDE9D9"/>
            <w:noWrap/>
            <w:vAlign w:val="center"/>
          </w:tcPr>
          <w:p w14:paraId="3F8BC543" w14:textId="5BC6A72A" w:rsidR="00502C34" w:rsidRPr="00502C34" w:rsidRDefault="00FA688C" w:rsidP="00502C34">
            <w:pPr>
              <w:jc w:val="right"/>
              <w:rPr>
                <w:rFonts w:ascii="Calibri" w:hAnsi="Calibri"/>
                <w:color w:val="000000"/>
                <w:lang w:eastAsia="en-GB"/>
              </w:rPr>
            </w:pPr>
            <w:r>
              <w:rPr>
                <w:rFonts w:ascii="Calibri" w:hAnsi="Calibri"/>
                <w:color w:val="000000"/>
                <w:lang w:eastAsia="en-GB"/>
              </w:rPr>
              <w:t>0</w:t>
            </w:r>
          </w:p>
        </w:tc>
      </w:tr>
      <w:tr w:rsidR="00502C34" w:rsidRPr="00502C34" w14:paraId="465E3EA1"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CD5B4"/>
            <w:noWrap/>
            <w:vAlign w:val="center"/>
            <w:hideMark/>
          </w:tcPr>
          <w:p w14:paraId="68AD5468" w14:textId="427035A7" w:rsidR="00502C34" w:rsidRPr="00502C34" w:rsidRDefault="00EF1C9E" w:rsidP="000763A3">
            <w:pPr>
              <w:jc w:val="right"/>
              <w:rPr>
                <w:rFonts w:ascii="Calibri" w:hAnsi="Calibri"/>
                <w:b/>
                <w:bCs/>
                <w:color w:val="000000"/>
                <w:lang w:eastAsia="en-GB"/>
              </w:rPr>
            </w:pPr>
            <w:r>
              <w:rPr>
                <w:rFonts w:ascii="Calibri" w:hAnsi="Calibri"/>
                <w:b/>
                <w:bCs/>
                <w:color w:val="000000"/>
                <w:lang w:eastAsia="en-GB"/>
              </w:rPr>
              <w:t>0</w:t>
            </w:r>
          </w:p>
        </w:tc>
        <w:tc>
          <w:tcPr>
            <w:tcW w:w="5840" w:type="dxa"/>
            <w:tcBorders>
              <w:top w:val="nil"/>
              <w:left w:val="nil"/>
              <w:bottom w:val="single" w:sz="4" w:space="0" w:color="FFFFFF"/>
              <w:right w:val="single" w:sz="4" w:space="0" w:color="FFFFFF"/>
            </w:tcBorders>
            <w:shd w:val="clear" w:color="000000" w:fill="FCD5B4"/>
            <w:noWrap/>
            <w:vAlign w:val="center"/>
            <w:hideMark/>
          </w:tcPr>
          <w:p w14:paraId="5C8C078D" w14:textId="77777777" w:rsidR="00502C34" w:rsidRPr="00502C34" w:rsidRDefault="00502C34" w:rsidP="00502C34">
            <w:pPr>
              <w:rPr>
                <w:rFonts w:ascii="Calibri" w:hAnsi="Calibri"/>
                <w:b/>
                <w:bCs/>
                <w:color w:val="000000"/>
                <w:lang w:eastAsia="en-GB"/>
              </w:rPr>
            </w:pPr>
            <w:r w:rsidRPr="00502C34">
              <w:rPr>
                <w:rFonts w:ascii="Calibri" w:hAnsi="Calibri"/>
                <w:b/>
                <w:bCs/>
                <w:color w:val="000000"/>
                <w:lang w:eastAsia="en-GB"/>
              </w:rPr>
              <w:t xml:space="preserve">  Balance outstanding at year end</w:t>
            </w:r>
          </w:p>
        </w:tc>
        <w:tc>
          <w:tcPr>
            <w:tcW w:w="1720" w:type="dxa"/>
            <w:tcBorders>
              <w:top w:val="nil"/>
              <w:left w:val="nil"/>
              <w:bottom w:val="single" w:sz="4" w:space="0" w:color="FFFFFF"/>
              <w:right w:val="single" w:sz="4" w:space="0" w:color="FFFFFF"/>
            </w:tcBorders>
            <w:shd w:val="clear" w:color="000000" w:fill="FCD5B4"/>
            <w:noWrap/>
            <w:vAlign w:val="center"/>
          </w:tcPr>
          <w:p w14:paraId="030A8A09" w14:textId="36785DCD" w:rsidR="00502C34" w:rsidRPr="00502C34" w:rsidRDefault="00FA688C" w:rsidP="00502C34">
            <w:pPr>
              <w:jc w:val="right"/>
              <w:rPr>
                <w:rFonts w:ascii="Calibri" w:hAnsi="Calibri"/>
                <w:b/>
                <w:bCs/>
                <w:color w:val="000000"/>
                <w:lang w:eastAsia="en-GB"/>
              </w:rPr>
            </w:pPr>
            <w:r>
              <w:rPr>
                <w:rFonts w:ascii="Calibri" w:hAnsi="Calibri"/>
                <w:b/>
                <w:bCs/>
                <w:color w:val="000000"/>
                <w:lang w:eastAsia="en-GB"/>
              </w:rPr>
              <w:t>0</w:t>
            </w:r>
          </w:p>
        </w:tc>
      </w:tr>
    </w:tbl>
    <w:p w14:paraId="28958BA5" w14:textId="77777777" w:rsidR="00BE785B" w:rsidRDefault="00BE785B" w:rsidP="00BE785B">
      <w:pPr>
        <w:widowControl w:val="0"/>
        <w:tabs>
          <w:tab w:val="left" w:pos="709"/>
          <w:tab w:val="left" w:pos="7200"/>
          <w:tab w:val="left" w:pos="8460"/>
        </w:tabs>
        <w:ind w:left="567" w:hanging="567"/>
        <w:rPr>
          <w:rFonts w:asciiTheme="minorHAnsi" w:hAnsiTheme="minorHAnsi" w:cstheme="minorHAnsi"/>
          <w:b/>
          <w:sz w:val="28"/>
          <w:szCs w:val="28"/>
        </w:rPr>
      </w:pPr>
    </w:p>
    <w:p w14:paraId="049B409E" w14:textId="61AD7C8A" w:rsidR="00707761" w:rsidRPr="00502C34" w:rsidRDefault="00D74C07" w:rsidP="007C6C6F">
      <w:pPr>
        <w:pStyle w:val="Heading2"/>
      </w:pPr>
      <w:r>
        <w:t>2</w:t>
      </w:r>
      <w:r w:rsidR="00D3279C">
        <w:t>8</w:t>
      </w:r>
      <w:r w:rsidR="00707761" w:rsidRPr="00502C34">
        <w:t xml:space="preserve"> </w:t>
      </w:r>
      <w:r w:rsidR="00707761" w:rsidRPr="00502C34">
        <w:tab/>
      </w:r>
      <w:r w:rsidR="00707761" w:rsidRPr="00421390">
        <w:t>R</w:t>
      </w:r>
      <w:r w:rsidR="00502C34" w:rsidRPr="00421390">
        <w:t>eceivables</w:t>
      </w:r>
      <w:r w:rsidR="004213D4" w:rsidRPr="004213D4">
        <w:rPr>
          <w:highlight w:val="yellow"/>
        </w:rPr>
        <w:t xml:space="preserve">  </w:t>
      </w:r>
    </w:p>
    <w:p w14:paraId="530AA84B" w14:textId="77777777" w:rsidR="00707761" w:rsidRDefault="00707761" w:rsidP="00707761">
      <w:pPr>
        <w:widowControl w:val="0"/>
        <w:tabs>
          <w:tab w:val="left" w:pos="2520"/>
          <w:tab w:val="left" w:pos="7200"/>
          <w:tab w:val="left" w:pos="8460"/>
        </w:tabs>
        <w:rPr>
          <w:rFonts w:ascii="Arial" w:hAnsi="Arial" w:cs="Arial"/>
          <w:b/>
        </w:rPr>
      </w:pPr>
    </w:p>
    <w:tbl>
      <w:tblPr>
        <w:tblW w:w="9240" w:type="dxa"/>
        <w:tblInd w:w="93" w:type="dxa"/>
        <w:tblLook w:val="04A0" w:firstRow="1" w:lastRow="0" w:firstColumn="1" w:lastColumn="0" w:noHBand="0" w:noVBand="1"/>
        <w:tblCaption w:val="Receivables"/>
        <w:tblDescription w:val="Receivables as at 31 March 2023 with 31 March 2022 comparables"/>
      </w:tblPr>
      <w:tblGrid>
        <w:gridCol w:w="1680"/>
        <w:gridCol w:w="5840"/>
        <w:gridCol w:w="1720"/>
      </w:tblGrid>
      <w:tr w:rsidR="00502C34" w:rsidRPr="00502C34" w14:paraId="4EEF0F2D" w14:textId="77777777" w:rsidTr="00CD3384">
        <w:trPr>
          <w:cantSplit/>
          <w:trHeight w:val="300"/>
          <w:tblHeader/>
        </w:trPr>
        <w:tc>
          <w:tcPr>
            <w:tcW w:w="1680" w:type="dxa"/>
            <w:tcBorders>
              <w:top w:val="single" w:sz="4" w:space="0" w:color="FFFFFF"/>
              <w:left w:val="single" w:sz="4" w:space="0" w:color="FFFFFF"/>
              <w:bottom w:val="single" w:sz="4" w:space="0" w:color="FFFFFF"/>
              <w:right w:val="nil"/>
            </w:tcBorders>
            <w:shd w:val="clear" w:color="000000" w:fill="FABF8F"/>
            <w:noWrap/>
            <w:vAlign w:val="center"/>
            <w:hideMark/>
          </w:tcPr>
          <w:p w14:paraId="5AE7163E" w14:textId="5330E5ED" w:rsidR="00502C34" w:rsidRPr="00502C34" w:rsidRDefault="00502C34" w:rsidP="0060515E">
            <w:pPr>
              <w:jc w:val="right"/>
              <w:rPr>
                <w:rFonts w:ascii="Calibri" w:hAnsi="Calibri"/>
                <w:color w:val="000000"/>
                <w:lang w:eastAsia="en-GB"/>
              </w:rPr>
            </w:pPr>
            <w:r w:rsidRPr="00502C34">
              <w:rPr>
                <w:rFonts w:ascii="Calibri" w:hAnsi="Calibri"/>
                <w:color w:val="000000"/>
                <w:lang w:eastAsia="en-GB"/>
              </w:rPr>
              <w:t>31</w:t>
            </w:r>
            <w:r>
              <w:rPr>
                <w:rFonts w:ascii="Calibri" w:hAnsi="Calibri"/>
                <w:color w:val="000000"/>
                <w:lang w:eastAsia="en-GB"/>
              </w:rPr>
              <w:t xml:space="preserve"> </w:t>
            </w:r>
            <w:r w:rsidRPr="00502C34">
              <w:rPr>
                <w:rFonts w:ascii="Calibri" w:hAnsi="Calibri"/>
                <w:color w:val="000000"/>
                <w:lang w:eastAsia="en-GB"/>
              </w:rPr>
              <w:t>Mar</w:t>
            </w:r>
            <w:r>
              <w:rPr>
                <w:rFonts w:ascii="Calibri" w:hAnsi="Calibri"/>
                <w:color w:val="000000"/>
                <w:lang w:eastAsia="en-GB"/>
              </w:rPr>
              <w:t>ch 20</w:t>
            </w:r>
            <w:r w:rsidR="0060515E">
              <w:rPr>
                <w:rFonts w:ascii="Calibri" w:hAnsi="Calibri"/>
                <w:color w:val="000000"/>
                <w:lang w:eastAsia="en-GB"/>
              </w:rPr>
              <w:t>2</w:t>
            </w:r>
            <w:r w:rsidR="00EF1C9E">
              <w:rPr>
                <w:rFonts w:ascii="Calibri" w:hAnsi="Calibri"/>
                <w:color w:val="000000"/>
                <w:lang w:eastAsia="en-GB"/>
              </w:rPr>
              <w:t>2</w:t>
            </w:r>
          </w:p>
        </w:tc>
        <w:tc>
          <w:tcPr>
            <w:tcW w:w="5840" w:type="dxa"/>
            <w:tcBorders>
              <w:top w:val="single" w:sz="4" w:space="0" w:color="FFFFFF"/>
              <w:left w:val="single" w:sz="4" w:space="0" w:color="FFFFFF"/>
              <w:bottom w:val="nil"/>
              <w:right w:val="single" w:sz="4" w:space="0" w:color="FFFFFF"/>
            </w:tcBorders>
            <w:shd w:val="clear" w:color="000000" w:fill="FABF8F"/>
            <w:noWrap/>
            <w:vAlign w:val="center"/>
            <w:hideMark/>
          </w:tcPr>
          <w:p w14:paraId="6E4D2FEC"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FABF8F"/>
            <w:noWrap/>
            <w:vAlign w:val="center"/>
            <w:hideMark/>
          </w:tcPr>
          <w:p w14:paraId="2234640D" w14:textId="730790B0" w:rsidR="00502C34" w:rsidRPr="00502C34" w:rsidRDefault="00502C34" w:rsidP="0060515E">
            <w:pPr>
              <w:jc w:val="right"/>
              <w:rPr>
                <w:rFonts w:ascii="Calibri" w:hAnsi="Calibri"/>
                <w:color w:val="000000"/>
                <w:lang w:eastAsia="en-GB"/>
              </w:rPr>
            </w:pPr>
            <w:r w:rsidRPr="00502C34">
              <w:rPr>
                <w:rFonts w:ascii="Calibri" w:hAnsi="Calibri"/>
                <w:color w:val="000000"/>
                <w:lang w:eastAsia="en-GB"/>
              </w:rPr>
              <w:t>31</w:t>
            </w:r>
            <w:r>
              <w:rPr>
                <w:rFonts w:ascii="Calibri" w:hAnsi="Calibri"/>
                <w:color w:val="000000"/>
                <w:lang w:eastAsia="en-GB"/>
              </w:rPr>
              <w:t xml:space="preserve"> </w:t>
            </w:r>
            <w:r w:rsidRPr="00502C34">
              <w:rPr>
                <w:rFonts w:ascii="Calibri" w:hAnsi="Calibri"/>
                <w:color w:val="000000"/>
                <w:lang w:eastAsia="en-GB"/>
              </w:rPr>
              <w:t>Mar</w:t>
            </w:r>
            <w:r>
              <w:rPr>
                <w:rFonts w:ascii="Calibri" w:hAnsi="Calibri"/>
                <w:color w:val="000000"/>
                <w:lang w:eastAsia="en-GB"/>
              </w:rPr>
              <w:t>ch 20</w:t>
            </w:r>
            <w:r w:rsidR="000763A3">
              <w:rPr>
                <w:rFonts w:ascii="Calibri" w:hAnsi="Calibri"/>
                <w:color w:val="000000"/>
                <w:lang w:eastAsia="en-GB"/>
              </w:rPr>
              <w:t>2</w:t>
            </w:r>
            <w:r w:rsidR="00EF1C9E">
              <w:rPr>
                <w:rFonts w:ascii="Calibri" w:hAnsi="Calibri"/>
                <w:color w:val="000000"/>
                <w:lang w:eastAsia="en-GB"/>
              </w:rPr>
              <w:t>3</w:t>
            </w:r>
          </w:p>
        </w:tc>
      </w:tr>
      <w:tr w:rsidR="00502C34" w:rsidRPr="00502C34" w14:paraId="1FE4A6A8" w14:textId="77777777" w:rsidTr="00502C34">
        <w:trPr>
          <w:trHeight w:val="300"/>
        </w:trPr>
        <w:tc>
          <w:tcPr>
            <w:tcW w:w="1680" w:type="dxa"/>
            <w:tcBorders>
              <w:top w:val="nil"/>
              <w:left w:val="single" w:sz="4" w:space="0" w:color="FFFFFF"/>
              <w:bottom w:val="single" w:sz="4" w:space="0" w:color="FFFFFF"/>
              <w:right w:val="nil"/>
            </w:tcBorders>
            <w:shd w:val="clear" w:color="000000" w:fill="FABF8F"/>
            <w:noWrap/>
            <w:vAlign w:val="center"/>
            <w:hideMark/>
          </w:tcPr>
          <w:p w14:paraId="442623FD"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£’000</w:t>
            </w:r>
          </w:p>
        </w:tc>
        <w:tc>
          <w:tcPr>
            <w:tcW w:w="5840" w:type="dxa"/>
            <w:tcBorders>
              <w:top w:val="nil"/>
              <w:left w:val="single" w:sz="4" w:space="0" w:color="FFFFFF"/>
              <w:bottom w:val="single" w:sz="4" w:space="0" w:color="FFFFFF"/>
              <w:right w:val="single" w:sz="4" w:space="0" w:color="FFFFFF"/>
            </w:tcBorders>
            <w:shd w:val="clear" w:color="000000" w:fill="FABF8F"/>
            <w:noWrap/>
            <w:vAlign w:val="center"/>
            <w:hideMark/>
          </w:tcPr>
          <w:p w14:paraId="063F774E"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FABF8F"/>
            <w:noWrap/>
            <w:vAlign w:val="center"/>
            <w:hideMark/>
          </w:tcPr>
          <w:p w14:paraId="4BD0AF5F" w14:textId="77777777" w:rsidR="00502C34" w:rsidRPr="00502C34" w:rsidRDefault="00502C34" w:rsidP="00502C34">
            <w:pPr>
              <w:jc w:val="right"/>
              <w:rPr>
                <w:rFonts w:ascii="Calibri" w:hAnsi="Calibri"/>
                <w:color w:val="000000"/>
                <w:lang w:eastAsia="en-GB"/>
              </w:rPr>
            </w:pPr>
            <w:r w:rsidRPr="00502C34">
              <w:rPr>
                <w:rFonts w:ascii="Calibri" w:hAnsi="Calibri"/>
                <w:color w:val="000000"/>
                <w:lang w:eastAsia="en-GB"/>
              </w:rPr>
              <w:t>£’000</w:t>
            </w:r>
          </w:p>
        </w:tc>
      </w:tr>
      <w:tr w:rsidR="00502C34" w:rsidRPr="00502C34" w14:paraId="03C77DE5" w14:textId="77777777" w:rsidTr="00F07E4C">
        <w:trPr>
          <w:trHeight w:val="300"/>
        </w:trPr>
        <w:tc>
          <w:tcPr>
            <w:tcW w:w="1680" w:type="dxa"/>
            <w:tcBorders>
              <w:top w:val="single" w:sz="4" w:space="0" w:color="FFFFFF"/>
              <w:left w:val="single" w:sz="4" w:space="0" w:color="FFFFFF"/>
              <w:bottom w:val="single" w:sz="4" w:space="0" w:color="FFFFFF"/>
              <w:right w:val="single" w:sz="4" w:space="0" w:color="FFFFFF"/>
            </w:tcBorders>
            <w:shd w:val="clear" w:color="000000" w:fill="FDE9D9"/>
            <w:noWrap/>
            <w:vAlign w:val="center"/>
            <w:hideMark/>
          </w:tcPr>
          <w:p w14:paraId="21DA3806" w14:textId="11ED45E6" w:rsidR="00502C34" w:rsidRPr="00502C34" w:rsidRDefault="00EF1C9E" w:rsidP="00502C34">
            <w:pPr>
              <w:jc w:val="right"/>
              <w:rPr>
                <w:rFonts w:ascii="Calibri" w:hAnsi="Calibri"/>
                <w:color w:val="000000"/>
                <w:lang w:eastAsia="en-GB"/>
              </w:rPr>
            </w:pPr>
            <w:r>
              <w:rPr>
                <w:rFonts w:ascii="Calibri" w:hAnsi="Calibri"/>
                <w:color w:val="000000"/>
                <w:lang w:eastAsia="en-GB"/>
              </w:rPr>
              <w:t>333</w:t>
            </w:r>
          </w:p>
        </w:tc>
        <w:tc>
          <w:tcPr>
            <w:tcW w:w="5840" w:type="dxa"/>
            <w:tcBorders>
              <w:top w:val="single" w:sz="4" w:space="0" w:color="FFFFFF"/>
              <w:left w:val="nil"/>
              <w:bottom w:val="single" w:sz="4" w:space="0" w:color="FFFFFF"/>
              <w:right w:val="single" w:sz="4" w:space="0" w:color="FFFFFF"/>
            </w:tcBorders>
            <w:shd w:val="clear" w:color="000000" w:fill="FDE9D9"/>
            <w:noWrap/>
            <w:vAlign w:val="center"/>
            <w:hideMark/>
          </w:tcPr>
          <w:p w14:paraId="4BA41279"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Central Government Bodies</w:t>
            </w:r>
          </w:p>
        </w:tc>
        <w:tc>
          <w:tcPr>
            <w:tcW w:w="1720" w:type="dxa"/>
            <w:tcBorders>
              <w:top w:val="single" w:sz="4" w:space="0" w:color="FFFFFF"/>
              <w:left w:val="nil"/>
              <w:bottom w:val="single" w:sz="4" w:space="0" w:color="FFFFFF"/>
              <w:right w:val="single" w:sz="4" w:space="0" w:color="FFFFFF"/>
            </w:tcBorders>
            <w:shd w:val="clear" w:color="000000" w:fill="FDE9D9"/>
            <w:noWrap/>
            <w:vAlign w:val="center"/>
          </w:tcPr>
          <w:p w14:paraId="7065930E" w14:textId="12EFDE42" w:rsidR="00502C34" w:rsidRPr="00502C34" w:rsidRDefault="00FA688C" w:rsidP="00DB4449">
            <w:pPr>
              <w:jc w:val="right"/>
              <w:rPr>
                <w:rFonts w:ascii="Calibri" w:hAnsi="Calibri"/>
                <w:color w:val="000000"/>
                <w:lang w:eastAsia="en-GB"/>
              </w:rPr>
            </w:pPr>
            <w:r>
              <w:rPr>
                <w:rFonts w:ascii="Calibri" w:hAnsi="Calibri"/>
                <w:color w:val="000000"/>
                <w:lang w:eastAsia="en-GB"/>
              </w:rPr>
              <w:t>1,27</w:t>
            </w:r>
            <w:r w:rsidR="00615E12">
              <w:rPr>
                <w:rFonts w:ascii="Calibri" w:hAnsi="Calibri"/>
                <w:color w:val="000000"/>
                <w:lang w:eastAsia="en-GB"/>
              </w:rPr>
              <w:t>6</w:t>
            </w:r>
          </w:p>
        </w:tc>
      </w:tr>
      <w:tr w:rsidR="00502C34" w:rsidRPr="00502C34" w14:paraId="48433595"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17356CC5" w14:textId="22CAB914" w:rsidR="00502C34" w:rsidRPr="00502C34" w:rsidRDefault="00EF1C9E" w:rsidP="00F07E4C">
            <w:pPr>
              <w:jc w:val="right"/>
              <w:rPr>
                <w:rFonts w:ascii="Calibri" w:hAnsi="Calibri"/>
                <w:color w:val="000000"/>
                <w:lang w:eastAsia="en-GB"/>
              </w:rPr>
            </w:pPr>
            <w:r>
              <w:rPr>
                <w:rFonts w:ascii="Calibri" w:hAnsi="Calibri"/>
                <w:color w:val="000000"/>
                <w:lang w:eastAsia="en-GB"/>
              </w:rPr>
              <w:t>771</w:t>
            </w:r>
          </w:p>
        </w:tc>
        <w:tc>
          <w:tcPr>
            <w:tcW w:w="5840" w:type="dxa"/>
            <w:tcBorders>
              <w:top w:val="nil"/>
              <w:left w:val="nil"/>
              <w:bottom w:val="single" w:sz="4" w:space="0" w:color="FFFFFF"/>
              <w:right w:val="single" w:sz="4" w:space="0" w:color="FFFFFF"/>
            </w:tcBorders>
            <w:shd w:val="clear" w:color="000000" w:fill="FDE9D9"/>
            <w:noWrap/>
            <w:vAlign w:val="center"/>
            <w:hideMark/>
          </w:tcPr>
          <w:p w14:paraId="779A8C57"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Other Local Authorities</w:t>
            </w:r>
          </w:p>
        </w:tc>
        <w:tc>
          <w:tcPr>
            <w:tcW w:w="1720" w:type="dxa"/>
            <w:tcBorders>
              <w:top w:val="nil"/>
              <w:left w:val="nil"/>
              <w:bottom w:val="single" w:sz="4" w:space="0" w:color="FFFFFF"/>
              <w:right w:val="single" w:sz="4" w:space="0" w:color="FFFFFF"/>
            </w:tcBorders>
            <w:shd w:val="clear" w:color="000000" w:fill="FDE9D9"/>
            <w:noWrap/>
            <w:vAlign w:val="center"/>
          </w:tcPr>
          <w:p w14:paraId="7F06F072" w14:textId="6548B92E" w:rsidR="00502C34" w:rsidRPr="00502C34" w:rsidRDefault="00FA688C" w:rsidP="00142329">
            <w:pPr>
              <w:jc w:val="right"/>
              <w:rPr>
                <w:rFonts w:ascii="Calibri" w:hAnsi="Calibri"/>
                <w:color w:val="000000"/>
                <w:lang w:eastAsia="en-GB"/>
              </w:rPr>
            </w:pPr>
            <w:r>
              <w:rPr>
                <w:rFonts w:ascii="Calibri" w:hAnsi="Calibri"/>
                <w:color w:val="000000"/>
                <w:lang w:eastAsia="en-GB"/>
              </w:rPr>
              <w:t>1,10</w:t>
            </w:r>
            <w:r w:rsidR="00615E12">
              <w:rPr>
                <w:rFonts w:ascii="Calibri" w:hAnsi="Calibri"/>
                <w:color w:val="000000"/>
                <w:lang w:eastAsia="en-GB"/>
              </w:rPr>
              <w:t>2</w:t>
            </w:r>
          </w:p>
        </w:tc>
      </w:tr>
      <w:tr w:rsidR="00502C34" w:rsidRPr="00502C34" w14:paraId="7BDAFDED"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556B6BD2" w14:textId="7CB07BB1" w:rsidR="00502C34" w:rsidRPr="00502C34" w:rsidRDefault="00EF1C9E" w:rsidP="00502C34">
            <w:pPr>
              <w:jc w:val="right"/>
              <w:rPr>
                <w:rFonts w:ascii="Calibri" w:hAnsi="Calibri"/>
                <w:color w:val="000000"/>
                <w:lang w:eastAsia="en-GB"/>
              </w:rPr>
            </w:pPr>
            <w:r>
              <w:rPr>
                <w:rFonts w:ascii="Calibri" w:hAnsi="Calibri"/>
                <w:color w:val="000000"/>
                <w:lang w:eastAsia="en-GB"/>
              </w:rPr>
              <w:t>773</w:t>
            </w:r>
          </w:p>
        </w:tc>
        <w:tc>
          <w:tcPr>
            <w:tcW w:w="5840" w:type="dxa"/>
            <w:tcBorders>
              <w:top w:val="nil"/>
              <w:left w:val="nil"/>
              <w:bottom w:val="single" w:sz="4" w:space="0" w:color="FFFFFF"/>
              <w:right w:val="single" w:sz="4" w:space="0" w:color="FFFFFF"/>
            </w:tcBorders>
            <w:shd w:val="clear" w:color="000000" w:fill="FDE9D9"/>
            <w:noWrap/>
            <w:vAlign w:val="center"/>
            <w:hideMark/>
          </w:tcPr>
          <w:p w14:paraId="15143733"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Housing rent</w:t>
            </w:r>
          </w:p>
        </w:tc>
        <w:tc>
          <w:tcPr>
            <w:tcW w:w="1720" w:type="dxa"/>
            <w:tcBorders>
              <w:top w:val="nil"/>
              <w:left w:val="nil"/>
              <w:bottom w:val="single" w:sz="4" w:space="0" w:color="FFFFFF"/>
              <w:right w:val="single" w:sz="4" w:space="0" w:color="FFFFFF"/>
            </w:tcBorders>
            <w:shd w:val="clear" w:color="000000" w:fill="FDE9D9"/>
            <w:noWrap/>
            <w:vAlign w:val="center"/>
          </w:tcPr>
          <w:p w14:paraId="4396662F" w14:textId="5A2E8BA5" w:rsidR="00502C34" w:rsidRPr="00502C34" w:rsidRDefault="00FA688C" w:rsidP="00502C34">
            <w:pPr>
              <w:jc w:val="right"/>
              <w:rPr>
                <w:rFonts w:ascii="Calibri" w:hAnsi="Calibri"/>
                <w:color w:val="000000"/>
                <w:lang w:eastAsia="en-GB"/>
              </w:rPr>
            </w:pPr>
            <w:r>
              <w:rPr>
                <w:rFonts w:ascii="Calibri" w:hAnsi="Calibri"/>
                <w:color w:val="000000"/>
                <w:lang w:eastAsia="en-GB"/>
              </w:rPr>
              <w:t>9</w:t>
            </w:r>
            <w:r w:rsidR="00615E12">
              <w:rPr>
                <w:rFonts w:ascii="Calibri" w:hAnsi="Calibri"/>
                <w:color w:val="000000"/>
                <w:lang w:eastAsia="en-GB"/>
              </w:rPr>
              <w:t>64</w:t>
            </w:r>
          </w:p>
        </w:tc>
      </w:tr>
      <w:tr w:rsidR="00502C34" w:rsidRPr="00502C34" w14:paraId="54B2DADE"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1B4C59AC" w14:textId="7AD2800D" w:rsidR="00502C34" w:rsidRPr="00502C34" w:rsidRDefault="00EF1C9E" w:rsidP="00D45469">
            <w:pPr>
              <w:jc w:val="right"/>
              <w:rPr>
                <w:rFonts w:ascii="Calibri" w:hAnsi="Calibri"/>
                <w:color w:val="000000"/>
                <w:lang w:eastAsia="en-GB"/>
              </w:rPr>
            </w:pPr>
            <w:r>
              <w:rPr>
                <w:rFonts w:ascii="Calibri" w:hAnsi="Calibri"/>
                <w:color w:val="000000"/>
                <w:lang w:eastAsia="en-GB"/>
              </w:rPr>
              <w:t>2,686</w:t>
            </w:r>
          </w:p>
        </w:tc>
        <w:tc>
          <w:tcPr>
            <w:tcW w:w="5840" w:type="dxa"/>
            <w:tcBorders>
              <w:top w:val="nil"/>
              <w:left w:val="nil"/>
              <w:bottom w:val="single" w:sz="4" w:space="0" w:color="FFFFFF"/>
              <w:right w:val="single" w:sz="4" w:space="0" w:color="FFFFFF"/>
            </w:tcBorders>
            <w:shd w:val="clear" w:color="000000" w:fill="FDE9D9"/>
            <w:noWrap/>
            <w:vAlign w:val="center"/>
            <w:hideMark/>
          </w:tcPr>
          <w:p w14:paraId="5B18D69A"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Other Entities and Individuals</w:t>
            </w:r>
          </w:p>
        </w:tc>
        <w:tc>
          <w:tcPr>
            <w:tcW w:w="1720" w:type="dxa"/>
            <w:tcBorders>
              <w:top w:val="nil"/>
              <w:left w:val="nil"/>
              <w:bottom w:val="single" w:sz="4" w:space="0" w:color="FFFFFF"/>
              <w:right w:val="single" w:sz="4" w:space="0" w:color="FFFFFF"/>
            </w:tcBorders>
            <w:shd w:val="clear" w:color="000000" w:fill="FDE9D9"/>
            <w:noWrap/>
            <w:vAlign w:val="center"/>
          </w:tcPr>
          <w:p w14:paraId="62EDB7D9" w14:textId="44C913E7" w:rsidR="00502C34" w:rsidRPr="00502C34" w:rsidRDefault="00FA688C" w:rsidP="00DB54AC">
            <w:pPr>
              <w:jc w:val="right"/>
              <w:rPr>
                <w:rFonts w:ascii="Calibri" w:hAnsi="Calibri"/>
                <w:color w:val="000000"/>
                <w:lang w:eastAsia="en-GB"/>
              </w:rPr>
            </w:pPr>
            <w:r>
              <w:rPr>
                <w:rFonts w:ascii="Calibri" w:hAnsi="Calibri"/>
                <w:color w:val="000000"/>
                <w:lang w:eastAsia="en-GB"/>
              </w:rPr>
              <w:t>3,0</w:t>
            </w:r>
            <w:r w:rsidR="00615E12">
              <w:rPr>
                <w:rFonts w:ascii="Calibri" w:hAnsi="Calibri"/>
                <w:color w:val="000000"/>
                <w:lang w:eastAsia="en-GB"/>
              </w:rPr>
              <w:t>96</w:t>
            </w:r>
          </w:p>
        </w:tc>
      </w:tr>
      <w:tr w:rsidR="00502C34" w:rsidRPr="00502C34" w14:paraId="517C8DE5"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6C836B16" w14:textId="03841CD0" w:rsidR="00502C34" w:rsidRPr="00502C34" w:rsidRDefault="00502C34" w:rsidP="00D45469">
            <w:pPr>
              <w:jc w:val="right"/>
              <w:rPr>
                <w:rFonts w:ascii="Calibri" w:hAnsi="Calibri"/>
                <w:color w:val="000000"/>
                <w:lang w:eastAsia="en-GB"/>
              </w:rPr>
            </w:pPr>
            <w:r w:rsidRPr="00502C34">
              <w:rPr>
                <w:rFonts w:ascii="Calibri" w:hAnsi="Calibri"/>
                <w:color w:val="000000"/>
                <w:lang w:eastAsia="en-GB"/>
              </w:rPr>
              <w:t>-</w:t>
            </w:r>
            <w:r w:rsidR="00EF1C9E">
              <w:rPr>
                <w:rFonts w:ascii="Calibri" w:hAnsi="Calibri"/>
                <w:color w:val="000000"/>
                <w:lang w:eastAsia="en-GB"/>
              </w:rPr>
              <w:t>1,311</w:t>
            </w:r>
          </w:p>
        </w:tc>
        <w:tc>
          <w:tcPr>
            <w:tcW w:w="5840" w:type="dxa"/>
            <w:tcBorders>
              <w:top w:val="nil"/>
              <w:left w:val="nil"/>
              <w:bottom w:val="single" w:sz="4" w:space="0" w:color="FFFFFF"/>
              <w:right w:val="single" w:sz="4" w:space="0" w:color="FFFFFF"/>
            </w:tcBorders>
            <w:shd w:val="clear" w:color="000000" w:fill="FDE9D9"/>
            <w:noWrap/>
            <w:vAlign w:val="center"/>
            <w:hideMark/>
          </w:tcPr>
          <w:p w14:paraId="08B00F2D"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xml:space="preserve">   Provision for doubtful debts</w:t>
            </w:r>
          </w:p>
        </w:tc>
        <w:tc>
          <w:tcPr>
            <w:tcW w:w="1720" w:type="dxa"/>
            <w:tcBorders>
              <w:top w:val="nil"/>
              <w:left w:val="nil"/>
              <w:bottom w:val="single" w:sz="4" w:space="0" w:color="FFFFFF"/>
              <w:right w:val="single" w:sz="4" w:space="0" w:color="FFFFFF"/>
            </w:tcBorders>
            <w:shd w:val="clear" w:color="000000" w:fill="FDE9D9"/>
            <w:noWrap/>
            <w:vAlign w:val="center"/>
          </w:tcPr>
          <w:p w14:paraId="6542DF47" w14:textId="19CF85DD" w:rsidR="00502C34" w:rsidRPr="00502C34" w:rsidRDefault="00FA688C" w:rsidP="00502C34">
            <w:pPr>
              <w:jc w:val="right"/>
              <w:rPr>
                <w:rFonts w:ascii="Calibri" w:hAnsi="Calibri"/>
                <w:color w:val="000000"/>
                <w:lang w:eastAsia="en-GB"/>
              </w:rPr>
            </w:pPr>
            <w:r>
              <w:rPr>
                <w:rFonts w:ascii="Calibri" w:hAnsi="Calibri"/>
                <w:color w:val="000000"/>
                <w:lang w:eastAsia="en-GB"/>
              </w:rPr>
              <w:t>-1,485</w:t>
            </w:r>
          </w:p>
        </w:tc>
      </w:tr>
      <w:tr w:rsidR="00502C34" w:rsidRPr="00502C34" w14:paraId="692F6944"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CD5B4"/>
            <w:noWrap/>
            <w:vAlign w:val="center"/>
            <w:hideMark/>
          </w:tcPr>
          <w:p w14:paraId="325C61A2" w14:textId="40B439E4" w:rsidR="00502C34" w:rsidRPr="00502C34" w:rsidRDefault="00EF1C9E" w:rsidP="00D45469">
            <w:pPr>
              <w:jc w:val="right"/>
              <w:rPr>
                <w:rFonts w:ascii="Calibri" w:hAnsi="Calibri"/>
                <w:b/>
                <w:bCs/>
                <w:color w:val="000000"/>
                <w:lang w:eastAsia="en-GB"/>
              </w:rPr>
            </w:pPr>
            <w:r>
              <w:rPr>
                <w:rFonts w:ascii="Calibri" w:hAnsi="Calibri"/>
                <w:b/>
                <w:bCs/>
                <w:color w:val="000000"/>
                <w:lang w:eastAsia="en-GB"/>
              </w:rPr>
              <w:t>3,252</w:t>
            </w:r>
          </w:p>
        </w:tc>
        <w:tc>
          <w:tcPr>
            <w:tcW w:w="5840" w:type="dxa"/>
            <w:tcBorders>
              <w:top w:val="nil"/>
              <w:left w:val="nil"/>
              <w:bottom w:val="single" w:sz="4" w:space="0" w:color="FFFFFF"/>
              <w:right w:val="single" w:sz="4" w:space="0" w:color="FFFFFF"/>
            </w:tcBorders>
            <w:shd w:val="clear" w:color="000000" w:fill="FCD5B4"/>
            <w:noWrap/>
            <w:vAlign w:val="center"/>
            <w:hideMark/>
          </w:tcPr>
          <w:p w14:paraId="1D1A5CB8" w14:textId="77777777" w:rsidR="00502C34" w:rsidRPr="00502C34" w:rsidRDefault="00502C34" w:rsidP="00502C34">
            <w:pPr>
              <w:rPr>
                <w:rFonts w:ascii="Calibri" w:hAnsi="Calibri"/>
                <w:color w:val="000000"/>
                <w:lang w:eastAsia="en-GB"/>
              </w:rPr>
            </w:pPr>
            <w:r w:rsidRPr="00502C34">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FCD5B4"/>
            <w:noWrap/>
            <w:vAlign w:val="center"/>
          </w:tcPr>
          <w:p w14:paraId="1763C2A8" w14:textId="3C2CF361" w:rsidR="00502C34" w:rsidRPr="00502C34" w:rsidRDefault="00FA688C" w:rsidP="00142329">
            <w:pPr>
              <w:jc w:val="right"/>
              <w:rPr>
                <w:rFonts w:ascii="Calibri" w:hAnsi="Calibri"/>
                <w:b/>
                <w:bCs/>
                <w:color w:val="000000"/>
                <w:lang w:eastAsia="en-GB"/>
              </w:rPr>
            </w:pPr>
            <w:r>
              <w:rPr>
                <w:rFonts w:ascii="Calibri" w:hAnsi="Calibri"/>
                <w:b/>
                <w:bCs/>
                <w:color w:val="000000"/>
                <w:lang w:eastAsia="en-GB"/>
              </w:rPr>
              <w:t>4,</w:t>
            </w:r>
            <w:r w:rsidR="00615E12">
              <w:rPr>
                <w:rFonts w:ascii="Calibri" w:hAnsi="Calibri"/>
                <w:b/>
                <w:bCs/>
                <w:color w:val="000000"/>
                <w:lang w:eastAsia="en-GB"/>
              </w:rPr>
              <w:t>953</w:t>
            </w:r>
          </w:p>
        </w:tc>
      </w:tr>
    </w:tbl>
    <w:p w14:paraId="5AE6456B" w14:textId="77777777" w:rsidR="00421390" w:rsidRDefault="00421390" w:rsidP="00707761">
      <w:pPr>
        <w:widowControl w:val="0"/>
        <w:tabs>
          <w:tab w:val="left" w:pos="2520"/>
          <w:tab w:val="left" w:pos="7200"/>
          <w:tab w:val="left" w:pos="8460"/>
        </w:tabs>
        <w:rPr>
          <w:rFonts w:ascii="Arial" w:hAnsi="Arial" w:cs="Arial"/>
        </w:rPr>
      </w:pPr>
    </w:p>
    <w:p w14:paraId="4F021367" w14:textId="46254D49" w:rsidR="00D45469" w:rsidRDefault="00D3279C" w:rsidP="007C6C6F">
      <w:pPr>
        <w:pStyle w:val="Heading2"/>
      </w:pPr>
      <w:r>
        <w:t>29</w:t>
      </w:r>
      <w:r w:rsidR="00D45469">
        <w:tab/>
        <w:t>Debtors for Local Taxation</w:t>
      </w:r>
    </w:p>
    <w:p w14:paraId="1DAF4816" w14:textId="77777777" w:rsidR="004213D4" w:rsidRDefault="004213D4" w:rsidP="00ED61B7">
      <w:pPr>
        <w:widowControl w:val="0"/>
        <w:tabs>
          <w:tab w:val="left" w:pos="567"/>
          <w:tab w:val="left" w:pos="7200"/>
          <w:tab w:val="left" w:pos="8460"/>
        </w:tabs>
        <w:rPr>
          <w:rFonts w:asciiTheme="minorHAnsi" w:hAnsiTheme="minorHAnsi" w:cs="Arial"/>
          <w:b/>
          <w:sz w:val="28"/>
          <w:szCs w:val="32"/>
        </w:rPr>
      </w:pPr>
    </w:p>
    <w:p w14:paraId="686D3C85" w14:textId="77777777" w:rsidR="00815C37" w:rsidRPr="00815C37" w:rsidRDefault="00815C37" w:rsidP="00815C37">
      <w:pPr>
        <w:jc w:val="both"/>
        <w:rPr>
          <w:rFonts w:asciiTheme="minorHAnsi" w:hAnsiTheme="minorHAnsi"/>
          <w:sz w:val="22"/>
          <w:szCs w:val="22"/>
        </w:rPr>
      </w:pPr>
      <w:r w:rsidRPr="00815C37">
        <w:rPr>
          <w:rFonts w:asciiTheme="minorHAnsi" w:hAnsiTheme="minorHAnsi"/>
          <w:sz w:val="22"/>
          <w:szCs w:val="22"/>
        </w:rPr>
        <w:t>As we do not impair individual debts an analysis cannot be provided for this note.</w:t>
      </w:r>
    </w:p>
    <w:p w14:paraId="41B7B3ED" w14:textId="47593B31" w:rsidR="00815C37" w:rsidRPr="001B4D9E" w:rsidRDefault="00815C37" w:rsidP="00815C37">
      <w:pPr>
        <w:jc w:val="both"/>
        <w:rPr>
          <w:rFonts w:asciiTheme="minorHAnsi" w:hAnsiTheme="minorHAnsi"/>
          <w:sz w:val="22"/>
          <w:szCs w:val="22"/>
        </w:rPr>
      </w:pPr>
      <w:r w:rsidRPr="001B4D9E">
        <w:rPr>
          <w:rFonts w:asciiTheme="minorHAnsi" w:hAnsiTheme="minorHAnsi"/>
          <w:sz w:val="22"/>
          <w:szCs w:val="22"/>
        </w:rPr>
        <w:t xml:space="preserve">In respect of the total local taxation debt outstanding as </w:t>
      </w:r>
      <w:proofErr w:type="gramStart"/>
      <w:r w:rsidRPr="001B4D9E">
        <w:rPr>
          <w:rFonts w:asciiTheme="minorHAnsi" w:hAnsiTheme="minorHAnsi"/>
          <w:sz w:val="22"/>
          <w:szCs w:val="22"/>
        </w:rPr>
        <w:t>at</w:t>
      </w:r>
      <w:proofErr w:type="gramEnd"/>
      <w:r w:rsidRPr="001B4D9E">
        <w:rPr>
          <w:rFonts w:asciiTheme="minorHAnsi" w:hAnsiTheme="minorHAnsi"/>
          <w:sz w:val="22"/>
          <w:szCs w:val="22"/>
        </w:rPr>
        <w:t xml:space="preserve"> 31 March 20</w:t>
      </w:r>
      <w:r w:rsidR="000763A3" w:rsidRPr="001B4D9E">
        <w:rPr>
          <w:rFonts w:asciiTheme="minorHAnsi" w:hAnsiTheme="minorHAnsi"/>
          <w:sz w:val="22"/>
          <w:szCs w:val="22"/>
        </w:rPr>
        <w:t>2</w:t>
      </w:r>
      <w:r w:rsidR="00EF1C9E" w:rsidRPr="001B4D9E">
        <w:rPr>
          <w:rFonts w:asciiTheme="minorHAnsi" w:hAnsiTheme="minorHAnsi"/>
          <w:sz w:val="22"/>
          <w:szCs w:val="22"/>
        </w:rPr>
        <w:t>3</w:t>
      </w:r>
      <w:r w:rsidRPr="001B4D9E">
        <w:rPr>
          <w:rFonts w:asciiTheme="minorHAnsi" w:hAnsiTheme="minorHAnsi"/>
          <w:sz w:val="22"/>
          <w:szCs w:val="22"/>
        </w:rPr>
        <w:t xml:space="preserve">, this value </w:t>
      </w:r>
      <w:r w:rsidR="009E2074" w:rsidRPr="001B4D9E">
        <w:rPr>
          <w:rFonts w:asciiTheme="minorHAnsi" w:hAnsiTheme="minorHAnsi"/>
          <w:sz w:val="22"/>
          <w:szCs w:val="22"/>
        </w:rPr>
        <w:t>is £</w:t>
      </w:r>
      <w:r w:rsidR="00AD168A" w:rsidRPr="001B4D9E">
        <w:rPr>
          <w:rFonts w:asciiTheme="minorHAnsi" w:hAnsiTheme="minorHAnsi"/>
          <w:sz w:val="22"/>
          <w:szCs w:val="22"/>
        </w:rPr>
        <w:t>2,</w:t>
      </w:r>
      <w:r w:rsidR="003E12D1" w:rsidRPr="001B4D9E">
        <w:rPr>
          <w:rFonts w:asciiTheme="minorHAnsi" w:hAnsiTheme="minorHAnsi"/>
          <w:sz w:val="22"/>
          <w:szCs w:val="22"/>
        </w:rPr>
        <w:t>452</w:t>
      </w:r>
      <w:r w:rsidRPr="001B4D9E">
        <w:rPr>
          <w:rFonts w:asciiTheme="minorHAnsi" w:hAnsiTheme="minorHAnsi"/>
          <w:sz w:val="22"/>
          <w:szCs w:val="22"/>
        </w:rPr>
        <w:t>k (31 March 20</w:t>
      </w:r>
      <w:r w:rsidR="0060515E" w:rsidRPr="001B4D9E">
        <w:rPr>
          <w:rFonts w:asciiTheme="minorHAnsi" w:hAnsiTheme="minorHAnsi"/>
          <w:sz w:val="22"/>
          <w:szCs w:val="22"/>
        </w:rPr>
        <w:t>2</w:t>
      </w:r>
      <w:r w:rsidR="00EF1C9E" w:rsidRPr="001B4D9E">
        <w:rPr>
          <w:rFonts w:asciiTheme="minorHAnsi" w:hAnsiTheme="minorHAnsi"/>
          <w:sz w:val="22"/>
          <w:szCs w:val="22"/>
        </w:rPr>
        <w:t>2</w:t>
      </w:r>
      <w:r w:rsidRPr="001B4D9E">
        <w:rPr>
          <w:rFonts w:asciiTheme="minorHAnsi" w:hAnsiTheme="minorHAnsi"/>
          <w:sz w:val="22"/>
          <w:szCs w:val="22"/>
        </w:rPr>
        <w:t xml:space="preserve"> £</w:t>
      </w:r>
      <w:r w:rsidR="00EF1C9E" w:rsidRPr="001B4D9E">
        <w:rPr>
          <w:rFonts w:asciiTheme="minorHAnsi" w:hAnsiTheme="minorHAnsi"/>
          <w:sz w:val="22"/>
          <w:szCs w:val="22"/>
        </w:rPr>
        <w:t>2</w:t>
      </w:r>
      <w:r w:rsidRPr="001B4D9E">
        <w:rPr>
          <w:rFonts w:asciiTheme="minorHAnsi" w:hAnsiTheme="minorHAnsi"/>
          <w:sz w:val="22"/>
          <w:szCs w:val="22"/>
        </w:rPr>
        <w:t>,</w:t>
      </w:r>
      <w:r w:rsidR="00EF1C9E" w:rsidRPr="001B4D9E">
        <w:rPr>
          <w:rFonts w:asciiTheme="minorHAnsi" w:hAnsiTheme="minorHAnsi"/>
          <w:sz w:val="22"/>
          <w:szCs w:val="22"/>
        </w:rPr>
        <w:t>021</w:t>
      </w:r>
      <w:r w:rsidRPr="001B4D9E">
        <w:rPr>
          <w:rFonts w:asciiTheme="minorHAnsi" w:hAnsiTheme="minorHAnsi"/>
          <w:sz w:val="22"/>
          <w:szCs w:val="22"/>
        </w:rPr>
        <w:t>k).</w:t>
      </w:r>
    </w:p>
    <w:p w14:paraId="3F7E5D5F" w14:textId="77777777" w:rsidR="00815C37" w:rsidRPr="001B4D9E" w:rsidRDefault="00815C37" w:rsidP="00815C37">
      <w:pPr>
        <w:jc w:val="both"/>
        <w:rPr>
          <w:rFonts w:asciiTheme="minorHAnsi" w:hAnsiTheme="minorHAnsi"/>
          <w:sz w:val="22"/>
          <w:szCs w:val="22"/>
        </w:rPr>
      </w:pPr>
      <w:r w:rsidRPr="001B4D9E">
        <w:rPr>
          <w:rFonts w:asciiTheme="minorHAnsi" w:hAnsiTheme="minorHAnsi"/>
          <w:sz w:val="22"/>
          <w:szCs w:val="22"/>
        </w:rPr>
        <w:t>The basis that has been used for the level of impairment required is on actual evidence of collection rates achieved in prior years and this is then applied to the debt outstanding.</w:t>
      </w:r>
    </w:p>
    <w:p w14:paraId="6DD0C9EB" w14:textId="00E9A152" w:rsidR="00815C37" w:rsidRPr="00815C37" w:rsidRDefault="00815C37" w:rsidP="00815C37">
      <w:pPr>
        <w:jc w:val="both"/>
        <w:rPr>
          <w:rFonts w:asciiTheme="minorHAnsi" w:hAnsiTheme="minorHAnsi"/>
          <w:sz w:val="22"/>
          <w:szCs w:val="22"/>
        </w:rPr>
      </w:pPr>
      <w:r w:rsidRPr="001B4D9E">
        <w:rPr>
          <w:rFonts w:asciiTheme="minorHAnsi" w:hAnsiTheme="minorHAnsi"/>
          <w:sz w:val="22"/>
          <w:szCs w:val="22"/>
        </w:rPr>
        <w:t>The total level of impairment for the period to 31 March 20</w:t>
      </w:r>
      <w:r w:rsidR="000763A3" w:rsidRPr="001B4D9E">
        <w:rPr>
          <w:rFonts w:asciiTheme="minorHAnsi" w:hAnsiTheme="minorHAnsi"/>
          <w:sz w:val="22"/>
          <w:szCs w:val="22"/>
        </w:rPr>
        <w:t>2</w:t>
      </w:r>
      <w:r w:rsidR="00EF1C9E" w:rsidRPr="001B4D9E">
        <w:rPr>
          <w:rFonts w:asciiTheme="minorHAnsi" w:hAnsiTheme="minorHAnsi"/>
          <w:sz w:val="22"/>
          <w:szCs w:val="22"/>
        </w:rPr>
        <w:t>3</w:t>
      </w:r>
      <w:r w:rsidRPr="001B4D9E">
        <w:rPr>
          <w:rFonts w:asciiTheme="minorHAnsi" w:hAnsiTheme="minorHAnsi"/>
          <w:sz w:val="22"/>
          <w:szCs w:val="22"/>
        </w:rPr>
        <w:t xml:space="preserve"> is £</w:t>
      </w:r>
      <w:r w:rsidR="003E12D1" w:rsidRPr="001B4D9E">
        <w:rPr>
          <w:rFonts w:asciiTheme="minorHAnsi" w:hAnsiTheme="minorHAnsi"/>
          <w:sz w:val="22"/>
          <w:szCs w:val="22"/>
        </w:rPr>
        <w:t>938</w:t>
      </w:r>
      <w:r w:rsidRPr="001B4D9E">
        <w:rPr>
          <w:rFonts w:asciiTheme="minorHAnsi" w:hAnsiTheme="minorHAnsi"/>
          <w:sz w:val="22"/>
          <w:szCs w:val="22"/>
        </w:rPr>
        <w:t xml:space="preserve">k (31 March </w:t>
      </w:r>
      <w:r w:rsidR="0060515E" w:rsidRPr="001B4D9E">
        <w:rPr>
          <w:rFonts w:asciiTheme="minorHAnsi" w:hAnsiTheme="minorHAnsi"/>
          <w:sz w:val="22"/>
          <w:szCs w:val="22"/>
        </w:rPr>
        <w:t>202</w:t>
      </w:r>
      <w:r w:rsidR="00EF1C9E" w:rsidRPr="001B4D9E">
        <w:rPr>
          <w:rFonts w:asciiTheme="minorHAnsi" w:hAnsiTheme="minorHAnsi"/>
          <w:sz w:val="22"/>
          <w:szCs w:val="22"/>
        </w:rPr>
        <w:t>2</w:t>
      </w:r>
      <w:r w:rsidRPr="001B4D9E">
        <w:rPr>
          <w:rFonts w:asciiTheme="minorHAnsi" w:hAnsiTheme="minorHAnsi"/>
          <w:sz w:val="22"/>
          <w:szCs w:val="22"/>
        </w:rPr>
        <w:t xml:space="preserve"> £</w:t>
      </w:r>
      <w:r w:rsidR="00EF1C9E" w:rsidRPr="001B4D9E">
        <w:rPr>
          <w:rFonts w:asciiTheme="minorHAnsi" w:hAnsiTheme="minorHAnsi"/>
          <w:sz w:val="22"/>
          <w:szCs w:val="22"/>
        </w:rPr>
        <w:t>773</w:t>
      </w:r>
      <w:r w:rsidRPr="001B4D9E">
        <w:rPr>
          <w:rFonts w:asciiTheme="minorHAnsi" w:hAnsiTheme="minorHAnsi"/>
          <w:sz w:val="22"/>
          <w:szCs w:val="22"/>
        </w:rPr>
        <w:t xml:space="preserve">k) which results in a level of debt not subject to impairment as </w:t>
      </w:r>
      <w:proofErr w:type="gramStart"/>
      <w:r w:rsidRPr="001B4D9E">
        <w:rPr>
          <w:rFonts w:asciiTheme="minorHAnsi" w:hAnsiTheme="minorHAnsi"/>
          <w:sz w:val="22"/>
          <w:szCs w:val="22"/>
        </w:rPr>
        <w:t>at</w:t>
      </w:r>
      <w:proofErr w:type="gramEnd"/>
      <w:r w:rsidRPr="001B4D9E">
        <w:rPr>
          <w:rFonts w:asciiTheme="minorHAnsi" w:hAnsiTheme="minorHAnsi"/>
          <w:sz w:val="22"/>
          <w:szCs w:val="22"/>
        </w:rPr>
        <w:t xml:space="preserve"> 31 March 20</w:t>
      </w:r>
      <w:r w:rsidR="000763A3" w:rsidRPr="001B4D9E">
        <w:rPr>
          <w:rFonts w:asciiTheme="minorHAnsi" w:hAnsiTheme="minorHAnsi"/>
          <w:sz w:val="22"/>
          <w:szCs w:val="22"/>
        </w:rPr>
        <w:t>2</w:t>
      </w:r>
      <w:r w:rsidR="00EF1C9E" w:rsidRPr="001B4D9E">
        <w:rPr>
          <w:rFonts w:asciiTheme="minorHAnsi" w:hAnsiTheme="minorHAnsi"/>
          <w:sz w:val="22"/>
          <w:szCs w:val="22"/>
        </w:rPr>
        <w:t>3</w:t>
      </w:r>
      <w:r w:rsidRPr="001B4D9E">
        <w:rPr>
          <w:rFonts w:asciiTheme="minorHAnsi" w:hAnsiTheme="minorHAnsi"/>
          <w:sz w:val="22"/>
          <w:szCs w:val="22"/>
        </w:rPr>
        <w:t xml:space="preserve"> of </w:t>
      </w:r>
      <w:r w:rsidR="009E2074" w:rsidRPr="001B4D9E">
        <w:rPr>
          <w:rFonts w:asciiTheme="minorHAnsi" w:hAnsiTheme="minorHAnsi"/>
          <w:sz w:val="22"/>
          <w:szCs w:val="22"/>
        </w:rPr>
        <w:t>£1,</w:t>
      </w:r>
      <w:r w:rsidR="003E12D1" w:rsidRPr="001B4D9E">
        <w:rPr>
          <w:rFonts w:asciiTheme="minorHAnsi" w:hAnsiTheme="minorHAnsi"/>
          <w:sz w:val="22"/>
          <w:szCs w:val="22"/>
        </w:rPr>
        <w:t>514</w:t>
      </w:r>
      <w:r w:rsidRPr="001B4D9E">
        <w:rPr>
          <w:rFonts w:asciiTheme="minorHAnsi" w:hAnsiTheme="minorHAnsi"/>
          <w:sz w:val="22"/>
          <w:szCs w:val="22"/>
        </w:rPr>
        <w:t>k (31 March</w:t>
      </w:r>
      <w:r w:rsidRPr="004C398E">
        <w:rPr>
          <w:rFonts w:asciiTheme="minorHAnsi" w:hAnsiTheme="minorHAnsi"/>
          <w:sz w:val="22"/>
          <w:szCs w:val="22"/>
        </w:rPr>
        <w:t xml:space="preserve"> 20</w:t>
      </w:r>
      <w:r w:rsidR="0060515E" w:rsidRPr="004C398E">
        <w:rPr>
          <w:rFonts w:asciiTheme="minorHAnsi" w:hAnsiTheme="minorHAnsi"/>
          <w:sz w:val="22"/>
          <w:szCs w:val="22"/>
        </w:rPr>
        <w:t>2</w:t>
      </w:r>
      <w:r w:rsidR="00EF1C9E">
        <w:rPr>
          <w:rFonts w:asciiTheme="minorHAnsi" w:hAnsiTheme="minorHAnsi"/>
          <w:sz w:val="22"/>
          <w:szCs w:val="22"/>
        </w:rPr>
        <w:t>2</w:t>
      </w:r>
      <w:r>
        <w:rPr>
          <w:rFonts w:asciiTheme="minorHAnsi" w:hAnsiTheme="minorHAnsi"/>
          <w:sz w:val="22"/>
          <w:szCs w:val="22"/>
        </w:rPr>
        <w:t xml:space="preserve"> </w:t>
      </w:r>
      <w:r w:rsidRPr="00815C37">
        <w:rPr>
          <w:rFonts w:asciiTheme="minorHAnsi" w:hAnsiTheme="minorHAnsi"/>
          <w:sz w:val="22"/>
          <w:szCs w:val="22"/>
        </w:rPr>
        <w:t>£1,</w:t>
      </w:r>
      <w:r w:rsidR="00EE1721">
        <w:rPr>
          <w:rFonts w:asciiTheme="minorHAnsi" w:hAnsiTheme="minorHAnsi"/>
          <w:sz w:val="22"/>
          <w:szCs w:val="22"/>
        </w:rPr>
        <w:t>2</w:t>
      </w:r>
      <w:r w:rsidR="00EF1C9E">
        <w:rPr>
          <w:rFonts w:asciiTheme="minorHAnsi" w:hAnsiTheme="minorHAnsi"/>
          <w:sz w:val="22"/>
          <w:szCs w:val="22"/>
        </w:rPr>
        <w:t>47</w:t>
      </w:r>
      <w:r>
        <w:rPr>
          <w:rFonts w:asciiTheme="minorHAnsi" w:hAnsiTheme="minorHAnsi"/>
          <w:sz w:val="22"/>
          <w:szCs w:val="22"/>
        </w:rPr>
        <w:t>k</w:t>
      </w:r>
      <w:r w:rsidRPr="00815C37">
        <w:rPr>
          <w:rFonts w:asciiTheme="minorHAnsi" w:hAnsiTheme="minorHAnsi"/>
          <w:sz w:val="22"/>
          <w:szCs w:val="22"/>
        </w:rPr>
        <w:t>)</w:t>
      </w:r>
      <w:r>
        <w:rPr>
          <w:rFonts w:asciiTheme="minorHAnsi" w:hAnsiTheme="minorHAnsi"/>
          <w:sz w:val="22"/>
          <w:szCs w:val="22"/>
        </w:rPr>
        <w:t>.</w:t>
      </w:r>
    </w:p>
    <w:p w14:paraId="77350FCE" w14:textId="1484CF24" w:rsidR="00707761" w:rsidRDefault="001726F4" w:rsidP="007C6C6F">
      <w:pPr>
        <w:pStyle w:val="Heading2"/>
      </w:pPr>
      <w:r>
        <w:lastRenderedPageBreak/>
        <w:t>3</w:t>
      </w:r>
      <w:r w:rsidR="00D3279C">
        <w:t>0</w:t>
      </w:r>
      <w:r w:rsidR="00707761" w:rsidRPr="00502C34">
        <w:tab/>
        <w:t>C</w:t>
      </w:r>
      <w:r w:rsidR="00502C34">
        <w:t>ash and Cash Equivalents</w:t>
      </w:r>
    </w:p>
    <w:p w14:paraId="49AC4E71" w14:textId="77777777" w:rsidR="00652B18" w:rsidRPr="00421390" w:rsidRDefault="00652B18" w:rsidP="00ED61B7">
      <w:pPr>
        <w:widowControl w:val="0"/>
        <w:tabs>
          <w:tab w:val="left" w:pos="1350"/>
        </w:tabs>
        <w:jc w:val="both"/>
        <w:rPr>
          <w:rFonts w:asciiTheme="minorHAnsi" w:hAnsiTheme="minorHAnsi" w:cs="Arial"/>
        </w:rPr>
      </w:pPr>
    </w:p>
    <w:p w14:paraId="724A2196" w14:textId="77777777" w:rsidR="00652B18" w:rsidRPr="00B921B9" w:rsidRDefault="00652B18" w:rsidP="00ED61B7">
      <w:pPr>
        <w:widowControl w:val="0"/>
        <w:tabs>
          <w:tab w:val="left" w:pos="1350"/>
        </w:tabs>
        <w:jc w:val="both"/>
        <w:rPr>
          <w:rFonts w:asciiTheme="minorHAnsi" w:hAnsiTheme="minorHAnsi" w:cs="Arial"/>
          <w:sz w:val="22"/>
          <w:szCs w:val="22"/>
        </w:rPr>
      </w:pPr>
      <w:r w:rsidRPr="00B921B9">
        <w:rPr>
          <w:rFonts w:asciiTheme="minorHAnsi" w:hAnsiTheme="minorHAnsi" w:cs="Arial"/>
          <w:sz w:val="22"/>
          <w:szCs w:val="22"/>
        </w:rPr>
        <w:t>Cash is represented by cash in hand and deposits with financial institutions repayable without penalty on notice of not more than 24 hours. Cash equivalents are highly liquid investments that mature in three months or less from the date of acquisition and that are readily convertible to known amounts of cash with insignificant risk of change in value.</w:t>
      </w:r>
    </w:p>
    <w:p w14:paraId="20F75DD9" w14:textId="74F375D3" w:rsidR="00652B18" w:rsidRDefault="00652B18" w:rsidP="00ED61B7">
      <w:pPr>
        <w:widowControl w:val="0"/>
        <w:tabs>
          <w:tab w:val="left" w:pos="1350"/>
        </w:tabs>
        <w:jc w:val="both"/>
        <w:rPr>
          <w:rFonts w:asciiTheme="minorHAnsi" w:hAnsiTheme="minorHAnsi" w:cs="Arial"/>
          <w:sz w:val="22"/>
          <w:szCs w:val="22"/>
        </w:rPr>
      </w:pPr>
      <w:r w:rsidRPr="00B921B9">
        <w:rPr>
          <w:rFonts w:asciiTheme="minorHAnsi" w:hAnsiTheme="minorHAnsi" w:cs="Arial"/>
          <w:sz w:val="22"/>
          <w:szCs w:val="22"/>
        </w:rPr>
        <w:t>In the Cash Flow Statement, cash and cash equivalents are shown net of the bank overdraft that is repayable on demand and forms an integral part of the Council’s cash management.</w:t>
      </w:r>
    </w:p>
    <w:p w14:paraId="3AFC0987" w14:textId="77777777" w:rsidR="00274A22" w:rsidRDefault="00274A22" w:rsidP="00ED61B7">
      <w:pPr>
        <w:widowControl w:val="0"/>
        <w:tabs>
          <w:tab w:val="left" w:pos="1350"/>
        </w:tabs>
        <w:jc w:val="both"/>
        <w:rPr>
          <w:rFonts w:asciiTheme="minorHAnsi" w:hAnsiTheme="minorHAnsi" w:cs="Arial"/>
          <w:sz w:val="22"/>
          <w:szCs w:val="22"/>
        </w:rPr>
      </w:pPr>
    </w:p>
    <w:tbl>
      <w:tblPr>
        <w:tblW w:w="9240" w:type="dxa"/>
        <w:tblInd w:w="93" w:type="dxa"/>
        <w:tblLook w:val="04A0" w:firstRow="1" w:lastRow="0" w:firstColumn="1" w:lastColumn="0" w:noHBand="0" w:noVBand="1"/>
        <w:tblCaption w:val="Cash and Cash Equivalents"/>
        <w:tblDescription w:val="Cash and Cash Equivalents as at 31 March 2023 with 31 March 2022 comparables"/>
      </w:tblPr>
      <w:tblGrid>
        <w:gridCol w:w="1680"/>
        <w:gridCol w:w="5840"/>
        <w:gridCol w:w="1720"/>
      </w:tblGrid>
      <w:tr w:rsidR="00FA38E6" w:rsidRPr="00FA38E6" w14:paraId="26CA00D0"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166EFD19" w14:textId="5A45BA13" w:rsidR="003C4DFB" w:rsidRPr="00FA38E6" w:rsidRDefault="00FA38E6" w:rsidP="0060515E">
            <w:pPr>
              <w:jc w:val="right"/>
              <w:rPr>
                <w:rFonts w:ascii="Calibri" w:hAnsi="Calibri"/>
                <w:bCs/>
                <w:color w:val="000000"/>
                <w:lang w:eastAsia="en-GB"/>
              </w:rPr>
            </w:pPr>
            <w:r w:rsidRPr="00FA38E6">
              <w:rPr>
                <w:rFonts w:ascii="Calibri" w:hAnsi="Calibri"/>
                <w:bCs/>
                <w:color w:val="000000"/>
                <w:lang w:eastAsia="en-GB"/>
              </w:rPr>
              <w:t>31 March 20</w:t>
            </w:r>
            <w:r w:rsidR="0060515E">
              <w:rPr>
                <w:rFonts w:ascii="Calibri" w:hAnsi="Calibri"/>
                <w:bCs/>
                <w:color w:val="000000"/>
                <w:lang w:eastAsia="en-GB"/>
              </w:rPr>
              <w:t>2</w:t>
            </w:r>
            <w:r w:rsidR="00EF1C9E">
              <w:rPr>
                <w:rFonts w:ascii="Calibri" w:hAnsi="Calibri"/>
                <w:bCs/>
                <w:color w:val="000000"/>
                <w:lang w:eastAsia="en-GB"/>
              </w:rPr>
              <w:t>2</w:t>
            </w:r>
          </w:p>
        </w:tc>
        <w:tc>
          <w:tcPr>
            <w:tcW w:w="5840" w:type="dxa"/>
            <w:tcBorders>
              <w:top w:val="single" w:sz="4" w:space="0" w:color="FFFFFF"/>
              <w:left w:val="nil"/>
              <w:bottom w:val="nil"/>
              <w:right w:val="single" w:sz="4" w:space="0" w:color="FFFFFF"/>
            </w:tcBorders>
            <w:shd w:val="clear" w:color="000000" w:fill="FABF8F"/>
            <w:noWrap/>
            <w:vAlign w:val="center"/>
            <w:hideMark/>
          </w:tcPr>
          <w:p w14:paraId="3AF05FE7" w14:textId="77777777" w:rsidR="00FA38E6" w:rsidRPr="00FA38E6" w:rsidRDefault="00FA38E6" w:rsidP="00FA38E6">
            <w:pPr>
              <w:rPr>
                <w:rFonts w:ascii="Calibri" w:hAnsi="Calibri"/>
                <w:bCs/>
                <w:color w:val="000000"/>
                <w:lang w:eastAsia="en-GB"/>
              </w:rPr>
            </w:pPr>
            <w:r w:rsidRPr="00FA38E6">
              <w:rPr>
                <w:rFonts w:ascii="Calibri" w:hAnsi="Calibri"/>
                <w:bCs/>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FABF8F"/>
            <w:noWrap/>
            <w:vAlign w:val="center"/>
            <w:hideMark/>
          </w:tcPr>
          <w:p w14:paraId="329C071F" w14:textId="67D2623E" w:rsidR="00FA38E6" w:rsidRPr="00FA38E6" w:rsidRDefault="00FA38E6" w:rsidP="0060515E">
            <w:pPr>
              <w:jc w:val="right"/>
              <w:rPr>
                <w:rFonts w:ascii="Calibri" w:hAnsi="Calibri"/>
                <w:bCs/>
                <w:color w:val="000000"/>
                <w:lang w:eastAsia="en-GB"/>
              </w:rPr>
            </w:pPr>
            <w:r w:rsidRPr="00FA38E6">
              <w:rPr>
                <w:rFonts w:ascii="Calibri" w:hAnsi="Calibri"/>
                <w:bCs/>
                <w:color w:val="000000"/>
                <w:lang w:eastAsia="en-GB"/>
              </w:rPr>
              <w:t>31 March 20</w:t>
            </w:r>
            <w:r w:rsidR="002233BB">
              <w:rPr>
                <w:rFonts w:ascii="Calibri" w:hAnsi="Calibri"/>
                <w:bCs/>
                <w:color w:val="000000"/>
                <w:lang w:eastAsia="en-GB"/>
              </w:rPr>
              <w:t>2</w:t>
            </w:r>
            <w:r w:rsidR="00EF1C9E">
              <w:rPr>
                <w:rFonts w:ascii="Calibri" w:hAnsi="Calibri"/>
                <w:bCs/>
                <w:color w:val="000000"/>
                <w:lang w:eastAsia="en-GB"/>
              </w:rPr>
              <w:t>3</w:t>
            </w:r>
          </w:p>
        </w:tc>
      </w:tr>
      <w:tr w:rsidR="00FA38E6" w:rsidRPr="00FA38E6" w14:paraId="1FAEB22C" w14:textId="77777777" w:rsidTr="00FA38E6">
        <w:trPr>
          <w:trHeight w:val="300"/>
        </w:trPr>
        <w:tc>
          <w:tcPr>
            <w:tcW w:w="1680" w:type="dxa"/>
            <w:tcBorders>
              <w:top w:val="nil"/>
              <w:left w:val="single" w:sz="4" w:space="0" w:color="FFFFFF"/>
              <w:bottom w:val="single" w:sz="4" w:space="0" w:color="FFFFFF"/>
              <w:right w:val="single" w:sz="4" w:space="0" w:color="FFFFFF"/>
            </w:tcBorders>
            <w:shd w:val="clear" w:color="000000" w:fill="FABF8F"/>
            <w:noWrap/>
            <w:vAlign w:val="center"/>
            <w:hideMark/>
          </w:tcPr>
          <w:p w14:paraId="2E8DE928" w14:textId="77777777" w:rsidR="00FA38E6" w:rsidRPr="00FA38E6" w:rsidRDefault="00FA38E6" w:rsidP="00FA38E6">
            <w:pPr>
              <w:jc w:val="right"/>
              <w:rPr>
                <w:rFonts w:ascii="Calibri" w:hAnsi="Calibri"/>
                <w:bCs/>
                <w:color w:val="000000"/>
                <w:lang w:eastAsia="en-GB"/>
              </w:rPr>
            </w:pPr>
            <w:r w:rsidRPr="00FA38E6">
              <w:rPr>
                <w:rFonts w:ascii="Calibri" w:hAnsi="Calibri"/>
                <w:bCs/>
                <w:color w:val="000000"/>
                <w:lang w:eastAsia="en-GB"/>
              </w:rPr>
              <w:t>£’000</w:t>
            </w:r>
          </w:p>
        </w:tc>
        <w:tc>
          <w:tcPr>
            <w:tcW w:w="5840" w:type="dxa"/>
            <w:tcBorders>
              <w:top w:val="nil"/>
              <w:left w:val="nil"/>
              <w:bottom w:val="single" w:sz="4" w:space="0" w:color="FFFFFF"/>
              <w:right w:val="single" w:sz="4" w:space="0" w:color="FFFFFF"/>
            </w:tcBorders>
            <w:shd w:val="clear" w:color="000000" w:fill="FABF8F"/>
            <w:noWrap/>
            <w:vAlign w:val="center"/>
            <w:hideMark/>
          </w:tcPr>
          <w:p w14:paraId="153662D9" w14:textId="77777777" w:rsidR="00FA38E6" w:rsidRPr="00FA38E6" w:rsidRDefault="00FA38E6" w:rsidP="00FA38E6">
            <w:pPr>
              <w:jc w:val="right"/>
              <w:rPr>
                <w:rFonts w:ascii="Calibri" w:hAnsi="Calibri"/>
                <w:bCs/>
                <w:color w:val="000000"/>
                <w:lang w:eastAsia="en-GB"/>
              </w:rPr>
            </w:pPr>
            <w:r w:rsidRPr="00FA38E6">
              <w:rPr>
                <w:rFonts w:ascii="Calibri" w:hAnsi="Calibri"/>
                <w:bCs/>
                <w:color w:val="000000"/>
                <w:lang w:eastAsia="en-GB"/>
              </w:rPr>
              <w:t> </w:t>
            </w:r>
          </w:p>
        </w:tc>
        <w:tc>
          <w:tcPr>
            <w:tcW w:w="1720" w:type="dxa"/>
            <w:tcBorders>
              <w:top w:val="nil"/>
              <w:left w:val="nil"/>
              <w:bottom w:val="single" w:sz="4" w:space="0" w:color="FFFFFF"/>
              <w:right w:val="single" w:sz="4" w:space="0" w:color="FFFFFF"/>
            </w:tcBorders>
            <w:shd w:val="clear" w:color="000000" w:fill="FABF8F"/>
            <w:noWrap/>
            <w:vAlign w:val="center"/>
            <w:hideMark/>
          </w:tcPr>
          <w:p w14:paraId="627AE4F7" w14:textId="77777777" w:rsidR="00FA38E6" w:rsidRPr="00FA38E6" w:rsidRDefault="00FA38E6" w:rsidP="00FA38E6">
            <w:pPr>
              <w:jc w:val="right"/>
              <w:rPr>
                <w:rFonts w:ascii="Calibri" w:hAnsi="Calibri"/>
                <w:bCs/>
                <w:color w:val="000000"/>
                <w:lang w:eastAsia="en-GB"/>
              </w:rPr>
            </w:pPr>
            <w:r w:rsidRPr="00FA38E6">
              <w:rPr>
                <w:rFonts w:ascii="Calibri" w:hAnsi="Calibri"/>
                <w:bCs/>
                <w:color w:val="000000"/>
                <w:lang w:eastAsia="en-GB"/>
              </w:rPr>
              <w:t>£’000</w:t>
            </w:r>
          </w:p>
        </w:tc>
      </w:tr>
      <w:tr w:rsidR="00FA38E6" w:rsidRPr="00FA38E6" w14:paraId="27ABBFD9"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0BF5FEAE" w14:textId="418412CD" w:rsidR="00FA38E6" w:rsidRPr="00FA38E6" w:rsidRDefault="00EF1C9E" w:rsidP="0060515E">
            <w:pPr>
              <w:jc w:val="right"/>
              <w:rPr>
                <w:rFonts w:ascii="Calibri" w:hAnsi="Calibri"/>
                <w:color w:val="000000"/>
                <w:lang w:eastAsia="en-GB"/>
              </w:rPr>
            </w:pPr>
            <w:r>
              <w:rPr>
                <w:rFonts w:ascii="Calibri" w:hAnsi="Calibri"/>
                <w:color w:val="000000"/>
                <w:lang w:eastAsia="en-GB"/>
              </w:rPr>
              <w:t>1,255</w:t>
            </w:r>
          </w:p>
        </w:tc>
        <w:tc>
          <w:tcPr>
            <w:tcW w:w="5840" w:type="dxa"/>
            <w:tcBorders>
              <w:top w:val="nil"/>
              <w:left w:val="nil"/>
              <w:bottom w:val="single" w:sz="4" w:space="0" w:color="FFFFFF"/>
              <w:right w:val="single" w:sz="4" w:space="0" w:color="FFFFFF"/>
            </w:tcBorders>
            <w:shd w:val="clear" w:color="000000" w:fill="FDE9D9"/>
            <w:noWrap/>
            <w:vAlign w:val="center"/>
            <w:hideMark/>
          </w:tcPr>
          <w:p w14:paraId="773811A1"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Bank Current Accounts</w:t>
            </w:r>
          </w:p>
        </w:tc>
        <w:tc>
          <w:tcPr>
            <w:tcW w:w="1720" w:type="dxa"/>
            <w:tcBorders>
              <w:top w:val="nil"/>
              <w:left w:val="nil"/>
              <w:bottom w:val="single" w:sz="4" w:space="0" w:color="FFFFFF"/>
              <w:right w:val="single" w:sz="4" w:space="0" w:color="FFFFFF"/>
            </w:tcBorders>
            <w:shd w:val="clear" w:color="000000" w:fill="FDE9D9"/>
            <w:noWrap/>
            <w:vAlign w:val="center"/>
          </w:tcPr>
          <w:p w14:paraId="3D094513" w14:textId="0B2E3844" w:rsidR="00FA38E6" w:rsidRPr="00FA38E6" w:rsidRDefault="001C3B2B" w:rsidP="006D622C">
            <w:pPr>
              <w:jc w:val="right"/>
              <w:rPr>
                <w:rFonts w:ascii="Calibri" w:hAnsi="Calibri"/>
                <w:color w:val="000000"/>
                <w:lang w:eastAsia="en-GB"/>
              </w:rPr>
            </w:pPr>
            <w:r>
              <w:rPr>
                <w:rFonts w:ascii="Calibri" w:hAnsi="Calibri"/>
                <w:color w:val="000000"/>
                <w:lang w:eastAsia="en-GB"/>
              </w:rPr>
              <w:t>149</w:t>
            </w:r>
          </w:p>
        </w:tc>
      </w:tr>
      <w:tr w:rsidR="00FA38E6" w:rsidRPr="00FA38E6" w14:paraId="6D64E6A1"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02EBA86D" w14:textId="4FAC50B8" w:rsidR="00FA38E6" w:rsidRPr="00FA38E6" w:rsidRDefault="00EF1C9E" w:rsidP="00D45469">
            <w:pPr>
              <w:jc w:val="right"/>
              <w:rPr>
                <w:rFonts w:ascii="Calibri" w:hAnsi="Calibri"/>
                <w:color w:val="000000"/>
                <w:lang w:eastAsia="en-GB"/>
              </w:rPr>
            </w:pPr>
            <w:r>
              <w:rPr>
                <w:rFonts w:ascii="Calibri" w:hAnsi="Calibri"/>
                <w:color w:val="000000"/>
                <w:lang w:eastAsia="en-GB"/>
              </w:rPr>
              <w:t>4</w:t>
            </w:r>
            <w:r w:rsidR="0060515E">
              <w:rPr>
                <w:rFonts w:ascii="Calibri" w:hAnsi="Calibri"/>
                <w:color w:val="000000"/>
                <w:lang w:eastAsia="en-GB"/>
              </w:rPr>
              <w:t>,500</w:t>
            </w:r>
          </w:p>
        </w:tc>
        <w:tc>
          <w:tcPr>
            <w:tcW w:w="5840" w:type="dxa"/>
            <w:tcBorders>
              <w:top w:val="nil"/>
              <w:left w:val="nil"/>
              <w:bottom w:val="single" w:sz="4" w:space="0" w:color="FFFFFF"/>
              <w:right w:val="single" w:sz="4" w:space="0" w:color="FFFFFF"/>
            </w:tcBorders>
            <w:shd w:val="clear" w:color="000000" w:fill="FDE9D9"/>
            <w:noWrap/>
            <w:vAlign w:val="center"/>
            <w:hideMark/>
          </w:tcPr>
          <w:p w14:paraId="25A900BE"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Short-term deposits with Banks/Building Societies</w:t>
            </w:r>
          </w:p>
        </w:tc>
        <w:tc>
          <w:tcPr>
            <w:tcW w:w="1720" w:type="dxa"/>
            <w:tcBorders>
              <w:top w:val="nil"/>
              <w:left w:val="nil"/>
              <w:bottom w:val="single" w:sz="4" w:space="0" w:color="FFFFFF"/>
              <w:right w:val="single" w:sz="4" w:space="0" w:color="FFFFFF"/>
            </w:tcBorders>
            <w:shd w:val="clear" w:color="000000" w:fill="FDE9D9"/>
            <w:noWrap/>
            <w:vAlign w:val="center"/>
          </w:tcPr>
          <w:p w14:paraId="5F8E33C5" w14:textId="1C1BEB04" w:rsidR="00FA38E6" w:rsidRPr="00FA38E6" w:rsidRDefault="001C3B2B" w:rsidP="00FA38E6">
            <w:pPr>
              <w:jc w:val="right"/>
              <w:rPr>
                <w:rFonts w:ascii="Calibri" w:hAnsi="Calibri"/>
                <w:color w:val="000000"/>
                <w:lang w:eastAsia="en-GB"/>
              </w:rPr>
            </w:pPr>
            <w:r>
              <w:rPr>
                <w:rFonts w:ascii="Calibri" w:hAnsi="Calibri"/>
                <w:color w:val="000000"/>
                <w:lang w:eastAsia="en-GB"/>
              </w:rPr>
              <w:t>2,120</w:t>
            </w:r>
          </w:p>
        </w:tc>
      </w:tr>
      <w:tr w:rsidR="00FA38E6" w:rsidRPr="00FA38E6" w14:paraId="4B91319A"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52F09510" w14:textId="7F937967" w:rsidR="00FA38E6" w:rsidRPr="00FA38E6" w:rsidRDefault="00EE1721" w:rsidP="00D45469">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FDE9D9"/>
            <w:noWrap/>
            <w:vAlign w:val="center"/>
            <w:hideMark/>
          </w:tcPr>
          <w:p w14:paraId="72937A46"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Money Market Funds </w:t>
            </w:r>
          </w:p>
        </w:tc>
        <w:tc>
          <w:tcPr>
            <w:tcW w:w="1720" w:type="dxa"/>
            <w:tcBorders>
              <w:top w:val="nil"/>
              <w:left w:val="nil"/>
              <w:bottom w:val="single" w:sz="4" w:space="0" w:color="FFFFFF"/>
              <w:right w:val="single" w:sz="4" w:space="0" w:color="FFFFFF"/>
            </w:tcBorders>
            <w:shd w:val="clear" w:color="000000" w:fill="FDE9D9"/>
            <w:noWrap/>
            <w:vAlign w:val="center"/>
          </w:tcPr>
          <w:p w14:paraId="1EC6CC1D" w14:textId="7613C75A" w:rsidR="00FA38E6" w:rsidRPr="00FA38E6" w:rsidRDefault="001C3B2B" w:rsidP="00FA38E6">
            <w:pPr>
              <w:jc w:val="right"/>
              <w:rPr>
                <w:rFonts w:ascii="Calibri" w:hAnsi="Calibri"/>
                <w:color w:val="000000"/>
                <w:lang w:eastAsia="en-GB"/>
              </w:rPr>
            </w:pPr>
            <w:r>
              <w:rPr>
                <w:rFonts w:ascii="Calibri" w:hAnsi="Calibri"/>
                <w:color w:val="000000"/>
                <w:lang w:eastAsia="en-GB"/>
              </w:rPr>
              <w:t>0</w:t>
            </w:r>
          </w:p>
        </w:tc>
      </w:tr>
      <w:tr w:rsidR="00FA38E6" w:rsidRPr="00FA38E6" w14:paraId="533ADD61"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CD5B4"/>
            <w:noWrap/>
            <w:vAlign w:val="center"/>
            <w:hideMark/>
          </w:tcPr>
          <w:p w14:paraId="1C28BC36" w14:textId="7D83C17E" w:rsidR="00FA38E6" w:rsidRPr="00FA38E6" w:rsidRDefault="00EF1C9E" w:rsidP="00D45469">
            <w:pPr>
              <w:jc w:val="right"/>
              <w:rPr>
                <w:rFonts w:ascii="Calibri" w:hAnsi="Calibri"/>
                <w:b/>
                <w:bCs/>
                <w:color w:val="000000"/>
                <w:lang w:eastAsia="en-GB"/>
              </w:rPr>
            </w:pPr>
            <w:r>
              <w:rPr>
                <w:rFonts w:ascii="Calibri" w:hAnsi="Calibri"/>
                <w:b/>
                <w:bCs/>
                <w:color w:val="000000"/>
                <w:lang w:eastAsia="en-GB"/>
              </w:rPr>
              <w:t>5,755</w:t>
            </w:r>
          </w:p>
        </w:tc>
        <w:tc>
          <w:tcPr>
            <w:tcW w:w="5840" w:type="dxa"/>
            <w:tcBorders>
              <w:top w:val="nil"/>
              <w:left w:val="nil"/>
              <w:bottom w:val="single" w:sz="4" w:space="0" w:color="FFFFFF"/>
              <w:right w:val="single" w:sz="4" w:space="0" w:color="FFFFFF"/>
            </w:tcBorders>
            <w:shd w:val="clear" w:color="000000" w:fill="FCD5B4"/>
            <w:noWrap/>
            <w:vAlign w:val="center"/>
            <w:hideMark/>
          </w:tcPr>
          <w:p w14:paraId="61C9203C" w14:textId="71828CE2" w:rsidR="00FA38E6" w:rsidRPr="00FA38E6" w:rsidRDefault="00FA38E6" w:rsidP="00FA38E6">
            <w:pPr>
              <w:rPr>
                <w:rFonts w:ascii="Calibri" w:hAnsi="Calibri"/>
                <w:b/>
                <w:bCs/>
                <w:color w:val="000000"/>
                <w:lang w:eastAsia="en-GB"/>
              </w:rPr>
            </w:pPr>
            <w:r w:rsidRPr="00FA38E6">
              <w:rPr>
                <w:rFonts w:ascii="Calibri" w:hAnsi="Calibri"/>
                <w:b/>
                <w:bCs/>
                <w:color w:val="000000"/>
                <w:lang w:eastAsia="en-GB"/>
              </w:rPr>
              <w:t xml:space="preserve">Total cash </w:t>
            </w:r>
            <w:r w:rsidR="00704A70">
              <w:rPr>
                <w:rFonts w:ascii="Calibri" w:hAnsi="Calibri"/>
                <w:b/>
                <w:bCs/>
                <w:color w:val="000000"/>
                <w:lang w:eastAsia="en-GB"/>
              </w:rPr>
              <w:t>and</w:t>
            </w:r>
            <w:r w:rsidRPr="00FA38E6">
              <w:rPr>
                <w:rFonts w:ascii="Calibri" w:hAnsi="Calibri"/>
                <w:b/>
                <w:bCs/>
                <w:color w:val="000000"/>
                <w:lang w:eastAsia="en-GB"/>
              </w:rPr>
              <w:t xml:space="preserve"> cash equivalents</w:t>
            </w:r>
          </w:p>
        </w:tc>
        <w:tc>
          <w:tcPr>
            <w:tcW w:w="1720" w:type="dxa"/>
            <w:tcBorders>
              <w:top w:val="nil"/>
              <w:left w:val="nil"/>
              <w:bottom w:val="single" w:sz="4" w:space="0" w:color="FFFFFF"/>
              <w:right w:val="single" w:sz="4" w:space="0" w:color="FFFFFF"/>
            </w:tcBorders>
            <w:shd w:val="clear" w:color="000000" w:fill="FCD5B4"/>
            <w:noWrap/>
            <w:vAlign w:val="center"/>
          </w:tcPr>
          <w:p w14:paraId="7BE6759C" w14:textId="5A12F9FD" w:rsidR="00FA38E6" w:rsidRPr="00FA38E6" w:rsidRDefault="001C3B2B" w:rsidP="006D622C">
            <w:pPr>
              <w:jc w:val="right"/>
              <w:rPr>
                <w:rFonts w:ascii="Calibri" w:hAnsi="Calibri"/>
                <w:b/>
                <w:bCs/>
                <w:color w:val="000000"/>
                <w:lang w:eastAsia="en-GB"/>
              </w:rPr>
            </w:pPr>
            <w:r>
              <w:rPr>
                <w:rFonts w:ascii="Calibri" w:hAnsi="Calibri"/>
                <w:b/>
                <w:bCs/>
                <w:color w:val="000000"/>
                <w:lang w:eastAsia="en-GB"/>
              </w:rPr>
              <w:t>2,269</w:t>
            </w:r>
          </w:p>
        </w:tc>
      </w:tr>
    </w:tbl>
    <w:p w14:paraId="144BA7E2" w14:textId="77777777" w:rsidR="00C93755" w:rsidRPr="00421390" w:rsidRDefault="00C93755" w:rsidP="00707761">
      <w:pPr>
        <w:widowControl w:val="0"/>
        <w:tabs>
          <w:tab w:val="left" w:pos="567"/>
          <w:tab w:val="left" w:pos="7200"/>
          <w:tab w:val="left" w:pos="8460"/>
        </w:tabs>
        <w:rPr>
          <w:rFonts w:asciiTheme="minorHAnsi" w:hAnsiTheme="minorHAnsi" w:cs="Arial"/>
          <w:b/>
        </w:rPr>
      </w:pPr>
    </w:p>
    <w:p w14:paraId="3574542E" w14:textId="50165225" w:rsidR="00707761" w:rsidRPr="00FA38E6" w:rsidRDefault="001726F4" w:rsidP="007C6C6F">
      <w:pPr>
        <w:pStyle w:val="Heading2"/>
      </w:pPr>
      <w:r>
        <w:t>3</w:t>
      </w:r>
      <w:r w:rsidR="00D3279C">
        <w:t>1</w:t>
      </w:r>
      <w:r w:rsidR="00707761" w:rsidRPr="00FA38E6">
        <w:tab/>
        <w:t>P</w:t>
      </w:r>
      <w:r w:rsidR="00FA38E6" w:rsidRPr="00FA38E6">
        <w:t>ayables</w:t>
      </w:r>
    </w:p>
    <w:p w14:paraId="4ACE42B3" w14:textId="77777777" w:rsidR="00707761" w:rsidRDefault="00707761" w:rsidP="00707761">
      <w:pPr>
        <w:widowControl w:val="0"/>
        <w:tabs>
          <w:tab w:val="left" w:pos="2520"/>
          <w:tab w:val="left" w:pos="7200"/>
          <w:tab w:val="left" w:pos="8460"/>
        </w:tabs>
        <w:rPr>
          <w:rFonts w:ascii="Arial" w:hAnsi="Arial" w:cs="Arial"/>
        </w:rPr>
      </w:pPr>
    </w:p>
    <w:tbl>
      <w:tblPr>
        <w:tblW w:w="9240" w:type="dxa"/>
        <w:tblInd w:w="93" w:type="dxa"/>
        <w:tblLook w:val="04A0" w:firstRow="1" w:lastRow="0" w:firstColumn="1" w:lastColumn="0" w:noHBand="0" w:noVBand="1"/>
        <w:tblCaption w:val="Payables"/>
        <w:tblDescription w:val="Payables as at 31 March 2023 with 31 March 2022 comparables"/>
      </w:tblPr>
      <w:tblGrid>
        <w:gridCol w:w="1680"/>
        <w:gridCol w:w="5840"/>
        <w:gridCol w:w="1720"/>
      </w:tblGrid>
      <w:tr w:rsidR="00FA38E6" w:rsidRPr="00FA38E6" w14:paraId="0CE10D8D"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FABF8F"/>
            <w:noWrap/>
            <w:vAlign w:val="center"/>
            <w:hideMark/>
          </w:tcPr>
          <w:p w14:paraId="65E1ACA2" w14:textId="0A22EDEC" w:rsidR="00FA38E6" w:rsidRPr="00FA38E6" w:rsidRDefault="00FA38E6" w:rsidP="0060515E">
            <w:pPr>
              <w:jc w:val="right"/>
              <w:rPr>
                <w:rFonts w:ascii="Calibri" w:hAnsi="Calibri"/>
                <w:color w:val="000000"/>
                <w:lang w:eastAsia="en-GB"/>
              </w:rPr>
            </w:pPr>
            <w:r w:rsidRPr="00FA38E6">
              <w:rPr>
                <w:rFonts w:ascii="Calibri" w:hAnsi="Calibri"/>
                <w:color w:val="000000"/>
                <w:lang w:eastAsia="en-GB"/>
              </w:rPr>
              <w:t>31</w:t>
            </w:r>
            <w:r>
              <w:rPr>
                <w:rFonts w:ascii="Calibri" w:hAnsi="Calibri"/>
                <w:color w:val="000000"/>
                <w:lang w:eastAsia="en-GB"/>
              </w:rPr>
              <w:t xml:space="preserve"> </w:t>
            </w:r>
            <w:r w:rsidRPr="00FA38E6">
              <w:rPr>
                <w:rFonts w:ascii="Calibri" w:hAnsi="Calibri"/>
                <w:color w:val="000000"/>
                <w:lang w:eastAsia="en-GB"/>
              </w:rPr>
              <w:t>Mar</w:t>
            </w:r>
            <w:r>
              <w:rPr>
                <w:rFonts w:ascii="Calibri" w:hAnsi="Calibri"/>
                <w:color w:val="000000"/>
                <w:lang w:eastAsia="en-GB"/>
              </w:rPr>
              <w:t>ch 20</w:t>
            </w:r>
            <w:r w:rsidR="0060515E">
              <w:rPr>
                <w:rFonts w:ascii="Calibri" w:hAnsi="Calibri"/>
                <w:color w:val="000000"/>
                <w:lang w:eastAsia="en-GB"/>
              </w:rPr>
              <w:t>2</w:t>
            </w:r>
            <w:r w:rsidR="00EF1C9E">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FABF8F"/>
            <w:noWrap/>
            <w:vAlign w:val="center"/>
            <w:hideMark/>
          </w:tcPr>
          <w:p w14:paraId="1DA8BA5D"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FABF8F"/>
            <w:noWrap/>
            <w:vAlign w:val="center"/>
            <w:hideMark/>
          </w:tcPr>
          <w:p w14:paraId="6D0250C2" w14:textId="2E8D55C4" w:rsidR="00FA38E6" w:rsidRPr="00FA38E6" w:rsidRDefault="00FA38E6" w:rsidP="0060515E">
            <w:pPr>
              <w:jc w:val="right"/>
              <w:rPr>
                <w:rFonts w:ascii="Calibri" w:hAnsi="Calibri"/>
                <w:color w:val="000000"/>
                <w:lang w:eastAsia="en-GB"/>
              </w:rPr>
            </w:pPr>
            <w:r w:rsidRPr="00FA38E6">
              <w:rPr>
                <w:rFonts w:ascii="Calibri" w:hAnsi="Calibri"/>
                <w:color w:val="000000"/>
                <w:lang w:eastAsia="en-GB"/>
              </w:rPr>
              <w:t>31</w:t>
            </w:r>
            <w:r>
              <w:rPr>
                <w:rFonts w:ascii="Calibri" w:hAnsi="Calibri"/>
                <w:color w:val="000000"/>
                <w:lang w:eastAsia="en-GB"/>
              </w:rPr>
              <w:t xml:space="preserve"> </w:t>
            </w:r>
            <w:r w:rsidRPr="00FA38E6">
              <w:rPr>
                <w:rFonts w:ascii="Calibri" w:hAnsi="Calibri"/>
                <w:color w:val="000000"/>
                <w:lang w:eastAsia="en-GB"/>
              </w:rPr>
              <w:t>Mar</w:t>
            </w:r>
            <w:r>
              <w:rPr>
                <w:rFonts w:ascii="Calibri" w:hAnsi="Calibri"/>
                <w:color w:val="000000"/>
                <w:lang w:eastAsia="en-GB"/>
              </w:rPr>
              <w:t>ch 20</w:t>
            </w:r>
            <w:r w:rsidR="002233BB">
              <w:rPr>
                <w:rFonts w:ascii="Calibri" w:hAnsi="Calibri"/>
                <w:color w:val="000000"/>
                <w:lang w:eastAsia="en-GB"/>
              </w:rPr>
              <w:t>2</w:t>
            </w:r>
            <w:r w:rsidR="00EF1C9E">
              <w:rPr>
                <w:rFonts w:ascii="Calibri" w:hAnsi="Calibri"/>
                <w:color w:val="000000"/>
                <w:lang w:eastAsia="en-GB"/>
              </w:rPr>
              <w:t>3</w:t>
            </w:r>
          </w:p>
        </w:tc>
      </w:tr>
      <w:tr w:rsidR="00FA38E6" w:rsidRPr="00FA38E6" w14:paraId="6BF4B2F9" w14:textId="77777777" w:rsidTr="00FA38E6">
        <w:trPr>
          <w:trHeight w:val="300"/>
        </w:trPr>
        <w:tc>
          <w:tcPr>
            <w:tcW w:w="1680" w:type="dxa"/>
            <w:tcBorders>
              <w:top w:val="nil"/>
              <w:left w:val="single" w:sz="4" w:space="0" w:color="FFFFFF"/>
              <w:bottom w:val="single" w:sz="4" w:space="0" w:color="FFFFFF"/>
              <w:right w:val="single" w:sz="4" w:space="0" w:color="FFFFFF"/>
            </w:tcBorders>
            <w:shd w:val="clear" w:color="000000" w:fill="FABF8F"/>
            <w:noWrap/>
            <w:vAlign w:val="center"/>
            <w:hideMark/>
          </w:tcPr>
          <w:p w14:paraId="30D1A36E" w14:textId="77777777" w:rsidR="00FA38E6" w:rsidRPr="00FA38E6" w:rsidRDefault="00FA38E6" w:rsidP="00FA38E6">
            <w:pPr>
              <w:jc w:val="right"/>
              <w:rPr>
                <w:rFonts w:ascii="Calibri" w:hAnsi="Calibri"/>
                <w:color w:val="000000"/>
                <w:lang w:eastAsia="en-GB"/>
              </w:rPr>
            </w:pPr>
            <w:r w:rsidRPr="00FA38E6">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FABF8F"/>
            <w:noWrap/>
            <w:vAlign w:val="center"/>
            <w:hideMark/>
          </w:tcPr>
          <w:p w14:paraId="75777831" w14:textId="77777777" w:rsidR="00FA38E6" w:rsidRPr="00FA38E6" w:rsidRDefault="00FA38E6" w:rsidP="00FA38E6">
            <w:pPr>
              <w:jc w:val="right"/>
              <w:rPr>
                <w:rFonts w:ascii="Calibri" w:hAnsi="Calibri"/>
                <w:color w:val="000000"/>
                <w:lang w:eastAsia="en-GB"/>
              </w:rPr>
            </w:pPr>
            <w:r w:rsidRPr="00FA38E6">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FABF8F"/>
            <w:noWrap/>
            <w:vAlign w:val="center"/>
            <w:hideMark/>
          </w:tcPr>
          <w:p w14:paraId="034AE9B7" w14:textId="77777777" w:rsidR="00FA38E6" w:rsidRPr="00FA38E6" w:rsidRDefault="00FA38E6" w:rsidP="00FA38E6">
            <w:pPr>
              <w:jc w:val="right"/>
              <w:rPr>
                <w:rFonts w:ascii="Calibri" w:hAnsi="Calibri"/>
                <w:color w:val="000000"/>
                <w:lang w:eastAsia="en-GB"/>
              </w:rPr>
            </w:pPr>
            <w:r w:rsidRPr="00FA38E6">
              <w:rPr>
                <w:rFonts w:ascii="Calibri" w:hAnsi="Calibri"/>
                <w:color w:val="000000"/>
                <w:lang w:eastAsia="en-GB"/>
              </w:rPr>
              <w:t>£’000</w:t>
            </w:r>
          </w:p>
        </w:tc>
      </w:tr>
      <w:tr w:rsidR="00FA38E6" w:rsidRPr="00FA38E6" w14:paraId="45752B7C"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2582DBB8" w14:textId="709699B6" w:rsidR="00FA38E6" w:rsidRPr="00FA38E6" w:rsidRDefault="00EE1721" w:rsidP="00FA38E6">
            <w:pPr>
              <w:jc w:val="right"/>
              <w:rPr>
                <w:rFonts w:ascii="Calibri" w:hAnsi="Calibri"/>
                <w:color w:val="000000"/>
                <w:lang w:eastAsia="en-GB"/>
              </w:rPr>
            </w:pPr>
            <w:r>
              <w:rPr>
                <w:rFonts w:ascii="Calibri" w:hAnsi="Calibri"/>
                <w:color w:val="000000"/>
                <w:lang w:eastAsia="en-GB"/>
              </w:rPr>
              <w:t>5,</w:t>
            </w:r>
            <w:r w:rsidR="00EF1C9E">
              <w:rPr>
                <w:rFonts w:ascii="Calibri" w:hAnsi="Calibri"/>
                <w:color w:val="000000"/>
                <w:lang w:eastAsia="en-GB"/>
              </w:rPr>
              <w:t>544</w:t>
            </w:r>
          </w:p>
        </w:tc>
        <w:tc>
          <w:tcPr>
            <w:tcW w:w="5840" w:type="dxa"/>
            <w:tcBorders>
              <w:top w:val="nil"/>
              <w:left w:val="nil"/>
              <w:bottom w:val="single" w:sz="4" w:space="0" w:color="FFFFFF"/>
              <w:right w:val="single" w:sz="4" w:space="0" w:color="FFFFFF"/>
            </w:tcBorders>
            <w:shd w:val="clear" w:color="000000" w:fill="FDE9D9"/>
            <w:noWrap/>
            <w:vAlign w:val="center"/>
            <w:hideMark/>
          </w:tcPr>
          <w:p w14:paraId="2833E38F"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Central Government Bodies</w:t>
            </w:r>
          </w:p>
        </w:tc>
        <w:tc>
          <w:tcPr>
            <w:tcW w:w="1720" w:type="dxa"/>
            <w:tcBorders>
              <w:top w:val="nil"/>
              <w:left w:val="nil"/>
              <w:bottom w:val="single" w:sz="4" w:space="0" w:color="FFFFFF"/>
              <w:right w:val="single" w:sz="4" w:space="0" w:color="FFFFFF"/>
            </w:tcBorders>
            <w:shd w:val="clear" w:color="000000" w:fill="FDE9D9"/>
            <w:noWrap/>
            <w:vAlign w:val="center"/>
          </w:tcPr>
          <w:p w14:paraId="69ADA3E3" w14:textId="3CB14EF9" w:rsidR="00FA38E6" w:rsidRPr="00FA38E6" w:rsidRDefault="00FA688C" w:rsidP="00FA38E6">
            <w:pPr>
              <w:jc w:val="right"/>
              <w:rPr>
                <w:rFonts w:ascii="Calibri" w:hAnsi="Calibri"/>
                <w:color w:val="000000"/>
                <w:lang w:eastAsia="en-GB"/>
              </w:rPr>
            </w:pPr>
            <w:r>
              <w:rPr>
                <w:rFonts w:ascii="Calibri" w:hAnsi="Calibri"/>
                <w:color w:val="000000"/>
                <w:lang w:eastAsia="en-GB"/>
              </w:rPr>
              <w:t>1,</w:t>
            </w:r>
            <w:r w:rsidR="00615E12">
              <w:rPr>
                <w:rFonts w:ascii="Calibri" w:hAnsi="Calibri"/>
                <w:color w:val="000000"/>
                <w:lang w:eastAsia="en-GB"/>
              </w:rPr>
              <w:t>519</w:t>
            </w:r>
          </w:p>
        </w:tc>
      </w:tr>
      <w:tr w:rsidR="00FA38E6" w:rsidRPr="00FA38E6" w14:paraId="3B361A9A"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3B11FCBA" w14:textId="577030A9" w:rsidR="00FA38E6" w:rsidRPr="00FA38E6" w:rsidRDefault="00EF1C9E" w:rsidP="00D45469">
            <w:pPr>
              <w:jc w:val="right"/>
              <w:rPr>
                <w:rFonts w:ascii="Calibri" w:hAnsi="Calibri"/>
                <w:color w:val="000000"/>
                <w:lang w:eastAsia="en-GB"/>
              </w:rPr>
            </w:pPr>
            <w:r>
              <w:rPr>
                <w:rFonts w:ascii="Calibri" w:hAnsi="Calibri"/>
                <w:color w:val="000000"/>
                <w:lang w:eastAsia="en-GB"/>
              </w:rPr>
              <w:t>1,061</w:t>
            </w:r>
          </w:p>
        </w:tc>
        <w:tc>
          <w:tcPr>
            <w:tcW w:w="5840" w:type="dxa"/>
            <w:tcBorders>
              <w:top w:val="nil"/>
              <w:left w:val="nil"/>
              <w:bottom w:val="single" w:sz="4" w:space="0" w:color="FFFFFF"/>
              <w:right w:val="single" w:sz="4" w:space="0" w:color="FFFFFF"/>
            </w:tcBorders>
            <w:shd w:val="clear" w:color="000000" w:fill="FDE9D9"/>
            <w:noWrap/>
            <w:vAlign w:val="center"/>
            <w:hideMark/>
          </w:tcPr>
          <w:p w14:paraId="3C194CC1"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Other Local Authorities</w:t>
            </w:r>
          </w:p>
        </w:tc>
        <w:tc>
          <w:tcPr>
            <w:tcW w:w="1720" w:type="dxa"/>
            <w:tcBorders>
              <w:top w:val="nil"/>
              <w:left w:val="nil"/>
              <w:bottom w:val="single" w:sz="4" w:space="0" w:color="FFFFFF"/>
              <w:right w:val="single" w:sz="4" w:space="0" w:color="FFFFFF"/>
            </w:tcBorders>
            <w:shd w:val="clear" w:color="000000" w:fill="FDE9D9"/>
            <w:noWrap/>
            <w:vAlign w:val="center"/>
          </w:tcPr>
          <w:p w14:paraId="31A25225" w14:textId="79A05392" w:rsidR="00FA38E6" w:rsidRPr="00FA38E6" w:rsidRDefault="00FA688C" w:rsidP="00FA38E6">
            <w:pPr>
              <w:jc w:val="right"/>
              <w:rPr>
                <w:rFonts w:ascii="Calibri" w:hAnsi="Calibri"/>
                <w:color w:val="000000"/>
                <w:lang w:eastAsia="en-GB"/>
              </w:rPr>
            </w:pPr>
            <w:r>
              <w:rPr>
                <w:rFonts w:ascii="Calibri" w:hAnsi="Calibri"/>
                <w:color w:val="000000"/>
                <w:lang w:eastAsia="en-GB"/>
              </w:rPr>
              <w:t>1,6</w:t>
            </w:r>
            <w:r w:rsidR="00615E12">
              <w:rPr>
                <w:rFonts w:ascii="Calibri" w:hAnsi="Calibri"/>
                <w:color w:val="000000"/>
                <w:lang w:eastAsia="en-GB"/>
              </w:rPr>
              <w:t>34</w:t>
            </w:r>
          </w:p>
        </w:tc>
      </w:tr>
      <w:tr w:rsidR="00FA38E6" w:rsidRPr="00FA38E6" w14:paraId="6C2EAEA2"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DE9D9"/>
            <w:noWrap/>
            <w:vAlign w:val="center"/>
            <w:hideMark/>
          </w:tcPr>
          <w:p w14:paraId="25A75286" w14:textId="1C2C23AE" w:rsidR="00FA38E6" w:rsidRPr="00FA38E6" w:rsidRDefault="00D45469" w:rsidP="00D45469">
            <w:pPr>
              <w:jc w:val="right"/>
              <w:rPr>
                <w:rFonts w:ascii="Calibri" w:hAnsi="Calibri"/>
                <w:color w:val="000000"/>
                <w:lang w:eastAsia="en-GB"/>
              </w:rPr>
            </w:pPr>
            <w:r>
              <w:rPr>
                <w:rFonts w:ascii="Calibri" w:hAnsi="Calibri"/>
                <w:color w:val="000000"/>
                <w:lang w:eastAsia="en-GB"/>
              </w:rPr>
              <w:t>2</w:t>
            </w:r>
            <w:r w:rsidR="00F07E4C">
              <w:rPr>
                <w:rFonts w:ascii="Calibri" w:hAnsi="Calibri"/>
                <w:color w:val="000000"/>
                <w:lang w:eastAsia="en-GB"/>
              </w:rPr>
              <w:t>,</w:t>
            </w:r>
            <w:r w:rsidR="00EF1C9E">
              <w:rPr>
                <w:rFonts w:ascii="Calibri" w:hAnsi="Calibri"/>
                <w:color w:val="000000"/>
                <w:lang w:eastAsia="en-GB"/>
              </w:rPr>
              <w:t>064</w:t>
            </w:r>
          </w:p>
        </w:tc>
        <w:tc>
          <w:tcPr>
            <w:tcW w:w="5840" w:type="dxa"/>
            <w:tcBorders>
              <w:top w:val="nil"/>
              <w:left w:val="nil"/>
              <w:bottom w:val="single" w:sz="4" w:space="0" w:color="FFFFFF"/>
              <w:right w:val="single" w:sz="4" w:space="0" w:color="FFFFFF"/>
            </w:tcBorders>
            <w:shd w:val="clear" w:color="000000" w:fill="FDE9D9"/>
            <w:noWrap/>
            <w:vAlign w:val="center"/>
            <w:hideMark/>
          </w:tcPr>
          <w:p w14:paraId="1F15AA96" w14:textId="77777777" w:rsidR="00FA38E6" w:rsidRPr="00FA38E6" w:rsidRDefault="00FA38E6" w:rsidP="00FA38E6">
            <w:pPr>
              <w:rPr>
                <w:rFonts w:ascii="Calibri" w:hAnsi="Calibri"/>
                <w:color w:val="000000"/>
                <w:lang w:eastAsia="en-GB"/>
              </w:rPr>
            </w:pPr>
            <w:r w:rsidRPr="00FA38E6">
              <w:rPr>
                <w:rFonts w:ascii="Calibri" w:hAnsi="Calibri"/>
                <w:color w:val="000000"/>
                <w:lang w:eastAsia="en-GB"/>
              </w:rPr>
              <w:t xml:space="preserve">   Other Entities and Individuals</w:t>
            </w:r>
          </w:p>
        </w:tc>
        <w:tc>
          <w:tcPr>
            <w:tcW w:w="1720" w:type="dxa"/>
            <w:tcBorders>
              <w:top w:val="nil"/>
              <w:left w:val="nil"/>
              <w:bottom w:val="single" w:sz="4" w:space="0" w:color="FFFFFF"/>
              <w:right w:val="single" w:sz="4" w:space="0" w:color="FFFFFF"/>
            </w:tcBorders>
            <w:shd w:val="clear" w:color="000000" w:fill="FDE9D9"/>
            <w:noWrap/>
            <w:vAlign w:val="center"/>
          </w:tcPr>
          <w:p w14:paraId="1D3DF00C" w14:textId="64769389" w:rsidR="00FA38E6" w:rsidRPr="00FA38E6" w:rsidRDefault="00FA688C" w:rsidP="00817E08">
            <w:pPr>
              <w:jc w:val="right"/>
              <w:rPr>
                <w:rFonts w:ascii="Calibri" w:hAnsi="Calibri"/>
                <w:color w:val="000000"/>
                <w:lang w:eastAsia="en-GB"/>
              </w:rPr>
            </w:pPr>
            <w:r>
              <w:rPr>
                <w:rFonts w:ascii="Calibri" w:hAnsi="Calibri"/>
                <w:color w:val="000000"/>
                <w:lang w:eastAsia="en-GB"/>
              </w:rPr>
              <w:t>2,</w:t>
            </w:r>
            <w:r w:rsidR="00615E12">
              <w:rPr>
                <w:rFonts w:ascii="Calibri" w:hAnsi="Calibri"/>
                <w:color w:val="000000"/>
                <w:lang w:eastAsia="en-GB"/>
              </w:rPr>
              <w:t>214</w:t>
            </w:r>
          </w:p>
        </w:tc>
      </w:tr>
      <w:tr w:rsidR="00FA38E6" w:rsidRPr="00FA38E6" w14:paraId="2370544A" w14:textId="77777777" w:rsidTr="00F07E4C">
        <w:trPr>
          <w:trHeight w:val="300"/>
        </w:trPr>
        <w:tc>
          <w:tcPr>
            <w:tcW w:w="1680" w:type="dxa"/>
            <w:tcBorders>
              <w:top w:val="nil"/>
              <w:left w:val="single" w:sz="4" w:space="0" w:color="FFFFFF"/>
              <w:bottom w:val="single" w:sz="4" w:space="0" w:color="FFFFFF"/>
              <w:right w:val="single" w:sz="4" w:space="0" w:color="FFFFFF"/>
            </w:tcBorders>
            <w:shd w:val="clear" w:color="000000" w:fill="FCD5B4"/>
            <w:noWrap/>
            <w:vAlign w:val="center"/>
            <w:hideMark/>
          </w:tcPr>
          <w:p w14:paraId="55EE787B" w14:textId="26BAA2C7" w:rsidR="00FA38E6" w:rsidRPr="00FA38E6" w:rsidRDefault="00EF1C9E" w:rsidP="00D45469">
            <w:pPr>
              <w:jc w:val="right"/>
              <w:rPr>
                <w:rFonts w:ascii="Calibri" w:hAnsi="Calibri"/>
                <w:b/>
                <w:bCs/>
                <w:color w:val="000000"/>
                <w:lang w:eastAsia="en-GB"/>
              </w:rPr>
            </w:pPr>
            <w:r>
              <w:rPr>
                <w:rFonts w:ascii="Calibri" w:hAnsi="Calibri"/>
                <w:b/>
                <w:bCs/>
                <w:color w:val="000000"/>
                <w:lang w:eastAsia="en-GB"/>
              </w:rPr>
              <w:t>8,669</w:t>
            </w:r>
          </w:p>
        </w:tc>
        <w:tc>
          <w:tcPr>
            <w:tcW w:w="5840" w:type="dxa"/>
            <w:tcBorders>
              <w:top w:val="nil"/>
              <w:left w:val="nil"/>
              <w:bottom w:val="single" w:sz="4" w:space="0" w:color="FFFFFF"/>
              <w:right w:val="single" w:sz="4" w:space="0" w:color="FFFFFF"/>
            </w:tcBorders>
            <w:shd w:val="clear" w:color="000000" w:fill="FCD5B4"/>
            <w:noWrap/>
            <w:vAlign w:val="center"/>
            <w:hideMark/>
          </w:tcPr>
          <w:p w14:paraId="3890FBCC" w14:textId="77777777" w:rsidR="00FA38E6" w:rsidRPr="00FA38E6" w:rsidRDefault="00FA38E6" w:rsidP="00FA38E6">
            <w:pPr>
              <w:rPr>
                <w:rFonts w:ascii="Calibri" w:hAnsi="Calibri"/>
                <w:b/>
                <w:bCs/>
                <w:color w:val="000000"/>
                <w:lang w:eastAsia="en-GB"/>
              </w:rPr>
            </w:pPr>
            <w:r w:rsidRPr="00FA38E6">
              <w:rPr>
                <w:rFonts w:ascii="Calibri" w:hAnsi="Calibri"/>
                <w:b/>
                <w:bCs/>
                <w:color w:val="000000"/>
                <w:lang w:eastAsia="en-GB"/>
              </w:rPr>
              <w:t xml:space="preserve">   Total</w:t>
            </w:r>
          </w:p>
        </w:tc>
        <w:tc>
          <w:tcPr>
            <w:tcW w:w="1720" w:type="dxa"/>
            <w:tcBorders>
              <w:top w:val="nil"/>
              <w:left w:val="nil"/>
              <w:bottom w:val="single" w:sz="4" w:space="0" w:color="FFFFFF"/>
              <w:right w:val="single" w:sz="4" w:space="0" w:color="FFFFFF"/>
            </w:tcBorders>
            <w:shd w:val="clear" w:color="000000" w:fill="FCD5B4"/>
            <w:noWrap/>
            <w:vAlign w:val="center"/>
          </w:tcPr>
          <w:p w14:paraId="2D189747" w14:textId="258F307A" w:rsidR="00FA38E6" w:rsidRPr="00FA38E6" w:rsidRDefault="00FA688C" w:rsidP="00FA38E6">
            <w:pPr>
              <w:jc w:val="right"/>
              <w:rPr>
                <w:rFonts w:ascii="Calibri" w:hAnsi="Calibri"/>
                <w:b/>
                <w:bCs/>
                <w:color w:val="000000"/>
                <w:lang w:eastAsia="en-GB"/>
              </w:rPr>
            </w:pPr>
            <w:r>
              <w:rPr>
                <w:rFonts w:ascii="Calibri" w:hAnsi="Calibri"/>
                <w:b/>
                <w:bCs/>
                <w:color w:val="000000"/>
                <w:lang w:eastAsia="en-GB"/>
              </w:rPr>
              <w:t>5,</w:t>
            </w:r>
            <w:r w:rsidR="00615E12">
              <w:rPr>
                <w:rFonts w:ascii="Calibri" w:hAnsi="Calibri"/>
                <w:b/>
                <w:bCs/>
                <w:color w:val="000000"/>
                <w:lang w:eastAsia="en-GB"/>
              </w:rPr>
              <w:t>367</w:t>
            </w:r>
          </w:p>
        </w:tc>
      </w:tr>
    </w:tbl>
    <w:p w14:paraId="05D0A5D0" w14:textId="77777777" w:rsidR="00CC023A" w:rsidRDefault="00CC023A" w:rsidP="00707761">
      <w:pPr>
        <w:widowControl w:val="0"/>
        <w:tabs>
          <w:tab w:val="left" w:pos="567"/>
          <w:tab w:val="left" w:pos="7200"/>
          <w:tab w:val="left" w:pos="8460"/>
        </w:tabs>
        <w:rPr>
          <w:rFonts w:asciiTheme="minorHAnsi" w:hAnsiTheme="minorHAnsi" w:cs="Arial"/>
          <w:b/>
        </w:rPr>
      </w:pPr>
    </w:p>
    <w:p w14:paraId="2EF44328" w14:textId="466E0E62" w:rsidR="00707761" w:rsidRPr="00FA38E6" w:rsidRDefault="001726F4" w:rsidP="007C6C6F">
      <w:pPr>
        <w:pStyle w:val="Heading2"/>
      </w:pPr>
      <w:r>
        <w:t>3</w:t>
      </w:r>
      <w:r w:rsidR="00D3279C">
        <w:t>2</w:t>
      </w:r>
      <w:r w:rsidR="00707761" w:rsidRPr="00FA38E6">
        <w:t xml:space="preserve"> </w:t>
      </w:r>
      <w:r w:rsidR="00707761" w:rsidRPr="00FA38E6">
        <w:tab/>
        <w:t>P</w:t>
      </w:r>
      <w:r w:rsidR="00FA38E6" w:rsidRPr="00FA38E6">
        <w:t>rovisions</w:t>
      </w:r>
    </w:p>
    <w:p w14:paraId="6BC12208" w14:textId="77777777" w:rsidR="00FA38E6" w:rsidRDefault="00FA38E6" w:rsidP="00707761">
      <w:pPr>
        <w:widowControl w:val="0"/>
        <w:tabs>
          <w:tab w:val="left" w:pos="567"/>
          <w:tab w:val="left" w:pos="7200"/>
          <w:tab w:val="left" w:pos="8460"/>
        </w:tabs>
        <w:rPr>
          <w:rFonts w:ascii="Arial" w:hAnsi="Arial" w:cs="Arial"/>
          <w:b/>
        </w:rPr>
      </w:pPr>
    </w:p>
    <w:tbl>
      <w:tblPr>
        <w:tblW w:w="9688" w:type="dxa"/>
        <w:tblInd w:w="93" w:type="dxa"/>
        <w:tblLook w:val="04A0" w:firstRow="1" w:lastRow="0" w:firstColumn="1" w:lastColumn="0" w:noHBand="0" w:noVBand="1"/>
        <w:tblCaption w:val="Provisions"/>
        <w:tblDescription w:val="Provisions as at 31 March 2023 with 31 March 2022 comparables"/>
      </w:tblPr>
      <w:tblGrid>
        <w:gridCol w:w="3851"/>
        <w:gridCol w:w="876"/>
        <w:gridCol w:w="1843"/>
        <w:gridCol w:w="1701"/>
        <w:gridCol w:w="1417"/>
      </w:tblGrid>
      <w:tr w:rsidR="00131AB6" w:rsidRPr="00FA38E6" w14:paraId="66BC787F" w14:textId="77777777" w:rsidTr="00131AB6">
        <w:trPr>
          <w:cantSplit/>
          <w:trHeight w:val="300"/>
          <w:tblHeader/>
        </w:trPr>
        <w:tc>
          <w:tcPr>
            <w:tcW w:w="3851" w:type="dxa"/>
            <w:tcBorders>
              <w:top w:val="nil"/>
              <w:left w:val="nil"/>
              <w:bottom w:val="nil"/>
              <w:right w:val="nil"/>
            </w:tcBorders>
            <w:shd w:val="clear" w:color="000000" w:fill="FABF8F"/>
            <w:vAlign w:val="center"/>
            <w:hideMark/>
          </w:tcPr>
          <w:p w14:paraId="6B437834" w14:textId="77777777" w:rsidR="00131AB6" w:rsidRPr="00FA38E6" w:rsidRDefault="00131AB6" w:rsidP="00FA38E6">
            <w:pPr>
              <w:rPr>
                <w:rFonts w:ascii="Calibri" w:hAnsi="Calibri"/>
                <w:b/>
                <w:bCs/>
                <w:color w:val="000000"/>
                <w:lang w:eastAsia="en-GB"/>
              </w:rPr>
            </w:pPr>
            <w:r w:rsidRPr="00FA38E6">
              <w:rPr>
                <w:rFonts w:ascii="Calibri" w:hAnsi="Calibri"/>
                <w:b/>
                <w:bCs/>
                <w:color w:val="000000"/>
                <w:lang w:eastAsia="en-GB"/>
              </w:rPr>
              <w:t> </w:t>
            </w:r>
          </w:p>
        </w:tc>
        <w:tc>
          <w:tcPr>
            <w:tcW w:w="876" w:type="dxa"/>
            <w:tcBorders>
              <w:top w:val="nil"/>
              <w:left w:val="nil"/>
              <w:bottom w:val="nil"/>
              <w:right w:val="nil"/>
            </w:tcBorders>
            <w:shd w:val="clear" w:color="000000" w:fill="FABF8F"/>
            <w:vAlign w:val="center"/>
            <w:hideMark/>
          </w:tcPr>
          <w:p w14:paraId="166740EE" w14:textId="77777777" w:rsidR="00131AB6" w:rsidRPr="00FA38E6" w:rsidRDefault="00131AB6" w:rsidP="00FA38E6">
            <w:pPr>
              <w:jc w:val="right"/>
              <w:rPr>
                <w:rFonts w:ascii="Calibri" w:hAnsi="Calibri"/>
                <w:b/>
                <w:bCs/>
                <w:color w:val="000000"/>
                <w:lang w:eastAsia="en-GB"/>
              </w:rPr>
            </w:pPr>
            <w:r w:rsidRPr="00FA38E6">
              <w:rPr>
                <w:rFonts w:ascii="Calibri" w:hAnsi="Calibri"/>
                <w:b/>
                <w:bCs/>
                <w:color w:val="000000"/>
                <w:lang w:eastAsia="en-GB"/>
              </w:rPr>
              <w:t> </w:t>
            </w:r>
          </w:p>
        </w:tc>
        <w:tc>
          <w:tcPr>
            <w:tcW w:w="1843"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12329C71" w14:textId="0E77EEDA" w:rsidR="00131AB6" w:rsidRPr="00FA38E6" w:rsidRDefault="00131AB6" w:rsidP="00FA38E6">
            <w:pPr>
              <w:jc w:val="right"/>
              <w:rPr>
                <w:rFonts w:ascii="Calibri" w:hAnsi="Calibri"/>
                <w:color w:val="000000"/>
                <w:lang w:eastAsia="en-GB"/>
              </w:rPr>
            </w:pPr>
            <w:r>
              <w:rPr>
                <w:rFonts w:ascii="Calibri" w:hAnsi="Calibri"/>
                <w:color w:val="000000"/>
                <w:lang w:eastAsia="en-GB"/>
              </w:rPr>
              <w:t>Collection Fund Appeals</w:t>
            </w:r>
          </w:p>
        </w:tc>
        <w:tc>
          <w:tcPr>
            <w:tcW w:w="1701" w:type="dxa"/>
            <w:tcBorders>
              <w:top w:val="single" w:sz="4" w:space="0" w:color="FFFFFF"/>
              <w:left w:val="nil"/>
              <w:bottom w:val="single" w:sz="4" w:space="0" w:color="FFFFFF" w:themeColor="background1"/>
              <w:right w:val="single" w:sz="4" w:space="0" w:color="FFFFFF" w:themeColor="background1"/>
            </w:tcBorders>
            <w:shd w:val="clear" w:color="000000" w:fill="FABF8F"/>
          </w:tcPr>
          <w:p w14:paraId="3C7C9853" w14:textId="143E7C5D" w:rsidR="00131AB6" w:rsidRPr="00FA38E6" w:rsidRDefault="00131AB6" w:rsidP="00FA38E6">
            <w:pPr>
              <w:jc w:val="right"/>
              <w:rPr>
                <w:rFonts w:ascii="Calibri" w:hAnsi="Calibri"/>
                <w:color w:val="000000"/>
                <w:lang w:eastAsia="en-GB"/>
              </w:rPr>
            </w:pPr>
            <w:r>
              <w:rPr>
                <w:rFonts w:ascii="Calibri" w:hAnsi="Calibri"/>
                <w:color w:val="000000"/>
                <w:lang w:eastAsia="en-GB"/>
              </w:rPr>
              <w:t>Employee Termination Benefits</w:t>
            </w:r>
          </w:p>
        </w:tc>
        <w:tc>
          <w:tcPr>
            <w:tcW w:w="1417" w:type="dxa"/>
            <w:tcBorders>
              <w:top w:val="single" w:sz="4" w:space="0" w:color="FFFFFF"/>
              <w:left w:val="single" w:sz="4" w:space="0" w:color="FFFFFF" w:themeColor="background1"/>
              <w:bottom w:val="single" w:sz="4" w:space="0" w:color="FFFFFF" w:themeColor="background1"/>
              <w:right w:val="single" w:sz="4" w:space="0" w:color="FFFFFF"/>
            </w:tcBorders>
            <w:shd w:val="clear" w:color="000000" w:fill="FABF8F"/>
            <w:vAlign w:val="center"/>
            <w:hideMark/>
          </w:tcPr>
          <w:p w14:paraId="3AA85472" w14:textId="041BE068"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Total</w:t>
            </w:r>
          </w:p>
        </w:tc>
      </w:tr>
      <w:tr w:rsidR="00131AB6" w:rsidRPr="00FA38E6" w14:paraId="019AAFA3" w14:textId="77777777" w:rsidTr="00131AB6">
        <w:trPr>
          <w:trHeight w:val="300"/>
        </w:trPr>
        <w:tc>
          <w:tcPr>
            <w:tcW w:w="3851" w:type="dxa"/>
            <w:tcBorders>
              <w:top w:val="nil"/>
              <w:left w:val="nil"/>
              <w:bottom w:val="nil"/>
              <w:right w:val="nil"/>
            </w:tcBorders>
            <w:shd w:val="clear" w:color="000000" w:fill="FABF8F"/>
            <w:vAlign w:val="center"/>
            <w:hideMark/>
          </w:tcPr>
          <w:p w14:paraId="67678D3B" w14:textId="77777777" w:rsidR="00131AB6" w:rsidRPr="00FA38E6" w:rsidRDefault="00131AB6" w:rsidP="00FA38E6">
            <w:pPr>
              <w:rPr>
                <w:rFonts w:ascii="Calibri" w:hAnsi="Calibri"/>
                <w:b/>
                <w:bCs/>
                <w:color w:val="000000"/>
                <w:lang w:eastAsia="en-GB"/>
              </w:rPr>
            </w:pPr>
            <w:r w:rsidRPr="00FA38E6">
              <w:rPr>
                <w:rFonts w:ascii="Calibri" w:hAnsi="Calibri"/>
                <w:b/>
                <w:bCs/>
                <w:color w:val="000000"/>
                <w:lang w:eastAsia="en-GB"/>
              </w:rPr>
              <w:t> </w:t>
            </w:r>
          </w:p>
        </w:tc>
        <w:tc>
          <w:tcPr>
            <w:tcW w:w="876" w:type="dxa"/>
            <w:tcBorders>
              <w:top w:val="nil"/>
              <w:left w:val="nil"/>
              <w:bottom w:val="single" w:sz="4" w:space="0" w:color="FFFFFF"/>
              <w:right w:val="nil"/>
            </w:tcBorders>
            <w:shd w:val="clear" w:color="000000" w:fill="FABF8F"/>
            <w:vAlign w:val="center"/>
            <w:hideMark/>
          </w:tcPr>
          <w:p w14:paraId="0AA1FC42" w14:textId="77777777" w:rsidR="00131AB6" w:rsidRPr="00FA38E6" w:rsidRDefault="00131AB6" w:rsidP="00FA38E6">
            <w:pPr>
              <w:jc w:val="right"/>
              <w:rPr>
                <w:rFonts w:ascii="Calibri" w:hAnsi="Calibri"/>
                <w:b/>
                <w:bCs/>
                <w:color w:val="000000"/>
                <w:lang w:eastAsia="en-GB"/>
              </w:rPr>
            </w:pPr>
            <w:r w:rsidRPr="00FA38E6">
              <w:rPr>
                <w:rFonts w:ascii="Calibri" w:hAnsi="Calibri"/>
                <w:b/>
                <w:bCs/>
                <w:color w:val="000000"/>
                <w:lang w:eastAsia="en-GB"/>
              </w:rPr>
              <w:t> </w:t>
            </w:r>
          </w:p>
        </w:tc>
        <w:tc>
          <w:tcPr>
            <w:tcW w:w="1843" w:type="dxa"/>
            <w:tcBorders>
              <w:top w:val="nil"/>
              <w:left w:val="single" w:sz="4" w:space="0" w:color="FFFFFF"/>
              <w:bottom w:val="single" w:sz="4" w:space="0" w:color="FFFFFF"/>
              <w:right w:val="single" w:sz="4" w:space="0" w:color="FFFFFF"/>
            </w:tcBorders>
            <w:shd w:val="clear" w:color="000000" w:fill="FABF8F"/>
            <w:vAlign w:val="center"/>
            <w:hideMark/>
          </w:tcPr>
          <w:p w14:paraId="03573211" w14:textId="77777777"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£’000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ABF8F"/>
          </w:tcPr>
          <w:p w14:paraId="14BFB068" w14:textId="16D7EA65" w:rsidR="00131AB6" w:rsidRPr="00FA38E6" w:rsidRDefault="00131AB6" w:rsidP="00FA38E6">
            <w:pPr>
              <w:jc w:val="right"/>
              <w:rPr>
                <w:rFonts w:ascii="Calibri" w:hAnsi="Calibri"/>
                <w:color w:val="000000"/>
                <w:lang w:eastAsia="en-GB"/>
              </w:rPr>
            </w:pPr>
            <w:r>
              <w:rPr>
                <w:rFonts w:ascii="Calibri" w:hAnsi="Calibri"/>
                <w:color w:val="000000"/>
                <w:lang w:eastAsia="en-GB"/>
              </w:rPr>
              <w:t>£’000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ABF8F"/>
            <w:vAlign w:val="center"/>
            <w:hideMark/>
          </w:tcPr>
          <w:p w14:paraId="43287198" w14:textId="12EC77E1"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£’000</w:t>
            </w:r>
          </w:p>
        </w:tc>
      </w:tr>
      <w:tr w:rsidR="00131AB6" w:rsidRPr="00FA38E6" w14:paraId="1E3467F4" w14:textId="77777777" w:rsidTr="00131AB6">
        <w:trPr>
          <w:trHeight w:val="300"/>
        </w:trPr>
        <w:tc>
          <w:tcPr>
            <w:tcW w:w="3851" w:type="dxa"/>
            <w:tcBorders>
              <w:top w:val="single" w:sz="4" w:space="0" w:color="FFFFFF"/>
              <w:left w:val="single" w:sz="4" w:space="0" w:color="FFFFFF"/>
              <w:bottom w:val="single" w:sz="4" w:space="0" w:color="FFFFFF"/>
            </w:tcBorders>
            <w:shd w:val="clear" w:color="000000" w:fill="FCD5B4"/>
            <w:vAlign w:val="center"/>
            <w:hideMark/>
          </w:tcPr>
          <w:p w14:paraId="2650A468" w14:textId="4271A912" w:rsidR="00131AB6" w:rsidRPr="00FA38E6" w:rsidRDefault="00131AB6" w:rsidP="0060515E">
            <w:pPr>
              <w:rPr>
                <w:rFonts w:ascii="Calibri" w:hAnsi="Calibri"/>
                <w:b/>
                <w:bCs/>
                <w:lang w:eastAsia="en-GB"/>
              </w:rPr>
            </w:pPr>
            <w:r>
              <w:rPr>
                <w:rFonts w:ascii="Calibri" w:hAnsi="Calibri"/>
                <w:b/>
                <w:bCs/>
                <w:lang w:eastAsia="en-GB"/>
              </w:rPr>
              <w:t xml:space="preserve">Balance </w:t>
            </w:r>
            <w:proofErr w:type="gramStart"/>
            <w:r>
              <w:rPr>
                <w:rFonts w:ascii="Calibri" w:hAnsi="Calibri"/>
                <w:b/>
                <w:bCs/>
                <w:lang w:eastAsia="en-GB"/>
              </w:rPr>
              <w:t>at</w:t>
            </w:r>
            <w:proofErr w:type="gramEnd"/>
            <w:r>
              <w:rPr>
                <w:rFonts w:ascii="Calibri" w:hAnsi="Calibri"/>
                <w:b/>
                <w:bCs/>
                <w:lang w:eastAsia="en-GB"/>
              </w:rPr>
              <w:t xml:space="preserve"> 1 April 202</w:t>
            </w:r>
            <w:r w:rsidR="00EF1C9E">
              <w:rPr>
                <w:rFonts w:ascii="Calibri" w:hAnsi="Calibri"/>
                <w:b/>
                <w:bCs/>
                <w:lang w:eastAsia="en-GB"/>
              </w:rPr>
              <w:t>2</w:t>
            </w:r>
          </w:p>
        </w:tc>
        <w:tc>
          <w:tcPr>
            <w:tcW w:w="876" w:type="dxa"/>
            <w:tcBorders>
              <w:top w:val="single" w:sz="4" w:space="0" w:color="FFFFFF"/>
              <w:bottom w:val="single" w:sz="4" w:space="0" w:color="FFFFFF"/>
              <w:right w:val="single" w:sz="4" w:space="0" w:color="FFFFFF"/>
            </w:tcBorders>
            <w:shd w:val="clear" w:color="000000" w:fill="FCD5B4"/>
            <w:vAlign w:val="center"/>
            <w:hideMark/>
          </w:tcPr>
          <w:p w14:paraId="7EBFF95A" w14:textId="77777777" w:rsidR="00131AB6" w:rsidRPr="00FA38E6" w:rsidRDefault="00131AB6" w:rsidP="00FA38E6">
            <w:pPr>
              <w:jc w:val="right"/>
              <w:rPr>
                <w:rFonts w:ascii="Calibri" w:hAnsi="Calibri"/>
                <w:b/>
                <w:bCs/>
                <w:lang w:eastAsia="en-GB"/>
              </w:rPr>
            </w:pPr>
            <w:r w:rsidRPr="00FA38E6">
              <w:rPr>
                <w:rFonts w:ascii="Calibri" w:hAnsi="Calibri"/>
                <w:b/>
                <w:bCs/>
                <w:lang w:eastAsia="en-GB"/>
              </w:rPr>
              <w:t> </w:t>
            </w:r>
          </w:p>
        </w:tc>
        <w:tc>
          <w:tcPr>
            <w:tcW w:w="1843" w:type="dxa"/>
            <w:tcBorders>
              <w:top w:val="nil"/>
              <w:left w:val="nil"/>
              <w:bottom w:val="single" w:sz="4" w:space="0" w:color="FFFFFF"/>
              <w:right w:val="single" w:sz="4" w:space="0" w:color="FFFFFF"/>
            </w:tcBorders>
            <w:shd w:val="clear" w:color="000000" w:fill="FCD5B4"/>
            <w:vAlign w:val="center"/>
          </w:tcPr>
          <w:p w14:paraId="25CDF9A8" w14:textId="2872DB2F" w:rsidR="00131AB6" w:rsidRPr="00FA38E6" w:rsidRDefault="00EF1C9E" w:rsidP="0060515E">
            <w:pPr>
              <w:jc w:val="right"/>
              <w:rPr>
                <w:rFonts w:ascii="Calibri" w:hAnsi="Calibri"/>
                <w:b/>
                <w:bCs/>
                <w:lang w:eastAsia="en-GB"/>
              </w:rPr>
            </w:pPr>
            <w:r>
              <w:rPr>
                <w:rFonts w:ascii="Calibri" w:hAnsi="Calibri"/>
                <w:b/>
                <w:bCs/>
                <w:lang w:eastAsia="en-GB"/>
              </w:rPr>
              <w:t>298</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CD5B4"/>
          </w:tcPr>
          <w:p w14:paraId="4975EA30" w14:textId="27B1A695" w:rsidR="00131AB6" w:rsidRDefault="00EF1C9E" w:rsidP="0060515E">
            <w:pPr>
              <w:jc w:val="right"/>
              <w:rPr>
                <w:rFonts w:ascii="Calibri" w:hAnsi="Calibri"/>
                <w:b/>
                <w:bCs/>
                <w:lang w:eastAsia="en-GB"/>
              </w:rPr>
            </w:pPr>
            <w:r>
              <w:rPr>
                <w:rFonts w:ascii="Calibri" w:hAnsi="Calibri"/>
                <w:b/>
                <w:bCs/>
                <w:lang w:eastAsia="en-GB"/>
              </w:rPr>
              <w:t>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CD5B4"/>
            <w:vAlign w:val="center"/>
          </w:tcPr>
          <w:p w14:paraId="69EF58F4" w14:textId="3B732049" w:rsidR="00131AB6" w:rsidRPr="00FA38E6" w:rsidRDefault="00EF1C9E" w:rsidP="0060515E">
            <w:pPr>
              <w:jc w:val="right"/>
              <w:rPr>
                <w:rFonts w:ascii="Calibri" w:hAnsi="Calibri"/>
                <w:b/>
                <w:bCs/>
                <w:lang w:eastAsia="en-GB"/>
              </w:rPr>
            </w:pPr>
            <w:r>
              <w:rPr>
                <w:rFonts w:ascii="Calibri" w:hAnsi="Calibri"/>
                <w:b/>
                <w:bCs/>
                <w:lang w:eastAsia="en-GB"/>
              </w:rPr>
              <w:t>298</w:t>
            </w:r>
          </w:p>
        </w:tc>
      </w:tr>
      <w:tr w:rsidR="00131AB6" w:rsidRPr="00FA38E6" w14:paraId="1BF0890C" w14:textId="77777777" w:rsidTr="00131AB6">
        <w:trPr>
          <w:trHeight w:val="300"/>
        </w:trPr>
        <w:tc>
          <w:tcPr>
            <w:tcW w:w="3851" w:type="dxa"/>
            <w:tcBorders>
              <w:top w:val="nil"/>
              <w:left w:val="single" w:sz="4" w:space="0" w:color="FFFFFF"/>
              <w:bottom w:val="single" w:sz="4" w:space="0" w:color="FFFFFF"/>
            </w:tcBorders>
            <w:shd w:val="clear" w:color="000000" w:fill="FDE9D9"/>
            <w:vAlign w:val="center"/>
            <w:hideMark/>
          </w:tcPr>
          <w:p w14:paraId="5B84B0EA" w14:textId="77777777" w:rsidR="00131AB6" w:rsidRPr="00FA38E6" w:rsidRDefault="00131AB6" w:rsidP="00FA38E6">
            <w:pPr>
              <w:rPr>
                <w:rFonts w:ascii="Calibri" w:hAnsi="Calibri"/>
                <w:color w:val="000000"/>
                <w:lang w:eastAsia="en-GB"/>
              </w:rPr>
            </w:pPr>
            <w:r w:rsidRPr="00FA38E6">
              <w:rPr>
                <w:rFonts w:ascii="Calibri" w:hAnsi="Calibri"/>
                <w:color w:val="000000"/>
                <w:lang w:eastAsia="en-GB"/>
              </w:rPr>
              <w:t xml:space="preserve">Actual Provisions made </w:t>
            </w:r>
          </w:p>
        </w:tc>
        <w:tc>
          <w:tcPr>
            <w:tcW w:w="876" w:type="dxa"/>
            <w:tcBorders>
              <w:top w:val="single" w:sz="4" w:space="0" w:color="FFFFFF"/>
              <w:bottom w:val="single" w:sz="4" w:space="0" w:color="FFFFFF"/>
              <w:right w:val="single" w:sz="4" w:space="0" w:color="FFFFFF"/>
            </w:tcBorders>
            <w:shd w:val="clear" w:color="000000" w:fill="FDE9D9"/>
            <w:vAlign w:val="center"/>
            <w:hideMark/>
          </w:tcPr>
          <w:p w14:paraId="0C83E078" w14:textId="77777777"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 </w:t>
            </w:r>
          </w:p>
        </w:tc>
        <w:tc>
          <w:tcPr>
            <w:tcW w:w="1843" w:type="dxa"/>
            <w:tcBorders>
              <w:top w:val="nil"/>
              <w:left w:val="nil"/>
              <w:bottom w:val="single" w:sz="4" w:space="0" w:color="FFFFFF"/>
              <w:right w:val="single" w:sz="4" w:space="0" w:color="FFFFFF"/>
            </w:tcBorders>
            <w:shd w:val="clear" w:color="000000" w:fill="FDE9D9"/>
            <w:vAlign w:val="center"/>
          </w:tcPr>
          <w:p w14:paraId="3A471ECE" w14:textId="4BAFA3B9" w:rsidR="00131AB6" w:rsidRPr="00FA38E6" w:rsidRDefault="00BE7A48" w:rsidP="00425D7E">
            <w:pPr>
              <w:jc w:val="right"/>
              <w:rPr>
                <w:rFonts w:ascii="Calibri" w:hAnsi="Calibri"/>
                <w:color w:val="000000"/>
                <w:lang w:eastAsia="en-GB"/>
              </w:rPr>
            </w:pPr>
            <w:r>
              <w:rPr>
                <w:rFonts w:ascii="Calibri" w:hAnsi="Calibri"/>
                <w:color w:val="000000"/>
                <w:lang w:eastAsia="en-GB"/>
              </w:rPr>
              <w:t>204</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DE9D9"/>
          </w:tcPr>
          <w:p w14:paraId="3C7D8CC9" w14:textId="0011831C" w:rsidR="00131AB6" w:rsidRDefault="00685CEF" w:rsidP="00425D7E">
            <w:pPr>
              <w:jc w:val="right"/>
              <w:rPr>
                <w:rFonts w:ascii="Calibri" w:hAnsi="Calibri"/>
                <w:color w:val="000000"/>
                <w:lang w:eastAsia="en-GB"/>
              </w:rPr>
            </w:pPr>
            <w:r>
              <w:rPr>
                <w:rFonts w:ascii="Calibri" w:hAnsi="Calibri"/>
                <w:color w:val="000000"/>
                <w:lang w:eastAsia="en-GB"/>
              </w:rPr>
              <w:t>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DE9D9"/>
            <w:vAlign w:val="center"/>
          </w:tcPr>
          <w:p w14:paraId="55759C0D" w14:textId="18200F13" w:rsidR="00131AB6" w:rsidRPr="00FA38E6" w:rsidRDefault="001B4D9E" w:rsidP="00425D7E">
            <w:pPr>
              <w:jc w:val="right"/>
              <w:rPr>
                <w:rFonts w:ascii="Calibri" w:hAnsi="Calibri"/>
                <w:color w:val="000000"/>
                <w:lang w:eastAsia="en-GB"/>
              </w:rPr>
            </w:pPr>
            <w:r>
              <w:rPr>
                <w:rFonts w:ascii="Calibri" w:hAnsi="Calibri"/>
                <w:color w:val="000000"/>
                <w:lang w:eastAsia="en-GB"/>
              </w:rPr>
              <w:t>204</w:t>
            </w:r>
          </w:p>
        </w:tc>
      </w:tr>
      <w:tr w:rsidR="00131AB6" w:rsidRPr="00FA38E6" w14:paraId="7B8D3B9F" w14:textId="77777777" w:rsidTr="00131AB6">
        <w:trPr>
          <w:trHeight w:val="300"/>
        </w:trPr>
        <w:tc>
          <w:tcPr>
            <w:tcW w:w="3851" w:type="dxa"/>
            <w:tcBorders>
              <w:top w:val="nil"/>
              <w:left w:val="single" w:sz="4" w:space="0" w:color="FFFFFF"/>
              <w:bottom w:val="single" w:sz="4" w:space="0" w:color="FFFFFF"/>
            </w:tcBorders>
            <w:shd w:val="clear" w:color="000000" w:fill="FDE9D9"/>
            <w:vAlign w:val="center"/>
            <w:hideMark/>
          </w:tcPr>
          <w:p w14:paraId="75C66188" w14:textId="77777777" w:rsidR="00131AB6" w:rsidRPr="00FA38E6" w:rsidRDefault="00131AB6" w:rsidP="00FA38E6">
            <w:pPr>
              <w:rPr>
                <w:rFonts w:ascii="Calibri" w:hAnsi="Calibri"/>
                <w:color w:val="000000"/>
                <w:lang w:eastAsia="en-GB"/>
              </w:rPr>
            </w:pPr>
            <w:r w:rsidRPr="00FA38E6">
              <w:rPr>
                <w:rFonts w:ascii="Calibri" w:hAnsi="Calibri"/>
                <w:color w:val="000000"/>
                <w:lang w:eastAsia="en-GB"/>
              </w:rPr>
              <w:t xml:space="preserve">Amounts used </w:t>
            </w:r>
          </w:p>
        </w:tc>
        <w:tc>
          <w:tcPr>
            <w:tcW w:w="876" w:type="dxa"/>
            <w:tcBorders>
              <w:top w:val="single" w:sz="4" w:space="0" w:color="FFFFFF"/>
              <w:bottom w:val="single" w:sz="4" w:space="0" w:color="FFFFFF"/>
              <w:right w:val="single" w:sz="4" w:space="0" w:color="FFFFFF"/>
            </w:tcBorders>
            <w:shd w:val="clear" w:color="000000" w:fill="FDE9D9"/>
            <w:vAlign w:val="center"/>
            <w:hideMark/>
          </w:tcPr>
          <w:p w14:paraId="569885E2" w14:textId="77777777"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 </w:t>
            </w:r>
          </w:p>
        </w:tc>
        <w:tc>
          <w:tcPr>
            <w:tcW w:w="1843" w:type="dxa"/>
            <w:tcBorders>
              <w:top w:val="nil"/>
              <w:left w:val="nil"/>
              <w:bottom w:val="single" w:sz="4" w:space="0" w:color="FFFFFF"/>
              <w:right w:val="single" w:sz="4" w:space="0" w:color="FFFFFF"/>
            </w:tcBorders>
            <w:shd w:val="clear" w:color="000000" w:fill="FDE9D9"/>
            <w:vAlign w:val="center"/>
          </w:tcPr>
          <w:p w14:paraId="34550319" w14:textId="3C806F0D" w:rsidR="00131AB6" w:rsidRPr="00FA38E6" w:rsidRDefault="00BE7A48" w:rsidP="00FA38E6">
            <w:pPr>
              <w:jc w:val="right"/>
              <w:rPr>
                <w:rFonts w:ascii="Calibri" w:hAnsi="Calibri"/>
                <w:color w:val="000000"/>
                <w:lang w:eastAsia="en-GB"/>
              </w:rPr>
            </w:pPr>
            <w:r>
              <w:rPr>
                <w:rFonts w:ascii="Calibri" w:hAnsi="Calibri"/>
                <w:color w:val="000000"/>
                <w:lang w:eastAsia="en-GB"/>
              </w:rPr>
              <w:t>-185</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DE9D9"/>
          </w:tcPr>
          <w:p w14:paraId="7B30089F" w14:textId="3ADF7694" w:rsidR="00131AB6" w:rsidRDefault="00685CEF" w:rsidP="00FA38E6">
            <w:pPr>
              <w:jc w:val="right"/>
              <w:rPr>
                <w:rFonts w:ascii="Calibri" w:hAnsi="Calibri"/>
                <w:color w:val="000000"/>
                <w:lang w:eastAsia="en-GB"/>
              </w:rPr>
            </w:pPr>
            <w:r>
              <w:rPr>
                <w:rFonts w:ascii="Calibri" w:hAnsi="Calibri"/>
                <w:color w:val="000000"/>
                <w:lang w:eastAsia="en-GB"/>
              </w:rPr>
              <w:t>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DE9D9"/>
            <w:vAlign w:val="center"/>
          </w:tcPr>
          <w:p w14:paraId="3C64A150" w14:textId="7515C300" w:rsidR="00131AB6" w:rsidRPr="00FA38E6" w:rsidRDefault="001B4D9E" w:rsidP="00FA38E6">
            <w:pPr>
              <w:jc w:val="right"/>
              <w:rPr>
                <w:rFonts w:ascii="Calibri" w:hAnsi="Calibri"/>
                <w:color w:val="000000"/>
                <w:lang w:eastAsia="en-GB"/>
              </w:rPr>
            </w:pPr>
            <w:r>
              <w:rPr>
                <w:rFonts w:ascii="Calibri" w:hAnsi="Calibri"/>
                <w:color w:val="000000"/>
                <w:lang w:eastAsia="en-GB"/>
              </w:rPr>
              <w:t>-185</w:t>
            </w:r>
          </w:p>
        </w:tc>
      </w:tr>
      <w:tr w:rsidR="00131AB6" w:rsidRPr="00FA38E6" w14:paraId="0A44A29F" w14:textId="77777777" w:rsidTr="00131AB6">
        <w:trPr>
          <w:trHeight w:val="300"/>
        </w:trPr>
        <w:tc>
          <w:tcPr>
            <w:tcW w:w="3851" w:type="dxa"/>
            <w:tcBorders>
              <w:top w:val="nil"/>
              <w:left w:val="single" w:sz="4" w:space="0" w:color="FFFFFF"/>
              <w:bottom w:val="single" w:sz="4" w:space="0" w:color="FFFFFF"/>
            </w:tcBorders>
            <w:shd w:val="clear" w:color="000000" w:fill="FDE9D9"/>
            <w:vAlign w:val="center"/>
            <w:hideMark/>
          </w:tcPr>
          <w:p w14:paraId="7435407D" w14:textId="77777777" w:rsidR="00131AB6" w:rsidRPr="00FA38E6" w:rsidRDefault="00131AB6" w:rsidP="00FA38E6">
            <w:pPr>
              <w:rPr>
                <w:rFonts w:ascii="Calibri" w:hAnsi="Calibri"/>
                <w:color w:val="000000"/>
                <w:lang w:eastAsia="en-GB"/>
              </w:rPr>
            </w:pPr>
            <w:r w:rsidRPr="00FA38E6">
              <w:rPr>
                <w:rFonts w:ascii="Calibri" w:hAnsi="Calibri"/>
                <w:color w:val="000000"/>
                <w:lang w:eastAsia="en-GB"/>
              </w:rPr>
              <w:t>Unused amounts reversed</w:t>
            </w:r>
          </w:p>
        </w:tc>
        <w:tc>
          <w:tcPr>
            <w:tcW w:w="876" w:type="dxa"/>
            <w:tcBorders>
              <w:top w:val="single" w:sz="4" w:space="0" w:color="FFFFFF"/>
              <w:bottom w:val="single" w:sz="4" w:space="0" w:color="FFFFFF"/>
              <w:right w:val="single" w:sz="4" w:space="0" w:color="FFFFFF"/>
            </w:tcBorders>
            <w:shd w:val="clear" w:color="000000" w:fill="FDE9D9"/>
            <w:vAlign w:val="center"/>
            <w:hideMark/>
          </w:tcPr>
          <w:p w14:paraId="39F7F3D2" w14:textId="77777777"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 </w:t>
            </w:r>
          </w:p>
        </w:tc>
        <w:tc>
          <w:tcPr>
            <w:tcW w:w="1843" w:type="dxa"/>
            <w:tcBorders>
              <w:top w:val="nil"/>
              <w:left w:val="nil"/>
              <w:bottom w:val="single" w:sz="4" w:space="0" w:color="FFFFFF"/>
              <w:right w:val="single" w:sz="4" w:space="0" w:color="FFFFFF"/>
            </w:tcBorders>
            <w:shd w:val="clear" w:color="000000" w:fill="FDE9D9"/>
            <w:vAlign w:val="center"/>
          </w:tcPr>
          <w:p w14:paraId="7851953B" w14:textId="1A7DB0B8" w:rsidR="00131AB6" w:rsidRPr="00FA38E6" w:rsidRDefault="001B4D9E" w:rsidP="00FA38E6">
            <w:pPr>
              <w:jc w:val="right"/>
              <w:rPr>
                <w:rFonts w:ascii="Calibri" w:hAnsi="Calibri"/>
                <w:color w:val="000000"/>
                <w:lang w:eastAsia="en-GB"/>
              </w:rPr>
            </w:pPr>
            <w:r>
              <w:rPr>
                <w:rFonts w:ascii="Calibri" w:hAnsi="Calibri"/>
                <w:color w:val="000000"/>
                <w:lang w:eastAsia="en-GB"/>
              </w:rPr>
              <w:t>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DE9D9"/>
          </w:tcPr>
          <w:p w14:paraId="1249C986" w14:textId="29D4E874" w:rsidR="00131AB6" w:rsidRDefault="00685CEF" w:rsidP="00685CEF">
            <w:pPr>
              <w:tabs>
                <w:tab w:val="left" w:pos="1410"/>
              </w:tabs>
              <w:jc w:val="right"/>
              <w:rPr>
                <w:rFonts w:ascii="Calibri" w:hAnsi="Calibri"/>
                <w:color w:val="000000"/>
                <w:lang w:eastAsia="en-GB"/>
              </w:rPr>
            </w:pPr>
            <w:r>
              <w:rPr>
                <w:rFonts w:ascii="Calibri" w:hAnsi="Calibri"/>
                <w:color w:val="000000"/>
                <w:lang w:eastAsia="en-GB"/>
              </w:rPr>
              <w:t>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DE9D9"/>
            <w:vAlign w:val="center"/>
          </w:tcPr>
          <w:p w14:paraId="6CD6DF62" w14:textId="5EE6C4EB" w:rsidR="001C1B79" w:rsidRPr="00FA38E6" w:rsidRDefault="001B4D9E" w:rsidP="001C1B79">
            <w:pPr>
              <w:jc w:val="right"/>
              <w:rPr>
                <w:rFonts w:ascii="Calibri" w:hAnsi="Calibri"/>
                <w:color w:val="000000"/>
                <w:lang w:eastAsia="en-GB"/>
              </w:rPr>
            </w:pPr>
            <w:r>
              <w:rPr>
                <w:rFonts w:ascii="Calibri" w:hAnsi="Calibri"/>
                <w:color w:val="000000"/>
                <w:lang w:eastAsia="en-GB"/>
              </w:rPr>
              <w:t>0</w:t>
            </w:r>
          </w:p>
        </w:tc>
      </w:tr>
      <w:tr w:rsidR="00131AB6" w:rsidRPr="00FA38E6" w14:paraId="18A136EF" w14:textId="77777777" w:rsidTr="00131AB6">
        <w:trPr>
          <w:trHeight w:val="300"/>
        </w:trPr>
        <w:tc>
          <w:tcPr>
            <w:tcW w:w="3851" w:type="dxa"/>
            <w:tcBorders>
              <w:top w:val="nil"/>
              <w:left w:val="single" w:sz="4" w:space="0" w:color="FFFFFF"/>
              <w:bottom w:val="single" w:sz="4" w:space="0" w:color="FFFFFF"/>
            </w:tcBorders>
            <w:shd w:val="clear" w:color="000000" w:fill="FDE9D9"/>
            <w:vAlign w:val="center"/>
            <w:hideMark/>
          </w:tcPr>
          <w:p w14:paraId="061F7685" w14:textId="77777777" w:rsidR="00131AB6" w:rsidRPr="00FA38E6" w:rsidRDefault="00131AB6" w:rsidP="00FA38E6">
            <w:pPr>
              <w:rPr>
                <w:rFonts w:ascii="Calibri" w:hAnsi="Calibri"/>
                <w:color w:val="000000"/>
                <w:lang w:eastAsia="en-GB"/>
              </w:rPr>
            </w:pPr>
            <w:r w:rsidRPr="00FA38E6">
              <w:rPr>
                <w:rFonts w:ascii="Calibri" w:hAnsi="Calibri"/>
                <w:color w:val="000000"/>
                <w:lang w:eastAsia="en-GB"/>
              </w:rPr>
              <w:t>Unwinding of discounting</w:t>
            </w:r>
          </w:p>
        </w:tc>
        <w:tc>
          <w:tcPr>
            <w:tcW w:w="876" w:type="dxa"/>
            <w:tcBorders>
              <w:top w:val="single" w:sz="4" w:space="0" w:color="FFFFFF"/>
              <w:bottom w:val="single" w:sz="4" w:space="0" w:color="FFFFFF"/>
              <w:right w:val="single" w:sz="4" w:space="0" w:color="FFFFFF"/>
            </w:tcBorders>
            <w:shd w:val="clear" w:color="000000" w:fill="FDE9D9"/>
            <w:vAlign w:val="center"/>
            <w:hideMark/>
          </w:tcPr>
          <w:p w14:paraId="00128E1C" w14:textId="77777777" w:rsidR="00131AB6" w:rsidRPr="00FA38E6" w:rsidRDefault="00131AB6" w:rsidP="00FA38E6">
            <w:pPr>
              <w:jc w:val="right"/>
              <w:rPr>
                <w:rFonts w:ascii="Calibri" w:hAnsi="Calibri"/>
                <w:color w:val="000000"/>
                <w:lang w:eastAsia="en-GB"/>
              </w:rPr>
            </w:pPr>
            <w:r w:rsidRPr="00FA38E6">
              <w:rPr>
                <w:rFonts w:ascii="Calibri" w:hAnsi="Calibri"/>
                <w:color w:val="000000"/>
                <w:lang w:eastAsia="en-GB"/>
              </w:rPr>
              <w:t> </w:t>
            </w:r>
          </w:p>
        </w:tc>
        <w:tc>
          <w:tcPr>
            <w:tcW w:w="1843" w:type="dxa"/>
            <w:tcBorders>
              <w:top w:val="nil"/>
              <w:left w:val="nil"/>
              <w:bottom w:val="single" w:sz="4" w:space="0" w:color="FFFFFF"/>
              <w:right w:val="single" w:sz="4" w:space="0" w:color="FFFFFF"/>
            </w:tcBorders>
            <w:shd w:val="clear" w:color="000000" w:fill="FDE9D9"/>
            <w:vAlign w:val="center"/>
          </w:tcPr>
          <w:p w14:paraId="62E267B7" w14:textId="62F13DA9" w:rsidR="00131AB6" w:rsidRPr="00FA38E6" w:rsidRDefault="001B4D9E" w:rsidP="00FA38E6">
            <w:pPr>
              <w:jc w:val="right"/>
              <w:rPr>
                <w:rFonts w:ascii="Calibri" w:hAnsi="Calibri"/>
                <w:color w:val="000000"/>
                <w:lang w:eastAsia="en-GB"/>
              </w:rPr>
            </w:pPr>
            <w:r>
              <w:rPr>
                <w:rFonts w:ascii="Calibri" w:hAnsi="Calibri"/>
                <w:color w:val="000000"/>
                <w:lang w:eastAsia="en-GB"/>
              </w:rPr>
              <w:t>0</w:t>
            </w:r>
          </w:p>
        </w:tc>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000000" w:fill="FDE9D9"/>
          </w:tcPr>
          <w:p w14:paraId="1EF6D51A" w14:textId="67E685B3" w:rsidR="00131AB6" w:rsidRDefault="00685CEF" w:rsidP="00FA38E6">
            <w:pPr>
              <w:jc w:val="right"/>
              <w:rPr>
                <w:rFonts w:ascii="Calibri" w:hAnsi="Calibri"/>
                <w:color w:val="000000"/>
                <w:lang w:eastAsia="en-GB"/>
              </w:rPr>
            </w:pPr>
            <w:r>
              <w:rPr>
                <w:rFonts w:ascii="Calibri" w:hAnsi="Calibri"/>
                <w:color w:val="000000"/>
                <w:lang w:eastAsia="en-GB"/>
              </w:rPr>
              <w:t>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000000" w:fill="FDE9D9"/>
            <w:vAlign w:val="center"/>
          </w:tcPr>
          <w:p w14:paraId="22B1C361" w14:textId="561D5731" w:rsidR="00131AB6" w:rsidRPr="00FA38E6" w:rsidRDefault="001B4D9E" w:rsidP="00FA38E6">
            <w:pPr>
              <w:jc w:val="right"/>
              <w:rPr>
                <w:rFonts w:ascii="Calibri" w:hAnsi="Calibri"/>
                <w:color w:val="000000"/>
                <w:lang w:eastAsia="en-GB"/>
              </w:rPr>
            </w:pPr>
            <w:r>
              <w:rPr>
                <w:rFonts w:ascii="Calibri" w:hAnsi="Calibri"/>
                <w:color w:val="000000"/>
                <w:lang w:eastAsia="en-GB"/>
              </w:rPr>
              <w:t>0</w:t>
            </w:r>
          </w:p>
        </w:tc>
      </w:tr>
      <w:tr w:rsidR="00131AB6" w:rsidRPr="00FA38E6" w14:paraId="2C5CD958" w14:textId="77777777" w:rsidTr="00131AB6">
        <w:trPr>
          <w:trHeight w:val="300"/>
        </w:trPr>
        <w:tc>
          <w:tcPr>
            <w:tcW w:w="3851" w:type="dxa"/>
            <w:tcBorders>
              <w:top w:val="nil"/>
              <w:left w:val="single" w:sz="4" w:space="0" w:color="FFFFFF"/>
              <w:bottom w:val="single" w:sz="4" w:space="0" w:color="FFFFFF"/>
            </w:tcBorders>
            <w:shd w:val="clear" w:color="000000" w:fill="FCD5B4"/>
            <w:vAlign w:val="center"/>
            <w:hideMark/>
          </w:tcPr>
          <w:p w14:paraId="7BC5285E" w14:textId="6C943080" w:rsidR="00131AB6" w:rsidRPr="00FA38E6" w:rsidRDefault="00131AB6" w:rsidP="0060515E">
            <w:pPr>
              <w:rPr>
                <w:rFonts w:ascii="Calibri" w:hAnsi="Calibri"/>
                <w:b/>
                <w:bCs/>
                <w:lang w:eastAsia="en-GB"/>
              </w:rPr>
            </w:pPr>
            <w:r w:rsidRPr="00FA38E6">
              <w:rPr>
                <w:rFonts w:ascii="Calibri" w:hAnsi="Calibri"/>
                <w:b/>
                <w:bCs/>
                <w:lang w:eastAsia="en-GB"/>
              </w:rPr>
              <w:t xml:space="preserve">Balance </w:t>
            </w:r>
            <w:proofErr w:type="gramStart"/>
            <w:r w:rsidRPr="00FA38E6">
              <w:rPr>
                <w:rFonts w:ascii="Calibri" w:hAnsi="Calibri"/>
                <w:b/>
                <w:bCs/>
                <w:lang w:eastAsia="en-GB"/>
              </w:rPr>
              <w:t>at</w:t>
            </w:r>
            <w:proofErr w:type="gramEnd"/>
            <w:r w:rsidRPr="00FA38E6">
              <w:rPr>
                <w:rFonts w:ascii="Calibri" w:hAnsi="Calibri"/>
                <w:b/>
                <w:bCs/>
                <w:lang w:eastAsia="en-GB"/>
              </w:rPr>
              <w:t xml:space="preserve"> 31 </w:t>
            </w:r>
            <w:r>
              <w:rPr>
                <w:rFonts w:ascii="Calibri" w:hAnsi="Calibri"/>
                <w:b/>
                <w:bCs/>
                <w:lang w:eastAsia="en-GB"/>
              </w:rPr>
              <w:t>March 202</w:t>
            </w:r>
            <w:r w:rsidR="00EF1C9E">
              <w:rPr>
                <w:rFonts w:ascii="Calibri" w:hAnsi="Calibri"/>
                <w:b/>
                <w:bCs/>
                <w:lang w:eastAsia="en-GB"/>
              </w:rPr>
              <w:t>3</w:t>
            </w:r>
          </w:p>
        </w:tc>
        <w:tc>
          <w:tcPr>
            <w:tcW w:w="876" w:type="dxa"/>
            <w:tcBorders>
              <w:top w:val="single" w:sz="4" w:space="0" w:color="FFFFFF"/>
              <w:bottom w:val="single" w:sz="4" w:space="0" w:color="FFFFFF"/>
              <w:right w:val="single" w:sz="4" w:space="0" w:color="FFFFFF"/>
            </w:tcBorders>
            <w:shd w:val="clear" w:color="000000" w:fill="FCD5B4"/>
            <w:vAlign w:val="center"/>
            <w:hideMark/>
          </w:tcPr>
          <w:p w14:paraId="55AA8B2B" w14:textId="77777777" w:rsidR="00131AB6" w:rsidRPr="00FA38E6" w:rsidRDefault="00131AB6" w:rsidP="00FA38E6">
            <w:pPr>
              <w:jc w:val="right"/>
              <w:rPr>
                <w:rFonts w:ascii="Calibri" w:hAnsi="Calibri"/>
                <w:b/>
                <w:bCs/>
                <w:lang w:eastAsia="en-GB"/>
              </w:rPr>
            </w:pPr>
            <w:r w:rsidRPr="00FA38E6">
              <w:rPr>
                <w:rFonts w:ascii="Calibri" w:hAnsi="Calibri"/>
                <w:b/>
                <w:bCs/>
                <w:lang w:eastAsia="en-GB"/>
              </w:rPr>
              <w:t> </w:t>
            </w:r>
          </w:p>
        </w:tc>
        <w:tc>
          <w:tcPr>
            <w:tcW w:w="1843" w:type="dxa"/>
            <w:tcBorders>
              <w:top w:val="nil"/>
              <w:left w:val="nil"/>
              <w:bottom w:val="single" w:sz="4" w:space="0" w:color="FFFFFF"/>
              <w:right w:val="single" w:sz="4" w:space="0" w:color="FFFFFF"/>
            </w:tcBorders>
            <w:shd w:val="clear" w:color="000000" w:fill="FCD5B4"/>
            <w:vAlign w:val="center"/>
          </w:tcPr>
          <w:p w14:paraId="0AA9D58E" w14:textId="0AB10459" w:rsidR="00131AB6" w:rsidRPr="00FA38E6" w:rsidRDefault="00BE7A48" w:rsidP="00425D7E">
            <w:pPr>
              <w:jc w:val="right"/>
              <w:rPr>
                <w:rFonts w:ascii="Calibri" w:hAnsi="Calibri"/>
                <w:b/>
                <w:bCs/>
                <w:lang w:eastAsia="en-GB"/>
              </w:rPr>
            </w:pPr>
            <w:r>
              <w:rPr>
                <w:rFonts w:ascii="Calibri" w:hAnsi="Calibri"/>
                <w:b/>
                <w:bCs/>
                <w:lang w:eastAsia="en-GB"/>
              </w:rPr>
              <w:t>317</w:t>
            </w:r>
          </w:p>
        </w:tc>
        <w:tc>
          <w:tcPr>
            <w:tcW w:w="1701" w:type="dxa"/>
            <w:tcBorders>
              <w:top w:val="single" w:sz="4" w:space="0" w:color="FFFFFF" w:themeColor="background1"/>
              <w:left w:val="nil"/>
              <w:bottom w:val="single" w:sz="4" w:space="0" w:color="FFFFFF"/>
              <w:right w:val="single" w:sz="4" w:space="0" w:color="FFFFFF" w:themeColor="background1"/>
            </w:tcBorders>
            <w:shd w:val="clear" w:color="000000" w:fill="FCD5B4"/>
          </w:tcPr>
          <w:p w14:paraId="61D7AABA" w14:textId="11A422E2" w:rsidR="00131AB6" w:rsidRDefault="00685CEF" w:rsidP="00425D7E">
            <w:pPr>
              <w:jc w:val="right"/>
              <w:rPr>
                <w:rFonts w:ascii="Calibri" w:hAnsi="Calibri"/>
                <w:b/>
                <w:bCs/>
                <w:lang w:eastAsia="en-GB"/>
              </w:rPr>
            </w:pPr>
            <w:r>
              <w:rPr>
                <w:rFonts w:ascii="Calibri" w:hAnsi="Calibri"/>
                <w:b/>
                <w:bCs/>
                <w:lang w:eastAsia="en-GB"/>
              </w:rPr>
              <w:t>0</w:t>
            </w:r>
          </w:p>
        </w:tc>
        <w:tc>
          <w:tcPr>
            <w:tcW w:w="1417" w:type="dxa"/>
            <w:tcBorders>
              <w:top w:val="single" w:sz="4" w:space="0" w:color="FFFFFF" w:themeColor="background1"/>
              <w:left w:val="single" w:sz="4" w:space="0" w:color="FFFFFF" w:themeColor="background1"/>
              <w:bottom w:val="single" w:sz="4" w:space="0" w:color="FFFFFF"/>
              <w:right w:val="single" w:sz="4" w:space="0" w:color="FFFFFF"/>
            </w:tcBorders>
            <w:shd w:val="clear" w:color="000000" w:fill="FCD5B4"/>
            <w:vAlign w:val="center"/>
          </w:tcPr>
          <w:p w14:paraId="30724F66" w14:textId="0DDEF652" w:rsidR="00131AB6" w:rsidRPr="00FA38E6" w:rsidRDefault="001B4D9E" w:rsidP="00425D7E">
            <w:pPr>
              <w:jc w:val="right"/>
              <w:rPr>
                <w:rFonts w:ascii="Calibri" w:hAnsi="Calibri"/>
                <w:b/>
                <w:bCs/>
                <w:lang w:eastAsia="en-GB"/>
              </w:rPr>
            </w:pPr>
            <w:r>
              <w:rPr>
                <w:rFonts w:ascii="Calibri" w:hAnsi="Calibri"/>
                <w:b/>
                <w:bCs/>
                <w:lang w:eastAsia="en-GB"/>
              </w:rPr>
              <w:t>317</w:t>
            </w:r>
          </w:p>
        </w:tc>
      </w:tr>
    </w:tbl>
    <w:p w14:paraId="010ABDEB" w14:textId="77777777" w:rsidR="009B3660" w:rsidRDefault="009B3660" w:rsidP="00707761">
      <w:pPr>
        <w:widowControl w:val="0"/>
        <w:tabs>
          <w:tab w:val="left" w:pos="567"/>
          <w:tab w:val="left" w:pos="7200"/>
          <w:tab w:val="left" w:pos="8460"/>
        </w:tabs>
        <w:rPr>
          <w:rFonts w:asciiTheme="minorHAnsi" w:hAnsiTheme="minorHAnsi" w:cs="Arial"/>
          <w:b/>
          <w:sz w:val="24"/>
          <w:szCs w:val="24"/>
        </w:rPr>
      </w:pPr>
    </w:p>
    <w:p w14:paraId="224C1A3C" w14:textId="38AAAB66" w:rsidR="00131AB6" w:rsidRDefault="00131AB6" w:rsidP="00131AB6">
      <w:pPr>
        <w:widowControl w:val="0"/>
        <w:tabs>
          <w:tab w:val="left" w:pos="567"/>
          <w:tab w:val="left" w:pos="7200"/>
          <w:tab w:val="left" w:pos="8460"/>
        </w:tabs>
        <w:jc w:val="both"/>
        <w:rPr>
          <w:rFonts w:asciiTheme="minorHAnsi" w:hAnsiTheme="minorHAnsi" w:cstheme="minorHAnsi"/>
          <w:sz w:val="22"/>
          <w:szCs w:val="22"/>
        </w:rPr>
      </w:pPr>
      <w:r w:rsidRPr="00131AB6">
        <w:rPr>
          <w:rFonts w:asciiTheme="minorHAnsi" w:hAnsiTheme="minorHAnsi" w:cstheme="minorHAnsi"/>
          <w:sz w:val="22"/>
          <w:szCs w:val="22"/>
        </w:rPr>
        <w:t>Collection Fund Appeals:</w:t>
      </w:r>
    </w:p>
    <w:p w14:paraId="067E457E" w14:textId="77777777" w:rsidR="00131AB6" w:rsidRPr="00131AB6" w:rsidRDefault="00131AB6" w:rsidP="00131AB6">
      <w:pPr>
        <w:widowControl w:val="0"/>
        <w:tabs>
          <w:tab w:val="left" w:pos="567"/>
          <w:tab w:val="left" w:pos="7200"/>
          <w:tab w:val="left" w:pos="8460"/>
        </w:tabs>
        <w:jc w:val="both"/>
        <w:rPr>
          <w:rFonts w:asciiTheme="minorHAnsi" w:hAnsiTheme="minorHAnsi" w:cstheme="minorHAnsi"/>
          <w:sz w:val="22"/>
          <w:szCs w:val="22"/>
        </w:rPr>
      </w:pPr>
    </w:p>
    <w:p w14:paraId="5C97394D" w14:textId="5549CA8A" w:rsidR="00131AB6" w:rsidRPr="00131AB6" w:rsidRDefault="00131AB6" w:rsidP="00131AB6">
      <w:pPr>
        <w:pStyle w:val="ListParagraph"/>
        <w:widowControl w:val="0"/>
        <w:tabs>
          <w:tab w:val="left" w:pos="142"/>
          <w:tab w:val="left" w:pos="7200"/>
          <w:tab w:val="left" w:pos="8460"/>
        </w:tabs>
        <w:ind w:left="0" w:right="142"/>
        <w:jc w:val="both"/>
        <w:rPr>
          <w:rFonts w:asciiTheme="minorHAnsi" w:hAnsiTheme="minorHAnsi" w:cstheme="minorHAnsi"/>
          <w:sz w:val="22"/>
          <w:szCs w:val="22"/>
        </w:rPr>
      </w:pPr>
      <w:r w:rsidRPr="00131AB6">
        <w:rPr>
          <w:rFonts w:asciiTheme="minorHAnsi" w:hAnsiTheme="minorHAnsi" w:cstheme="minorHAnsi"/>
          <w:sz w:val="22"/>
          <w:szCs w:val="22"/>
        </w:rPr>
        <w:t xml:space="preserve">This represents the Council’s proportion of the difference between the provision for losses due to appeals in respect of the Collection Fund </w:t>
      </w:r>
      <w:proofErr w:type="gramStart"/>
      <w:r w:rsidRPr="00131AB6">
        <w:rPr>
          <w:rFonts w:asciiTheme="minorHAnsi" w:hAnsiTheme="minorHAnsi" w:cstheme="minorHAnsi"/>
          <w:sz w:val="22"/>
          <w:szCs w:val="22"/>
        </w:rPr>
        <w:t>at</w:t>
      </w:r>
      <w:proofErr w:type="gramEnd"/>
      <w:r w:rsidRPr="00131AB6">
        <w:rPr>
          <w:rFonts w:asciiTheme="minorHAnsi" w:hAnsiTheme="minorHAnsi" w:cstheme="minorHAnsi"/>
          <w:sz w:val="22"/>
          <w:szCs w:val="22"/>
        </w:rPr>
        <w:t xml:space="preserve"> 31 March 202</w:t>
      </w:r>
      <w:r w:rsidR="00C814BE">
        <w:rPr>
          <w:rFonts w:asciiTheme="minorHAnsi" w:hAnsiTheme="minorHAnsi" w:cstheme="minorHAnsi"/>
          <w:sz w:val="22"/>
          <w:szCs w:val="22"/>
        </w:rPr>
        <w:t>3</w:t>
      </w:r>
      <w:r w:rsidRPr="00131AB6">
        <w:rPr>
          <w:rFonts w:asciiTheme="minorHAnsi" w:hAnsiTheme="minorHAnsi" w:cstheme="minorHAnsi"/>
          <w:sz w:val="22"/>
          <w:szCs w:val="22"/>
        </w:rPr>
        <w:t>, compared to that at 31 March 202</w:t>
      </w:r>
      <w:r w:rsidR="00C814BE">
        <w:rPr>
          <w:rFonts w:asciiTheme="minorHAnsi" w:hAnsiTheme="minorHAnsi" w:cstheme="minorHAnsi"/>
          <w:sz w:val="22"/>
          <w:szCs w:val="22"/>
        </w:rPr>
        <w:t>2</w:t>
      </w:r>
      <w:r w:rsidRPr="00131AB6">
        <w:rPr>
          <w:rFonts w:asciiTheme="minorHAnsi" w:hAnsiTheme="minorHAnsi" w:cstheme="minorHAnsi"/>
          <w:sz w:val="22"/>
          <w:szCs w:val="22"/>
        </w:rPr>
        <w:t xml:space="preserve">.  </w:t>
      </w:r>
      <w:r w:rsidRPr="00182981">
        <w:rPr>
          <w:rFonts w:asciiTheme="minorHAnsi" w:hAnsiTheme="minorHAnsi" w:cstheme="minorHAnsi"/>
          <w:sz w:val="22"/>
          <w:szCs w:val="22"/>
        </w:rPr>
        <w:t xml:space="preserve">Timings of the outflows for appeals made depend substantially on the Valuation Office Agency and their processes and priorities, some appeals made in 2010 are still not resolved or are resolved several years after the appeal has been received.  Further uncertainty around timings </w:t>
      </w:r>
      <w:proofErr w:type="gramStart"/>
      <w:r w:rsidRPr="00182981">
        <w:rPr>
          <w:rFonts w:asciiTheme="minorHAnsi" w:hAnsiTheme="minorHAnsi" w:cstheme="minorHAnsi"/>
          <w:sz w:val="22"/>
          <w:szCs w:val="22"/>
        </w:rPr>
        <w:t>include</w:t>
      </w:r>
      <w:proofErr w:type="gramEnd"/>
      <w:r w:rsidRPr="00182981">
        <w:rPr>
          <w:rFonts w:asciiTheme="minorHAnsi" w:hAnsiTheme="minorHAnsi" w:cstheme="minorHAnsi"/>
          <w:sz w:val="22"/>
          <w:szCs w:val="22"/>
        </w:rPr>
        <w:t xml:space="preserve"> the impact of global pandemics or other such events outside anyone’s control, changes in legislation and the quality of information provided.</w:t>
      </w:r>
    </w:p>
    <w:p w14:paraId="307E2015" w14:textId="77777777" w:rsidR="00131AB6" w:rsidRPr="00131AB6" w:rsidRDefault="00131AB6" w:rsidP="00131AB6">
      <w:pPr>
        <w:pStyle w:val="ListParagraph"/>
        <w:widowControl w:val="0"/>
        <w:tabs>
          <w:tab w:val="left" w:pos="142"/>
          <w:tab w:val="left" w:pos="7200"/>
          <w:tab w:val="left" w:pos="8460"/>
        </w:tabs>
        <w:ind w:left="0" w:right="142"/>
        <w:jc w:val="both"/>
        <w:rPr>
          <w:rFonts w:asciiTheme="minorHAnsi" w:hAnsiTheme="minorHAnsi" w:cstheme="minorHAnsi"/>
          <w:sz w:val="22"/>
          <w:szCs w:val="22"/>
        </w:rPr>
      </w:pPr>
    </w:p>
    <w:p w14:paraId="71A188B0" w14:textId="77777777" w:rsidR="00131AB6" w:rsidRPr="00131AB6" w:rsidRDefault="00131AB6" w:rsidP="00131AB6">
      <w:pPr>
        <w:pStyle w:val="ListParagraph"/>
        <w:widowControl w:val="0"/>
        <w:tabs>
          <w:tab w:val="left" w:pos="142"/>
          <w:tab w:val="left" w:pos="7200"/>
          <w:tab w:val="left" w:pos="8460"/>
        </w:tabs>
        <w:ind w:left="0" w:right="142"/>
        <w:jc w:val="both"/>
        <w:rPr>
          <w:rFonts w:asciiTheme="minorHAnsi" w:hAnsiTheme="minorHAnsi" w:cstheme="minorHAnsi"/>
          <w:sz w:val="22"/>
          <w:szCs w:val="22"/>
        </w:rPr>
      </w:pPr>
      <w:r w:rsidRPr="00131AB6">
        <w:rPr>
          <w:rFonts w:asciiTheme="minorHAnsi" w:hAnsiTheme="minorHAnsi" w:cstheme="minorHAnsi"/>
          <w:sz w:val="22"/>
          <w:szCs w:val="22"/>
        </w:rPr>
        <w:t>Employee Termination Benefits:</w:t>
      </w:r>
    </w:p>
    <w:p w14:paraId="5D05B794" w14:textId="77777777" w:rsidR="00131AB6" w:rsidRPr="00131AB6" w:rsidRDefault="00131AB6" w:rsidP="00131AB6">
      <w:pPr>
        <w:pStyle w:val="ListParagraph"/>
        <w:widowControl w:val="0"/>
        <w:tabs>
          <w:tab w:val="left" w:pos="142"/>
          <w:tab w:val="left" w:pos="7200"/>
          <w:tab w:val="left" w:pos="8460"/>
        </w:tabs>
        <w:ind w:left="0" w:right="142"/>
        <w:jc w:val="both"/>
        <w:rPr>
          <w:rFonts w:asciiTheme="minorHAnsi" w:hAnsiTheme="minorHAnsi" w:cstheme="minorHAnsi"/>
          <w:sz w:val="22"/>
          <w:szCs w:val="22"/>
        </w:rPr>
      </w:pPr>
    </w:p>
    <w:p w14:paraId="3F609B7B" w14:textId="1B613A41" w:rsidR="00131AB6" w:rsidRPr="00131AB6" w:rsidRDefault="00131AB6" w:rsidP="00131AB6">
      <w:pPr>
        <w:widowControl w:val="0"/>
        <w:tabs>
          <w:tab w:val="left" w:pos="142"/>
          <w:tab w:val="left" w:pos="7200"/>
          <w:tab w:val="left" w:pos="8460"/>
        </w:tabs>
        <w:ind w:right="142"/>
        <w:jc w:val="both"/>
        <w:rPr>
          <w:rFonts w:asciiTheme="minorHAnsi" w:hAnsiTheme="minorHAnsi" w:cstheme="minorHAnsi"/>
          <w:sz w:val="22"/>
          <w:szCs w:val="22"/>
        </w:rPr>
      </w:pPr>
      <w:r w:rsidRPr="00586307">
        <w:rPr>
          <w:rFonts w:asciiTheme="minorHAnsi" w:hAnsiTheme="minorHAnsi" w:cstheme="minorHAnsi"/>
          <w:sz w:val="22"/>
          <w:szCs w:val="22"/>
        </w:rPr>
        <w:t>This represents the amount of termination benefits to employees which at the balance sheet date has been approved by the Council</w:t>
      </w:r>
      <w:r w:rsidRPr="00DC6897">
        <w:rPr>
          <w:rFonts w:asciiTheme="minorHAnsi" w:hAnsiTheme="minorHAnsi" w:cstheme="minorHAnsi"/>
          <w:sz w:val="22"/>
          <w:szCs w:val="22"/>
        </w:rPr>
        <w:t>.  Th</w:t>
      </w:r>
      <w:r w:rsidR="00586307" w:rsidRPr="00DC6897">
        <w:rPr>
          <w:rFonts w:asciiTheme="minorHAnsi" w:hAnsiTheme="minorHAnsi" w:cstheme="minorHAnsi"/>
          <w:sz w:val="22"/>
          <w:szCs w:val="22"/>
        </w:rPr>
        <w:t xml:space="preserve">ere are none </w:t>
      </w:r>
      <w:proofErr w:type="gramStart"/>
      <w:r w:rsidR="00586307" w:rsidRPr="00DC6897">
        <w:rPr>
          <w:rFonts w:asciiTheme="minorHAnsi" w:hAnsiTheme="minorHAnsi" w:cstheme="minorHAnsi"/>
          <w:sz w:val="22"/>
          <w:szCs w:val="22"/>
        </w:rPr>
        <w:t>at</w:t>
      </w:r>
      <w:proofErr w:type="gramEnd"/>
      <w:r w:rsidR="00586307" w:rsidRPr="00DC6897">
        <w:rPr>
          <w:rFonts w:asciiTheme="minorHAnsi" w:hAnsiTheme="minorHAnsi" w:cstheme="minorHAnsi"/>
          <w:sz w:val="22"/>
          <w:szCs w:val="22"/>
        </w:rPr>
        <w:t xml:space="preserve"> 31 March 202</w:t>
      </w:r>
      <w:r w:rsidR="00C814BE" w:rsidRPr="00DC6897">
        <w:rPr>
          <w:rFonts w:asciiTheme="minorHAnsi" w:hAnsiTheme="minorHAnsi" w:cstheme="minorHAnsi"/>
          <w:sz w:val="22"/>
          <w:szCs w:val="22"/>
        </w:rPr>
        <w:t>3</w:t>
      </w:r>
      <w:r w:rsidRPr="00DC6897">
        <w:rPr>
          <w:rFonts w:asciiTheme="minorHAnsi" w:hAnsiTheme="minorHAnsi" w:cstheme="minorHAnsi"/>
          <w:sz w:val="22"/>
          <w:szCs w:val="22"/>
        </w:rPr>
        <w:t>.</w:t>
      </w:r>
    </w:p>
    <w:p w14:paraId="6E2A052F" w14:textId="334004F3" w:rsidR="008917BB" w:rsidRPr="00484DC3" w:rsidRDefault="00C93755" w:rsidP="007C6C6F">
      <w:pPr>
        <w:pStyle w:val="Heading2"/>
      </w:pPr>
      <w:r>
        <w:lastRenderedPageBreak/>
        <w:t>3</w:t>
      </w:r>
      <w:r w:rsidR="00D3279C">
        <w:t>3</w:t>
      </w:r>
      <w:r w:rsidR="008917BB" w:rsidRPr="00484DC3">
        <w:tab/>
        <w:t>C</w:t>
      </w:r>
      <w:r w:rsidR="00484DC3" w:rsidRPr="00484DC3">
        <w:t xml:space="preserve">ontingent </w:t>
      </w:r>
      <w:r w:rsidR="00B45F71">
        <w:t>Asset</w:t>
      </w:r>
      <w:r w:rsidR="002D5F70">
        <w:t>s</w:t>
      </w:r>
      <w:r w:rsidR="006728E5">
        <w:t xml:space="preserve"> and Liabilities</w:t>
      </w:r>
    </w:p>
    <w:p w14:paraId="5D15BC35" w14:textId="77777777" w:rsidR="008917BB" w:rsidRPr="00484DC3" w:rsidRDefault="008917BB" w:rsidP="008917BB">
      <w:pPr>
        <w:widowControl w:val="0"/>
        <w:tabs>
          <w:tab w:val="left" w:pos="426"/>
        </w:tabs>
        <w:spacing w:line="18" w:lineRule="atLeast"/>
        <w:ind w:left="426" w:right="567" w:hanging="426"/>
        <w:jc w:val="both"/>
        <w:rPr>
          <w:rFonts w:asciiTheme="minorHAnsi" w:hAnsiTheme="minorHAnsi" w:cs="Arial"/>
          <w:b/>
          <w:sz w:val="22"/>
          <w:szCs w:val="22"/>
        </w:rPr>
      </w:pPr>
    </w:p>
    <w:p w14:paraId="0D12E5ED" w14:textId="7BDACA34" w:rsidR="00D92350" w:rsidRDefault="0074681C" w:rsidP="00D92350">
      <w:pPr>
        <w:widowControl w:val="0"/>
        <w:spacing w:line="18" w:lineRule="atLeast"/>
        <w:jc w:val="both"/>
        <w:rPr>
          <w:rFonts w:asciiTheme="minorHAnsi" w:hAnsiTheme="minorHAnsi"/>
          <w:sz w:val="22"/>
          <w:szCs w:val="22"/>
        </w:rPr>
      </w:pPr>
      <w:r>
        <w:rPr>
          <w:rFonts w:asciiTheme="minorHAnsi" w:hAnsiTheme="minorHAnsi"/>
          <w:sz w:val="22"/>
          <w:szCs w:val="22"/>
        </w:rPr>
        <w:t xml:space="preserve">There have been no contingent assets or liabilities identified as </w:t>
      </w:r>
      <w:proofErr w:type="gramStart"/>
      <w:r>
        <w:rPr>
          <w:rFonts w:asciiTheme="minorHAnsi" w:hAnsiTheme="minorHAnsi"/>
          <w:sz w:val="22"/>
          <w:szCs w:val="22"/>
        </w:rPr>
        <w:t>at</w:t>
      </w:r>
      <w:proofErr w:type="gramEnd"/>
      <w:r>
        <w:rPr>
          <w:rFonts w:asciiTheme="minorHAnsi" w:hAnsiTheme="minorHAnsi"/>
          <w:sz w:val="22"/>
          <w:szCs w:val="22"/>
        </w:rPr>
        <w:t xml:space="preserve"> 31 March 2023. </w:t>
      </w:r>
    </w:p>
    <w:p w14:paraId="6DE1C249" w14:textId="7D771296" w:rsidR="00D74C07" w:rsidRDefault="00D74C07" w:rsidP="004B0198">
      <w:pPr>
        <w:widowControl w:val="0"/>
        <w:tabs>
          <w:tab w:val="right" w:pos="10348"/>
        </w:tabs>
        <w:spacing w:line="18" w:lineRule="atLeast"/>
        <w:jc w:val="both"/>
        <w:rPr>
          <w:rFonts w:asciiTheme="minorHAnsi" w:hAnsiTheme="minorHAnsi" w:cs="Arial"/>
          <w:sz w:val="22"/>
          <w:szCs w:val="22"/>
        </w:rPr>
      </w:pPr>
    </w:p>
    <w:p w14:paraId="08E75419" w14:textId="2E7D7214" w:rsidR="008917BB" w:rsidRDefault="008917BB" w:rsidP="007C6C6F">
      <w:pPr>
        <w:pStyle w:val="Heading2"/>
      </w:pPr>
      <w:r w:rsidRPr="00484DC3">
        <w:t>3</w:t>
      </w:r>
      <w:r w:rsidR="00D3279C">
        <w:t>4</w:t>
      </w:r>
      <w:r w:rsidRPr="00484DC3">
        <w:tab/>
        <w:t>D</w:t>
      </w:r>
      <w:r w:rsidR="00484DC3" w:rsidRPr="00484DC3">
        <w:t>efined Benefit Pension Schemes</w:t>
      </w:r>
    </w:p>
    <w:p w14:paraId="1D8E3E9D" w14:textId="77777777" w:rsidR="000F4A88" w:rsidRPr="000F4A88" w:rsidRDefault="000F4A88" w:rsidP="000F4A88"/>
    <w:p w14:paraId="534AE204" w14:textId="7F97E0BD" w:rsidR="008917BB" w:rsidRPr="00D152AD" w:rsidRDefault="008917BB" w:rsidP="00D152AD">
      <w:pPr>
        <w:widowControl w:val="0"/>
        <w:tabs>
          <w:tab w:val="left" w:pos="1701"/>
          <w:tab w:val="left" w:pos="7200"/>
          <w:tab w:val="left" w:pos="8640"/>
        </w:tabs>
        <w:ind w:right="-288"/>
        <w:rPr>
          <w:rFonts w:asciiTheme="minorHAnsi" w:hAnsiTheme="minorHAnsi" w:cs="Arial"/>
          <w:sz w:val="24"/>
          <w:szCs w:val="24"/>
        </w:rPr>
      </w:pPr>
      <w:r w:rsidRPr="00484DC3">
        <w:rPr>
          <w:rFonts w:asciiTheme="minorHAnsi" w:hAnsiTheme="minorHAnsi" w:cs="Arial"/>
          <w:b/>
          <w:sz w:val="24"/>
          <w:szCs w:val="24"/>
        </w:rPr>
        <w:t>Participation in Pensions Scheme</w:t>
      </w:r>
    </w:p>
    <w:p w14:paraId="7ACDA5DE" w14:textId="38D4BC74" w:rsidR="008917BB" w:rsidRDefault="008917BB" w:rsidP="008917BB">
      <w:pPr>
        <w:widowControl w:val="0"/>
        <w:tabs>
          <w:tab w:val="left" w:pos="1701"/>
          <w:tab w:val="left" w:pos="7200"/>
          <w:tab w:val="left" w:pos="8640"/>
          <w:tab w:val="left" w:pos="10348"/>
        </w:tabs>
        <w:jc w:val="both"/>
        <w:rPr>
          <w:rFonts w:asciiTheme="minorHAnsi" w:hAnsiTheme="minorHAnsi" w:cs="Arial"/>
          <w:sz w:val="22"/>
          <w:szCs w:val="22"/>
        </w:rPr>
      </w:pPr>
      <w:r w:rsidRPr="00484DC3">
        <w:rPr>
          <w:rFonts w:asciiTheme="minorHAnsi" w:hAnsiTheme="minorHAnsi" w:cs="Arial"/>
          <w:sz w:val="22"/>
          <w:szCs w:val="22"/>
        </w:rPr>
        <w:t>As part of the terms and conditions of employment of its officers, the Council makes contrib</w:t>
      </w:r>
      <w:r w:rsidR="00A31DA2">
        <w:rPr>
          <w:rFonts w:asciiTheme="minorHAnsi" w:hAnsiTheme="minorHAnsi" w:cs="Arial"/>
          <w:sz w:val="22"/>
          <w:szCs w:val="22"/>
        </w:rPr>
        <w:t>utions towards the cost of post-</w:t>
      </w:r>
      <w:r w:rsidRPr="00484DC3">
        <w:rPr>
          <w:rFonts w:asciiTheme="minorHAnsi" w:hAnsiTheme="minorHAnsi" w:cs="Arial"/>
          <w:sz w:val="22"/>
          <w:szCs w:val="22"/>
        </w:rPr>
        <w:t>employment benefits. Although these benefits will not actually be payable until employees retire, the Council has a commitment to make the payments (for those benefits) and to disclose them at the time that employees earn their future entitlement.</w:t>
      </w:r>
    </w:p>
    <w:p w14:paraId="3E611D80" w14:textId="77777777" w:rsidR="00D74C07" w:rsidRPr="00484DC3" w:rsidRDefault="00D74C07" w:rsidP="008917BB">
      <w:pPr>
        <w:widowControl w:val="0"/>
        <w:tabs>
          <w:tab w:val="left" w:pos="1701"/>
          <w:tab w:val="left" w:pos="7200"/>
          <w:tab w:val="left" w:pos="8640"/>
          <w:tab w:val="left" w:pos="9781"/>
        </w:tabs>
        <w:ind w:right="567"/>
        <w:jc w:val="both"/>
        <w:rPr>
          <w:rFonts w:asciiTheme="minorHAnsi" w:hAnsiTheme="minorHAnsi" w:cs="Arial"/>
          <w:sz w:val="22"/>
          <w:szCs w:val="22"/>
        </w:rPr>
      </w:pPr>
    </w:p>
    <w:p w14:paraId="2EB5880D" w14:textId="77777777" w:rsidR="008917BB" w:rsidRPr="00484DC3" w:rsidRDefault="008917BB" w:rsidP="008917BB">
      <w:pPr>
        <w:widowControl w:val="0"/>
        <w:tabs>
          <w:tab w:val="left" w:pos="1701"/>
          <w:tab w:val="left" w:pos="7200"/>
          <w:tab w:val="left" w:pos="8640"/>
        </w:tabs>
        <w:ind w:right="-288"/>
        <w:jc w:val="both"/>
        <w:rPr>
          <w:rFonts w:asciiTheme="minorHAnsi" w:hAnsiTheme="minorHAnsi" w:cs="Arial"/>
          <w:b/>
          <w:sz w:val="22"/>
          <w:szCs w:val="22"/>
        </w:rPr>
      </w:pPr>
      <w:r w:rsidRPr="00484DC3">
        <w:rPr>
          <w:rFonts w:asciiTheme="minorHAnsi" w:hAnsiTheme="minorHAnsi" w:cs="Arial"/>
          <w:b/>
          <w:sz w:val="22"/>
          <w:szCs w:val="22"/>
        </w:rPr>
        <w:t>The Council participates in the following:</w:t>
      </w:r>
    </w:p>
    <w:p w14:paraId="05311851" w14:textId="77777777" w:rsidR="008917BB" w:rsidRPr="00484DC3" w:rsidRDefault="008917BB" w:rsidP="008917BB">
      <w:pPr>
        <w:widowControl w:val="0"/>
        <w:tabs>
          <w:tab w:val="left" w:pos="1701"/>
          <w:tab w:val="left" w:pos="7200"/>
          <w:tab w:val="left" w:pos="8640"/>
        </w:tabs>
        <w:ind w:right="-288"/>
        <w:jc w:val="both"/>
        <w:rPr>
          <w:rFonts w:asciiTheme="minorHAnsi" w:hAnsiTheme="minorHAnsi" w:cs="Arial"/>
          <w:sz w:val="22"/>
          <w:szCs w:val="22"/>
        </w:rPr>
      </w:pPr>
    </w:p>
    <w:p w14:paraId="477E9ABD" w14:textId="77777777" w:rsidR="008917BB" w:rsidRPr="00484DC3" w:rsidRDefault="008917BB" w:rsidP="008917BB">
      <w:pPr>
        <w:widowControl w:val="0"/>
        <w:tabs>
          <w:tab w:val="left" w:pos="1701"/>
          <w:tab w:val="left" w:pos="7200"/>
          <w:tab w:val="left" w:pos="8640"/>
        </w:tabs>
        <w:jc w:val="both"/>
        <w:rPr>
          <w:rFonts w:asciiTheme="minorHAnsi" w:hAnsiTheme="minorHAnsi" w:cs="Arial"/>
          <w:sz w:val="22"/>
          <w:szCs w:val="22"/>
        </w:rPr>
      </w:pPr>
      <w:r w:rsidRPr="008B3132">
        <w:rPr>
          <w:rFonts w:asciiTheme="minorHAnsi" w:hAnsiTheme="minorHAnsi" w:cs="Arial"/>
          <w:sz w:val="22"/>
          <w:szCs w:val="22"/>
        </w:rPr>
        <w:t xml:space="preserve">The Local Government Pension Scheme administered by Leicestershire County Council – this is a funded defined </w:t>
      </w:r>
      <w:r w:rsidR="00656E37" w:rsidRPr="008B3132">
        <w:rPr>
          <w:rFonts w:asciiTheme="minorHAnsi" w:hAnsiTheme="minorHAnsi" w:cs="Arial"/>
          <w:sz w:val="22"/>
          <w:szCs w:val="22"/>
        </w:rPr>
        <w:t>benefit on an average of earnings, revalued for inflation</w:t>
      </w:r>
      <w:r w:rsidRPr="008B3132">
        <w:rPr>
          <w:rFonts w:asciiTheme="minorHAnsi" w:hAnsiTheme="minorHAnsi" w:cs="Arial"/>
          <w:sz w:val="22"/>
          <w:szCs w:val="22"/>
        </w:rPr>
        <w:t xml:space="preserve"> scheme, meaning that the Council and employees pay contributions into a fund, calculated at a level intended to balance the pensions liabilities with investment assets.</w:t>
      </w:r>
    </w:p>
    <w:p w14:paraId="5F033128" w14:textId="77777777" w:rsidR="00A145AE" w:rsidRDefault="00A145AE" w:rsidP="00756D0B">
      <w:pPr>
        <w:widowControl w:val="0"/>
        <w:spacing w:line="228" w:lineRule="auto"/>
        <w:ind w:left="-11" w:right="-144" w:firstLine="11"/>
        <w:jc w:val="both"/>
        <w:rPr>
          <w:rStyle w:val="PageNumber"/>
          <w:rFonts w:asciiTheme="minorHAnsi" w:hAnsiTheme="minorHAnsi" w:cs="Arial"/>
          <w:b/>
          <w:sz w:val="22"/>
          <w:szCs w:val="22"/>
        </w:rPr>
      </w:pPr>
    </w:p>
    <w:p w14:paraId="1881A5F9" w14:textId="77777777" w:rsidR="00756D0B" w:rsidRPr="00B921B9" w:rsidRDefault="00756D0B" w:rsidP="00756D0B">
      <w:pPr>
        <w:widowControl w:val="0"/>
        <w:spacing w:line="228" w:lineRule="auto"/>
        <w:ind w:left="-11" w:right="-144" w:firstLine="11"/>
        <w:jc w:val="both"/>
        <w:rPr>
          <w:rFonts w:asciiTheme="minorHAnsi" w:hAnsiTheme="minorHAnsi" w:cs="Arial"/>
          <w:b/>
          <w:sz w:val="22"/>
          <w:szCs w:val="22"/>
        </w:rPr>
      </w:pPr>
      <w:r w:rsidRPr="00B921B9">
        <w:rPr>
          <w:rStyle w:val="PageNumber"/>
          <w:rFonts w:asciiTheme="minorHAnsi" w:hAnsiTheme="minorHAnsi" w:cs="Arial"/>
          <w:b/>
          <w:sz w:val="22"/>
          <w:szCs w:val="22"/>
        </w:rPr>
        <w:t>The Local Government Pension</w:t>
      </w:r>
      <w:r w:rsidRPr="00B921B9">
        <w:rPr>
          <w:rStyle w:val="PageNumber"/>
          <w:rFonts w:asciiTheme="minorHAnsi" w:hAnsiTheme="minorHAnsi"/>
          <w:sz w:val="22"/>
          <w:szCs w:val="22"/>
        </w:rPr>
        <w:t xml:space="preserve"> </w:t>
      </w:r>
      <w:r w:rsidRPr="00B921B9">
        <w:rPr>
          <w:rFonts w:asciiTheme="minorHAnsi" w:hAnsiTheme="minorHAnsi" w:cs="Arial"/>
          <w:b/>
          <w:sz w:val="22"/>
          <w:szCs w:val="22"/>
        </w:rPr>
        <w:t>Scheme</w:t>
      </w:r>
    </w:p>
    <w:p w14:paraId="40C8FE26" w14:textId="77777777" w:rsidR="00756D0B" w:rsidRPr="00B921B9" w:rsidRDefault="00756D0B" w:rsidP="00756D0B">
      <w:pPr>
        <w:widowControl w:val="0"/>
        <w:spacing w:line="228" w:lineRule="auto"/>
        <w:ind w:left="-11" w:right="-144"/>
        <w:jc w:val="both"/>
        <w:rPr>
          <w:rFonts w:asciiTheme="minorHAnsi" w:hAnsiTheme="minorHAnsi" w:cs="Arial"/>
          <w:sz w:val="22"/>
          <w:szCs w:val="22"/>
        </w:rPr>
      </w:pPr>
    </w:p>
    <w:p w14:paraId="79CAD696" w14:textId="77777777" w:rsidR="00756D0B" w:rsidRPr="00B921B9" w:rsidRDefault="00756D0B" w:rsidP="00756D0B">
      <w:pPr>
        <w:widowControl w:val="0"/>
        <w:spacing w:line="228" w:lineRule="auto"/>
        <w:ind w:right="-144"/>
        <w:jc w:val="both"/>
        <w:rPr>
          <w:rFonts w:asciiTheme="minorHAnsi" w:hAnsiTheme="minorHAnsi" w:cs="Arial"/>
          <w:sz w:val="22"/>
          <w:szCs w:val="22"/>
        </w:rPr>
      </w:pPr>
      <w:r w:rsidRPr="00B921B9">
        <w:rPr>
          <w:rFonts w:asciiTheme="minorHAnsi" w:hAnsiTheme="minorHAnsi" w:cs="Arial"/>
          <w:sz w:val="22"/>
          <w:szCs w:val="22"/>
        </w:rPr>
        <w:t>The Local Government Scheme is accounted for as a defined benefits scheme:</w:t>
      </w:r>
    </w:p>
    <w:p w14:paraId="75973013"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441C4535" w14:textId="4BDC05E8" w:rsidR="00756D0B" w:rsidRPr="00B921B9" w:rsidRDefault="00756D0B" w:rsidP="00C76AD3">
      <w:pPr>
        <w:pStyle w:val="ListParagraph"/>
        <w:widowControl w:val="0"/>
        <w:numPr>
          <w:ilvl w:val="0"/>
          <w:numId w:val="23"/>
        </w:numPr>
        <w:spacing w:line="228" w:lineRule="auto"/>
        <w:ind w:left="426" w:right="-144" w:hanging="426"/>
        <w:jc w:val="both"/>
        <w:rPr>
          <w:rFonts w:asciiTheme="minorHAnsi" w:hAnsiTheme="minorHAnsi" w:cs="Arial"/>
          <w:sz w:val="22"/>
          <w:szCs w:val="22"/>
        </w:rPr>
      </w:pPr>
      <w:r w:rsidRPr="00B921B9">
        <w:rPr>
          <w:rFonts w:asciiTheme="minorHAnsi" w:hAnsiTheme="minorHAnsi" w:cs="Arial"/>
          <w:sz w:val="22"/>
          <w:szCs w:val="22"/>
        </w:rPr>
        <w:t xml:space="preserve">The liabilities of the pension fund attributable to the Council are included in the balance sheet on an actuarial basis using the projected unit method – </w:t>
      </w:r>
      <w:r w:rsidR="00120BFE">
        <w:rPr>
          <w:rFonts w:asciiTheme="minorHAnsi" w:hAnsiTheme="minorHAnsi" w:cs="Arial"/>
          <w:sz w:val="22"/>
          <w:szCs w:val="22"/>
        </w:rPr>
        <w:t>for example,</w:t>
      </w:r>
      <w:r w:rsidRPr="00B921B9">
        <w:rPr>
          <w:rFonts w:asciiTheme="minorHAnsi" w:hAnsiTheme="minorHAnsi" w:cs="Arial"/>
          <w:sz w:val="22"/>
          <w:szCs w:val="22"/>
        </w:rPr>
        <w:t xml:space="preserve"> an assessment of the future payments that will be made in relation to retirement benefits earned to date by employees, based on assumptions about mortality rates, employee turnover rates, etc, as well as projections of earnings for current employees. </w:t>
      </w:r>
    </w:p>
    <w:p w14:paraId="0B97E949"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5DDD3FA1" w14:textId="65E74649" w:rsidR="00756D0B" w:rsidRPr="008B3132" w:rsidRDefault="00756D0B" w:rsidP="00C76AD3">
      <w:pPr>
        <w:pStyle w:val="ListParagraph"/>
        <w:widowControl w:val="0"/>
        <w:numPr>
          <w:ilvl w:val="0"/>
          <w:numId w:val="23"/>
        </w:numPr>
        <w:spacing w:line="228" w:lineRule="auto"/>
        <w:ind w:left="426" w:right="-144" w:hanging="426"/>
        <w:jc w:val="both"/>
        <w:rPr>
          <w:rFonts w:asciiTheme="minorHAnsi" w:hAnsiTheme="minorHAnsi" w:cs="Arial"/>
          <w:sz w:val="22"/>
          <w:szCs w:val="22"/>
        </w:rPr>
      </w:pPr>
      <w:r w:rsidRPr="008B3132">
        <w:rPr>
          <w:rFonts w:asciiTheme="minorHAnsi" w:hAnsiTheme="minorHAnsi" w:cs="Arial"/>
          <w:sz w:val="22"/>
          <w:szCs w:val="22"/>
        </w:rPr>
        <w:t xml:space="preserve">Liabilities are discounted to their value at current prices, using a discount </w:t>
      </w:r>
      <w:r w:rsidRPr="00BF29BD">
        <w:rPr>
          <w:rFonts w:asciiTheme="minorHAnsi" w:hAnsiTheme="minorHAnsi" w:cs="Arial"/>
          <w:sz w:val="22"/>
          <w:szCs w:val="22"/>
        </w:rPr>
        <w:t xml:space="preserve">rate </w:t>
      </w:r>
      <w:r w:rsidR="00CB4ECB" w:rsidRPr="00BF29BD">
        <w:rPr>
          <w:rFonts w:asciiTheme="minorHAnsi" w:hAnsiTheme="minorHAnsi" w:cs="Arial"/>
          <w:sz w:val="22"/>
          <w:szCs w:val="22"/>
        </w:rPr>
        <w:t xml:space="preserve">of </w:t>
      </w:r>
      <w:r w:rsidR="00BF29BD" w:rsidRPr="00BF29BD">
        <w:rPr>
          <w:rFonts w:asciiTheme="minorHAnsi" w:hAnsiTheme="minorHAnsi" w:cs="Arial"/>
          <w:sz w:val="22"/>
          <w:szCs w:val="22"/>
        </w:rPr>
        <w:t>4.75</w:t>
      </w:r>
      <w:r w:rsidRPr="00BF29BD">
        <w:rPr>
          <w:rFonts w:asciiTheme="minorHAnsi" w:hAnsiTheme="minorHAnsi" w:cs="Arial"/>
          <w:sz w:val="22"/>
          <w:szCs w:val="22"/>
        </w:rPr>
        <w:t>%</w:t>
      </w:r>
      <w:r w:rsidRPr="00736419">
        <w:rPr>
          <w:rFonts w:asciiTheme="minorHAnsi" w:hAnsiTheme="minorHAnsi" w:cs="Arial"/>
          <w:sz w:val="22"/>
          <w:szCs w:val="22"/>
        </w:rPr>
        <w:t xml:space="preserve"> (</w:t>
      </w:r>
      <w:r w:rsidRPr="00B370BA">
        <w:rPr>
          <w:rFonts w:asciiTheme="minorHAnsi" w:hAnsiTheme="minorHAnsi" w:cs="Arial"/>
          <w:sz w:val="22"/>
          <w:szCs w:val="22"/>
        </w:rPr>
        <w:t>based</w:t>
      </w:r>
      <w:r w:rsidRPr="008B3132">
        <w:rPr>
          <w:rFonts w:asciiTheme="minorHAnsi" w:hAnsiTheme="minorHAnsi" w:cs="Arial"/>
          <w:sz w:val="22"/>
          <w:szCs w:val="22"/>
        </w:rPr>
        <w:t xml:space="preserve"> on the indicative rate of return on high quality corporate bonds).</w:t>
      </w:r>
    </w:p>
    <w:p w14:paraId="0BDEE07A"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00566BC3" w14:textId="77777777" w:rsidR="00756D0B" w:rsidRPr="00B921B9" w:rsidRDefault="00756D0B" w:rsidP="00C76AD3">
      <w:pPr>
        <w:pStyle w:val="ListParagraph"/>
        <w:widowControl w:val="0"/>
        <w:numPr>
          <w:ilvl w:val="0"/>
          <w:numId w:val="23"/>
        </w:numPr>
        <w:spacing w:line="228" w:lineRule="auto"/>
        <w:ind w:left="426" w:right="-144" w:hanging="426"/>
        <w:jc w:val="both"/>
        <w:rPr>
          <w:rFonts w:asciiTheme="minorHAnsi" w:hAnsiTheme="minorHAnsi" w:cs="Arial"/>
          <w:sz w:val="22"/>
          <w:szCs w:val="22"/>
        </w:rPr>
      </w:pPr>
      <w:r w:rsidRPr="00B921B9">
        <w:rPr>
          <w:rFonts w:asciiTheme="minorHAnsi" w:hAnsiTheme="minorHAnsi" w:cs="Arial"/>
          <w:sz w:val="22"/>
          <w:szCs w:val="22"/>
        </w:rPr>
        <w:t>The assets of the pension fund attributable to the Council are included in the Balance Sheet at their fair value based upon the following:</w:t>
      </w:r>
    </w:p>
    <w:p w14:paraId="0E70B73D"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153256C3" w14:textId="77777777" w:rsidR="00756D0B" w:rsidRPr="00B921B9" w:rsidRDefault="00756D0B" w:rsidP="00C76AD3">
      <w:pPr>
        <w:widowControl w:val="0"/>
        <w:numPr>
          <w:ilvl w:val="1"/>
          <w:numId w:val="4"/>
        </w:numPr>
        <w:tabs>
          <w:tab w:val="clear" w:pos="1069"/>
          <w:tab w:val="num" w:pos="851"/>
        </w:tabs>
        <w:spacing w:after="60" w:line="228" w:lineRule="auto"/>
        <w:ind w:left="0" w:right="-142" w:firstLine="426"/>
        <w:jc w:val="both"/>
        <w:rPr>
          <w:rFonts w:asciiTheme="minorHAnsi" w:hAnsiTheme="minorHAnsi" w:cs="Arial"/>
          <w:sz w:val="22"/>
          <w:szCs w:val="22"/>
        </w:rPr>
      </w:pPr>
      <w:r w:rsidRPr="00B921B9">
        <w:rPr>
          <w:rFonts w:asciiTheme="minorHAnsi" w:hAnsiTheme="minorHAnsi" w:cs="Arial"/>
          <w:sz w:val="22"/>
          <w:szCs w:val="22"/>
        </w:rPr>
        <w:t xml:space="preserve">Quoted securities – current bid </w:t>
      </w:r>
      <w:proofErr w:type="gramStart"/>
      <w:r w:rsidRPr="00B921B9">
        <w:rPr>
          <w:rFonts w:asciiTheme="minorHAnsi" w:hAnsiTheme="minorHAnsi" w:cs="Arial"/>
          <w:sz w:val="22"/>
          <w:szCs w:val="22"/>
        </w:rPr>
        <w:t>price</w:t>
      </w:r>
      <w:proofErr w:type="gramEnd"/>
    </w:p>
    <w:p w14:paraId="47373024" w14:textId="77777777" w:rsidR="00756D0B" w:rsidRPr="00B921B9" w:rsidRDefault="00756D0B" w:rsidP="00C76AD3">
      <w:pPr>
        <w:widowControl w:val="0"/>
        <w:numPr>
          <w:ilvl w:val="1"/>
          <w:numId w:val="4"/>
        </w:numPr>
        <w:tabs>
          <w:tab w:val="clear" w:pos="1069"/>
          <w:tab w:val="num" w:pos="851"/>
        </w:tabs>
        <w:spacing w:after="60" w:line="228" w:lineRule="auto"/>
        <w:ind w:left="0" w:right="-142" w:firstLine="426"/>
        <w:jc w:val="both"/>
        <w:rPr>
          <w:rFonts w:asciiTheme="minorHAnsi" w:hAnsiTheme="minorHAnsi" w:cs="Arial"/>
          <w:sz w:val="22"/>
          <w:szCs w:val="22"/>
        </w:rPr>
      </w:pPr>
      <w:r w:rsidRPr="00B921B9">
        <w:rPr>
          <w:rFonts w:asciiTheme="minorHAnsi" w:hAnsiTheme="minorHAnsi" w:cs="Arial"/>
          <w:sz w:val="22"/>
          <w:szCs w:val="22"/>
        </w:rPr>
        <w:t>Unquoted securities – professional estimate</w:t>
      </w:r>
    </w:p>
    <w:p w14:paraId="2B3EB50B" w14:textId="77777777" w:rsidR="00756D0B" w:rsidRPr="00B921B9" w:rsidRDefault="00756D0B" w:rsidP="00C76AD3">
      <w:pPr>
        <w:widowControl w:val="0"/>
        <w:numPr>
          <w:ilvl w:val="1"/>
          <w:numId w:val="4"/>
        </w:numPr>
        <w:tabs>
          <w:tab w:val="clear" w:pos="1069"/>
          <w:tab w:val="num" w:pos="851"/>
        </w:tabs>
        <w:spacing w:after="60" w:line="228" w:lineRule="auto"/>
        <w:ind w:left="0" w:right="-142" w:firstLine="426"/>
        <w:jc w:val="both"/>
        <w:rPr>
          <w:rFonts w:asciiTheme="minorHAnsi" w:hAnsiTheme="minorHAnsi" w:cs="Arial"/>
          <w:sz w:val="22"/>
          <w:szCs w:val="22"/>
        </w:rPr>
      </w:pPr>
      <w:r w:rsidRPr="00B921B9">
        <w:rPr>
          <w:rFonts w:asciiTheme="minorHAnsi" w:hAnsiTheme="minorHAnsi" w:cs="Arial"/>
          <w:sz w:val="22"/>
          <w:szCs w:val="22"/>
        </w:rPr>
        <w:t>Unitised securities – current bid price</w:t>
      </w:r>
    </w:p>
    <w:p w14:paraId="1FB43C7E" w14:textId="77777777" w:rsidR="00756D0B" w:rsidRPr="00B921B9" w:rsidRDefault="00756D0B" w:rsidP="00C76AD3">
      <w:pPr>
        <w:widowControl w:val="0"/>
        <w:numPr>
          <w:ilvl w:val="1"/>
          <w:numId w:val="4"/>
        </w:numPr>
        <w:tabs>
          <w:tab w:val="clear" w:pos="1069"/>
          <w:tab w:val="num" w:pos="851"/>
        </w:tabs>
        <w:spacing w:after="60" w:line="228" w:lineRule="auto"/>
        <w:ind w:left="0" w:right="-142" w:firstLine="426"/>
        <w:jc w:val="both"/>
        <w:rPr>
          <w:rFonts w:asciiTheme="minorHAnsi" w:hAnsiTheme="minorHAnsi" w:cs="Arial"/>
          <w:sz w:val="22"/>
          <w:szCs w:val="22"/>
        </w:rPr>
      </w:pPr>
      <w:r w:rsidRPr="00B921B9">
        <w:rPr>
          <w:rFonts w:asciiTheme="minorHAnsi" w:hAnsiTheme="minorHAnsi" w:cs="Arial"/>
          <w:sz w:val="22"/>
          <w:szCs w:val="22"/>
        </w:rPr>
        <w:t>Property – market value.</w:t>
      </w:r>
    </w:p>
    <w:p w14:paraId="60816AEA"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5FEF753D" w14:textId="77777777" w:rsidR="00756D0B" w:rsidRDefault="00756D0B" w:rsidP="00756D0B">
      <w:pPr>
        <w:widowControl w:val="0"/>
        <w:spacing w:line="228" w:lineRule="auto"/>
        <w:ind w:right="-144"/>
        <w:jc w:val="both"/>
        <w:rPr>
          <w:rFonts w:asciiTheme="minorHAnsi" w:hAnsiTheme="minorHAnsi" w:cs="Arial"/>
          <w:sz w:val="22"/>
          <w:szCs w:val="22"/>
        </w:rPr>
      </w:pPr>
      <w:r w:rsidRPr="00B921B9">
        <w:rPr>
          <w:rFonts w:asciiTheme="minorHAnsi" w:hAnsiTheme="minorHAnsi" w:cs="Arial"/>
          <w:sz w:val="22"/>
          <w:szCs w:val="22"/>
        </w:rPr>
        <w:t>The change in the net pension’s liability is analysed into the following components:</w:t>
      </w:r>
    </w:p>
    <w:p w14:paraId="00718406" w14:textId="77777777" w:rsidR="00756D0B" w:rsidRPr="00B921B9" w:rsidRDefault="00756D0B" w:rsidP="00756D0B">
      <w:pPr>
        <w:widowControl w:val="0"/>
        <w:spacing w:line="228" w:lineRule="auto"/>
        <w:ind w:right="-144"/>
        <w:jc w:val="both"/>
        <w:rPr>
          <w:rFonts w:asciiTheme="minorHAnsi" w:hAnsiTheme="minorHAnsi" w:cs="Arial"/>
          <w:sz w:val="22"/>
          <w:szCs w:val="22"/>
        </w:rPr>
      </w:pPr>
    </w:p>
    <w:p w14:paraId="1DE28C02" w14:textId="22427815" w:rsidR="00756D0B" w:rsidRDefault="00756D0B" w:rsidP="00756D0B">
      <w:pPr>
        <w:widowControl w:val="0"/>
        <w:spacing w:line="228" w:lineRule="auto"/>
        <w:ind w:right="-144"/>
        <w:jc w:val="both"/>
        <w:rPr>
          <w:rFonts w:asciiTheme="minorHAnsi" w:hAnsiTheme="minorHAnsi" w:cs="Arial"/>
          <w:b/>
          <w:sz w:val="22"/>
          <w:szCs w:val="22"/>
        </w:rPr>
      </w:pPr>
      <w:r w:rsidRPr="00B921B9">
        <w:rPr>
          <w:rFonts w:asciiTheme="minorHAnsi" w:hAnsiTheme="minorHAnsi" w:cs="Arial"/>
          <w:b/>
          <w:sz w:val="22"/>
          <w:szCs w:val="22"/>
        </w:rPr>
        <w:t>Service Cost Comprising:</w:t>
      </w:r>
    </w:p>
    <w:p w14:paraId="1721FA8D" w14:textId="77777777" w:rsidR="00756D0B" w:rsidRPr="00B921B9" w:rsidRDefault="00756D0B" w:rsidP="00C76AD3">
      <w:pPr>
        <w:pStyle w:val="ListParagraph"/>
        <w:widowControl w:val="0"/>
        <w:numPr>
          <w:ilvl w:val="0"/>
          <w:numId w:val="24"/>
        </w:numPr>
        <w:spacing w:line="228" w:lineRule="auto"/>
        <w:ind w:left="426" w:right="-144" w:hanging="426"/>
        <w:jc w:val="both"/>
        <w:rPr>
          <w:rFonts w:asciiTheme="minorHAnsi" w:hAnsiTheme="minorHAnsi" w:cs="Arial"/>
          <w:sz w:val="22"/>
          <w:szCs w:val="22"/>
        </w:rPr>
      </w:pPr>
      <w:r w:rsidRPr="00B921B9">
        <w:rPr>
          <w:rFonts w:asciiTheme="minorHAnsi" w:hAnsiTheme="minorHAnsi" w:cs="Arial"/>
          <w:b/>
          <w:sz w:val="22"/>
          <w:szCs w:val="22"/>
        </w:rPr>
        <w:t>Current service cost</w:t>
      </w:r>
      <w:r w:rsidRPr="00B921B9">
        <w:rPr>
          <w:rFonts w:asciiTheme="minorHAnsi" w:hAnsiTheme="minorHAnsi" w:cs="Arial"/>
          <w:sz w:val="22"/>
          <w:szCs w:val="22"/>
        </w:rPr>
        <w:t xml:space="preserve"> – the increase in liabilities as a result of years of service earned this year – allocated in the Comprehensive Income and Expenditure Statement to the services for which the employees worked.</w:t>
      </w:r>
    </w:p>
    <w:p w14:paraId="0D95BFB1" w14:textId="77777777" w:rsidR="00756D0B" w:rsidRPr="00B921B9" w:rsidRDefault="00756D0B" w:rsidP="00C76AD3">
      <w:pPr>
        <w:pStyle w:val="ListParagraph"/>
        <w:widowControl w:val="0"/>
        <w:numPr>
          <w:ilvl w:val="0"/>
          <w:numId w:val="24"/>
        </w:numPr>
        <w:spacing w:line="228" w:lineRule="auto"/>
        <w:ind w:left="426" w:right="-144" w:hanging="426"/>
        <w:jc w:val="both"/>
        <w:rPr>
          <w:rFonts w:asciiTheme="minorHAnsi" w:hAnsiTheme="minorHAnsi" w:cs="Arial"/>
          <w:sz w:val="22"/>
          <w:szCs w:val="22"/>
        </w:rPr>
      </w:pPr>
      <w:r w:rsidRPr="00B921B9">
        <w:rPr>
          <w:rFonts w:asciiTheme="minorHAnsi" w:hAnsiTheme="minorHAnsi" w:cs="Arial"/>
          <w:b/>
          <w:sz w:val="22"/>
          <w:szCs w:val="22"/>
        </w:rPr>
        <w:t>Past service cost</w:t>
      </w:r>
      <w:r w:rsidRPr="00B921B9">
        <w:rPr>
          <w:rFonts w:asciiTheme="minorHAnsi" w:hAnsiTheme="minorHAnsi" w:cs="Arial"/>
          <w:sz w:val="22"/>
          <w:szCs w:val="22"/>
        </w:rPr>
        <w:t xml:space="preserve"> – the increase in liabilities as a result of a scheme amendment or curtailment whose effect relates to years of service earned in earlier years – debited to the Surplus or Deficit on the Provision of Services in the Comprehensive Income and Expenditure Statement as part of </w:t>
      </w:r>
      <w:proofErr w:type="gramStart"/>
      <w:r w:rsidRPr="00B921B9">
        <w:rPr>
          <w:rFonts w:asciiTheme="minorHAnsi" w:hAnsiTheme="minorHAnsi" w:cs="Arial"/>
          <w:sz w:val="22"/>
          <w:szCs w:val="22"/>
        </w:rPr>
        <w:t>Non Distributed</w:t>
      </w:r>
      <w:proofErr w:type="gramEnd"/>
      <w:r w:rsidRPr="00B921B9">
        <w:rPr>
          <w:rFonts w:asciiTheme="minorHAnsi" w:hAnsiTheme="minorHAnsi" w:cs="Arial"/>
          <w:sz w:val="22"/>
          <w:szCs w:val="22"/>
        </w:rPr>
        <w:t xml:space="preserve"> Costs.</w:t>
      </w:r>
    </w:p>
    <w:p w14:paraId="44E79792" w14:textId="4B410570" w:rsidR="00756D0B" w:rsidRDefault="00756D0B" w:rsidP="00C76AD3">
      <w:pPr>
        <w:pStyle w:val="ListParagraph"/>
        <w:widowControl w:val="0"/>
        <w:numPr>
          <w:ilvl w:val="0"/>
          <w:numId w:val="24"/>
        </w:numPr>
        <w:spacing w:line="228" w:lineRule="auto"/>
        <w:ind w:left="426" w:right="-144" w:hanging="426"/>
        <w:jc w:val="both"/>
        <w:rPr>
          <w:rFonts w:asciiTheme="minorHAnsi" w:hAnsiTheme="minorHAnsi" w:cs="Arial"/>
          <w:sz w:val="22"/>
          <w:szCs w:val="22"/>
        </w:rPr>
      </w:pPr>
      <w:r w:rsidRPr="00B921B9">
        <w:rPr>
          <w:rFonts w:asciiTheme="minorHAnsi" w:hAnsiTheme="minorHAnsi" w:cs="Arial"/>
          <w:b/>
          <w:sz w:val="22"/>
          <w:szCs w:val="22"/>
        </w:rPr>
        <w:t>Net Interest on the net defined benefit liability (asset)</w:t>
      </w:r>
      <w:r w:rsidRPr="00B921B9">
        <w:rPr>
          <w:rFonts w:asciiTheme="minorHAnsi" w:hAnsiTheme="minorHAnsi" w:cs="Arial"/>
          <w:sz w:val="22"/>
          <w:szCs w:val="22"/>
        </w:rPr>
        <w:t xml:space="preserve"> – </w:t>
      </w:r>
      <w:r w:rsidR="00120BFE">
        <w:rPr>
          <w:rFonts w:asciiTheme="minorHAnsi" w:hAnsiTheme="minorHAnsi" w:cs="Arial"/>
          <w:sz w:val="22"/>
          <w:szCs w:val="22"/>
        </w:rPr>
        <w:t>for example,</w:t>
      </w:r>
      <w:r w:rsidRPr="00B921B9">
        <w:rPr>
          <w:rFonts w:asciiTheme="minorHAnsi" w:hAnsiTheme="minorHAnsi" w:cs="Arial"/>
          <w:sz w:val="22"/>
          <w:szCs w:val="22"/>
        </w:rPr>
        <w:t xml:space="preserve"> net interest expense for the Council - the change during the period in the net defined pension liability (asset) that arises from the passage of time charged to the Financing and Investment Income and Expenditure line in the Comprehensive Income and Expenditure Statement –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p>
    <w:p w14:paraId="3C978CAA" w14:textId="77777777" w:rsidR="00DF42A3" w:rsidRDefault="00DF42A3" w:rsidP="00DF42A3">
      <w:pPr>
        <w:pStyle w:val="ListParagraph"/>
        <w:widowControl w:val="0"/>
        <w:spacing w:line="228" w:lineRule="auto"/>
        <w:ind w:left="426" w:right="-144"/>
        <w:jc w:val="both"/>
        <w:rPr>
          <w:rFonts w:asciiTheme="minorHAnsi" w:hAnsiTheme="minorHAnsi" w:cs="Arial"/>
          <w:sz w:val="22"/>
          <w:szCs w:val="22"/>
        </w:rPr>
      </w:pPr>
    </w:p>
    <w:p w14:paraId="03AE88F5" w14:textId="7C8AA952" w:rsidR="00756D0B" w:rsidRDefault="00756D0B" w:rsidP="00D97BFF">
      <w:pPr>
        <w:widowControl w:val="0"/>
        <w:spacing w:line="228" w:lineRule="auto"/>
        <w:ind w:right="-144"/>
        <w:jc w:val="both"/>
        <w:rPr>
          <w:rFonts w:asciiTheme="minorHAnsi" w:hAnsiTheme="minorHAnsi" w:cs="Arial"/>
          <w:b/>
          <w:sz w:val="22"/>
          <w:szCs w:val="22"/>
        </w:rPr>
      </w:pPr>
      <w:r w:rsidRPr="00B921B9">
        <w:rPr>
          <w:rFonts w:asciiTheme="minorHAnsi" w:hAnsiTheme="minorHAnsi" w:cs="Arial"/>
          <w:b/>
          <w:sz w:val="22"/>
          <w:szCs w:val="22"/>
        </w:rPr>
        <w:lastRenderedPageBreak/>
        <w:t>Re-measurements Comprising:</w:t>
      </w:r>
    </w:p>
    <w:p w14:paraId="59C8D0C1" w14:textId="77777777" w:rsidR="00756D0B" w:rsidRPr="00B921B9" w:rsidRDefault="00756D0B" w:rsidP="00C76AD3">
      <w:pPr>
        <w:pStyle w:val="ListParagraph"/>
        <w:widowControl w:val="0"/>
        <w:numPr>
          <w:ilvl w:val="0"/>
          <w:numId w:val="24"/>
        </w:numPr>
        <w:spacing w:line="228" w:lineRule="auto"/>
        <w:ind w:left="426" w:right="-144" w:hanging="426"/>
        <w:jc w:val="both"/>
        <w:rPr>
          <w:rFonts w:asciiTheme="minorHAnsi" w:hAnsiTheme="minorHAnsi" w:cs="Arial"/>
          <w:sz w:val="22"/>
          <w:szCs w:val="22"/>
        </w:rPr>
      </w:pPr>
      <w:r w:rsidRPr="00B921B9">
        <w:rPr>
          <w:rFonts w:asciiTheme="minorHAnsi" w:hAnsiTheme="minorHAnsi" w:cs="Arial"/>
          <w:b/>
          <w:sz w:val="22"/>
          <w:szCs w:val="22"/>
        </w:rPr>
        <w:t>The return on plan assets</w:t>
      </w:r>
      <w:r w:rsidRPr="00B921B9">
        <w:rPr>
          <w:rFonts w:asciiTheme="minorHAnsi" w:hAnsiTheme="minorHAnsi" w:cs="Arial"/>
          <w:sz w:val="22"/>
          <w:szCs w:val="22"/>
        </w:rPr>
        <w:t xml:space="preserve"> – excluding amounts included in net interest on the net defined benefit liability (asset) – charged to the pensions reserve as Other Comprehensive Income and Expenditure.</w:t>
      </w:r>
    </w:p>
    <w:p w14:paraId="07FD6D55" w14:textId="77777777" w:rsidR="00756D0B" w:rsidRPr="00B921B9" w:rsidRDefault="00756D0B" w:rsidP="00C76AD3">
      <w:pPr>
        <w:pStyle w:val="ListParagraph"/>
        <w:widowControl w:val="0"/>
        <w:numPr>
          <w:ilvl w:val="0"/>
          <w:numId w:val="24"/>
        </w:numPr>
        <w:spacing w:line="228" w:lineRule="auto"/>
        <w:ind w:left="426" w:right="-144" w:hanging="426"/>
        <w:jc w:val="both"/>
        <w:rPr>
          <w:rFonts w:asciiTheme="minorHAnsi" w:hAnsiTheme="minorHAnsi" w:cs="Arial"/>
          <w:sz w:val="22"/>
          <w:szCs w:val="22"/>
        </w:rPr>
      </w:pPr>
      <w:r w:rsidRPr="00B921B9">
        <w:rPr>
          <w:rFonts w:asciiTheme="minorHAnsi" w:hAnsiTheme="minorHAnsi" w:cs="Arial"/>
          <w:b/>
          <w:sz w:val="22"/>
          <w:szCs w:val="22"/>
        </w:rPr>
        <w:t>Actuarial gains and losses</w:t>
      </w:r>
      <w:r w:rsidRPr="00B921B9">
        <w:rPr>
          <w:rFonts w:asciiTheme="minorHAnsi" w:hAnsiTheme="minorHAnsi" w:cs="Arial"/>
          <w:sz w:val="22"/>
          <w:szCs w:val="22"/>
        </w:rPr>
        <w:t xml:space="preserve"> – changes in the net pension’s liability that arise because events have not coincided with assumptions made at the last actuarial valuation or because the actuaries have updated their assumptions charged to the Pensions Reserve as Other Comprehensive Income and Expenditure.</w:t>
      </w:r>
    </w:p>
    <w:p w14:paraId="20581AF7" w14:textId="72635D73" w:rsidR="00756D0B" w:rsidRPr="00B921B9" w:rsidRDefault="00756D0B" w:rsidP="00D97BFF">
      <w:pPr>
        <w:widowControl w:val="0"/>
        <w:spacing w:line="228" w:lineRule="auto"/>
        <w:ind w:right="-144"/>
        <w:jc w:val="both"/>
        <w:rPr>
          <w:rFonts w:asciiTheme="minorHAnsi" w:hAnsiTheme="minorHAnsi" w:cs="Arial"/>
          <w:sz w:val="22"/>
          <w:szCs w:val="22"/>
        </w:rPr>
      </w:pPr>
      <w:r w:rsidRPr="00B921B9">
        <w:rPr>
          <w:rFonts w:asciiTheme="minorHAnsi" w:hAnsiTheme="minorHAnsi" w:cs="Arial"/>
          <w:b/>
          <w:sz w:val="22"/>
          <w:szCs w:val="22"/>
        </w:rPr>
        <w:t>Contributions paid to the pension fund</w:t>
      </w:r>
      <w:r w:rsidRPr="00B921B9">
        <w:rPr>
          <w:rFonts w:asciiTheme="minorHAnsi" w:hAnsiTheme="minorHAnsi" w:cs="Arial"/>
          <w:sz w:val="22"/>
          <w:szCs w:val="22"/>
        </w:rPr>
        <w:t xml:space="preserve"> – cash paid as employer’s contributions to the pension fund in settlement of liabilities; not accounted for as an expense.</w:t>
      </w:r>
    </w:p>
    <w:p w14:paraId="6F0F3B56" w14:textId="77777777" w:rsidR="00756D0B" w:rsidRPr="00B921B9" w:rsidRDefault="00756D0B" w:rsidP="00756D0B">
      <w:pPr>
        <w:widowControl w:val="0"/>
        <w:spacing w:line="228" w:lineRule="auto"/>
        <w:ind w:left="426" w:right="-144"/>
        <w:jc w:val="both"/>
        <w:rPr>
          <w:rFonts w:asciiTheme="minorHAnsi" w:hAnsiTheme="minorHAnsi" w:cs="Arial"/>
          <w:sz w:val="22"/>
          <w:szCs w:val="22"/>
        </w:rPr>
      </w:pPr>
    </w:p>
    <w:p w14:paraId="366448A1" w14:textId="77777777" w:rsidR="00756D0B" w:rsidRPr="00B921B9" w:rsidRDefault="00756D0B" w:rsidP="00D97BFF">
      <w:pPr>
        <w:widowControl w:val="0"/>
        <w:spacing w:line="228" w:lineRule="auto"/>
        <w:ind w:right="-144"/>
        <w:jc w:val="both"/>
        <w:rPr>
          <w:rFonts w:asciiTheme="minorHAnsi" w:hAnsiTheme="minorHAnsi" w:cs="Arial"/>
          <w:sz w:val="22"/>
          <w:szCs w:val="22"/>
        </w:rPr>
      </w:pPr>
      <w:r w:rsidRPr="00B921B9">
        <w:rPr>
          <w:rFonts w:asciiTheme="minorHAnsi" w:hAnsiTheme="minorHAnsi" w:cs="Arial"/>
          <w:sz w:val="22"/>
          <w:szCs w:val="22"/>
        </w:rPr>
        <w:t xml:space="preserve">In relation to retirement benefits, statutory provisions require the General Fund balance to be charged with the amount payable by the Council to the pension fund </w:t>
      </w:r>
      <w:r w:rsidR="001223DF">
        <w:rPr>
          <w:rFonts w:asciiTheme="minorHAnsi" w:hAnsiTheme="minorHAnsi" w:cs="Arial"/>
          <w:sz w:val="22"/>
          <w:szCs w:val="22"/>
        </w:rPr>
        <w:t xml:space="preserve">or directly to pensioners </w:t>
      </w:r>
      <w:r w:rsidRPr="00B921B9">
        <w:rPr>
          <w:rFonts w:asciiTheme="minorHAnsi" w:hAnsiTheme="minorHAnsi" w:cs="Arial"/>
          <w:sz w:val="22"/>
          <w:szCs w:val="22"/>
        </w:rPr>
        <w:t xml:space="preserve">in the year, not the amount calculated according to the relevant accounting standards.  In the Movement in Reserves Statement, this means that there are transfers to and from the Pensions Reserve to remove the notional debits and credits for retirement benefits and replace them with debits for the cash paid to the pension fund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40432207" w14:textId="77777777" w:rsidR="009B5705" w:rsidRPr="00B921B9" w:rsidRDefault="009B5705" w:rsidP="00C93755">
      <w:pPr>
        <w:widowControl w:val="0"/>
        <w:spacing w:line="228" w:lineRule="auto"/>
        <w:ind w:right="-144"/>
        <w:jc w:val="both"/>
        <w:rPr>
          <w:rFonts w:asciiTheme="minorHAnsi" w:hAnsiTheme="minorHAnsi" w:cs="Arial"/>
          <w:sz w:val="22"/>
          <w:szCs w:val="22"/>
        </w:rPr>
      </w:pPr>
    </w:p>
    <w:p w14:paraId="6A7D42B4" w14:textId="77777777" w:rsidR="00756D0B" w:rsidRPr="00B921B9" w:rsidRDefault="00756D0B" w:rsidP="00C93755">
      <w:pPr>
        <w:widowControl w:val="0"/>
        <w:spacing w:line="228" w:lineRule="auto"/>
        <w:ind w:right="-144"/>
        <w:jc w:val="both"/>
        <w:rPr>
          <w:rFonts w:asciiTheme="minorHAnsi" w:hAnsiTheme="minorHAnsi" w:cs="Arial"/>
          <w:b/>
          <w:sz w:val="22"/>
          <w:szCs w:val="22"/>
        </w:rPr>
      </w:pPr>
      <w:r w:rsidRPr="00B921B9">
        <w:rPr>
          <w:rFonts w:asciiTheme="minorHAnsi" w:hAnsiTheme="minorHAnsi" w:cs="Arial"/>
          <w:b/>
          <w:sz w:val="22"/>
          <w:szCs w:val="22"/>
        </w:rPr>
        <w:t>Discretionary Benefits</w:t>
      </w:r>
    </w:p>
    <w:p w14:paraId="6274DD43" w14:textId="77777777" w:rsidR="00756D0B" w:rsidRPr="00B921B9" w:rsidRDefault="00756D0B" w:rsidP="00C93755">
      <w:pPr>
        <w:widowControl w:val="0"/>
        <w:spacing w:line="228" w:lineRule="auto"/>
        <w:ind w:right="-144"/>
        <w:jc w:val="both"/>
        <w:rPr>
          <w:rFonts w:asciiTheme="minorHAnsi" w:hAnsiTheme="minorHAnsi" w:cs="Arial"/>
          <w:b/>
          <w:sz w:val="22"/>
          <w:szCs w:val="22"/>
        </w:rPr>
      </w:pPr>
    </w:p>
    <w:p w14:paraId="3859466E" w14:textId="495BB7D1" w:rsidR="00756D0B" w:rsidRDefault="00756D0B" w:rsidP="00C93755">
      <w:pPr>
        <w:widowControl w:val="0"/>
        <w:tabs>
          <w:tab w:val="left" w:pos="1350"/>
        </w:tabs>
        <w:jc w:val="both"/>
        <w:rPr>
          <w:rFonts w:asciiTheme="minorHAnsi" w:hAnsiTheme="minorHAnsi" w:cs="Arial"/>
          <w:sz w:val="22"/>
          <w:szCs w:val="22"/>
        </w:rPr>
      </w:pPr>
      <w:r w:rsidRPr="00B921B9">
        <w:rPr>
          <w:rFonts w:asciiTheme="minorHAnsi" w:hAnsiTheme="minorHAnsi" w:cs="Arial"/>
          <w:sz w:val="22"/>
          <w:szCs w:val="22"/>
        </w:rPr>
        <w:t>The Council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14:paraId="5EA797DA" w14:textId="3075CD91" w:rsidR="00892BF5" w:rsidRDefault="00892BF5" w:rsidP="00C93755">
      <w:pPr>
        <w:widowControl w:val="0"/>
        <w:tabs>
          <w:tab w:val="left" w:pos="1350"/>
        </w:tabs>
        <w:jc w:val="both"/>
        <w:rPr>
          <w:rFonts w:asciiTheme="minorHAnsi" w:hAnsiTheme="minorHAnsi" w:cs="Arial"/>
          <w:sz w:val="22"/>
          <w:szCs w:val="22"/>
        </w:rPr>
      </w:pPr>
    </w:p>
    <w:p w14:paraId="30376125" w14:textId="77777777" w:rsidR="008917BB" w:rsidRPr="00484DC3" w:rsidRDefault="008917BB" w:rsidP="00C93755">
      <w:pPr>
        <w:widowControl w:val="0"/>
        <w:tabs>
          <w:tab w:val="left" w:pos="1701"/>
          <w:tab w:val="left" w:pos="7200"/>
          <w:tab w:val="left" w:pos="8640"/>
        </w:tabs>
        <w:jc w:val="both"/>
        <w:rPr>
          <w:rFonts w:asciiTheme="minorHAnsi" w:hAnsiTheme="minorHAnsi" w:cs="Arial"/>
          <w:b/>
          <w:sz w:val="24"/>
          <w:szCs w:val="24"/>
        </w:rPr>
      </w:pPr>
      <w:r w:rsidRPr="00484DC3">
        <w:rPr>
          <w:rFonts w:asciiTheme="minorHAnsi" w:hAnsiTheme="minorHAnsi" w:cs="Arial"/>
          <w:b/>
          <w:sz w:val="24"/>
          <w:szCs w:val="24"/>
        </w:rPr>
        <w:t>Transactions Relating to Retirement Benefits</w:t>
      </w:r>
    </w:p>
    <w:p w14:paraId="5796A1D4" w14:textId="77777777" w:rsidR="008917BB" w:rsidRPr="004C6DC4" w:rsidRDefault="008917BB" w:rsidP="00C93755">
      <w:pPr>
        <w:widowControl w:val="0"/>
        <w:tabs>
          <w:tab w:val="left" w:pos="1701"/>
          <w:tab w:val="left" w:pos="7200"/>
          <w:tab w:val="left" w:pos="8640"/>
        </w:tabs>
        <w:jc w:val="both"/>
        <w:rPr>
          <w:rFonts w:ascii="Arial" w:hAnsi="Arial" w:cs="Arial"/>
        </w:rPr>
      </w:pPr>
    </w:p>
    <w:p w14:paraId="3DD3F9E2" w14:textId="77777777" w:rsidR="00903C27" w:rsidRDefault="008917BB" w:rsidP="00C93755">
      <w:pPr>
        <w:widowControl w:val="0"/>
        <w:tabs>
          <w:tab w:val="left" w:pos="1701"/>
          <w:tab w:val="left" w:pos="7200"/>
          <w:tab w:val="left" w:pos="8640"/>
        </w:tabs>
        <w:jc w:val="both"/>
        <w:rPr>
          <w:rFonts w:asciiTheme="minorHAnsi" w:hAnsiTheme="minorHAnsi" w:cs="Arial"/>
          <w:sz w:val="22"/>
          <w:szCs w:val="22"/>
        </w:rPr>
      </w:pPr>
      <w:r w:rsidRPr="00484DC3">
        <w:rPr>
          <w:rFonts w:asciiTheme="minorHAnsi" w:hAnsiTheme="minorHAnsi" w:cs="Arial"/>
          <w:sz w:val="22"/>
          <w:szCs w:val="22"/>
        </w:rPr>
        <w:t>The Council recognises the cost of retirement benefits in the reported Cost of Services when they are earned by employees, rather than when the benefits are eventually paid as pensions.  However, the charge the Council is required to make against Council Tax is based on the cash payable in the year, so the real cost of post</w:t>
      </w:r>
      <w:r w:rsidR="00A31DA2">
        <w:rPr>
          <w:rFonts w:asciiTheme="minorHAnsi" w:hAnsiTheme="minorHAnsi" w:cs="Arial"/>
          <w:sz w:val="22"/>
          <w:szCs w:val="22"/>
        </w:rPr>
        <w:t>-</w:t>
      </w:r>
      <w:r w:rsidRPr="00484DC3">
        <w:rPr>
          <w:rFonts w:asciiTheme="minorHAnsi" w:hAnsiTheme="minorHAnsi" w:cs="Arial"/>
          <w:sz w:val="22"/>
          <w:szCs w:val="22"/>
        </w:rPr>
        <w:t xml:space="preserve"> employment/retirement benefits is reversed out of the General Fund via the Movement in Reserves Statement.</w:t>
      </w:r>
    </w:p>
    <w:p w14:paraId="77A118F9" w14:textId="77777777" w:rsidR="00903C27" w:rsidRDefault="00903C27" w:rsidP="00C93755">
      <w:pPr>
        <w:widowControl w:val="0"/>
        <w:tabs>
          <w:tab w:val="left" w:pos="1701"/>
          <w:tab w:val="left" w:pos="7200"/>
          <w:tab w:val="left" w:pos="8640"/>
        </w:tabs>
        <w:jc w:val="both"/>
        <w:rPr>
          <w:rFonts w:asciiTheme="minorHAnsi" w:hAnsiTheme="minorHAnsi" w:cs="Arial"/>
          <w:sz w:val="22"/>
          <w:szCs w:val="22"/>
        </w:rPr>
      </w:pPr>
    </w:p>
    <w:p w14:paraId="48CB369B" w14:textId="7ECB37E1" w:rsidR="008917BB" w:rsidRDefault="008917BB" w:rsidP="00C93755">
      <w:pPr>
        <w:widowControl w:val="0"/>
        <w:tabs>
          <w:tab w:val="left" w:pos="1701"/>
          <w:tab w:val="left" w:pos="7200"/>
          <w:tab w:val="left" w:pos="8640"/>
        </w:tabs>
        <w:jc w:val="both"/>
        <w:rPr>
          <w:rFonts w:asciiTheme="minorHAnsi" w:hAnsiTheme="minorHAnsi" w:cs="Arial"/>
          <w:sz w:val="22"/>
          <w:szCs w:val="22"/>
        </w:rPr>
      </w:pPr>
      <w:r w:rsidRPr="00484DC3">
        <w:rPr>
          <w:rFonts w:asciiTheme="minorHAnsi" w:hAnsiTheme="minorHAnsi" w:cs="Arial"/>
          <w:sz w:val="22"/>
          <w:szCs w:val="22"/>
        </w:rPr>
        <w:t>The following transactions have been made in the Comprehensive Income and Expenditure Statement and the General Fund Balance via the Movement in Reserves Statement during the year:</w:t>
      </w:r>
    </w:p>
    <w:tbl>
      <w:tblPr>
        <w:tblW w:w="9660" w:type="dxa"/>
        <w:tblInd w:w="93" w:type="dxa"/>
        <w:tblLook w:val="04A0" w:firstRow="1" w:lastRow="0" w:firstColumn="1" w:lastColumn="0" w:noHBand="0" w:noVBand="1"/>
        <w:tblCaption w:val="Pension Movements in the Comprehensive Income and Expenditure Statement and the General Fund Balance"/>
        <w:tblDescription w:val="Pension Movements in the Comprehensive Income and Expenditure Statement and the General Fund Balance via the Movement in Reserves Statement"/>
      </w:tblPr>
      <w:tblGrid>
        <w:gridCol w:w="6600"/>
        <w:gridCol w:w="1460"/>
        <w:gridCol w:w="1600"/>
      </w:tblGrid>
      <w:tr w:rsidR="005D2461" w:rsidRPr="005D2461" w14:paraId="6A4EE059" w14:textId="77777777" w:rsidTr="00CD3384">
        <w:trPr>
          <w:cantSplit/>
          <w:trHeight w:val="300"/>
          <w:tblHeader/>
        </w:trPr>
        <w:tc>
          <w:tcPr>
            <w:tcW w:w="6600" w:type="dxa"/>
            <w:tcBorders>
              <w:top w:val="nil"/>
              <w:left w:val="nil"/>
              <w:bottom w:val="nil"/>
              <w:right w:val="nil"/>
            </w:tcBorders>
            <w:shd w:val="clear" w:color="000000" w:fill="FABF8F"/>
            <w:vAlign w:val="center"/>
            <w:hideMark/>
          </w:tcPr>
          <w:p w14:paraId="4874C5CA" w14:textId="77777777" w:rsidR="005D2461" w:rsidRPr="005D2461" w:rsidRDefault="001223DF" w:rsidP="005D2461">
            <w:pPr>
              <w:jc w:val="both"/>
              <w:rPr>
                <w:rFonts w:ascii="Calibri" w:hAnsi="Calibri"/>
                <w:b/>
                <w:bCs/>
                <w:color w:val="000000"/>
                <w:lang w:eastAsia="en-GB"/>
              </w:rPr>
            </w:pPr>
            <w:r>
              <w:rPr>
                <w:rFonts w:ascii="Calibri" w:hAnsi="Calibri"/>
                <w:b/>
                <w:bCs/>
                <w:color w:val="000000"/>
                <w:lang w:eastAsia="en-GB"/>
              </w:rPr>
              <w:t>C</w:t>
            </w:r>
            <w:r w:rsidR="005D2461" w:rsidRPr="005D2461">
              <w:rPr>
                <w:rFonts w:ascii="Calibri" w:hAnsi="Calibri"/>
                <w:b/>
                <w:bCs/>
                <w:color w:val="000000"/>
                <w:lang w:eastAsia="en-GB"/>
              </w:rPr>
              <w:t>omprehensive Income and Expenditure Statement</w:t>
            </w:r>
          </w:p>
        </w:tc>
        <w:tc>
          <w:tcPr>
            <w:tcW w:w="146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42D4B744" w14:textId="1C73FCEF" w:rsidR="005D2461" w:rsidRPr="005D2461" w:rsidRDefault="005D2461" w:rsidP="0060515E">
            <w:pPr>
              <w:jc w:val="right"/>
              <w:rPr>
                <w:rFonts w:ascii="Calibri" w:hAnsi="Calibri"/>
                <w:color w:val="000000"/>
                <w:lang w:eastAsia="en-GB"/>
              </w:rPr>
            </w:pPr>
            <w:r>
              <w:rPr>
                <w:rFonts w:ascii="Calibri" w:hAnsi="Calibri"/>
                <w:color w:val="000000"/>
                <w:lang w:eastAsia="en-GB"/>
              </w:rPr>
              <w:t>20</w:t>
            </w:r>
            <w:r w:rsidR="00EE1721">
              <w:rPr>
                <w:rFonts w:ascii="Calibri" w:hAnsi="Calibri"/>
                <w:color w:val="000000"/>
                <w:lang w:eastAsia="en-GB"/>
              </w:rPr>
              <w:t>2</w:t>
            </w:r>
            <w:r w:rsidR="00C814BE">
              <w:rPr>
                <w:rFonts w:ascii="Calibri" w:hAnsi="Calibri"/>
                <w:color w:val="000000"/>
                <w:lang w:eastAsia="en-GB"/>
              </w:rPr>
              <w:t>1</w:t>
            </w:r>
            <w:r w:rsidRPr="005D2461">
              <w:rPr>
                <w:rFonts w:ascii="Calibri" w:hAnsi="Calibri"/>
                <w:color w:val="000000"/>
                <w:lang w:eastAsia="en-GB"/>
              </w:rPr>
              <w:t>-</w:t>
            </w:r>
            <w:r w:rsidR="0060515E">
              <w:rPr>
                <w:rFonts w:ascii="Calibri" w:hAnsi="Calibri"/>
                <w:color w:val="000000"/>
                <w:lang w:eastAsia="en-GB"/>
              </w:rPr>
              <w:t>2</w:t>
            </w:r>
            <w:r w:rsidR="00C814BE">
              <w:rPr>
                <w:rFonts w:ascii="Calibri" w:hAnsi="Calibri"/>
                <w:color w:val="000000"/>
                <w:lang w:eastAsia="en-GB"/>
              </w:rPr>
              <w:t>2</w:t>
            </w:r>
            <w:r w:rsidRPr="005D2461">
              <w:rPr>
                <w:rFonts w:ascii="Calibri" w:hAnsi="Calibri"/>
                <w:color w:val="000000"/>
                <w:lang w:eastAsia="en-GB"/>
              </w:rPr>
              <w:t xml:space="preserve"> </w:t>
            </w:r>
          </w:p>
        </w:tc>
        <w:tc>
          <w:tcPr>
            <w:tcW w:w="1600" w:type="dxa"/>
            <w:tcBorders>
              <w:top w:val="single" w:sz="4" w:space="0" w:color="FFFFFF"/>
              <w:left w:val="nil"/>
              <w:bottom w:val="single" w:sz="4" w:space="0" w:color="FFFFFF"/>
              <w:right w:val="single" w:sz="4" w:space="0" w:color="FFFFFF"/>
            </w:tcBorders>
            <w:shd w:val="clear" w:color="000000" w:fill="FABF8F"/>
            <w:vAlign w:val="center"/>
            <w:hideMark/>
          </w:tcPr>
          <w:p w14:paraId="75878038" w14:textId="7302D721" w:rsidR="005D2461" w:rsidRPr="005D2461" w:rsidRDefault="0060515E" w:rsidP="0060515E">
            <w:pPr>
              <w:jc w:val="right"/>
              <w:rPr>
                <w:rFonts w:ascii="Calibri" w:hAnsi="Calibri"/>
                <w:color w:val="000000"/>
                <w:lang w:eastAsia="en-GB"/>
              </w:rPr>
            </w:pPr>
            <w:r>
              <w:rPr>
                <w:rFonts w:ascii="Calibri" w:hAnsi="Calibri"/>
                <w:color w:val="000000"/>
                <w:lang w:eastAsia="en-GB"/>
              </w:rPr>
              <w:t>202</w:t>
            </w:r>
            <w:r w:rsidR="00C814BE">
              <w:rPr>
                <w:rFonts w:ascii="Calibri" w:hAnsi="Calibri"/>
                <w:color w:val="000000"/>
                <w:lang w:eastAsia="en-GB"/>
              </w:rPr>
              <w:t>2</w:t>
            </w:r>
            <w:r w:rsidR="005D2461" w:rsidRPr="005D2461">
              <w:rPr>
                <w:rFonts w:ascii="Calibri" w:hAnsi="Calibri"/>
                <w:color w:val="000000"/>
                <w:lang w:eastAsia="en-GB"/>
              </w:rPr>
              <w:t>-</w:t>
            </w:r>
            <w:r w:rsidR="001223DF">
              <w:rPr>
                <w:rFonts w:ascii="Calibri" w:hAnsi="Calibri"/>
                <w:color w:val="000000"/>
                <w:lang w:eastAsia="en-GB"/>
              </w:rPr>
              <w:t>2</w:t>
            </w:r>
            <w:r w:rsidR="00C814BE">
              <w:rPr>
                <w:rFonts w:ascii="Calibri" w:hAnsi="Calibri"/>
                <w:color w:val="000000"/>
                <w:lang w:eastAsia="en-GB"/>
              </w:rPr>
              <w:t>3</w:t>
            </w:r>
          </w:p>
        </w:tc>
      </w:tr>
      <w:tr w:rsidR="005D2461" w:rsidRPr="005D2461" w14:paraId="30542C47" w14:textId="77777777" w:rsidTr="005D2461">
        <w:trPr>
          <w:trHeight w:val="300"/>
        </w:trPr>
        <w:tc>
          <w:tcPr>
            <w:tcW w:w="6600" w:type="dxa"/>
            <w:tcBorders>
              <w:top w:val="nil"/>
              <w:left w:val="nil"/>
              <w:bottom w:val="nil"/>
              <w:right w:val="nil"/>
            </w:tcBorders>
            <w:shd w:val="clear" w:color="000000" w:fill="FABF8F"/>
            <w:vAlign w:val="center"/>
            <w:hideMark/>
          </w:tcPr>
          <w:p w14:paraId="6F01A7D9"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nil"/>
              <w:left w:val="single" w:sz="4" w:space="0" w:color="FFFFFF"/>
              <w:bottom w:val="single" w:sz="4" w:space="0" w:color="FFFFFF"/>
              <w:right w:val="single" w:sz="4" w:space="0" w:color="FFFFFF"/>
            </w:tcBorders>
            <w:shd w:val="clear" w:color="000000" w:fill="FABF8F"/>
            <w:vAlign w:val="center"/>
            <w:hideMark/>
          </w:tcPr>
          <w:p w14:paraId="2D9110CA"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c>
          <w:tcPr>
            <w:tcW w:w="1600" w:type="dxa"/>
            <w:tcBorders>
              <w:top w:val="nil"/>
              <w:left w:val="nil"/>
              <w:bottom w:val="single" w:sz="4" w:space="0" w:color="FFFFFF"/>
              <w:right w:val="single" w:sz="4" w:space="0" w:color="FFFFFF"/>
            </w:tcBorders>
            <w:shd w:val="clear" w:color="000000" w:fill="FABF8F"/>
            <w:vAlign w:val="center"/>
            <w:hideMark/>
          </w:tcPr>
          <w:p w14:paraId="313DF105"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r>
      <w:tr w:rsidR="005D2461" w:rsidRPr="005D2461" w14:paraId="4AB48E87" w14:textId="77777777" w:rsidTr="005D2461">
        <w:trPr>
          <w:trHeight w:val="300"/>
        </w:trPr>
        <w:tc>
          <w:tcPr>
            <w:tcW w:w="6600" w:type="dxa"/>
            <w:tcBorders>
              <w:top w:val="nil"/>
              <w:left w:val="nil"/>
              <w:bottom w:val="nil"/>
              <w:right w:val="nil"/>
            </w:tcBorders>
            <w:shd w:val="clear" w:color="000000" w:fill="FDE9D9"/>
            <w:vAlign w:val="center"/>
            <w:hideMark/>
          </w:tcPr>
          <w:p w14:paraId="28336301"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Cost of Services:</w:t>
            </w:r>
          </w:p>
        </w:tc>
        <w:tc>
          <w:tcPr>
            <w:tcW w:w="1460" w:type="dxa"/>
            <w:tcBorders>
              <w:top w:val="nil"/>
              <w:left w:val="nil"/>
              <w:bottom w:val="nil"/>
              <w:right w:val="nil"/>
            </w:tcBorders>
            <w:shd w:val="clear" w:color="000000" w:fill="FDE9D9"/>
            <w:vAlign w:val="center"/>
            <w:hideMark/>
          </w:tcPr>
          <w:p w14:paraId="5669F494"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hideMark/>
          </w:tcPr>
          <w:p w14:paraId="39D8BC17"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r>
      <w:tr w:rsidR="005D2461" w:rsidRPr="005D2461" w14:paraId="3F3426EB" w14:textId="77777777" w:rsidTr="005D2461">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0BCCB886"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Current Service Cost</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47CF9A3C" w14:textId="2ECB25FE" w:rsidR="005D2461" w:rsidRPr="005D2461" w:rsidRDefault="00C814BE" w:rsidP="0060515E">
            <w:pPr>
              <w:jc w:val="right"/>
              <w:rPr>
                <w:rFonts w:ascii="Calibri" w:hAnsi="Calibri"/>
                <w:color w:val="000000"/>
                <w:lang w:eastAsia="en-GB"/>
              </w:rPr>
            </w:pPr>
            <w:r>
              <w:rPr>
                <w:rFonts w:ascii="Calibri" w:hAnsi="Calibri"/>
                <w:color w:val="000000"/>
                <w:lang w:eastAsia="en-GB"/>
              </w:rPr>
              <w:t>2,620</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025CDA6D" w14:textId="3246CEC7" w:rsidR="005D2461" w:rsidRPr="005D2461" w:rsidRDefault="004B0F83" w:rsidP="005D2461">
            <w:pPr>
              <w:jc w:val="right"/>
              <w:rPr>
                <w:rFonts w:ascii="Calibri" w:hAnsi="Calibri"/>
                <w:color w:val="000000"/>
                <w:lang w:eastAsia="en-GB"/>
              </w:rPr>
            </w:pPr>
            <w:r>
              <w:rPr>
                <w:rFonts w:ascii="Calibri" w:hAnsi="Calibri"/>
                <w:color w:val="000000"/>
                <w:lang w:eastAsia="en-GB"/>
              </w:rPr>
              <w:t>2,511</w:t>
            </w:r>
          </w:p>
        </w:tc>
      </w:tr>
      <w:tr w:rsidR="005D2461" w:rsidRPr="005D2461" w14:paraId="390BDC62"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4EC5DC5D"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Past Service Costs</w:t>
            </w:r>
          </w:p>
        </w:tc>
        <w:tc>
          <w:tcPr>
            <w:tcW w:w="1460" w:type="dxa"/>
            <w:tcBorders>
              <w:top w:val="nil"/>
              <w:left w:val="nil"/>
              <w:bottom w:val="single" w:sz="4" w:space="0" w:color="FFFFFF"/>
              <w:right w:val="single" w:sz="4" w:space="0" w:color="FFFFFF"/>
            </w:tcBorders>
            <w:shd w:val="clear" w:color="000000" w:fill="FDE9D9"/>
            <w:vAlign w:val="center"/>
            <w:hideMark/>
          </w:tcPr>
          <w:p w14:paraId="17A3C836" w14:textId="24CA125A" w:rsidR="005D2461" w:rsidRPr="005D2461" w:rsidRDefault="00C814BE" w:rsidP="005D2461">
            <w:pPr>
              <w:jc w:val="right"/>
              <w:rPr>
                <w:rFonts w:ascii="Calibri" w:hAnsi="Calibri"/>
                <w:color w:val="000000"/>
                <w:lang w:eastAsia="en-GB"/>
              </w:rPr>
            </w:pPr>
            <w:r>
              <w:rPr>
                <w:rFonts w:ascii="Calibri" w:hAnsi="Calibri"/>
                <w:color w:val="000000"/>
                <w:lang w:eastAsia="en-GB"/>
              </w:rPr>
              <w:t>11</w:t>
            </w:r>
          </w:p>
        </w:tc>
        <w:tc>
          <w:tcPr>
            <w:tcW w:w="1600" w:type="dxa"/>
            <w:tcBorders>
              <w:top w:val="nil"/>
              <w:left w:val="nil"/>
              <w:bottom w:val="single" w:sz="4" w:space="0" w:color="FFFFFF"/>
              <w:right w:val="single" w:sz="4" w:space="0" w:color="FFFFFF"/>
            </w:tcBorders>
            <w:shd w:val="clear" w:color="000000" w:fill="FDE9D9"/>
            <w:vAlign w:val="center"/>
          </w:tcPr>
          <w:p w14:paraId="01446CBA" w14:textId="617776AB" w:rsidR="005D2461" w:rsidRPr="005D2461" w:rsidRDefault="004B0F83" w:rsidP="005D2461">
            <w:pPr>
              <w:jc w:val="right"/>
              <w:rPr>
                <w:rFonts w:ascii="Calibri" w:hAnsi="Calibri"/>
                <w:color w:val="000000"/>
                <w:lang w:eastAsia="en-GB"/>
              </w:rPr>
            </w:pPr>
            <w:r>
              <w:rPr>
                <w:rFonts w:ascii="Calibri" w:hAnsi="Calibri"/>
                <w:color w:val="000000"/>
                <w:lang w:eastAsia="en-GB"/>
              </w:rPr>
              <w:t>0</w:t>
            </w:r>
          </w:p>
        </w:tc>
      </w:tr>
      <w:tr w:rsidR="005D2461" w:rsidRPr="005D2461" w14:paraId="7EB13472"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17127A04" w14:textId="77777777" w:rsidR="005D2461" w:rsidRPr="005D2461" w:rsidRDefault="005D2461" w:rsidP="005D2461">
            <w:pPr>
              <w:jc w:val="both"/>
              <w:rPr>
                <w:rFonts w:ascii="Calibri" w:hAnsi="Calibri"/>
                <w:color w:val="000000"/>
                <w:lang w:eastAsia="en-GB"/>
              </w:rPr>
            </w:pPr>
            <w:proofErr w:type="gramStart"/>
            <w:r w:rsidRPr="005D2461">
              <w:rPr>
                <w:rFonts w:ascii="Calibri" w:hAnsi="Calibri"/>
                <w:color w:val="000000"/>
                <w:lang w:eastAsia="en-GB"/>
              </w:rPr>
              <w:t>Gain(</w:t>
            </w:r>
            <w:proofErr w:type="gramEnd"/>
            <w:r w:rsidRPr="005D2461">
              <w:rPr>
                <w:rFonts w:ascii="Calibri" w:hAnsi="Calibri"/>
                <w:color w:val="000000"/>
                <w:lang w:eastAsia="en-GB"/>
              </w:rPr>
              <w:t>-)/Loss from Settlements</w:t>
            </w:r>
          </w:p>
        </w:tc>
        <w:tc>
          <w:tcPr>
            <w:tcW w:w="1460" w:type="dxa"/>
            <w:tcBorders>
              <w:top w:val="nil"/>
              <w:left w:val="nil"/>
              <w:bottom w:val="single" w:sz="4" w:space="0" w:color="FFFFFF"/>
              <w:right w:val="single" w:sz="4" w:space="0" w:color="FFFFFF"/>
            </w:tcBorders>
            <w:shd w:val="clear" w:color="000000" w:fill="FDE9D9"/>
            <w:vAlign w:val="center"/>
            <w:hideMark/>
          </w:tcPr>
          <w:p w14:paraId="3ADFA54C"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w:t>
            </w:r>
          </w:p>
        </w:tc>
        <w:tc>
          <w:tcPr>
            <w:tcW w:w="1600" w:type="dxa"/>
            <w:tcBorders>
              <w:top w:val="nil"/>
              <w:left w:val="nil"/>
              <w:bottom w:val="single" w:sz="4" w:space="0" w:color="FFFFFF"/>
              <w:right w:val="single" w:sz="4" w:space="0" w:color="FFFFFF"/>
            </w:tcBorders>
            <w:shd w:val="clear" w:color="000000" w:fill="FDE9D9"/>
            <w:vAlign w:val="center"/>
          </w:tcPr>
          <w:p w14:paraId="30D53724" w14:textId="3F1057D0" w:rsidR="005D2461" w:rsidRPr="005D2461" w:rsidRDefault="004B0F83" w:rsidP="005D2461">
            <w:pPr>
              <w:jc w:val="right"/>
              <w:rPr>
                <w:rFonts w:ascii="Calibri" w:hAnsi="Calibri"/>
                <w:color w:val="000000"/>
                <w:lang w:eastAsia="en-GB"/>
              </w:rPr>
            </w:pPr>
            <w:r>
              <w:rPr>
                <w:rFonts w:ascii="Calibri" w:hAnsi="Calibri"/>
                <w:color w:val="000000"/>
                <w:lang w:eastAsia="en-GB"/>
              </w:rPr>
              <w:t>0</w:t>
            </w:r>
          </w:p>
        </w:tc>
      </w:tr>
      <w:tr w:rsidR="005D2461" w:rsidRPr="005D2461" w14:paraId="229E0462" w14:textId="77777777" w:rsidTr="00F07E4C">
        <w:trPr>
          <w:trHeight w:val="300"/>
        </w:trPr>
        <w:tc>
          <w:tcPr>
            <w:tcW w:w="6600" w:type="dxa"/>
            <w:tcBorders>
              <w:top w:val="nil"/>
              <w:left w:val="nil"/>
              <w:bottom w:val="nil"/>
              <w:right w:val="nil"/>
            </w:tcBorders>
            <w:shd w:val="clear" w:color="000000" w:fill="FDE9D9"/>
            <w:vAlign w:val="center"/>
            <w:hideMark/>
          </w:tcPr>
          <w:p w14:paraId="6F35E77B" w14:textId="6054891B"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 xml:space="preserve">Financing </w:t>
            </w:r>
            <w:r w:rsidR="00704A70">
              <w:rPr>
                <w:rFonts w:ascii="Calibri" w:hAnsi="Calibri"/>
                <w:b/>
                <w:bCs/>
                <w:color w:val="000000"/>
                <w:lang w:eastAsia="en-GB"/>
              </w:rPr>
              <w:t>and</w:t>
            </w:r>
            <w:r w:rsidRPr="005D2461">
              <w:rPr>
                <w:rFonts w:ascii="Calibri" w:hAnsi="Calibri"/>
                <w:b/>
                <w:bCs/>
                <w:color w:val="000000"/>
                <w:lang w:eastAsia="en-GB"/>
              </w:rPr>
              <w:t xml:space="preserve"> Investment Income and Expenditure:</w:t>
            </w:r>
          </w:p>
        </w:tc>
        <w:tc>
          <w:tcPr>
            <w:tcW w:w="1460" w:type="dxa"/>
            <w:tcBorders>
              <w:top w:val="nil"/>
              <w:left w:val="nil"/>
              <w:bottom w:val="nil"/>
              <w:right w:val="nil"/>
            </w:tcBorders>
            <w:shd w:val="clear" w:color="000000" w:fill="FDE9D9"/>
            <w:vAlign w:val="center"/>
            <w:hideMark/>
          </w:tcPr>
          <w:p w14:paraId="01FE5372"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14D3F656" w14:textId="77777777" w:rsidR="005D2461" w:rsidRPr="005D2461" w:rsidRDefault="005D2461" w:rsidP="005D2461">
            <w:pPr>
              <w:jc w:val="right"/>
              <w:rPr>
                <w:rFonts w:ascii="Calibri" w:hAnsi="Calibri"/>
                <w:color w:val="000000"/>
                <w:lang w:eastAsia="en-GB"/>
              </w:rPr>
            </w:pPr>
          </w:p>
        </w:tc>
      </w:tr>
      <w:tr w:rsidR="005D2461" w:rsidRPr="005D2461" w14:paraId="0193234A" w14:textId="77777777" w:rsidTr="005D2461">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31AE47E"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Net Interest Expense</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59BC74C9" w14:textId="06AD1570" w:rsidR="005D2461" w:rsidRPr="005D2461" w:rsidRDefault="00C814BE" w:rsidP="005D2461">
            <w:pPr>
              <w:jc w:val="right"/>
              <w:rPr>
                <w:rFonts w:ascii="Calibri" w:hAnsi="Calibri"/>
                <w:color w:val="000000"/>
                <w:lang w:eastAsia="en-GB"/>
              </w:rPr>
            </w:pPr>
            <w:r>
              <w:rPr>
                <w:rFonts w:ascii="Calibri" w:hAnsi="Calibri"/>
                <w:color w:val="000000"/>
                <w:lang w:eastAsia="en-GB"/>
              </w:rPr>
              <w:t>566</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2DD93A02" w14:textId="57608313" w:rsidR="005D2461" w:rsidRPr="005D2461" w:rsidRDefault="004B0F83" w:rsidP="00847423">
            <w:pPr>
              <w:jc w:val="right"/>
              <w:rPr>
                <w:rFonts w:ascii="Calibri" w:hAnsi="Calibri"/>
                <w:color w:val="000000"/>
                <w:lang w:eastAsia="en-GB"/>
              </w:rPr>
            </w:pPr>
            <w:r>
              <w:rPr>
                <w:rFonts w:ascii="Calibri" w:hAnsi="Calibri"/>
                <w:color w:val="000000"/>
                <w:lang w:eastAsia="en-GB"/>
              </w:rPr>
              <w:t>568</w:t>
            </w:r>
          </w:p>
        </w:tc>
      </w:tr>
      <w:tr w:rsidR="005D2461" w:rsidRPr="005D2461" w14:paraId="3F31F576" w14:textId="77777777" w:rsidTr="005D2461">
        <w:trPr>
          <w:trHeight w:val="51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04BD8915"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 xml:space="preserve">Total Post Employment Benefit Charged to the </w:t>
            </w:r>
            <w:r w:rsidR="00E047D6">
              <w:rPr>
                <w:rFonts w:ascii="Calibri" w:hAnsi="Calibri"/>
                <w:b/>
                <w:bCs/>
                <w:color w:val="000000"/>
                <w:lang w:eastAsia="en-GB"/>
              </w:rPr>
              <w:t>Surplus/</w:t>
            </w:r>
            <w:r w:rsidRPr="005D2461">
              <w:rPr>
                <w:rFonts w:ascii="Calibri" w:hAnsi="Calibri"/>
                <w:b/>
                <w:bCs/>
                <w:color w:val="000000"/>
                <w:lang w:eastAsia="en-GB"/>
              </w:rPr>
              <w:t>Deficit on the Provision of Services</w:t>
            </w:r>
          </w:p>
        </w:tc>
        <w:tc>
          <w:tcPr>
            <w:tcW w:w="1460" w:type="dxa"/>
            <w:tcBorders>
              <w:top w:val="nil"/>
              <w:left w:val="nil"/>
              <w:bottom w:val="single" w:sz="4" w:space="0" w:color="FFFFFF"/>
              <w:right w:val="single" w:sz="4" w:space="0" w:color="FFFFFF"/>
            </w:tcBorders>
            <w:shd w:val="clear" w:color="000000" w:fill="FCD5B4"/>
            <w:vAlign w:val="center"/>
            <w:hideMark/>
          </w:tcPr>
          <w:p w14:paraId="76408AC5" w14:textId="40D7EA40" w:rsidR="005D2461" w:rsidRPr="005D2461" w:rsidRDefault="00C814BE" w:rsidP="00D45469">
            <w:pPr>
              <w:jc w:val="right"/>
              <w:rPr>
                <w:rFonts w:ascii="Calibri" w:hAnsi="Calibri"/>
                <w:b/>
                <w:bCs/>
                <w:color w:val="000000"/>
                <w:lang w:eastAsia="en-GB"/>
              </w:rPr>
            </w:pPr>
            <w:r>
              <w:rPr>
                <w:rFonts w:ascii="Calibri" w:hAnsi="Calibri"/>
                <w:b/>
                <w:bCs/>
                <w:color w:val="000000"/>
                <w:lang w:eastAsia="en-GB"/>
              </w:rPr>
              <w:t>3,197</w:t>
            </w:r>
          </w:p>
        </w:tc>
        <w:tc>
          <w:tcPr>
            <w:tcW w:w="1600" w:type="dxa"/>
            <w:tcBorders>
              <w:top w:val="nil"/>
              <w:left w:val="nil"/>
              <w:bottom w:val="single" w:sz="4" w:space="0" w:color="FFFFFF"/>
              <w:right w:val="single" w:sz="4" w:space="0" w:color="FFFFFF"/>
            </w:tcBorders>
            <w:shd w:val="clear" w:color="000000" w:fill="FCD5B4"/>
            <w:vAlign w:val="center"/>
          </w:tcPr>
          <w:p w14:paraId="2518B058" w14:textId="5E5CF4D0" w:rsidR="005D2461" w:rsidRPr="005D2461" w:rsidRDefault="004B0F83" w:rsidP="00847423">
            <w:pPr>
              <w:jc w:val="right"/>
              <w:rPr>
                <w:rFonts w:ascii="Calibri" w:hAnsi="Calibri"/>
                <w:b/>
                <w:bCs/>
                <w:color w:val="000000"/>
                <w:lang w:eastAsia="en-GB"/>
              </w:rPr>
            </w:pPr>
            <w:r>
              <w:rPr>
                <w:rFonts w:ascii="Calibri" w:hAnsi="Calibri"/>
                <w:b/>
                <w:bCs/>
                <w:color w:val="000000"/>
                <w:lang w:eastAsia="en-GB"/>
              </w:rPr>
              <w:t>3,079</w:t>
            </w:r>
          </w:p>
        </w:tc>
      </w:tr>
      <w:tr w:rsidR="005D2461" w:rsidRPr="005D2461" w14:paraId="5C959E29" w14:textId="77777777" w:rsidTr="00F07E4C">
        <w:trPr>
          <w:trHeight w:val="510"/>
        </w:trPr>
        <w:tc>
          <w:tcPr>
            <w:tcW w:w="6600" w:type="dxa"/>
            <w:tcBorders>
              <w:top w:val="nil"/>
              <w:left w:val="nil"/>
              <w:bottom w:val="nil"/>
              <w:right w:val="nil"/>
            </w:tcBorders>
            <w:shd w:val="clear" w:color="000000" w:fill="FDE9D9"/>
            <w:vAlign w:val="center"/>
            <w:hideMark/>
          </w:tcPr>
          <w:p w14:paraId="7AA2935E" w14:textId="3604C5E2" w:rsidR="005D2461" w:rsidRPr="005D2461" w:rsidRDefault="00A31DA2" w:rsidP="005D2461">
            <w:pPr>
              <w:jc w:val="both"/>
              <w:rPr>
                <w:rFonts w:ascii="Calibri" w:hAnsi="Calibri"/>
                <w:b/>
                <w:bCs/>
                <w:color w:val="000000"/>
                <w:lang w:eastAsia="en-GB"/>
              </w:rPr>
            </w:pPr>
            <w:r>
              <w:rPr>
                <w:rFonts w:ascii="Calibri" w:hAnsi="Calibri"/>
                <w:b/>
                <w:bCs/>
                <w:color w:val="000000"/>
                <w:lang w:eastAsia="en-GB"/>
              </w:rPr>
              <w:t>Other post-</w:t>
            </w:r>
            <w:r w:rsidR="005D2461" w:rsidRPr="005D2461">
              <w:rPr>
                <w:rFonts w:ascii="Calibri" w:hAnsi="Calibri"/>
                <w:b/>
                <w:bCs/>
                <w:color w:val="000000"/>
                <w:lang w:eastAsia="en-GB"/>
              </w:rPr>
              <w:t xml:space="preserve">employment benefits charged to the Comprehensive Income </w:t>
            </w:r>
            <w:r w:rsidR="00704A70">
              <w:rPr>
                <w:rFonts w:ascii="Calibri" w:hAnsi="Calibri"/>
                <w:b/>
                <w:bCs/>
                <w:color w:val="000000"/>
                <w:lang w:eastAsia="en-GB"/>
              </w:rPr>
              <w:t>and</w:t>
            </w:r>
            <w:r w:rsidR="005D2461" w:rsidRPr="005D2461">
              <w:rPr>
                <w:rFonts w:ascii="Calibri" w:hAnsi="Calibri"/>
                <w:b/>
                <w:bCs/>
                <w:color w:val="000000"/>
                <w:lang w:eastAsia="en-GB"/>
              </w:rPr>
              <w:t xml:space="preserve"> Expenditure Statement:</w:t>
            </w:r>
          </w:p>
        </w:tc>
        <w:tc>
          <w:tcPr>
            <w:tcW w:w="1460" w:type="dxa"/>
            <w:tcBorders>
              <w:top w:val="nil"/>
              <w:left w:val="nil"/>
              <w:bottom w:val="nil"/>
              <w:right w:val="nil"/>
            </w:tcBorders>
            <w:shd w:val="clear" w:color="000000" w:fill="FDE9D9"/>
            <w:vAlign w:val="center"/>
            <w:hideMark/>
          </w:tcPr>
          <w:p w14:paraId="49FC85BE"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77A3A8F4" w14:textId="77777777" w:rsidR="005D2461" w:rsidRPr="005D2461" w:rsidRDefault="005D2461" w:rsidP="005D2461">
            <w:pPr>
              <w:jc w:val="right"/>
              <w:rPr>
                <w:rFonts w:ascii="Calibri" w:hAnsi="Calibri"/>
                <w:color w:val="000000"/>
                <w:lang w:eastAsia="en-GB"/>
              </w:rPr>
            </w:pPr>
          </w:p>
        </w:tc>
      </w:tr>
      <w:tr w:rsidR="005D2461" w:rsidRPr="005D2461" w14:paraId="0B2F1A64" w14:textId="77777777" w:rsidTr="00F07E4C">
        <w:trPr>
          <w:trHeight w:val="300"/>
        </w:trPr>
        <w:tc>
          <w:tcPr>
            <w:tcW w:w="6600" w:type="dxa"/>
            <w:tcBorders>
              <w:top w:val="nil"/>
              <w:left w:val="nil"/>
              <w:bottom w:val="nil"/>
              <w:right w:val="nil"/>
            </w:tcBorders>
            <w:shd w:val="clear" w:color="000000" w:fill="FDE9D9"/>
            <w:vAlign w:val="center"/>
            <w:hideMark/>
          </w:tcPr>
          <w:p w14:paraId="72E17F1B"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Re-measurement of the net defined benefit liability comprising:</w:t>
            </w:r>
          </w:p>
        </w:tc>
        <w:tc>
          <w:tcPr>
            <w:tcW w:w="1460" w:type="dxa"/>
            <w:tcBorders>
              <w:top w:val="nil"/>
              <w:left w:val="nil"/>
              <w:bottom w:val="nil"/>
              <w:right w:val="nil"/>
            </w:tcBorders>
            <w:shd w:val="clear" w:color="000000" w:fill="FDE9D9"/>
            <w:vAlign w:val="center"/>
            <w:hideMark/>
          </w:tcPr>
          <w:p w14:paraId="4FD62472"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65410A25" w14:textId="77777777" w:rsidR="005D2461" w:rsidRPr="005D2461" w:rsidRDefault="005D2461" w:rsidP="005D2461">
            <w:pPr>
              <w:jc w:val="right"/>
              <w:rPr>
                <w:rFonts w:ascii="Calibri" w:hAnsi="Calibri"/>
                <w:color w:val="000000"/>
                <w:lang w:eastAsia="en-GB"/>
              </w:rPr>
            </w:pPr>
          </w:p>
        </w:tc>
      </w:tr>
      <w:tr w:rsidR="005D2461" w:rsidRPr="005D2461" w14:paraId="14DDBF93" w14:textId="77777777" w:rsidTr="005D2461">
        <w:trPr>
          <w:trHeight w:val="51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91425DA"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Return on plan assets (excluding the amount included in the net interest expense)</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04FCE687" w14:textId="0E36B72C" w:rsidR="005D2461" w:rsidRPr="005D2461" w:rsidRDefault="00C814BE" w:rsidP="005D2461">
            <w:pPr>
              <w:jc w:val="right"/>
              <w:rPr>
                <w:rFonts w:ascii="Calibri" w:hAnsi="Calibri"/>
                <w:color w:val="000000"/>
                <w:lang w:eastAsia="en-GB"/>
              </w:rPr>
            </w:pPr>
            <w:r>
              <w:rPr>
                <w:rFonts w:ascii="Calibri" w:hAnsi="Calibri"/>
                <w:color w:val="000000"/>
                <w:lang w:eastAsia="en-GB"/>
              </w:rPr>
              <w:t>4,020</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752483B5" w14:textId="2809E3C5" w:rsidR="005D2461" w:rsidRPr="005D2461" w:rsidRDefault="004B0F83" w:rsidP="00097A5B">
            <w:pPr>
              <w:jc w:val="right"/>
              <w:rPr>
                <w:rFonts w:ascii="Calibri" w:hAnsi="Calibri"/>
                <w:color w:val="000000"/>
                <w:lang w:eastAsia="en-GB"/>
              </w:rPr>
            </w:pPr>
            <w:r>
              <w:rPr>
                <w:rFonts w:ascii="Calibri" w:hAnsi="Calibri"/>
                <w:color w:val="000000"/>
                <w:lang w:eastAsia="en-GB"/>
              </w:rPr>
              <w:t>-2,435</w:t>
            </w:r>
          </w:p>
        </w:tc>
      </w:tr>
      <w:tr w:rsidR="005D2461" w:rsidRPr="005D2461" w14:paraId="2FEC9F8F"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1A0B37F5" w14:textId="505E66F1"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xml:space="preserve">Actuarial gains </w:t>
            </w:r>
            <w:r w:rsidR="00704A70">
              <w:rPr>
                <w:rFonts w:ascii="Calibri" w:hAnsi="Calibri"/>
                <w:color w:val="000000"/>
                <w:lang w:eastAsia="en-GB"/>
              </w:rPr>
              <w:t>and</w:t>
            </w:r>
            <w:r w:rsidRPr="005D2461">
              <w:rPr>
                <w:rFonts w:ascii="Calibri" w:hAnsi="Calibri"/>
                <w:color w:val="000000"/>
                <w:lang w:eastAsia="en-GB"/>
              </w:rPr>
              <w:t xml:space="preserve"> losses arising on changes in demographic assumptions </w:t>
            </w:r>
          </w:p>
        </w:tc>
        <w:tc>
          <w:tcPr>
            <w:tcW w:w="1460" w:type="dxa"/>
            <w:tcBorders>
              <w:top w:val="nil"/>
              <w:left w:val="nil"/>
              <w:bottom w:val="single" w:sz="4" w:space="0" w:color="FFFFFF"/>
              <w:right w:val="single" w:sz="4" w:space="0" w:color="FFFFFF"/>
            </w:tcBorders>
            <w:shd w:val="clear" w:color="000000" w:fill="FDE9D9"/>
            <w:vAlign w:val="center"/>
            <w:hideMark/>
          </w:tcPr>
          <w:p w14:paraId="3B6E6568" w14:textId="0C0B4398" w:rsidR="005D2461" w:rsidRPr="005D2461" w:rsidRDefault="00C814BE" w:rsidP="005D2461">
            <w:pPr>
              <w:jc w:val="right"/>
              <w:rPr>
                <w:rFonts w:ascii="Calibri" w:hAnsi="Calibri"/>
                <w:color w:val="000000"/>
                <w:lang w:eastAsia="en-GB"/>
              </w:rPr>
            </w:pPr>
            <w:r>
              <w:rPr>
                <w:rFonts w:ascii="Calibri" w:hAnsi="Calibri"/>
                <w:color w:val="000000"/>
                <w:lang w:eastAsia="en-GB"/>
              </w:rPr>
              <w:t>370</w:t>
            </w:r>
          </w:p>
        </w:tc>
        <w:tc>
          <w:tcPr>
            <w:tcW w:w="1600" w:type="dxa"/>
            <w:tcBorders>
              <w:top w:val="nil"/>
              <w:left w:val="nil"/>
              <w:bottom w:val="single" w:sz="4" w:space="0" w:color="FFFFFF"/>
              <w:right w:val="single" w:sz="4" w:space="0" w:color="FFFFFF"/>
            </w:tcBorders>
            <w:shd w:val="clear" w:color="000000" w:fill="FDE9D9"/>
            <w:vAlign w:val="center"/>
          </w:tcPr>
          <w:p w14:paraId="1535117D" w14:textId="504B27FB" w:rsidR="005D2461" w:rsidRPr="005D2461" w:rsidRDefault="004B0F83" w:rsidP="005D2461">
            <w:pPr>
              <w:jc w:val="right"/>
              <w:rPr>
                <w:rFonts w:ascii="Calibri" w:hAnsi="Calibri"/>
                <w:color w:val="000000"/>
                <w:lang w:eastAsia="en-GB"/>
              </w:rPr>
            </w:pPr>
            <w:r>
              <w:rPr>
                <w:rFonts w:ascii="Calibri" w:hAnsi="Calibri"/>
                <w:color w:val="000000"/>
                <w:lang w:eastAsia="en-GB"/>
              </w:rPr>
              <w:t>414</w:t>
            </w:r>
          </w:p>
        </w:tc>
      </w:tr>
      <w:tr w:rsidR="005D2461" w:rsidRPr="005D2461" w14:paraId="6DE1212D"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23B1FECD" w14:textId="2999355C"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xml:space="preserve">Actuarial gains </w:t>
            </w:r>
            <w:r w:rsidR="00704A70">
              <w:rPr>
                <w:rFonts w:ascii="Calibri" w:hAnsi="Calibri"/>
                <w:color w:val="000000"/>
                <w:lang w:eastAsia="en-GB"/>
              </w:rPr>
              <w:t>and</w:t>
            </w:r>
            <w:r w:rsidRPr="005D2461">
              <w:rPr>
                <w:rFonts w:ascii="Calibri" w:hAnsi="Calibri"/>
                <w:color w:val="000000"/>
                <w:lang w:eastAsia="en-GB"/>
              </w:rPr>
              <w:t xml:space="preserve"> losses arising on changes in financial assumptions </w:t>
            </w:r>
          </w:p>
        </w:tc>
        <w:tc>
          <w:tcPr>
            <w:tcW w:w="1460" w:type="dxa"/>
            <w:tcBorders>
              <w:top w:val="nil"/>
              <w:left w:val="nil"/>
              <w:bottom w:val="single" w:sz="4" w:space="0" w:color="FFFFFF"/>
              <w:right w:val="single" w:sz="4" w:space="0" w:color="FFFFFF"/>
            </w:tcBorders>
            <w:shd w:val="clear" w:color="000000" w:fill="FDE9D9"/>
            <w:vAlign w:val="center"/>
            <w:hideMark/>
          </w:tcPr>
          <w:p w14:paraId="7E88CDBE" w14:textId="5C38B3EA" w:rsidR="005D2461" w:rsidRPr="005D2461" w:rsidRDefault="00C814BE" w:rsidP="005D2461">
            <w:pPr>
              <w:jc w:val="right"/>
              <w:rPr>
                <w:rFonts w:ascii="Calibri" w:hAnsi="Calibri"/>
                <w:color w:val="000000"/>
                <w:lang w:eastAsia="en-GB"/>
              </w:rPr>
            </w:pPr>
            <w:r>
              <w:rPr>
                <w:rFonts w:ascii="Calibri" w:hAnsi="Calibri"/>
                <w:color w:val="000000"/>
                <w:lang w:eastAsia="en-GB"/>
              </w:rPr>
              <w:t>4,684</w:t>
            </w:r>
          </w:p>
        </w:tc>
        <w:tc>
          <w:tcPr>
            <w:tcW w:w="1600" w:type="dxa"/>
            <w:tcBorders>
              <w:top w:val="nil"/>
              <w:left w:val="nil"/>
              <w:bottom w:val="single" w:sz="4" w:space="0" w:color="FFFFFF"/>
              <w:right w:val="single" w:sz="4" w:space="0" w:color="FFFFFF"/>
            </w:tcBorders>
            <w:shd w:val="clear" w:color="000000" w:fill="FDE9D9"/>
            <w:vAlign w:val="center"/>
          </w:tcPr>
          <w:p w14:paraId="6149F8F8" w14:textId="29C317C7" w:rsidR="000D447E" w:rsidRPr="005D2461" w:rsidRDefault="004B0F83" w:rsidP="000D447E">
            <w:pPr>
              <w:jc w:val="right"/>
              <w:rPr>
                <w:rFonts w:ascii="Calibri" w:hAnsi="Calibri"/>
                <w:color w:val="000000"/>
                <w:lang w:eastAsia="en-GB"/>
              </w:rPr>
            </w:pPr>
            <w:r>
              <w:rPr>
                <w:rFonts w:ascii="Calibri" w:hAnsi="Calibri"/>
                <w:color w:val="000000"/>
                <w:lang w:eastAsia="en-GB"/>
              </w:rPr>
              <w:t>24,715</w:t>
            </w:r>
          </w:p>
        </w:tc>
      </w:tr>
      <w:tr w:rsidR="005D2461" w:rsidRPr="005D2461" w14:paraId="14B70999"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70C2A871"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Other</w:t>
            </w:r>
          </w:p>
        </w:tc>
        <w:tc>
          <w:tcPr>
            <w:tcW w:w="1460" w:type="dxa"/>
            <w:tcBorders>
              <w:top w:val="nil"/>
              <w:left w:val="nil"/>
              <w:bottom w:val="single" w:sz="4" w:space="0" w:color="FFFFFF"/>
              <w:right w:val="single" w:sz="4" w:space="0" w:color="FFFFFF"/>
            </w:tcBorders>
            <w:shd w:val="clear" w:color="000000" w:fill="FDE9D9"/>
            <w:vAlign w:val="center"/>
            <w:hideMark/>
          </w:tcPr>
          <w:p w14:paraId="76C4E2DF" w14:textId="0FDFDBDF" w:rsidR="005D2461" w:rsidRPr="005D2461" w:rsidRDefault="00C814BE" w:rsidP="005D2461">
            <w:pPr>
              <w:jc w:val="right"/>
              <w:rPr>
                <w:rFonts w:ascii="Calibri" w:hAnsi="Calibri"/>
                <w:color w:val="000000"/>
                <w:lang w:eastAsia="en-GB"/>
              </w:rPr>
            </w:pPr>
            <w:r>
              <w:rPr>
                <w:rFonts w:ascii="Calibri" w:hAnsi="Calibri"/>
                <w:color w:val="000000"/>
                <w:lang w:eastAsia="en-GB"/>
              </w:rPr>
              <w:t>-108</w:t>
            </w:r>
          </w:p>
        </w:tc>
        <w:tc>
          <w:tcPr>
            <w:tcW w:w="1600" w:type="dxa"/>
            <w:tcBorders>
              <w:top w:val="nil"/>
              <w:left w:val="nil"/>
              <w:bottom w:val="single" w:sz="4" w:space="0" w:color="FFFFFF"/>
              <w:right w:val="single" w:sz="4" w:space="0" w:color="FFFFFF"/>
            </w:tcBorders>
            <w:shd w:val="clear" w:color="000000" w:fill="FDE9D9"/>
            <w:vAlign w:val="center"/>
          </w:tcPr>
          <w:p w14:paraId="7A406D89" w14:textId="3C718240" w:rsidR="005D2461" w:rsidRPr="005D2461" w:rsidRDefault="004B0F83" w:rsidP="005D2461">
            <w:pPr>
              <w:jc w:val="right"/>
              <w:rPr>
                <w:rFonts w:ascii="Calibri" w:hAnsi="Calibri"/>
                <w:color w:val="000000"/>
                <w:lang w:eastAsia="en-GB"/>
              </w:rPr>
            </w:pPr>
            <w:r>
              <w:rPr>
                <w:rFonts w:ascii="Calibri" w:hAnsi="Calibri"/>
                <w:color w:val="000000"/>
                <w:lang w:eastAsia="en-GB"/>
              </w:rPr>
              <w:t>-2,805</w:t>
            </w:r>
          </w:p>
        </w:tc>
      </w:tr>
      <w:tr w:rsidR="005D2461" w:rsidRPr="005D2461" w14:paraId="1B003E10" w14:textId="77777777" w:rsidTr="005D2461">
        <w:trPr>
          <w:trHeight w:val="51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4CF7EA8E"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 xml:space="preserve">Total Post Employment Benefit charged to the Comprehensive Income and Expenditure Statement </w:t>
            </w:r>
          </w:p>
        </w:tc>
        <w:tc>
          <w:tcPr>
            <w:tcW w:w="1460" w:type="dxa"/>
            <w:tcBorders>
              <w:top w:val="nil"/>
              <w:left w:val="nil"/>
              <w:bottom w:val="single" w:sz="4" w:space="0" w:color="FFFFFF"/>
              <w:right w:val="single" w:sz="4" w:space="0" w:color="FFFFFF"/>
            </w:tcBorders>
            <w:shd w:val="clear" w:color="000000" w:fill="FCD5B4"/>
            <w:vAlign w:val="center"/>
            <w:hideMark/>
          </w:tcPr>
          <w:p w14:paraId="5DEE175C" w14:textId="47718DE9" w:rsidR="005D2461" w:rsidRPr="005D2461" w:rsidRDefault="00C814BE" w:rsidP="00D45469">
            <w:pPr>
              <w:jc w:val="right"/>
              <w:rPr>
                <w:rFonts w:ascii="Calibri" w:hAnsi="Calibri"/>
                <w:b/>
                <w:bCs/>
                <w:color w:val="000000"/>
                <w:lang w:eastAsia="en-GB"/>
              </w:rPr>
            </w:pPr>
            <w:r>
              <w:rPr>
                <w:rFonts w:ascii="Calibri" w:hAnsi="Calibri"/>
                <w:b/>
                <w:bCs/>
                <w:color w:val="000000"/>
                <w:lang w:eastAsia="en-GB"/>
              </w:rPr>
              <w:t>8,966</w:t>
            </w:r>
          </w:p>
        </w:tc>
        <w:tc>
          <w:tcPr>
            <w:tcW w:w="1600" w:type="dxa"/>
            <w:tcBorders>
              <w:top w:val="nil"/>
              <w:left w:val="nil"/>
              <w:bottom w:val="single" w:sz="4" w:space="0" w:color="FFFFFF"/>
              <w:right w:val="single" w:sz="4" w:space="0" w:color="FFFFFF"/>
            </w:tcBorders>
            <w:shd w:val="clear" w:color="000000" w:fill="FCD5B4"/>
            <w:vAlign w:val="center"/>
          </w:tcPr>
          <w:p w14:paraId="12031318" w14:textId="11D53CD6" w:rsidR="005D2461" w:rsidRPr="005D2461" w:rsidRDefault="004B0F83" w:rsidP="005D2461">
            <w:pPr>
              <w:jc w:val="right"/>
              <w:rPr>
                <w:rFonts w:ascii="Calibri" w:hAnsi="Calibri"/>
                <w:b/>
                <w:bCs/>
                <w:color w:val="000000"/>
                <w:lang w:eastAsia="en-GB"/>
              </w:rPr>
            </w:pPr>
            <w:r>
              <w:rPr>
                <w:rFonts w:ascii="Calibri" w:hAnsi="Calibri"/>
                <w:b/>
                <w:bCs/>
                <w:color w:val="000000"/>
                <w:lang w:eastAsia="en-GB"/>
              </w:rPr>
              <w:t>19,889</w:t>
            </w:r>
          </w:p>
        </w:tc>
      </w:tr>
      <w:tr w:rsidR="005D2461" w:rsidRPr="005D2461" w14:paraId="3076F4C4" w14:textId="77777777" w:rsidTr="005D2461">
        <w:trPr>
          <w:trHeight w:val="300"/>
        </w:trPr>
        <w:tc>
          <w:tcPr>
            <w:tcW w:w="6600" w:type="dxa"/>
            <w:tcBorders>
              <w:top w:val="nil"/>
              <w:left w:val="nil"/>
              <w:bottom w:val="nil"/>
              <w:right w:val="nil"/>
            </w:tcBorders>
            <w:shd w:val="clear" w:color="000000" w:fill="FDE9D9"/>
            <w:vAlign w:val="center"/>
            <w:hideMark/>
          </w:tcPr>
          <w:p w14:paraId="7359A415"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lastRenderedPageBreak/>
              <w:t>Movement in Reserves Statement:</w:t>
            </w:r>
          </w:p>
        </w:tc>
        <w:tc>
          <w:tcPr>
            <w:tcW w:w="1460" w:type="dxa"/>
            <w:tcBorders>
              <w:top w:val="nil"/>
              <w:left w:val="nil"/>
              <w:bottom w:val="nil"/>
              <w:right w:val="nil"/>
            </w:tcBorders>
            <w:shd w:val="clear" w:color="000000" w:fill="FDE9D9"/>
            <w:vAlign w:val="center"/>
            <w:hideMark/>
          </w:tcPr>
          <w:p w14:paraId="50F8A347" w14:textId="77777777" w:rsidR="005D2461" w:rsidRPr="005D2461" w:rsidRDefault="005D2461" w:rsidP="005D2461">
            <w:pPr>
              <w:jc w:val="right"/>
              <w:rPr>
                <w:rFonts w:ascii="Calibri" w:hAnsi="Calibri"/>
                <w:b/>
                <w:bCs/>
                <w:color w:val="000000"/>
                <w:lang w:eastAsia="en-GB"/>
              </w:rPr>
            </w:pPr>
            <w:r w:rsidRPr="005D2461">
              <w:rPr>
                <w:rFonts w:ascii="Calibri" w:hAnsi="Calibri"/>
                <w:b/>
                <w:bCs/>
                <w:color w:val="000000"/>
                <w:lang w:eastAsia="en-GB"/>
              </w:rPr>
              <w:t> </w:t>
            </w:r>
          </w:p>
        </w:tc>
        <w:tc>
          <w:tcPr>
            <w:tcW w:w="1600" w:type="dxa"/>
            <w:tcBorders>
              <w:top w:val="nil"/>
              <w:left w:val="nil"/>
              <w:bottom w:val="nil"/>
              <w:right w:val="nil"/>
            </w:tcBorders>
            <w:shd w:val="clear" w:color="000000" w:fill="FDE9D9"/>
            <w:vAlign w:val="center"/>
          </w:tcPr>
          <w:p w14:paraId="6D9CB920" w14:textId="77777777" w:rsidR="005D2461" w:rsidRPr="005D2461" w:rsidRDefault="005D2461" w:rsidP="005D2461">
            <w:pPr>
              <w:jc w:val="right"/>
              <w:rPr>
                <w:rFonts w:ascii="Calibri" w:hAnsi="Calibri"/>
                <w:b/>
                <w:bCs/>
                <w:color w:val="000000"/>
                <w:lang w:eastAsia="en-GB"/>
              </w:rPr>
            </w:pPr>
          </w:p>
        </w:tc>
      </w:tr>
      <w:tr w:rsidR="005D2461" w:rsidRPr="005D2461" w14:paraId="52C275C6" w14:textId="77777777" w:rsidTr="005D2461">
        <w:trPr>
          <w:trHeight w:val="51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5E98CBA8"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Reversal of Net Charges made to the deficit on the</w:t>
            </w:r>
            <w:r w:rsidR="00A31DA2">
              <w:rPr>
                <w:rFonts w:ascii="Calibri" w:hAnsi="Calibri"/>
                <w:color w:val="000000"/>
                <w:lang w:eastAsia="en-GB"/>
              </w:rPr>
              <w:t xml:space="preserve"> provision of services for post-</w:t>
            </w:r>
            <w:r w:rsidRPr="005D2461">
              <w:rPr>
                <w:rFonts w:ascii="Calibri" w:hAnsi="Calibri"/>
                <w:color w:val="000000"/>
                <w:lang w:eastAsia="en-GB"/>
              </w:rPr>
              <w:t>employment benefits in accordance with the code</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26C9DEAC" w14:textId="306F08DC" w:rsidR="005D2461" w:rsidRPr="005D2461" w:rsidRDefault="00C814BE" w:rsidP="001223DF">
            <w:pPr>
              <w:jc w:val="right"/>
              <w:rPr>
                <w:rFonts w:ascii="Calibri" w:hAnsi="Calibri"/>
                <w:color w:val="000000"/>
                <w:lang w:eastAsia="en-GB"/>
              </w:rPr>
            </w:pPr>
            <w:r>
              <w:rPr>
                <w:rFonts w:ascii="Calibri" w:hAnsi="Calibri"/>
                <w:color w:val="000000"/>
                <w:lang w:eastAsia="en-GB"/>
              </w:rPr>
              <w:t>3,197</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297042E1" w14:textId="17BCBA84" w:rsidR="005D2461" w:rsidRPr="005D2461" w:rsidRDefault="004B0F83" w:rsidP="00847423">
            <w:pPr>
              <w:jc w:val="right"/>
              <w:rPr>
                <w:rFonts w:ascii="Calibri" w:hAnsi="Calibri"/>
                <w:color w:val="000000"/>
                <w:lang w:eastAsia="en-GB"/>
              </w:rPr>
            </w:pPr>
            <w:r>
              <w:rPr>
                <w:rFonts w:ascii="Calibri" w:hAnsi="Calibri"/>
                <w:color w:val="000000"/>
                <w:lang w:eastAsia="en-GB"/>
              </w:rPr>
              <w:t>3,079</w:t>
            </w:r>
          </w:p>
        </w:tc>
      </w:tr>
      <w:tr w:rsidR="005D2461" w:rsidRPr="005D2461" w14:paraId="0AFBFE27" w14:textId="77777777" w:rsidTr="005D2461">
        <w:trPr>
          <w:trHeight w:val="510"/>
        </w:trPr>
        <w:tc>
          <w:tcPr>
            <w:tcW w:w="6600" w:type="dxa"/>
            <w:tcBorders>
              <w:top w:val="nil"/>
              <w:left w:val="nil"/>
              <w:bottom w:val="nil"/>
              <w:right w:val="nil"/>
            </w:tcBorders>
            <w:shd w:val="clear" w:color="000000" w:fill="FDE9D9"/>
            <w:vAlign w:val="center"/>
            <w:hideMark/>
          </w:tcPr>
          <w:p w14:paraId="092D0413"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Actual amount charged against the General Fund Balance for the pensions in the year:</w:t>
            </w:r>
          </w:p>
        </w:tc>
        <w:tc>
          <w:tcPr>
            <w:tcW w:w="1460" w:type="dxa"/>
            <w:tcBorders>
              <w:top w:val="nil"/>
              <w:left w:val="nil"/>
              <w:bottom w:val="nil"/>
              <w:right w:val="nil"/>
            </w:tcBorders>
            <w:shd w:val="clear" w:color="000000" w:fill="FDE9D9"/>
            <w:vAlign w:val="center"/>
            <w:hideMark/>
          </w:tcPr>
          <w:p w14:paraId="1F0209E5" w14:textId="77777777" w:rsidR="005D2461" w:rsidRPr="005D2461" w:rsidRDefault="005D2461" w:rsidP="005D2461">
            <w:pPr>
              <w:jc w:val="right"/>
              <w:rPr>
                <w:rFonts w:ascii="Calibri" w:hAnsi="Calibri"/>
                <w:b/>
                <w:bCs/>
                <w:color w:val="000000"/>
                <w:lang w:eastAsia="en-GB"/>
              </w:rPr>
            </w:pPr>
            <w:r w:rsidRPr="005D2461">
              <w:rPr>
                <w:rFonts w:ascii="Calibri" w:hAnsi="Calibri"/>
                <w:b/>
                <w:bCs/>
                <w:color w:val="000000"/>
                <w:lang w:eastAsia="en-GB"/>
              </w:rPr>
              <w:t> </w:t>
            </w:r>
          </w:p>
        </w:tc>
        <w:tc>
          <w:tcPr>
            <w:tcW w:w="1600" w:type="dxa"/>
            <w:tcBorders>
              <w:top w:val="nil"/>
              <w:left w:val="nil"/>
              <w:bottom w:val="nil"/>
              <w:right w:val="nil"/>
            </w:tcBorders>
            <w:shd w:val="clear" w:color="000000" w:fill="FDE9D9"/>
            <w:vAlign w:val="center"/>
          </w:tcPr>
          <w:p w14:paraId="2C426A7D" w14:textId="77777777" w:rsidR="005D2461" w:rsidRPr="005D2461" w:rsidRDefault="005D2461" w:rsidP="005D2461">
            <w:pPr>
              <w:jc w:val="right"/>
              <w:rPr>
                <w:rFonts w:ascii="Calibri" w:hAnsi="Calibri"/>
                <w:b/>
                <w:bCs/>
                <w:color w:val="000000"/>
                <w:lang w:eastAsia="en-GB"/>
              </w:rPr>
            </w:pPr>
          </w:p>
        </w:tc>
      </w:tr>
      <w:tr w:rsidR="005D2461" w:rsidRPr="005D2461" w14:paraId="610443B8" w14:textId="77777777" w:rsidTr="005D2461">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0051CF40" w14:textId="77777777" w:rsidR="005D2461" w:rsidRPr="005D2461" w:rsidRDefault="005D2461" w:rsidP="005D2461">
            <w:pPr>
              <w:jc w:val="both"/>
              <w:rPr>
                <w:rFonts w:ascii="Calibri" w:hAnsi="Calibri"/>
                <w:color w:val="000000"/>
                <w:lang w:eastAsia="en-GB"/>
              </w:rPr>
            </w:pPr>
            <w:proofErr w:type="gramStart"/>
            <w:r w:rsidRPr="005D2461">
              <w:rPr>
                <w:rFonts w:ascii="Calibri" w:hAnsi="Calibri"/>
                <w:color w:val="000000"/>
                <w:lang w:eastAsia="en-GB"/>
              </w:rPr>
              <w:t>Employers</w:t>
            </w:r>
            <w:proofErr w:type="gramEnd"/>
            <w:r w:rsidRPr="005D2461">
              <w:rPr>
                <w:rFonts w:ascii="Calibri" w:hAnsi="Calibri"/>
                <w:color w:val="000000"/>
                <w:lang w:eastAsia="en-GB"/>
              </w:rPr>
              <w:t xml:space="preserve"> contribution payable to the scheme</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5D887CC0" w14:textId="23D2A31E" w:rsidR="005D2461" w:rsidRPr="005D2461" w:rsidRDefault="001223DF" w:rsidP="00D45469">
            <w:pPr>
              <w:jc w:val="right"/>
              <w:rPr>
                <w:rFonts w:ascii="Calibri" w:hAnsi="Calibri"/>
                <w:color w:val="000000"/>
                <w:lang w:eastAsia="en-GB"/>
              </w:rPr>
            </w:pPr>
            <w:r>
              <w:rPr>
                <w:rFonts w:ascii="Calibri" w:hAnsi="Calibri"/>
                <w:color w:val="000000"/>
                <w:lang w:eastAsia="en-GB"/>
              </w:rPr>
              <w:t>1,</w:t>
            </w:r>
            <w:r w:rsidR="00C814BE">
              <w:rPr>
                <w:rFonts w:ascii="Calibri" w:hAnsi="Calibri"/>
                <w:color w:val="000000"/>
                <w:lang w:eastAsia="en-GB"/>
              </w:rPr>
              <w:t>294</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5826BBEC" w14:textId="791C601A" w:rsidR="00F8118D" w:rsidRPr="005D2461" w:rsidRDefault="004B0F83" w:rsidP="00F8118D">
            <w:pPr>
              <w:jc w:val="right"/>
              <w:rPr>
                <w:rFonts w:ascii="Calibri" w:hAnsi="Calibri"/>
                <w:color w:val="000000"/>
                <w:lang w:eastAsia="en-GB"/>
              </w:rPr>
            </w:pPr>
            <w:r>
              <w:rPr>
                <w:rFonts w:ascii="Calibri" w:hAnsi="Calibri"/>
                <w:color w:val="000000"/>
                <w:lang w:eastAsia="en-GB"/>
              </w:rPr>
              <w:t>1,414</w:t>
            </w:r>
          </w:p>
        </w:tc>
      </w:tr>
      <w:tr w:rsidR="005D2461" w:rsidRPr="005D2461" w14:paraId="7689F3FD"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7BA6D4C3"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Retirement benefits payable to pensioners</w:t>
            </w:r>
          </w:p>
        </w:tc>
        <w:tc>
          <w:tcPr>
            <w:tcW w:w="1460" w:type="dxa"/>
            <w:tcBorders>
              <w:top w:val="nil"/>
              <w:left w:val="nil"/>
              <w:bottom w:val="single" w:sz="4" w:space="0" w:color="FFFFFF"/>
              <w:right w:val="single" w:sz="4" w:space="0" w:color="FFFFFF"/>
            </w:tcBorders>
            <w:shd w:val="clear" w:color="000000" w:fill="FDE9D9"/>
            <w:vAlign w:val="center"/>
            <w:hideMark/>
          </w:tcPr>
          <w:p w14:paraId="4A3D44C2" w14:textId="4008FC52" w:rsidR="005D2461" w:rsidRPr="005D2461" w:rsidRDefault="00D45469" w:rsidP="005D2461">
            <w:pPr>
              <w:jc w:val="right"/>
              <w:rPr>
                <w:rFonts w:ascii="Calibri" w:hAnsi="Calibri"/>
                <w:color w:val="000000"/>
                <w:lang w:eastAsia="en-GB"/>
              </w:rPr>
            </w:pPr>
            <w:r>
              <w:rPr>
                <w:rFonts w:ascii="Calibri" w:hAnsi="Calibri"/>
                <w:color w:val="000000"/>
                <w:lang w:eastAsia="en-GB"/>
              </w:rPr>
              <w:t>7</w:t>
            </w:r>
            <w:r w:rsidR="00C814BE">
              <w:rPr>
                <w:rFonts w:ascii="Calibri" w:hAnsi="Calibri"/>
                <w:color w:val="000000"/>
                <w:lang w:eastAsia="en-GB"/>
              </w:rPr>
              <w:t>1</w:t>
            </w:r>
          </w:p>
        </w:tc>
        <w:tc>
          <w:tcPr>
            <w:tcW w:w="1600" w:type="dxa"/>
            <w:tcBorders>
              <w:top w:val="nil"/>
              <w:left w:val="nil"/>
              <w:bottom w:val="single" w:sz="4" w:space="0" w:color="FFFFFF"/>
              <w:right w:val="single" w:sz="4" w:space="0" w:color="FFFFFF"/>
            </w:tcBorders>
            <w:shd w:val="clear" w:color="000000" w:fill="FDE9D9"/>
            <w:vAlign w:val="center"/>
          </w:tcPr>
          <w:p w14:paraId="2B83B380" w14:textId="1BECE8F3" w:rsidR="005D2461" w:rsidRPr="005D2461" w:rsidRDefault="004B0F83" w:rsidP="005D2461">
            <w:pPr>
              <w:jc w:val="right"/>
              <w:rPr>
                <w:rFonts w:ascii="Calibri" w:hAnsi="Calibri"/>
                <w:color w:val="000000"/>
                <w:lang w:eastAsia="en-GB"/>
              </w:rPr>
            </w:pPr>
            <w:r>
              <w:rPr>
                <w:rFonts w:ascii="Calibri" w:hAnsi="Calibri"/>
                <w:color w:val="000000"/>
                <w:lang w:eastAsia="en-GB"/>
              </w:rPr>
              <w:t>72</w:t>
            </w:r>
          </w:p>
        </w:tc>
      </w:tr>
      <w:tr w:rsidR="005D2461" w:rsidRPr="005D2461" w14:paraId="2C8A2DEF" w14:textId="77777777" w:rsidTr="005D2461">
        <w:trPr>
          <w:trHeight w:val="30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25621D7C"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nil"/>
              <w:left w:val="nil"/>
              <w:bottom w:val="single" w:sz="4" w:space="0" w:color="FFFFFF"/>
              <w:right w:val="single" w:sz="4" w:space="0" w:color="FFFFFF"/>
            </w:tcBorders>
            <w:shd w:val="clear" w:color="000000" w:fill="FCD5B4"/>
            <w:vAlign w:val="center"/>
            <w:hideMark/>
          </w:tcPr>
          <w:p w14:paraId="4011D92A" w14:textId="20BC1AE8" w:rsidR="005D2461" w:rsidRPr="005D2461" w:rsidRDefault="001223DF" w:rsidP="00D45469">
            <w:pPr>
              <w:jc w:val="right"/>
              <w:rPr>
                <w:rFonts w:ascii="Calibri" w:hAnsi="Calibri"/>
                <w:b/>
                <w:bCs/>
                <w:color w:val="000000"/>
                <w:lang w:eastAsia="en-GB"/>
              </w:rPr>
            </w:pPr>
            <w:r>
              <w:rPr>
                <w:rFonts w:ascii="Calibri" w:hAnsi="Calibri"/>
                <w:b/>
                <w:bCs/>
                <w:color w:val="000000"/>
                <w:lang w:eastAsia="en-GB"/>
              </w:rPr>
              <w:t>1,</w:t>
            </w:r>
            <w:r w:rsidR="00C814BE">
              <w:rPr>
                <w:rFonts w:ascii="Calibri" w:hAnsi="Calibri"/>
                <w:b/>
                <w:bCs/>
                <w:color w:val="000000"/>
                <w:lang w:eastAsia="en-GB"/>
              </w:rPr>
              <w:t>365</w:t>
            </w:r>
          </w:p>
        </w:tc>
        <w:tc>
          <w:tcPr>
            <w:tcW w:w="1600" w:type="dxa"/>
            <w:tcBorders>
              <w:top w:val="nil"/>
              <w:left w:val="nil"/>
              <w:bottom w:val="single" w:sz="4" w:space="0" w:color="FFFFFF"/>
              <w:right w:val="single" w:sz="4" w:space="0" w:color="FFFFFF"/>
            </w:tcBorders>
            <w:shd w:val="clear" w:color="000000" w:fill="FCD5B4"/>
            <w:vAlign w:val="center"/>
          </w:tcPr>
          <w:p w14:paraId="07C5062A" w14:textId="4168F452" w:rsidR="005D2461" w:rsidRPr="005D2461" w:rsidRDefault="004B0F83" w:rsidP="005D2461">
            <w:pPr>
              <w:jc w:val="right"/>
              <w:rPr>
                <w:rFonts w:ascii="Calibri" w:hAnsi="Calibri"/>
                <w:b/>
                <w:bCs/>
                <w:color w:val="000000"/>
                <w:lang w:eastAsia="en-GB"/>
              </w:rPr>
            </w:pPr>
            <w:r>
              <w:rPr>
                <w:rFonts w:ascii="Calibri" w:hAnsi="Calibri"/>
                <w:b/>
                <w:bCs/>
                <w:color w:val="000000"/>
                <w:lang w:eastAsia="en-GB"/>
              </w:rPr>
              <w:t>1,486</w:t>
            </w:r>
          </w:p>
        </w:tc>
      </w:tr>
    </w:tbl>
    <w:p w14:paraId="16AB4097" w14:textId="77777777" w:rsidR="00274A22" w:rsidRPr="00DF42A3" w:rsidRDefault="00274A22" w:rsidP="008917BB">
      <w:pPr>
        <w:widowControl w:val="0"/>
        <w:tabs>
          <w:tab w:val="left" w:pos="1701"/>
          <w:tab w:val="left" w:pos="7200"/>
          <w:tab w:val="left" w:pos="8640"/>
        </w:tabs>
        <w:ind w:left="426" w:hanging="426"/>
        <w:jc w:val="both"/>
        <w:rPr>
          <w:rFonts w:asciiTheme="minorHAnsi" w:hAnsiTheme="minorHAnsi" w:cs="Arial"/>
          <w:b/>
          <w:sz w:val="16"/>
          <w:szCs w:val="16"/>
        </w:rPr>
      </w:pPr>
    </w:p>
    <w:p w14:paraId="420316BC" w14:textId="607B98C9" w:rsidR="008917BB" w:rsidRPr="005D2461" w:rsidRDefault="008917BB" w:rsidP="008917BB">
      <w:pPr>
        <w:widowControl w:val="0"/>
        <w:tabs>
          <w:tab w:val="left" w:pos="1701"/>
          <w:tab w:val="left" w:pos="7200"/>
          <w:tab w:val="left" w:pos="8640"/>
        </w:tabs>
        <w:ind w:left="426" w:hanging="426"/>
        <w:jc w:val="both"/>
        <w:rPr>
          <w:rFonts w:asciiTheme="minorHAnsi" w:hAnsiTheme="minorHAnsi" w:cs="Arial"/>
          <w:b/>
          <w:sz w:val="24"/>
          <w:szCs w:val="24"/>
        </w:rPr>
      </w:pPr>
      <w:r w:rsidRPr="005D2461">
        <w:rPr>
          <w:rFonts w:asciiTheme="minorHAnsi" w:hAnsiTheme="minorHAnsi" w:cs="Arial"/>
          <w:b/>
          <w:sz w:val="24"/>
          <w:szCs w:val="24"/>
        </w:rPr>
        <w:t>Pensions</w:t>
      </w:r>
      <w:r w:rsidRPr="005D2461">
        <w:rPr>
          <w:rFonts w:asciiTheme="minorHAnsi" w:hAnsiTheme="minorHAnsi" w:cs="Arial"/>
          <w:sz w:val="24"/>
          <w:szCs w:val="24"/>
        </w:rPr>
        <w:t xml:space="preserve"> </w:t>
      </w:r>
      <w:r w:rsidRPr="005D2461">
        <w:rPr>
          <w:rFonts w:asciiTheme="minorHAnsi" w:hAnsiTheme="minorHAnsi" w:cs="Arial"/>
          <w:b/>
          <w:sz w:val="24"/>
          <w:szCs w:val="24"/>
        </w:rPr>
        <w:t>Assets and Liabilities Recognised in the Balance Sheet</w:t>
      </w:r>
    </w:p>
    <w:p w14:paraId="14AFEE17" w14:textId="77777777" w:rsidR="008917BB" w:rsidRDefault="008917BB" w:rsidP="008917BB">
      <w:pPr>
        <w:widowControl w:val="0"/>
        <w:tabs>
          <w:tab w:val="left" w:pos="1701"/>
          <w:tab w:val="left" w:pos="7200"/>
          <w:tab w:val="left" w:pos="8640"/>
        </w:tabs>
        <w:jc w:val="both"/>
        <w:rPr>
          <w:rFonts w:asciiTheme="minorHAnsi" w:hAnsiTheme="minorHAnsi" w:cs="Arial"/>
          <w:sz w:val="22"/>
          <w:szCs w:val="22"/>
        </w:rPr>
      </w:pPr>
      <w:r w:rsidRPr="005D2461">
        <w:rPr>
          <w:rFonts w:asciiTheme="minorHAnsi" w:hAnsiTheme="minorHAnsi" w:cs="Arial"/>
          <w:sz w:val="22"/>
          <w:szCs w:val="22"/>
        </w:rPr>
        <w:t>The amount included in the Balance Sheet arising from the authority’s obligation in respect of its defined benefit plans is as follows:</w:t>
      </w:r>
    </w:p>
    <w:tbl>
      <w:tblPr>
        <w:tblW w:w="9660" w:type="dxa"/>
        <w:tblInd w:w="93" w:type="dxa"/>
        <w:tblLook w:val="04A0" w:firstRow="1" w:lastRow="0" w:firstColumn="1" w:lastColumn="0" w:noHBand="0" w:noVBand="1"/>
        <w:tblCaption w:val="Pension Assets and Liabilities Recognised in the Balance Sheet"/>
        <w:tblDescription w:val="Pension Assets and Liabilities Recognised in the Balance Sheet"/>
      </w:tblPr>
      <w:tblGrid>
        <w:gridCol w:w="6600"/>
        <w:gridCol w:w="1460"/>
        <w:gridCol w:w="1600"/>
      </w:tblGrid>
      <w:tr w:rsidR="005D2461" w:rsidRPr="005D2461" w14:paraId="0AF69415" w14:textId="77777777" w:rsidTr="00CD3384">
        <w:trPr>
          <w:cantSplit/>
          <w:trHeight w:val="300"/>
          <w:tblHeader/>
        </w:trPr>
        <w:tc>
          <w:tcPr>
            <w:tcW w:w="6600" w:type="dxa"/>
            <w:tcBorders>
              <w:top w:val="nil"/>
              <w:left w:val="nil"/>
              <w:bottom w:val="nil"/>
              <w:right w:val="nil"/>
            </w:tcBorders>
            <w:shd w:val="clear" w:color="000000" w:fill="FABF8F"/>
            <w:vAlign w:val="center"/>
            <w:hideMark/>
          </w:tcPr>
          <w:p w14:paraId="08A22914"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46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500EAB99" w14:textId="51BD2F90" w:rsidR="005D2461" w:rsidRPr="005D2461" w:rsidRDefault="005D2461" w:rsidP="0060515E">
            <w:pPr>
              <w:jc w:val="right"/>
              <w:rPr>
                <w:rFonts w:ascii="Calibri" w:hAnsi="Calibri"/>
                <w:color w:val="000000"/>
                <w:lang w:eastAsia="en-GB"/>
              </w:rPr>
            </w:pPr>
            <w:r w:rsidRPr="005D2461">
              <w:rPr>
                <w:rFonts w:ascii="Calibri" w:hAnsi="Calibri"/>
                <w:color w:val="000000"/>
                <w:lang w:eastAsia="en-GB"/>
              </w:rPr>
              <w:t>20</w:t>
            </w:r>
            <w:r w:rsidR="00EE1721">
              <w:rPr>
                <w:rFonts w:ascii="Calibri" w:hAnsi="Calibri"/>
                <w:color w:val="000000"/>
                <w:lang w:eastAsia="en-GB"/>
              </w:rPr>
              <w:t>2</w:t>
            </w:r>
            <w:r w:rsidR="00C814BE">
              <w:rPr>
                <w:rFonts w:ascii="Calibri" w:hAnsi="Calibri"/>
                <w:color w:val="000000"/>
                <w:lang w:eastAsia="en-GB"/>
              </w:rPr>
              <w:t>1</w:t>
            </w:r>
            <w:r w:rsidRPr="005D2461">
              <w:rPr>
                <w:rFonts w:ascii="Calibri" w:hAnsi="Calibri"/>
                <w:color w:val="000000"/>
                <w:lang w:eastAsia="en-GB"/>
              </w:rPr>
              <w:t>-</w:t>
            </w:r>
            <w:r w:rsidR="0060515E">
              <w:rPr>
                <w:rFonts w:ascii="Calibri" w:hAnsi="Calibri"/>
                <w:color w:val="000000"/>
                <w:lang w:eastAsia="en-GB"/>
              </w:rPr>
              <w:t>2</w:t>
            </w:r>
            <w:r w:rsidR="00C814BE">
              <w:rPr>
                <w:rFonts w:ascii="Calibri" w:hAnsi="Calibri"/>
                <w:color w:val="000000"/>
                <w:lang w:eastAsia="en-GB"/>
              </w:rPr>
              <w:t>2</w:t>
            </w:r>
          </w:p>
        </w:tc>
        <w:tc>
          <w:tcPr>
            <w:tcW w:w="1600" w:type="dxa"/>
            <w:tcBorders>
              <w:top w:val="single" w:sz="4" w:space="0" w:color="FFFFFF"/>
              <w:left w:val="nil"/>
              <w:bottom w:val="single" w:sz="4" w:space="0" w:color="FFFFFF"/>
              <w:right w:val="single" w:sz="4" w:space="0" w:color="FFFFFF"/>
            </w:tcBorders>
            <w:shd w:val="clear" w:color="000000" w:fill="FABF8F"/>
            <w:vAlign w:val="center"/>
            <w:hideMark/>
          </w:tcPr>
          <w:p w14:paraId="5DD9E36C" w14:textId="55FB6C97" w:rsidR="005D2461" w:rsidRPr="005D2461" w:rsidRDefault="0060515E" w:rsidP="0060515E">
            <w:pPr>
              <w:jc w:val="right"/>
              <w:rPr>
                <w:rFonts w:ascii="Calibri" w:hAnsi="Calibri"/>
                <w:color w:val="000000"/>
                <w:lang w:eastAsia="en-GB"/>
              </w:rPr>
            </w:pPr>
            <w:r>
              <w:rPr>
                <w:rFonts w:ascii="Calibri" w:hAnsi="Calibri"/>
                <w:color w:val="000000"/>
                <w:lang w:eastAsia="en-GB"/>
              </w:rPr>
              <w:t>202</w:t>
            </w:r>
            <w:r w:rsidR="00C814BE">
              <w:rPr>
                <w:rFonts w:ascii="Calibri" w:hAnsi="Calibri"/>
                <w:color w:val="000000"/>
                <w:lang w:eastAsia="en-GB"/>
              </w:rPr>
              <w:t>2</w:t>
            </w:r>
            <w:r w:rsidR="005D2461" w:rsidRPr="005D2461">
              <w:rPr>
                <w:rFonts w:ascii="Calibri" w:hAnsi="Calibri"/>
                <w:color w:val="000000"/>
                <w:lang w:eastAsia="en-GB"/>
              </w:rPr>
              <w:t>-</w:t>
            </w:r>
            <w:r w:rsidR="001223DF">
              <w:rPr>
                <w:rFonts w:ascii="Calibri" w:hAnsi="Calibri"/>
                <w:color w:val="000000"/>
                <w:lang w:eastAsia="en-GB"/>
              </w:rPr>
              <w:t>2</w:t>
            </w:r>
            <w:r w:rsidR="00C814BE">
              <w:rPr>
                <w:rFonts w:ascii="Calibri" w:hAnsi="Calibri"/>
                <w:color w:val="000000"/>
                <w:lang w:eastAsia="en-GB"/>
              </w:rPr>
              <w:t>3</w:t>
            </w:r>
          </w:p>
        </w:tc>
      </w:tr>
      <w:tr w:rsidR="005D2461" w:rsidRPr="005D2461" w14:paraId="7EBB22BA" w14:textId="77777777" w:rsidTr="005D2461">
        <w:trPr>
          <w:trHeight w:val="300"/>
        </w:trPr>
        <w:tc>
          <w:tcPr>
            <w:tcW w:w="6600" w:type="dxa"/>
            <w:tcBorders>
              <w:top w:val="nil"/>
              <w:left w:val="nil"/>
              <w:bottom w:val="nil"/>
              <w:right w:val="nil"/>
            </w:tcBorders>
            <w:shd w:val="clear" w:color="000000" w:fill="FABF8F"/>
            <w:vAlign w:val="center"/>
            <w:hideMark/>
          </w:tcPr>
          <w:p w14:paraId="309BA80C"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460" w:type="dxa"/>
            <w:tcBorders>
              <w:top w:val="nil"/>
              <w:left w:val="single" w:sz="4" w:space="0" w:color="FFFFFF"/>
              <w:bottom w:val="single" w:sz="4" w:space="0" w:color="FFFFFF"/>
              <w:right w:val="single" w:sz="4" w:space="0" w:color="FFFFFF"/>
            </w:tcBorders>
            <w:shd w:val="clear" w:color="000000" w:fill="FABF8F"/>
            <w:vAlign w:val="center"/>
            <w:hideMark/>
          </w:tcPr>
          <w:p w14:paraId="5E8A9399"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c>
          <w:tcPr>
            <w:tcW w:w="1600" w:type="dxa"/>
            <w:tcBorders>
              <w:top w:val="nil"/>
              <w:left w:val="nil"/>
              <w:bottom w:val="single" w:sz="4" w:space="0" w:color="FFFFFF"/>
              <w:right w:val="single" w:sz="4" w:space="0" w:color="FFFFFF"/>
            </w:tcBorders>
            <w:shd w:val="clear" w:color="000000" w:fill="FABF8F"/>
            <w:vAlign w:val="center"/>
            <w:hideMark/>
          </w:tcPr>
          <w:p w14:paraId="054D3A1D"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r>
      <w:tr w:rsidR="005D2461" w:rsidRPr="005D2461" w14:paraId="79E94E27" w14:textId="77777777" w:rsidTr="00F07E4C">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C30429D"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Present Value of the defined benefit obligation</w:t>
            </w:r>
          </w:p>
        </w:tc>
        <w:tc>
          <w:tcPr>
            <w:tcW w:w="1460" w:type="dxa"/>
            <w:tcBorders>
              <w:top w:val="nil"/>
              <w:left w:val="nil"/>
              <w:bottom w:val="single" w:sz="4" w:space="0" w:color="FFFFFF"/>
              <w:right w:val="single" w:sz="4" w:space="0" w:color="FFFFFF"/>
            </w:tcBorders>
            <w:shd w:val="clear" w:color="000000" w:fill="FDE9D9"/>
            <w:vAlign w:val="center"/>
            <w:hideMark/>
          </w:tcPr>
          <w:p w14:paraId="1278636B" w14:textId="7091F278" w:rsidR="005D2461" w:rsidRPr="005D2461" w:rsidRDefault="00F07E4C" w:rsidP="0060515E">
            <w:pPr>
              <w:jc w:val="right"/>
              <w:rPr>
                <w:rFonts w:ascii="Calibri" w:hAnsi="Calibri"/>
                <w:color w:val="000000"/>
                <w:lang w:eastAsia="en-GB"/>
              </w:rPr>
            </w:pPr>
            <w:r>
              <w:rPr>
                <w:rFonts w:ascii="Calibri" w:hAnsi="Calibri"/>
                <w:color w:val="000000"/>
                <w:lang w:eastAsia="en-GB"/>
              </w:rPr>
              <w:t>-</w:t>
            </w:r>
            <w:r w:rsidR="00EE1721">
              <w:rPr>
                <w:rFonts w:ascii="Calibri" w:hAnsi="Calibri"/>
                <w:color w:val="000000"/>
                <w:lang w:eastAsia="en-GB"/>
              </w:rPr>
              <w:t>6</w:t>
            </w:r>
            <w:r w:rsidR="00C814BE">
              <w:rPr>
                <w:rFonts w:ascii="Calibri" w:hAnsi="Calibri"/>
                <w:color w:val="000000"/>
                <w:lang w:eastAsia="en-GB"/>
              </w:rPr>
              <w:t>6</w:t>
            </w:r>
            <w:r w:rsidR="00EE1721">
              <w:rPr>
                <w:rFonts w:ascii="Calibri" w:hAnsi="Calibri"/>
                <w:color w:val="000000"/>
                <w:lang w:eastAsia="en-GB"/>
              </w:rPr>
              <w:t>,</w:t>
            </w:r>
            <w:r w:rsidR="00C814BE">
              <w:rPr>
                <w:rFonts w:ascii="Calibri" w:hAnsi="Calibri"/>
                <w:color w:val="000000"/>
                <w:lang w:eastAsia="en-GB"/>
              </w:rPr>
              <w:t>256</w:t>
            </w:r>
          </w:p>
        </w:tc>
        <w:tc>
          <w:tcPr>
            <w:tcW w:w="1600" w:type="dxa"/>
            <w:tcBorders>
              <w:top w:val="nil"/>
              <w:left w:val="nil"/>
              <w:bottom w:val="single" w:sz="4" w:space="0" w:color="FFFFFF"/>
              <w:right w:val="single" w:sz="4" w:space="0" w:color="FFFFFF"/>
            </w:tcBorders>
            <w:shd w:val="clear" w:color="000000" w:fill="FDE9D9"/>
            <w:vAlign w:val="center"/>
          </w:tcPr>
          <w:p w14:paraId="2F8AC661" w14:textId="784A6C09" w:rsidR="005D2461" w:rsidRPr="005D2461" w:rsidRDefault="004B0F83" w:rsidP="00847423">
            <w:pPr>
              <w:jc w:val="right"/>
              <w:rPr>
                <w:rFonts w:ascii="Calibri" w:hAnsi="Calibri"/>
                <w:color w:val="000000"/>
                <w:lang w:eastAsia="en-GB"/>
              </w:rPr>
            </w:pPr>
            <w:r>
              <w:rPr>
                <w:rFonts w:ascii="Calibri" w:hAnsi="Calibri"/>
                <w:color w:val="000000"/>
                <w:lang w:eastAsia="en-GB"/>
              </w:rPr>
              <w:t>-47,096</w:t>
            </w:r>
          </w:p>
        </w:tc>
      </w:tr>
      <w:tr w:rsidR="005D2461" w:rsidRPr="005D2461" w14:paraId="7FB42686"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066822FC"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Fair Value of plan assets</w:t>
            </w:r>
          </w:p>
        </w:tc>
        <w:tc>
          <w:tcPr>
            <w:tcW w:w="1460" w:type="dxa"/>
            <w:tcBorders>
              <w:top w:val="nil"/>
              <w:left w:val="nil"/>
              <w:bottom w:val="single" w:sz="4" w:space="0" w:color="FFFFFF"/>
              <w:right w:val="single" w:sz="4" w:space="0" w:color="FFFFFF"/>
            </w:tcBorders>
            <w:shd w:val="clear" w:color="000000" w:fill="FDE9D9"/>
            <w:vAlign w:val="center"/>
            <w:hideMark/>
          </w:tcPr>
          <w:p w14:paraId="6412D7EA" w14:textId="6EAAA52B" w:rsidR="005D2461" w:rsidRPr="005D2461" w:rsidRDefault="00EE1721" w:rsidP="00D45469">
            <w:pPr>
              <w:jc w:val="right"/>
              <w:rPr>
                <w:rFonts w:ascii="Calibri" w:hAnsi="Calibri"/>
                <w:color w:val="000000"/>
                <w:lang w:eastAsia="en-GB"/>
              </w:rPr>
            </w:pPr>
            <w:r>
              <w:rPr>
                <w:rFonts w:ascii="Calibri" w:hAnsi="Calibri"/>
                <w:color w:val="000000"/>
                <w:lang w:eastAsia="en-GB"/>
              </w:rPr>
              <w:t>4</w:t>
            </w:r>
            <w:r w:rsidR="00C814BE">
              <w:rPr>
                <w:rFonts w:ascii="Calibri" w:hAnsi="Calibri"/>
                <w:color w:val="000000"/>
                <w:lang w:eastAsia="en-GB"/>
              </w:rPr>
              <w:t>6,662</w:t>
            </w:r>
          </w:p>
        </w:tc>
        <w:tc>
          <w:tcPr>
            <w:tcW w:w="1600" w:type="dxa"/>
            <w:tcBorders>
              <w:top w:val="nil"/>
              <w:left w:val="nil"/>
              <w:bottom w:val="single" w:sz="4" w:space="0" w:color="FFFFFF"/>
              <w:right w:val="single" w:sz="4" w:space="0" w:color="FFFFFF"/>
            </w:tcBorders>
            <w:shd w:val="clear" w:color="000000" w:fill="FDE9D9"/>
            <w:vAlign w:val="center"/>
          </w:tcPr>
          <w:p w14:paraId="41F218F4" w14:textId="0FF1E9BC" w:rsidR="005D2461" w:rsidRPr="005D2461" w:rsidRDefault="004B0F83" w:rsidP="00F537BD">
            <w:pPr>
              <w:jc w:val="right"/>
              <w:rPr>
                <w:rFonts w:ascii="Calibri" w:hAnsi="Calibri"/>
                <w:color w:val="000000"/>
                <w:lang w:eastAsia="en-GB"/>
              </w:rPr>
            </w:pPr>
            <w:r>
              <w:rPr>
                <w:rFonts w:ascii="Calibri" w:hAnsi="Calibri"/>
                <w:color w:val="000000"/>
                <w:lang w:eastAsia="en-GB"/>
              </w:rPr>
              <w:t>45,636</w:t>
            </w:r>
          </w:p>
        </w:tc>
      </w:tr>
      <w:tr w:rsidR="005D2461" w:rsidRPr="005D2461" w14:paraId="57116031"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3D36D35F"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Sub Total</w:t>
            </w:r>
          </w:p>
        </w:tc>
        <w:tc>
          <w:tcPr>
            <w:tcW w:w="1460" w:type="dxa"/>
            <w:tcBorders>
              <w:top w:val="nil"/>
              <w:left w:val="nil"/>
              <w:bottom w:val="single" w:sz="4" w:space="0" w:color="FFFFFF"/>
              <w:right w:val="single" w:sz="4" w:space="0" w:color="FFFFFF"/>
            </w:tcBorders>
            <w:shd w:val="clear" w:color="000000" w:fill="FCD5B4"/>
            <w:vAlign w:val="center"/>
            <w:hideMark/>
          </w:tcPr>
          <w:p w14:paraId="7B57C48A" w14:textId="3513DEF8" w:rsidR="005D2461" w:rsidRPr="005D2461" w:rsidRDefault="005D2461" w:rsidP="00D45469">
            <w:pPr>
              <w:jc w:val="right"/>
              <w:rPr>
                <w:rFonts w:ascii="Calibri" w:hAnsi="Calibri"/>
                <w:b/>
                <w:bCs/>
                <w:color w:val="000000"/>
                <w:lang w:eastAsia="en-GB"/>
              </w:rPr>
            </w:pPr>
            <w:r w:rsidRPr="005D2461">
              <w:rPr>
                <w:rFonts w:ascii="Calibri" w:hAnsi="Calibri"/>
                <w:b/>
                <w:bCs/>
                <w:color w:val="000000"/>
                <w:lang w:eastAsia="en-GB"/>
              </w:rPr>
              <w:t>-</w:t>
            </w:r>
            <w:r w:rsidR="00C814BE">
              <w:rPr>
                <w:rFonts w:ascii="Calibri" w:hAnsi="Calibri"/>
                <w:b/>
                <w:bCs/>
                <w:color w:val="000000"/>
                <w:lang w:eastAsia="en-GB"/>
              </w:rPr>
              <w:t>19,594</w:t>
            </w:r>
          </w:p>
        </w:tc>
        <w:tc>
          <w:tcPr>
            <w:tcW w:w="1600" w:type="dxa"/>
            <w:tcBorders>
              <w:top w:val="nil"/>
              <w:left w:val="nil"/>
              <w:bottom w:val="single" w:sz="4" w:space="0" w:color="FFFFFF"/>
              <w:right w:val="single" w:sz="4" w:space="0" w:color="FFFFFF"/>
            </w:tcBorders>
            <w:shd w:val="clear" w:color="000000" w:fill="FCD5B4"/>
            <w:vAlign w:val="center"/>
          </w:tcPr>
          <w:p w14:paraId="711BEAF3" w14:textId="112640B2" w:rsidR="00D82A1B" w:rsidRPr="005D2461" w:rsidRDefault="004B0F83" w:rsidP="00D82A1B">
            <w:pPr>
              <w:jc w:val="right"/>
              <w:rPr>
                <w:rFonts w:ascii="Calibri" w:hAnsi="Calibri"/>
                <w:b/>
                <w:bCs/>
                <w:color w:val="000000"/>
                <w:lang w:eastAsia="en-GB"/>
              </w:rPr>
            </w:pPr>
            <w:r>
              <w:rPr>
                <w:rFonts w:ascii="Calibri" w:hAnsi="Calibri"/>
                <w:b/>
                <w:bCs/>
                <w:color w:val="000000"/>
                <w:lang w:eastAsia="en-GB"/>
              </w:rPr>
              <w:t>-1,460</w:t>
            </w:r>
          </w:p>
        </w:tc>
      </w:tr>
      <w:tr w:rsidR="005D2461" w:rsidRPr="005D2461" w14:paraId="5155B3CD"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50A411A4"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Other movements in the liability/</w:t>
            </w:r>
            <w:proofErr w:type="gramStart"/>
            <w:r w:rsidRPr="005D2461">
              <w:rPr>
                <w:rFonts w:ascii="Calibri" w:hAnsi="Calibri"/>
                <w:color w:val="000000"/>
                <w:lang w:eastAsia="en-GB"/>
              </w:rPr>
              <w:t>asset(</w:t>
            </w:r>
            <w:proofErr w:type="gramEnd"/>
            <w:r w:rsidRPr="005D2461">
              <w:rPr>
                <w:rFonts w:ascii="Calibri" w:hAnsi="Calibri"/>
                <w:color w:val="000000"/>
                <w:lang w:eastAsia="en-GB"/>
              </w:rPr>
              <w:t>-)</w:t>
            </w:r>
          </w:p>
        </w:tc>
        <w:tc>
          <w:tcPr>
            <w:tcW w:w="1460" w:type="dxa"/>
            <w:tcBorders>
              <w:top w:val="nil"/>
              <w:left w:val="nil"/>
              <w:bottom w:val="single" w:sz="4" w:space="0" w:color="FFFFFF"/>
              <w:right w:val="single" w:sz="4" w:space="0" w:color="FFFFFF"/>
            </w:tcBorders>
            <w:shd w:val="clear" w:color="000000" w:fill="FDE9D9"/>
            <w:vAlign w:val="center"/>
            <w:hideMark/>
          </w:tcPr>
          <w:p w14:paraId="41459240" w14:textId="664B62B2" w:rsidR="005D2461" w:rsidRPr="005D2461" w:rsidRDefault="005D2461" w:rsidP="00D45469">
            <w:pPr>
              <w:jc w:val="right"/>
              <w:rPr>
                <w:rFonts w:ascii="Calibri" w:hAnsi="Calibri"/>
                <w:color w:val="000000"/>
                <w:lang w:eastAsia="en-GB"/>
              </w:rPr>
            </w:pPr>
            <w:r w:rsidRPr="005D2461">
              <w:rPr>
                <w:rFonts w:ascii="Calibri" w:hAnsi="Calibri"/>
                <w:color w:val="000000"/>
                <w:lang w:eastAsia="en-GB"/>
              </w:rPr>
              <w:t>-</w:t>
            </w:r>
            <w:r w:rsidR="00C814BE">
              <w:rPr>
                <w:rFonts w:ascii="Calibri" w:hAnsi="Calibri"/>
                <w:color w:val="000000"/>
                <w:lang w:eastAsia="en-GB"/>
              </w:rPr>
              <w:t>953</w:t>
            </w:r>
          </w:p>
        </w:tc>
        <w:tc>
          <w:tcPr>
            <w:tcW w:w="1600" w:type="dxa"/>
            <w:tcBorders>
              <w:top w:val="nil"/>
              <w:left w:val="nil"/>
              <w:bottom w:val="single" w:sz="4" w:space="0" w:color="FFFFFF"/>
              <w:right w:val="single" w:sz="4" w:space="0" w:color="FFFFFF"/>
            </w:tcBorders>
            <w:shd w:val="clear" w:color="000000" w:fill="FDE9D9"/>
            <w:vAlign w:val="center"/>
          </w:tcPr>
          <w:p w14:paraId="25087AA4" w14:textId="17C75F1C" w:rsidR="005D2461" w:rsidRPr="005D2461" w:rsidRDefault="004B0F83" w:rsidP="005D2461">
            <w:pPr>
              <w:jc w:val="right"/>
              <w:rPr>
                <w:rFonts w:ascii="Calibri" w:hAnsi="Calibri"/>
                <w:color w:val="000000"/>
                <w:lang w:eastAsia="en-GB"/>
              </w:rPr>
            </w:pPr>
            <w:r>
              <w:rPr>
                <w:rFonts w:ascii="Calibri" w:hAnsi="Calibri"/>
                <w:color w:val="000000"/>
                <w:lang w:eastAsia="en-GB"/>
              </w:rPr>
              <w:t>-791</w:t>
            </w:r>
          </w:p>
        </w:tc>
      </w:tr>
      <w:tr w:rsidR="005D2461" w:rsidRPr="005D2461" w14:paraId="2ED73BDC"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5FDFB196"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Net liability arising from defined benefit obligation</w:t>
            </w:r>
          </w:p>
        </w:tc>
        <w:tc>
          <w:tcPr>
            <w:tcW w:w="1460" w:type="dxa"/>
            <w:tcBorders>
              <w:top w:val="nil"/>
              <w:left w:val="nil"/>
              <w:bottom w:val="single" w:sz="4" w:space="0" w:color="FFFFFF"/>
              <w:right w:val="single" w:sz="4" w:space="0" w:color="FFFFFF"/>
            </w:tcBorders>
            <w:shd w:val="clear" w:color="000000" w:fill="FCD5B4"/>
            <w:vAlign w:val="center"/>
            <w:hideMark/>
          </w:tcPr>
          <w:p w14:paraId="23ACB9D6" w14:textId="600A6843" w:rsidR="005D2461" w:rsidRPr="005D2461" w:rsidRDefault="005D2461" w:rsidP="00D45469">
            <w:pPr>
              <w:jc w:val="right"/>
              <w:rPr>
                <w:rFonts w:ascii="Calibri" w:hAnsi="Calibri"/>
                <w:b/>
                <w:bCs/>
                <w:color w:val="000000"/>
                <w:lang w:eastAsia="en-GB"/>
              </w:rPr>
            </w:pPr>
            <w:r w:rsidRPr="005D2461">
              <w:rPr>
                <w:rFonts w:ascii="Calibri" w:hAnsi="Calibri"/>
                <w:b/>
                <w:bCs/>
                <w:color w:val="000000"/>
                <w:lang w:eastAsia="en-GB"/>
              </w:rPr>
              <w:t>-</w:t>
            </w:r>
            <w:r w:rsidR="001223DF">
              <w:rPr>
                <w:rFonts w:ascii="Calibri" w:hAnsi="Calibri"/>
                <w:b/>
                <w:bCs/>
                <w:color w:val="000000"/>
                <w:lang w:eastAsia="en-GB"/>
              </w:rPr>
              <w:t>2</w:t>
            </w:r>
            <w:r w:rsidR="00C814BE">
              <w:rPr>
                <w:rFonts w:ascii="Calibri" w:hAnsi="Calibri"/>
                <w:b/>
                <w:bCs/>
                <w:color w:val="000000"/>
                <w:lang w:eastAsia="en-GB"/>
              </w:rPr>
              <w:t>0,547</w:t>
            </w:r>
          </w:p>
        </w:tc>
        <w:tc>
          <w:tcPr>
            <w:tcW w:w="1600" w:type="dxa"/>
            <w:tcBorders>
              <w:top w:val="nil"/>
              <w:left w:val="nil"/>
              <w:bottom w:val="single" w:sz="4" w:space="0" w:color="FFFFFF"/>
              <w:right w:val="single" w:sz="4" w:space="0" w:color="FFFFFF"/>
            </w:tcBorders>
            <w:shd w:val="clear" w:color="000000" w:fill="FCD5B4"/>
            <w:vAlign w:val="center"/>
          </w:tcPr>
          <w:p w14:paraId="34620143" w14:textId="3DC6E1CC" w:rsidR="005D2461" w:rsidRPr="005D2461" w:rsidRDefault="004B0F83" w:rsidP="00847423">
            <w:pPr>
              <w:jc w:val="right"/>
              <w:rPr>
                <w:rFonts w:ascii="Calibri" w:hAnsi="Calibri"/>
                <w:b/>
                <w:bCs/>
                <w:color w:val="000000"/>
                <w:lang w:eastAsia="en-GB"/>
              </w:rPr>
            </w:pPr>
            <w:r>
              <w:rPr>
                <w:rFonts w:ascii="Calibri" w:hAnsi="Calibri"/>
                <w:b/>
                <w:bCs/>
                <w:color w:val="000000"/>
                <w:lang w:eastAsia="en-GB"/>
              </w:rPr>
              <w:t>-2,251</w:t>
            </w:r>
          </w:p>
        </w:tc>
      </w:tr>
    </w:tbl>
    <w:p w14:paraId="0244AE3B" w14:textId="245D3724" w:rsidR="008917BB" w:rsidRPr="005D2461" w:rsidRDefault="008917BB" w:rsidP="008917BB">
      <w:pPr>
        <w:widowControl w:val="0"/>
        <w:tabs>
          <w:tab w:val="left" w:pos="1701"/>
          <w:tab w:val="left" w:pos="7200"/>
          <w:tab w:val="left" w:pos="8640"/>
        </w:tabs>
        <w:ind w:right="370"/>
        <w:jc w:val="both"/>
        <w:rPr>
          <w:rFonts w:asciiTheme="minorHAnsi" w:hAnsiTheme="minorHAnsi" w:cs="Arial"/>
          <w:b/>
          <w:sz w:val="24"/>
          <w:szCs w:val="24"/>
        </w:rPr>
      </w:pPr>
      <w:r w:rsidRPr="005D2461">
        <w:rPr>
          <w:rFonts w:asciiTheme="minorHAnsi" w:hAnsiTheme="minorHAnsi" w:cs="Arial"/>
          <w:b/>
          <w:sz w:val="24"/>
          <w:szCs w:val="24"/>
        </w:rPr>
        <w:t>Reconciliation of the Movements in the Fair Value of the Scheme Assets:</w:t>
      </w:r>
    </w:p>
    <w:tbl>
      <w:tblPr>
        <w:tblW w:w="9660" w:type="dxa"/>
        <w:tblInd w:w="93" w:type="dxa"/>
        <w:tblLook w:val="04A0" w:firstRow="1" w:lastRow="0" w:firstColumn="1" w:lastColumn="0" w:noHBand="0" w:noVBand="1"/>
        <w:tblCaption w:val="Reconciliation of the Movements in the Fair Value of the Pension Scheme Assets"/>
        <w:tblDescription w:val="Reconciliation of the Movements in the Fair Value of the Pension Scheme Assets"/>
      </w:tblPr>
      <w:tblGrid>
        <w:gridCol w:w="6600"/>
        <w:gridCol w:w="1460"/>
        <w:gridCol w:w="1600"/>
      </w:tblGrid>
      <w:tr w:rsidR="005D2461" w:rsidRPr="005D2461" w14:paraId="09CDAD86" w14:textId="77777777" w:rsidTr="00CD3384">
        <w:trPr>
          <w:cantSplit/>
          <w:trHeight w:val="300"/>
          <w:tblHeader/>
        </w:trPr>
        <w:tc>
          <w:tcPr>
            <w:tcW w:w="6600" w:type="dxa"/>
            <w:tcBorders>
              <w:top w:val="nil"/>
              <w:left w:val="nil"/>
              <w:bottom w:val="nil"/>
              <w:right w:val="nil"/>
            </w:tcBorders>
            <w:shd w:val="clear" w:color="000000" w:fill="FABF8F"/>
            <w:vAlign w:val="center"/>
            <w:hideMark/>
          </w:tcPr>
          <w:p w14:paraId="737F9534"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08BDFCF" w14:textId="77846708" w:rsidR="005D2461" w:rsidRPr="005D2461" w:rsidRDefault="005D2461" w:rsidP="0060515E">
            <w:pPr>
              <w:jc w:val="right"/>
              <w:rPr>
                <w:rFonts w:ascii="Calibri" w:hAnsi="Calibri"/>
                <w:color w:val="000000"/>
                <w:lang w:eastAsia="en-GB"/>
              </w:rPr>
            </w:pPr>
            <w:r w:rsidRPr="005D2461">
              <w:rPr>
                <w:rFonts w:ascii="Calibri" w:hAnsi="Calibri"/>
                <w:color w:val="000000"/>
                <w:lang w:eastAsia="en-GB"/>
              </w:rPr>
              <w:t>20</w:t>
            </w:r>
            <w:r w:rsidR="00EE1721">
              <w:rPr>
                <w:rFonts w:ascii="Calibri" w:hAnsi="Calibri"/>
                <w:color w:val="000000"/>
                <w:lang w:eastAsia="en-GB"/>
              </w:rPr>
              <w:t>2</w:t>
            </w:r>
            <w:r w:rsidR="00C814BE">
              <w:rPr>
                <w:rFonts w:ascii="Calibri" w:hAnsi="Calibri"/>
                <w:color w:val="000000"/>
                <w:lang w:eastAsia="en-GB"/>
              </w:rPr>
              <w:t>1</w:t>
            </w:r>
            <w:r w:rsidRPr="005D2461">
              <w:rPr>
                <w:rFonts w:ascii="Calibri" w:hAnsi="Calibri"/>
                <w:color w:val="000000"/>
                <w:lang w:eastAsia="en-GB"/>
              </w:rPr>
              <w:t>-</w:t>
            </w:r>
            <w:r w:rsidR="0060515E">
              <w:rPr>
                <w:rFonts w:ascii="Calibri" w:hAnsi="Calibri"/>
                <w:color w:val="000000"/>
                <w:lang w:eastAsia="en-GB"/>
              </w:rPr>
              <w:t>2</w:t>
            </w:r>
            <w:r w:rsidR="00C814BE">
              <w:rPr>
                <w:rFonts w:ascii="Calibri" w:hAnsi="Calibri"/>
                <w:color w:val="000000"/>
                <w:lang w:eastAsia="en-GB"/>
              </w:rPr>
              <w:t>2</w:t>
            </w:r>
          </w:p>
        </w:tc>
        <w:tc>
          <w:tcPr>
            <w:tcW w:w="1600" w:type="dxa"/>
            <w:tcBorders>
              <w:top w:val="single" w:sz="4" w:space="0" w:color="FFFFFF"/>
              <w:left w:val="nil"/>
              <w:bottom w:val="single" w:sz="4" w:space="0" w:color="FFFFFF"/>
              <w:right w:val="single" w:sz="4" w:space="0" w:color="FFFFFF"/>
            </w:tcBorders>
            <w:shd w:val="clear" w:color="000000" w:fill="FABF8F"/>
            <w:vAlign w:val="center"/>
            <w:hideMark/>
          </w:tcPr>
          <w:p w14:paraId="1115BBAE" w14:textId="21128B15" w:rsidR="005D2461" w:rsidRPr="005D2461" w:rsidRDefault="0060515E" w:rsidP="0060515E">
            <w:pPr>
              <w:jc w:val="right"/>
              <w:rPr>
                <w:rFonts w:ascii="Calibri" w:hAnsi="Calibri"/>
                <w:color w:val="000000"/>
                <w:lang w:eastAsia="en-GB"/>
              </w:rPr>
            </w:pPr>
            <w:r>
              <w:rPr>
                <w:rFonts w:ascii="Calibri" w:hAnsi="Calibri"/>
                <w:color w:val="000000"/>
                <w:lang w:eastAsia="en-GB"/>
              </w:rPr>
              <w:t>202</w:t>
            </w:r>
            <w:r w:rsidR="00C814BE">
              <w:rPr>
                <w:rFonts w:ascii="Calibri" w:hAnsi="Calibri"/>
                <w:color w:val="000000"/>
                <w:lang w:eastAsia="en-GB"/>
              </w:rPr>
              <w:t>2</w:t>
            </w:r>
            <w:r w:rsidR="005D2461" w:rsidRPr="005D2461">
              <w:rPr>
                <w:rFonts w:ascii="Calibri" w:hAnsi="Calibri"/>
                <w:color w:val="000000"/>
                <w:lang w:eastAsia="en-GB"/>
              </w:rPr>
              <w:t>-</w:t>
            </w:r>
            <w:r w:rsidR="001223DF">
              <w:rPr>
                <w:rFonts w:ascii="Calibri" w:hAnsi="Calibri"/>
                <w:color w:val="000000"/>
                <w:lang w:eastAsia="en-GB"/>
              </w:rPr>
              <w:t>2</w:t>
            </w:r>
            <w:r w:rsidR="00C814BE">
              <w:rPr>
                <w:rFonts w:ascii="Calibri" w:hAnsi="Calibri"/>
                <w:color w:val="000000"/>
                <w:lang w:eastAsia="en-GB"/>
              </w:rPr>
              <w:t>3</w:t>
            </w:r>
          </w:p>
        </w:tc>
      </w:tr>
      <w:tr w:rsidR="005D2461" w:rsidRPr="005D2461" w14:paraId="5B25D767" w14:textId="77777777" w:rsidTr="005D2461">
        <w:trPr>
          <w:trHeight w:val="300"/>
        </w:trPr>
        <w:tc>
          <w:tcPr>
            <w:tcW w:w="6600" w:type="dxa"/>
            <w:tcBorders>
              <w:top w:val="nil"/>
              <w:left w:val="nil"/>
              <w:bottom w:val="nil"/>
              <w:right w:val="nil"/>
            </w:tcBorders>
            <w:shd w:val="clear" w:color="000000" w:fill="FABF8F"/>
            <w:vAlign w:val="center"/>
            <w:hideMark/>
          </w:tcPr>
          <w:p w14:paraId="3286AC35"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nil"/>
              <w:left w:val="single" w:sz="4" w:space="0" w:color="FFFFFF"/>
              <w:bottom w:val="single" w:sz="4" w:space="0" w:color="FFFFFF"/>
              <w:right w:val="single" w:sz="4" w:space="0" w:color="FFFFFF"/>
            </w:tcBorders>
            <w:shd w:val="clear" w:color="000000" w:fill="FABF8F"/>
            <w:vAlign w:val="center"/>
            <w:hideMark/>
          </w:tcPr>
          <w:p w14:paraId="73894A20"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c>
          <w:tcPr>
            <w:tcW w:w="1600" w:type="dxa"/>
            <w:tcBorders>
              <w:top w:val="nil"/>
              <w:left w:val="nil"/>
              <w:bottom w:val="single" w:sz="4" w:space="0" w:color="FFFFFF"/>
              <w:right w:val="single" w:sz="4" w:space="0" w:color="FFFFFF"/>
            </w:tcBorders>
            <w:shd w:val="clear" w:color="000000" w:fill="FABF8F"/>
            <w:vAlign w:val="center"/>
            <w:hideMark/>
          </w:tcPr>
          <w:p w14:paraId="74EDA026"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r>
      <w:tr w:rsidR="005D2461" w:rsidRPr="005D2461" w14:paraId="137C731B" w14:textId="77777777" w:rsidTr="00EE1721">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CD5B4"/>
            <w:vAlign w:val="center"/>
            <w:hideMark/>
          </w:tcPr>
          <w:p w14:paraId="55C55F29"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Opening fair value of scheme assets</w:t>
            </w:r>
          </w:p>
        </w:tc>
        <w:tc>
          <w:tcPr>
            <w:tcW w:w="1460" w:type="dxa"/>
            <w:tcBorders>
              <w:top w:val="nil"/>
              <w:left w:val="nil"/>
              <w:bottom w:val="single" w:sz="4" w:space="0" w:color="FFFFFF"/>
              <w:right w:val="single" w:sz="4" w:space="0" w:color="FFFFFF"/>
            </w:tcBorders>
            <w:shd w:val="clear" w:color="000000" w:fill="FCD5B4"/>
            <w:vAlign w:val="center"/>
            <w:hideMark/>
          </w:tcPr>
          <w:p w14:paraId="0FE09272" w14:textId="08E9C339" w:rsidR="005D2461" w:rsidRPr="005D2461" w:rsidRDefault="00C814BE" w:rsidP="0060515E">
            <w:pPr>
              <w:jc w:val="right"/>
              <w:rPr>
                <w:rFonts w:ascii="Calibri" w:hAnsi="Calibri"/>
                <w:b/>
                <w:bCs/>
                <w:color w:val="000000"/>
                <w:lang w:eastAsia="en-GB"/>
              </w:rPr>
            </w:pPr>
            <w:r>
              <w:rPr>
                <w:rFonts w:ascii="Calibri" w:hAnsi="Calibri"/>
                <w:b/>
                <w:bCs/>
                <w:color w:val="000000"/>
                <w:lang w:eastAsia="en-GB"/>
              </w:rPr>
              <w:t>41</w:t>
            </w:r>
            <w:r w:rsidR="005D2461" w:rsidRPr="005D2461">
              <w:rPr>
                <w:rFonts w:ascii="Calibri" w:hAnsi="Calibri"/>
                <w:b/>
                <w:bCs/>
                <w:color w:val="000000"/>
                <w:lang w:eastAsia="en-GB"/>
              </w:rPr>
              <w:t>,</w:t>
            </w:r>
            <w:r>
              <w:rPr>
                <w:rFonts w:ascii="Calibri" w:hAnsi="Calibri"/>
                <w:b/>
                <w:bCs/>
                <w:color w:val="000000"/>
                <w:lang w:eastAsia="en-GB"/>
              </w:rPr>
              <w:t>801</w:t>
            </w:r>
          </w:p>
        </w:tc>
        <w:tc>
          <w:tcPr>
            <w:tcW w:w="1600" w:type="dxa"/>
            <w:tcBorders>
              <w:top w:val="nil"/>
              <w:left w:val="nil"/>
              <w:bottom w:val="single" w:sz="4" w:space="0" w:color="FFFFFF"/>
              <w:right w:val="single" w:sz="4" w:space="0" w:color="FFFFFF"/>
            </w:tcBorders>
            <w:shd w:val="clear" w:color="000000" w:fill="FCD5B4"/>
            <w:vAlign w:val="center"/>
          </w:tcPr>
          <w:p w14:paraId="355EDE21" w14:textId="71A8BA68" w:rsidR="005D2461" w:rsidRPr="005D2461" w:rsidRDefault="00895003" w:rsidP="00EE3B24">
            <w:pPr>
              <w:jc w:val="right"/>
              <w:rPr>
                <w:rFonts w:ascii="Calibri" w:hAnsi="Calibri"/>
                <w:b/>
                <w:bCs/>
                <w:color w:val="000000"/>
                <w:lang w:eastAsia="en-GB"/>
              </w:rPr>
            </w:pPr>
            <w:r>
              <w:rPr>
                <w:rFonts w:ascii="Calibri" w:hAnsi="Calibri"/>
                <w:b/>
                <w:bCs/>
                <w:color w:val="000000"/>
                <w:lang w:eastAsia="en-GB"/>
              </w:rPr>
              <w:t>4</w:t>
            </w:r>
            <w:r w:rsidR="00C814BE">
              <w:rPr>
                <w:rFonts w:ascii="Calibri" w:hAnsi="Calibri"/>
                <w:b/>
                <w:bCs/>
                <w:color w:val="000000"/>
                <w:lang w:eastAsia="en-GB"/>
              </w:rPr>
              <w:t>6</w:t>
            </w:r>
            <w:r>
              <w:rPr>
                <w:rFonts w:ascii="Calibri" w:hAnsi="Calibri"/>
                <w:b/>
                <w:bCs/>
                <w:color w:val="000000"/>
                <w:lang w:eastAsia="en-GB"/>
              </w:rPr>
              <w:t>,</w:t>
            </w:r>
            <w:r w:rsidR="00C814BE">
              <w:rPr>
                <w:rFonts w:ascii="Calibri" w:hAnsi="Calibri"/>
                <w:b/>
                <w:bCs/>
                <w:color w:val="000000"/>
                <w:lang w:eastAsia="en-GB"/>
              </w:rPr>
              <w:t>662</w:t>
            </w:r>
          </w:p>
        </w:tc>
      </w:tr>
      <w:tr w:rsidR="005D2461" w:rsidRPr="005D2461" w14:paraId="0FE7D60D"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2858817E"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Interest Income</w:t>
            </w:r>
          </w:p>
        </w:tc>
        <w:tc>
          <w:tcPr>
            <w:tcW w:w="1460" w:type="dxa"/>
            <w:tcBorders>
              <w:top w:val="nil"/>
              <w:left w:val="nil"/>
              <w:bottom w:val="single" w:sz="4" w:space="0" w:color="FFFFFF"/>
              <w:right w:val="single" w:sz="4" w:space="0" w:color="FFFFFF"/>
            </w:tcBorders>
            <w:shd w:val="clear" w:color="000000" w:fill="FDE9D9"/>
            <w:vAlign w:val="center"/>
            <w:hideMark/>
          </w:tcPr>
          <w:p w14:paraId="666C7877" w14:textId="57FED4FE" w:rsidR="005D2461" w:rsidRPr="005D2461" w:rsidRDefault="00C814BE" w:rsidP="005D2461">
            <w:pPr>
              <w:jc w:val="right"/>
              <w:rPr>
                <w:rFonts w:ascii="Calibri" w:hAnsi="Calibri"/>
                <w:color w:val="000000"/>
                <w:lang w:eastAsia="en-GB"/>
              </w:rPr>
            </w:pPr>
            <w:r>
              <w:rPr>
                <w:rFonts w:ascii="Calibri" w:hAnsi="Calibri"/>
                <w:color w:val="000000"/>
                <w:lang w:eastAsia="en-GB"/>
              </w:rPr>
              <w:t>835</w:t>
            </w:r>
          </w:p>
        </w:tc>
        <w:tc>
          <w:tcPr>
            <w:tcW w:w="1600" w:type="dxa"/>
            <w:tcBorders>
              <w:top w:val="nil"/>
              <w:left w:val="nil"/>
              <w:bottom w:val="single" w:sz="4" w:space="0" w:color="FFFFFF"/>
              <w:right w:val="single" w:sz="4" w:space="0" w:color="FFFFFF"/>
            </w:tcBorders>
            <w:shd w:val="clear" w:color="000000" w:fill="FDE9D9"/>
            <w:vAlign w:val="center"/>
          </w:tcPr>
          <w:p w14:paraId="6A56682F" w14:textId="35CD5C75" w:rsidR="005D2461" w:rsidRPr="005D2461" w:rsidRDefault="004B0F83" w:rsidP="005D2461">
            <w:pPr>
              <w:jc w:val="right"/>
              <w:rPr>
                <w:rFonts w:ascii="Calibri" w:hAnsi="Calibri"/>
                <w:color w:val="000000"/>
                <w:lang w:eastAsia="en-GB"/>
              </w:rPr>
            </w:pPr>
            <w:r>
              <w:rPr>
                <w:rFonts w:ascii="Calibri" w:hAnsi="Calibri"/>
                <w:color w:val="000000"/>
                <w:lang w:eastAsia="en-GB"/>
              </w:rPr>
              <w:t>1,261</w:t>
            </w:r>
          </w:p>
        </w:tc>
      </w:tr>
      <w:tr w:rsidR="005D2461" w:rsidRPr="005D2461" w14:paraId="0C387D65" w14:textId="77777777" w:rsidTr="00F07E4C">
        <w:trPr>
          <w:trHeight w:val="300"/>
        </w:trPr>
        <w:tc>
          <w:tcPr>
            <w:tcW w:w="6600" w:type="dxa"/>
            <w:tcBorders>
              <w:top w:val="nil"/>
              <w:left w:val="nil"/>
              <w:bottom w:val="nil"/>
              <w:right w:val="nil"/>
            </w:tcBorders>
            <w:shd w:val="clear" w:color="000000" w:fill="FDE9D9"/>
            <w:vAlign w:val="center"/>
            <w:hideMark/>
          </w:tcPr>
          <w:p w14:paraId="4C0B77AE"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xml:space="preserve">Re-measurement gain/ </w:t>
            </w:r>
            <w:proofErr w:type="gramStart"/>
            <w:r w:rsidRPr="005D2461">
              <w:rPr>
                <w:rFonts w:ascii="Calibri" w:hAnsi="Calibri"/>
                <w:color w:val="000000"/>
                <w:lang w:eastAsia="en-GB"/>
              </w:rPr>
              <w:t>loss(</w:t>
            </w:r>
            <w:proofErr w:type="gramEnd"/>
            <w:r w:rsidRPr="005D2461">
              <w:rPr>
                <w:rFonts w:ascii="Calibri" w:hAnsi="Calibri"/>
                <w:color w:val="000000"/>
                <w:lang w:eastAsia="en-GB"/>
              </w:rPr>
              <w:t>-):</w:t>
            </w:r>
          </w:p>
        </w:tc>
        <w:tc>
          <w:tcPr>
            <w:tcW w:w="1460" w:type="dxa"/>
            <w:tcBorders>
              <w:top w:val="nil"/>
              <w:left w:val="nil"/>
              <w:bottom w:val="nil"/>
              <w:right w:val="nil"/>
            </w:tcBorders>
            <w:shd w:val="clear" w:color="000000" w:fill="FDE9D9"/>
            <w:vAlign w:val="center"/>
            <w:hideMark/>
          </w:tcPr>
          <w:p w14:paraId="6EFB2892"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34506B7E" w14:textId="77777777" w:rsidR="005D2461" w:rsidRPr="005D2461" w:rsidRDefault="005D2461" w:rsidP="005D2461">
            <w:pPr>
              <w:jc w:val="right"/>
              <w:rPr>
                <w:rFonts w:ascii="Calibri" w:hAnsi="Calibri"/>
                <w:color w:val="000000"/>
                <w:lang w:eastAsia="en-GB"/>
              </w:rPr>
            </w:pPr>
          </w:p>
        </w:tc>
      </w:tr>
      <w:tr w:rsidR="005D2461" w:rsidRPr="005D2461" w14:paraId="21DA79D7" w14:textId="77777777" w:rsidTr="00F07E4C">
        <w:trPr>
          <w:trHeight w:val="51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E2F3D24"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The return on plan assets, excluding the amount included in the Net Interest Expense</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254989C9" w14:textId="7B8FDCDB" w:rsidR="005D2461" w:rsidRPr="005D2461" w:rsidRDefault="00C814BE" w:rsidP="001223DF">
            <w:pPr>
              <w:jc w:val="right"/>
              <w:rPr>
                <w:rFonts w:ascii="Calibri" w:hAnsi="Calibri"/>
                <w:color w:val="000000"/>
                <w:lang w:eastAsia="en-GB"/>
              </w:rPr>
            </w:pPr>
            <w:r>
              <w:rPr>
                <w:rFonts w:ascii="Calibri" w:hAnsi="Calibri"/>
                <w:color w:val="000000"/>
                <w:lang w:eastAsia="en-GB"/>
              </w:rPr>
              <w:t>4,020</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1137B9AA" w14:textId="40137AA3" w:rsidR="005D2461" w:rsidRPr="005D2461" w:rsidRDefault="004B0F83" w:rsidP="00F537BD">
            <w:pPr>
              <w:jc w:val="right"/>
              <w:rPr>
                <w:rFonts w:ascii="Calibri" w:hAnsi="Calibri"/>
                <w:color w:val="000000"/>
                <w:lang w:eastAsia="en-GB"/>
              </w:rPr>
            </w:pPr>
            <w:r>
              <w:rPr>
                <w:rFonts w:ascii="Calibri" w:hAnsi="Calibri"/>
                <w:color w:val="000000"/>
                <w:lang w:eastAsia="en-GB"/>
              </w:rPr>
              <w:t>-</w:t>
            </w:r>
            <w:r w:rsidR="001F5DF3">
              <w:rPr>
                <w:rFonts w:ascii="Calibri" w:hAnsi="Calibri"/>
                <w:color w:val="000000"/>
                <w:lang w:eastAsia="en-GB"/>
              </w:rPr>
              <w:t>2,435</w:t>
            </w:r>
          </w:p>
        </w:tc>
      </w:tr>
      <w:tr w:rsidR="005D2461" w:rsidRPr="005D2461" w14:paraId="4E8DA6EA" w14:textId="77777777" w:rsidTr="00F07E4C">
        <w:trPr>
          <w:trHeight w:val="300"/>
        </w:trPr>
        <w:tc>
          <w:tcPr>
            <w:tcW w:w="6600" w:type="dxa"/>
            <w:tcBorders>
              <w:top w:val="nil"/>
              <w:left w:val="nil"/>
              <w:bottom w:val="nil"/>
              <w:right w:val="nil"/>
            </w:tcBorders>
            <w:shd w:val="clear" w:color="000000" w:fill="FDE9D9"/>
            <w:vAlign w:val="center"/>
            <w:hideMark/>
          </w:tcPr>
          <w:p w14:paraId="5580E0BB"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Other:</w:t>
            </w:r>
          </w:p>
        </w:tc>
        <w:tc>
          <w:tcPr>
            <w:tcW w:w="1460" w:type="dxa"/>
            <w:tcBorders>
              <w:top w:val="nil"/>
              <w:left w:val="nil"/>
              <w:bottom w:val="nil"/>
              <w:right w:val="nil"/>
            </w:tcBorders>
            <w:shd w:val="clear" w:color="000000" w:fill="FDE9D9"/>
            <w:vAlign w:val="center"/>
            <w:hideMark/>
          </w:tcPr>
          <w:p w14:paraId="4C3A458B" w14:textId="77777777" w:rsidR="005D2461" w:rsidRPr="005D2461" w:rsidRDefault="005D2461" w:rsidP="005D2461">
            <w:pPr>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728AB6A4" w14:textId="77777777" w:rsidR="005D2461" w:rsidRPr="005D2461" w:rsidRDefault="005D2461" w:rsidP="005D2461">
            <w:pPr>
              <w:jc w:val="right"/>
              <w:rPr>
                <w:rFonts w:ascii="Calibri" w:hAnsi="Calibri"/>
                <w:color w:val="000000"/>
                <w:lang w:eastAsia="en-GB"/>
              </w:rPr>
            </w:pPr>
          </w:p>
        </w:tc>
      </w:tr>
      <w:tr w:rsidR="005D2461" w:rsidRPr="005D2461" w14:paraId="67088EE1" w14:textId="77777777" w:rsidTr="00F07E4C">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B494A3B"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Contributions from employer</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35B19080" w14:textId="1F07083D" w:rsidR="005D2461" w:rsidRPr="005D2461" w:rsidRDefault="001223DF" w:rsidP="001715ED">
            <w:pPr>
              <w:jc w:val="right"/>
              <w:rPr>
                <w:rFonts w:ascii="Calibri" w:hAnsi="Calibri"/>
                <w:color w:val="000000"/>
                <w:lang w:eastAsia="en-GB"/>
              </w:rPr>
            </w:pPr>
            <w:r>
              <w:rPr>
                <w:rFonts w:ascii="Calibri" w:hAnsi="Calibri"/>
                <w:color w:val="000000"/>
                <w:lang w:eastAsia="en-GB"/>
              </w:rPr>
              <w:t>1,</w:t>
            </w:r>
            <w:r w:rsidR="00C814BE">
              <w:rPr>
                <w:rFonts w:ascii="Calibri" w:hAnsi="Calibri"/>
                <w:color w:val="000000"/>
                <w:lang w:eastAsia="en-GB"/>
              </w:rPr>
              <w:t>365</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78015AE2" w14:textId="08EA38F7" w:rsidR="005D2461" w:rsidRPr="005D2461" w:rsidRDefault="004B0F83" w:rsidP="005D2461">
            <w:pPr>
              <w:jc w:val="right"/>
              <w:rPr>
                <w:rFonts w:ascii="Calibri" w:hAnsi="Calibri"/>
                <w:color w:val="000000"/>
                <w:lang w:eastAsia="en-GB"/>
              </w:rPr>
            </w:pPr>
            <w:r>
              <w:rPr>
                <w:rFonts w:ascii="Calibri" w:hAnsi="Calibri"/>
                <w:color w:val="000000"/>
                <w:lang w:eastAsia="en-GB"/>
              </w:rPr>
              <w:t>1,486</w:t>
            </w:r>
          </w:p>
        </w:tc>
      </w:tr>
      <w:tr w:rsidR="005D2461" w:rsidRPr="005D2461" w14:paraId="3331845E"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4E5E3477"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xml:space="preserve">Contributions from employees into the scheme </w:t>
            </w:r>
          </w:p>
        </w:tc>
        <w:tc>
          <w:tcPr>
            <w:tcW w:w="1460" w:type="dxa"/>
            <w:tcBorders>
              <w:top w:val="nil"/>
              <w:left w:val="nil"/>
              <w:bottom w:val="single" w:sz="4" w:space="0" w:color="FFFFFF"/>
              <w:right w:val="single" w:sz="4" w:space="0" w:color="FFFFFF"/>
            </w:tcBorders>
            <w:shd w:val="clear" w:color="000000" w:fill="FDE9D9"/>
            <w:vAlign w:val="center"/>
            <w:hideMark/>
          </w:tcPr>
          <w:p w14:paraId="0F0F9432" w14:textId="0434AA61" w:rsidR="005D2461" w:rsidRPr="005D2461" w:rsidRDefault="00EE1721" w:rsidP="001715ED">
            <w:pPr>
              <w:jc w:val="right"/>
              <w:rPr>
                <w:rFonts w:ascii="Calibri" w:hAnsi="Calibri"/>
                <w:color w:val="000000"/>
                <w:lang w:eastAsia="en-GB"/>
              </w:rPr>
            </w:pPr>
            <w:r>
              <w:rPr>
                <w:rFonts w:ascii="Calibri" w:hAnsi="Calibri"/>
                <w:color w:val="000000"/>
                <w:lang w:eastAsia="en-GB"/>
              </w:rPr>
              <w:t>3</w:t>
            </w:r>
            <w:r w:rsidR="00C814BE">
              <w:rPr>
                <w:rFonts w:ascii="Calibri" w:hAnsi="Calibri"/>
                <w:color w:val="000000"/>
                <w:lang w:eastAsia="en-GB"/>
              </w:rPr>
              <w:t>44</w:t>
            </w:r>
          </w:p>
        </w:tc>
        <w:tc>
          <w:tcPr>
            <w:tcW w:w="1600" w:type="dxa"/>
            <w:tcBorders>
              <w:top w:val="nil"/>
              <w:left w:val="nil"/>
              <w:bottom w:val="single" w:sz="4" w:space="0" w:color="FFFFFF"/>
              <w:right w:val="single" w:sz="4" w:space="0" w:color="FFFFFF"/>
            </w:tcBorders>
            <w:shd w:val="clear" w:color="000000" w:fill="FDE9D9"/>
            <w:vAlign w:val="center"/>
          </w:tcPr>
          <w:p w14:paraId="63B50945" w14:textId="58572324" w:rsidR="005D2461" w:rsidRPr="005D2461" w:rsidRDefault="004B0F83" w:rsidP="005D2461">
            <w:pPr>
              <w:jc w:val="right"/>
              <w:rPr>
                <w:rFonts w:ascii="Calibri" w:hAnsi="Calibri"/>
                <w:color w:val="000000"/>
                <w:lang w:eastAsia="en-GB"/>
              </w:rPr>
            </w:pPr>
            <w:r>
              <w:rPr>
                <w:rFonts w:ascii="Calibri" w:hAnsi="Calibri"/>
                <w:color w:val="000000"/>
                <w:lang w:eastAsia="en-GB"/>
              </w:rPr>
              <w:t>370</w:t>
            </w:r>
          </w:p>
        </w:tc>
      </w:tr>
      <w:tr w:rsidR="005D2461" w:rsidRPr="005D2461" w14:paraId="42684752"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0DAFDDFF"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Benefits paid</w:t>
            </w:r>
          </w:p>
        </w:tc>
        <w:tc>
          <w:tcPr>
            <w:tcW w:w="1460" w:type="dxa"/>
            <w:tcBorders>
              <w:top w:val="nil"/>
              <w:left w:val="nil"/>
              <w:bottom w:val="single" w:sz="4" w:space="0" w:color="FFFFFF"/>
              <w:right w:val="single" w:sz="4" w:space="0" w:color="FFFFFF"/>
            </w:tcBorders>
            <w:shd w:val="clear" w:color="000000" w:fill="FDE9D9"/>
            <w:vAlign w:val="center"/>
            <w:hideMark/>
          </w:tcPr>
          <w:p w14:paraId="2EE43CEE" w14:textId="0BA47C7F" w:rsidR="005D2461" w:rsidRPr="005D2461" w:rsidRDefault="005D2461" w:rsidP="0060515E">
            <w:pPr>
              <w:jc w:val="right"/>
              <w:rPr>
                <w:rFonts w:ascii="Calibri" w:hAnsi="Calibri"/>
                <w:color w:val="000000"/>
                <w:lang w:eastAsia="en-GB"/>
              </w:rPr>
            </w:pPr>
            <w:r w:rsidRPr="005D2461">
              <w:rPr>
                <w:rFonts w:ascii="Calibri" w:hAnsi="Calibri"/>
                <w:color w:val="000000"/>
                <w:lang w:eastAsia="en-GB"/>
              </w:rPr>
              <w:t>-1,</w:t>
            </w:r>
            <w:r w:rsidR="00EE1721">
              <w:rPr>
                <w:rFonts w:ascii="Calibri" w:hAnsi="Calibri"/>
                <w:color w:val="000000"/>
                <w:lang w:eastAsia="en-GB"/>
              </w:rPr>
              <w:t>7</w:t>
            </w:r>
            <w:r w:rsidR="00C814BE">
              <w:rPr>
                <w:rFonts w:ascii="Calibri" w:hAnsi="Calibri"/>
                <w:color w:val="000000"/>
                <w:lang w:eastAsia="en-GB"/>
              </w:rPr>
              <w:t>03</w:t>
            </w:r>
          </w:p>
        </w:tc>
        <w:tc>
          <w:tcPr>
            <w:tcW w:w="1600" w:type="dxa"/>
            <w:tcBorders>
              <w:top w:val="nil"/>
              <w:left w:val="nil"/>
              <w:bottom w:val="single" w:sz="4" w:space="0" w:color="FFFFFF"/>
              <w:right w:val="single" w:sz="4" w:space="0" w:color="FFFFFF"/>
            </w:tcBorders>
            <w:shd w:val="clear" w:color="000000" w:fill="FDE9D9"/>
            <w:vAlign w:val="center"/>
          </w:tcPr>
          <w:p w14:paraId="05024045" w14:textId="58C0A9F8" w:rsidR="005D2461" w:rsidRPr="005D2461" w:rsidRDefault="004B0F83" w:rsidP="005D2461">
            <w:pPr>
              <w:jc w:val="right"/>
              <w:rPr>
                <w:rFonts w:ascii="Calibri" w:hAnsi="Calibri"/>
                <w:color w:val="000000"/>
                <w:lang w:eastAsia="en-GB"/>
              </w:rPr>
            </w:pPr>
            <w:r>
              <w:rPr>
                <w:rFonts w:ascii="Calibri" w:hAnsi="Calibri"/>
                <w:color w:val="000000"/>
                <w:lang w:eastAsia="en-GB"/>
              </w:rPr>
              <w:t>-1,708</w:t>
            </w:r>
          </w:p>
        </w:tc>
      </w:tr>
      <w:tr w:rsidR="005D2461" w:rsidRPr="005D2461" w14:paraId="4F52EA50"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3584EDBB"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Closing fair value of scheme assets</w:t>
            </w:r>
          </w:p>
        </w:tc>
        <w:tc>
          <w:tcPr>
            <w:tcW w:w="1460" w:type="dxa"/>
            <w:tcBorders>
              <w:top w:val="nil"/>
              <w:left w:val="nil"/>
              <w:bottom w:val="single" w:sz="4" w:space="0" w:color="FFFFFF"/>
              <w:right w:val="single" w:sz="4" w:space="0" w:color="FFFFFF"/>
            </w:tcBorders>
            <w:shd w:val="clear" w:color="000000" w:fill="FCD5B4"/>
            <w:vAlign w:val="center"/>
            <w:hideMark/>
          </w:tcPr>
          <w:p w14:paraId="47A0E9B6" w14:textId="01CDD9BC" w:rsidR="005D2461" w:rsidRPr="005D2461" w:rsidRDefault="00EE1721" w:rsidP="001715ED">
            <w:pPr>
              <w:jc w:val="right"/>
              <w:rPr>
                <w:rFonts w:ascii="Calibri" w:hAnsi="Calibri"/>
                <w:b/>
                <w:bCs/>
                <w:color w:val="000000"/>
                <w:lang w:eastAsia="en-GB"/>
              </w:rPr>
            </w:pPr>
            <w:r>
              <w:rPr>
                <w:rFonts w:ascii="Calibri" w:hAnsi="Calibri"/>
                <w:b/>
                <w:bCs/>
                <w:color w:val="000000"/>
                <w:lang w:eastAsia="en-GB"/>
              </w:rPr>
              <w:t>4</w:t>
            </w:r>
            <w:r w:rsidR="00C814BE">
              <w:rPr>
                <w:rFonts w:ascii="Calibri" w:hAnsi="Calibri"/>
                <w:b/>
                <w:bCs/>
                <w:color w:val="000000"/>
                <w:lang w:eastAsia="en-GB"/>
              </w:rPr>
              <w:t>6,662</w:t>
            </w:r>
          </w:p>
        </w:tc>
        <w:tc>
          <w:tcPr>
            <w:tcW w:w="1600" w:type="dxa"/>
            <w:tcBorders>
              <w:top w:val="nil"/>
              <w:left w:val="nil"/>
              <w:bottom w:val="single" w:sz="4" w:space="0" w:color="FFFFFF"/>
              <w:right w:val="single" w:sz="4" w:space="0" w:color="FFFFFF"/>
            </w:tcBorders>
            <w:shd w:val="clear" w:color="000000" w:fill="FCD5B4"/>
            <w:vAlign w:val="center"/>
          </w:tcPr>
          <w:p w14:paraId="0332CF9A" w14:textId="7526CAE8" w:rsidR="005D2461" w:rsidRPr="005D2461" w:rsidRDefault="004B0F83" w:rsidP="005D2461">
            <w:pPr>
              <w:jc w:val="right"/>
              <w:rPr>
                <w:rFonts w:ascii="Calibri" w:hAnsi="Calibri"/>
                <w:b/>
                <w:bCs/>
                <w:color w:val="000000"/>
                <w:lang w:eastAsia="en-GB"/>
              </w:rPr>
            </w:pPr>
            <w:r>
              <w:rPr>
                <w:rFonts w:ascii="Calibri" w:hAnsi="Calibri"/>
                <w:b/>
                <w:bCs/>
                <w:color w:val="000000"/>
                <w:lang w:eastAsia="en-GB"/>
              </w:rPr>
              <w:t>4</w:t>
            </w:r>
            <w:r w:rsidR="001F5DF3">
              <w:rPr>
                <w:rFonts w:ascii="Calibri" w:hAnsi="Calibri"/>
                <w:b/>
                <w:bCs/>
                <w:color w:val="000000"/>
                <w:lang w:eastAsia="en-GB"/>
              </w:rPr>
              <w:t>5,636</w:t>
            </w:r>
          </w:p>
        </w:tc>
      </w:tr>
    </w:tbl>
    <w:p w14:paraId="364E102F" w14:textId="0E250CB9" w:rsidR="008917BB" w:rsidRPr="005D2461" w:rsidRDefault="008917BB" w:rsidP="008917BB">
      <w:pPr>
        <w:widowControl w:val="0"/>
        <w:tabs>
          <w:tab w:val="left" w:pos="1701"/>
          <w:tab w:val="left" w:pos="7200"/>
          <w:tab w:val="left" w:pos="8640"/>
        </w:tabs>
        <w:ind w:right="370"/>
        <w:jc w:val="both"/>
        <w:rPr>
          <w:rFonts w:asciiTheme="minorHAnsi" w:hAnsiTheme="minorHAnsi" w:cs="Arial"/>
          <w:b/>
          <w:sz w:val="24"/>
          <w:szCs w:val="24"/>
        </w:rPr>
      </w:pPr>
      <w:r w:rsidRPr="005D2461">
        <w:rPr>
          <w:rFonts w:asciiTheme="minorHAnsi" w:hAnsiTheme="minorHAnsi" w:cs="Arial"/>
          <w:b/>
          <w:sz w:val="24"/>
          <w:szCs w:val="24"/>
        </w:rPr>
        <w:t>Reconciliation of Present Value of the Scheme Liabilities (Defined Benefit Obligation)</w:t>
      </w:r>
    </w:p>
    <w:tbl>
      <w:tblPr>
        <w:tblW w:w="9660" w:type="dxa"/>
        <w:tblInd w:w="93" w:type="dxa"/>
        <w:tblLook w:val="04A0" w:firstRow="1" w:lastRow="0" w:firstColumn="1" w:lastColumn="0" w:noHBand="0" w:noVBand="1"/>
        <w:tblCaption w:val="Reconciliation of the Present Value of the Pension Scheme Liabilities"/>
        <w:tblDescription w:val="Reconciliation of the Present Value of the Pension Scheme Liabilities (defined benefit obligation)"/>
      </w:tblPr>
      <w:tblGrid>
        <w:gridCol w:w="6600"/>
        <w:gridCol w:w="1460"/>
        <w:gridCol w:w="1600"/>
      </w:tblGrid>
      <w:tr w:rsidR="005D2461" w:rsidRPr="005D2461" w14:paraId="2FC477F8" w14:textId="77777777" w:rsidTr="00CD3384">
        <w:trPr>
          <w:cantSplit/>
          <w:trHeight w:val="300"/>
          <w:tblHeader/>
        </w:trPr>
        <w:tc>
          <w:tcPr>
            <w:tcW w:w="6600" w:type="dxa"/>
            <w:tcBorders>
              <w:top w:val="nil"/>
              <w:left w:val="nil"/>
              <w:bottom w:val="nil"/>
              <w:right w:val="nil"/>
            </w:tcBorders>
            <w:shd w:val="clear" w:color="000000" w:fill="FABF8F"/>
            <w:vAlign w:val="center"/>
            <w:hideMark/>
          </w:tcPr>
          <w:p w14:paraId="16B050F9"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051F186F" w14:textId="23BEB1B1" w:rsidR="005D2461" w:rsidRPr="005D2461" w:rsidRDefault="005D2461" w:rsidP="00EE3B24">
            <w:pPr>
              <w:jc w:val="right"/>
              <w:rPr>
                <w:rFonts w:ascii="Calibri" w:hAnsi="Calibri"/>
                <w:color w:val="000000"/>
                <w:lang w:eastAsia="en-GB"/>
              </w:rPr>
            </w:pPr>
            <w:r w:rsidRPr="005D2461">
              <w:rPr>
                <w:rFonts w:ascii="Calibri" w:hAnsi="Calibri"/>
                <w:color w:val="000000"/>
                <w:lang w:eastAsia="en-GB"/>
              </w:rPr>
              <w:t>20</w:t>
            </w:r>
            <w:r w:rsidR="00895003">
              <w:rPr>
                <w:rFonts w:ascii="Calibri" w:hAnsi="Calibri"/>
                <w:color w:val="000000"/>
                <w:lang w:eastAsia="en-GB"/>
              </w:rPr>
              <w:t>2</w:t>
            </w:r>
            <w:r w:rsidR="00C814BE">
              <w:rPr>
                <w:rFonts w:ascii="Calibri" w:hAnsi="Calibri"/>
                <w:color w:val="000000"/>
                <w:lang w:eastAsia="en-GB"/>
              </w:rPr>
              <w:t>1</w:t>
            </w:r>
            <w:r w:rsidRPr="005D2461">
              <w:rPr>
                <w:rFonts w:ascii="Calibri" w:hAnsi="Calibri"/>
                <w:color w:val="000000"/>
                <w:lang w:eastAsia="en-GB"/>
              </w:rPr>
              <w:t>-</w:t>
            </w:r>
            <w:r w:rsidR="00EE3B24">
              <w:rPr>
                <w:rFonts w:ascii="Calibri" w:hAnsi="Calibri"/>
                <w:color w:val="000000"/>
                <w:lang w:eastAsia="en-GB"/>
              </w:rPr>
              <w:t>2</w:t>
            </w:r>
            <w:r w:rsidR="00C814BE">
              <w:rPr>
                <w:rFonts w:ascii="Calibri" w:hAnsi="Calibri"/>
                <w:color w:val="000000"/>
                <w:lang w:eastAsia="en-GB"/>
              </w:rPr>
              <w:t>2</w:t>
            </w:r>
          </w:p>
        </w:tc>
        <w:tc>
          <w:tcPr>
            <w:tcW w:w="1600" w:type="dxa"/>
            <w:tcBorders>
              <w:top w:val="single" w:sz="4" w:space="0" w:color="FFFFFF"/>
              <w:left w:val="nil"/>
              <w:bottom w:val="single" w:sz="4" w:space="0" w:color="FFFFFF"/>
              <w:right w:val="single" w:sz="4" w:space="0" w:color="FFFFFF"/>
            </w:tcBorders>
            <w:shd w:val="clear" w:color="000000" w:fill="FABF8F"/>
            <w:vAlign w:val="center"/>
            <w:hideMark/>
          </w:tcPr>
          <w:p w14:paraId="14F901BD" w14:textId="64B20B04" w:rsidR="005D2461" w:rsidRPr="005D2461" w:rsidRDefault="005D2461" w:rsidP="00EE3B24">
            <w:pPr>
              <w:jc w:val="right"/>
              <w:rPr>
                <w:rFonts w:ascii="Calibri" w:hAnsi="Calibri"/>
                <w:color w:val="000000"/>
                <w:lang w:eastAsia="en-GB"/>
              </w:rPr>
            </w:pPr>
            <w:r w:rsidRPr="005D2461">
              <w:rPr>
                <w:rFonts w:ascii="Calibri" w:hAnsi="Calibri"/>
                <w:color w:val="000000"/>
                <w:lang w:eastAsia="en-GB"/>
              </w:rPr>
              <w:t>20</w:t>
            </w:r>
            <w:r w:rsidR="00EE3B24">
              <w:rPr>
                <w:rFonts w:ascii="Calibri" w:hAnsi="Calibri"/>
                <w:color w:val="000000"/>
                <w:lang w:eastAsia="en-GB"/>
              </w:rPr>
              <w:t>2</w:t>
            </w:r>
            <w:r w:rsidR="00C814BE">
              <w:rPr>
                <w:rFonts w:ascii="Calibri" w:hAnsi="Calibri"/>
                <w:color w:val="000000"/>
                <w:lang w:eastAsia="en-GB"/>
              </w:rPr>
              <w:t>2</w:t>
            </w:r>
            <w:r w:rsidRPr="005D2461">
              <w:rPr>
                <w:rFonts w:ascii="Calibri" w:hAnsi="Calibri"/>
                <w:color w:val="000000"/>
                <w:lang w:eastAsia="en-GB"/>
              </w:rPr>
              <w:t>-</w:t>
            </w:r>
            <w:r w:rsidR="001223DF">
              <w:rPr>
                <w:rFonts w:ascii="Calibri" w:hAnsi="Calibri"/>
                <w:color w:val="000000"/>
                <w:lang w:eastAsia="en-GB"/>
              </w:rPr>
              <w:t>2</w:t>
            </w:r>
            <w:r w:rsidR="00C814BE">
              <w:rPr>
                <w:rFonts w:ascii="Calibri" w:hAnsi="Calibri"/>
                <w:color w:val="000000"/>
                <w:lang w:eastAsia="en-GB"/>
              </w:rPr>
              <w:t>3</w:t>
            </w:r>
          </w:p>
        </w:tc>
      </w:tr>
      <w:tr w:rsidR="005D2461" w:rsidRPr="005D2461" w14:paraId="141633DB" w14:textId="77777777" w:rsidTr="005D2461">
        <w:trPr>
          <w:trHeight w:val="300"/>
        </w:trPr>
        <w:tc>
          <w:tcPr>
            <w:tcW w:w="6600" w:type="dxa"/>
            <w:tcBorders>
              <w:top w:val="nil"/>
              <w:left w:val="nil"/>
              <w:bottom w:val="nil"/>
              <w:right w:val="nil"/>
            </w:tcBorders>
            <w:shd w:val="clear" w:color="000000" w:fill="FABF8F"/>
            <w:vAlign w:val="center"/>
            <w:hideMark/>
          </w:tcPr>
          <w:p w14:paraId="1F3B2370"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 </w:t>
            </w:r>
          </w:p>
        </w:tc>
        <w:tc>
          <w:tcPr>
            <w:tcW w:w="1460" w:type="dxa"/>
            <w:tcBorders>
              <w:top w:val="nil"/>
              <w:left w:val="single" w:sz="4" w:space="0" w:color="FFFFFF"/>
              <w:bottom w:val="single" w:sz="4" w:space="0" w:color="FFFFFF"/>
              <w:right w:val="single" w:sz="4" w:space="0" w:color="FFFFFF"/>
            </w:tcBorders>
            <w:shd w:val="clear" w:color="000000" w:fill="FABF8F"/>
            <w:vAlign w:val="center"/>
            <w:hideMark/>
          </w:tcPr>
          <w:p w14:paraId="3ACB37F6"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c>
          <w:tcPr>
            <w:tcW w:w="1600" w:type="dxa"/>
            <w:tcBorders>
              <w:top w:val="nil"/>
              <w:left w:val="nil"/>
              <w:bottom w:val="single" w:sz="4" w:space="0" w:color="FFFFFF"/>
              <w:right w:val="single" w:sz="4" w:space="0" w:color="FFFFFF"/>
            </w:tcBorders>
            <w:shd w:val="clear" w:color="000000" w:fill="FABF8F"/>
            <w:vAlign w:val="center"/>
            <w:hideMark/>
          </w:tcPr>
          <w:p w14:paraId="212E9BA8"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£’000</w:t>
            </w:r>
          </w:p>
        </w:tc>
      </w:tr>
      <w:tr w:rsidR="005D2461" w:rsidRPr="005D2461" w14:paraId="553F3162" w14:textId="77777777" w:rsidTr="005D2461">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CD5B4"/>
            <w:vAlign w:val="center"/>
            <w:hideMark/>
          </w:tcPr>
          <w:p w14:paraId="32D01866"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 xml:space="preserve">Opening balance </w:t>
            </w:r>
            <w:proofErr w:type="gramStart"/>
            <w:r w:rsidRPr="005D2461">
              <w:rPr>
                <w:rFonts w:ascii="Calibri" w:hAnsi="Calibri"/>
                <w:b/>
                <w:bCs/>
                <w:color w:val="000000"/>
                <w:lang w:eastAsia="en-GB"/>
              </w:rPr>
              <w:t>at</w:t>
            </w:r>
            <w:proofErr w:type="gramEnd"/>
            <w:r w:rsidRPr="005D2461">
              <w:rPr>
                <w:rFonts w:ascii="Calibri" w:hAnsi="Calibri"/>
                <w:b/>
                <w:bCs/>
                <w:color w:val="000000"/>
                <w:lang w:eastAsia="en-GB"/>
              </w:rPr>
              <w:t xml:space="preserve"> 1 April</w:t>
            </w:r>
          </w:p>
        </w:tc>
        <w:tc>
          <w:tcPr>
            <w:tcW w:w="1460" w:type="dxa"/>
            <w:tcBorders>
              <w:top w:val="nil"/>
              <w:left w:val="nil"/>
              <w:bottom w:val="single" w:sz="4" w:space="0" w:color="FFFFFF"/>
              <w:right w:val="single" w:sz="4" w:space="0" w:color="FFFFFF"/>
            </w:tcBorders>
            <w:shd w:val="clear" w:color="000000" w:fill="FCD5B4"/>
            <w:vAlign w:val="center"/>
            <w:hideMark/>
          </w:tcPr>
          <w:p w14:paraId="7444D19A" w14:textId="6ED43CAF" w:rsidR="005D2461" w:rsidRPr="005D2461" w:rsidRDefault="00C814BE" w:rsidP="00EE3B24">
            <w:pPr>
              <w:jc w:val="right"/>
              <w:rPr>
                <w:rFonts w:ascii="Calibri" w:hAnsi="Calibri"/>
                <w:b/>
                <w:bCs/>
                <w:color w:val="000000"/>
                <w:lang w:eastAsia="en-GB"/>
              </w:rPr>
            </w:pPr>
            <w:r>
              <w:rPr>
                <w:rFonts w:ascii="Calibri" w:hAnsi="Calibri"/>
                <w:b/>
                <w:bCs/>
                <w:color w:val="000000"/>
                <w:lang w:eastAsia="en-GB"/>
              </w:rPr>
              <w:t>69</w:t>
            </w:r>
            <w:r w:rsidR="00F07E4C">
              <w:rPr>
                <w:rFonts w:ascii="Calibri" w:hAnsi="Calibri"/>
                <w:b/>
                <w:bCs/>
                <w:color w:val="000000"/>
                <w:lang w:eastAsia="en-GB"/>
              </w:rPr>
              <w:t>,</w:t>
            </w:r>
            <w:r>
              <w:rPr>
                <w:rFonts w:ascii="Calibri" w:hAnsi="Calibri"/>
                <w:b/>
                <w:bCs/>
                <w:color w:val="000000"/>
                <w:lang w:eastAsia="en-GB"/>
              </w:rPr>
              <w:t>482</w:t>
            </w:r>
          </w:p>
        </w:tc>
        <w:tc>
          <w:tcPr>
            <w:tcW w:w="1600" w:type="dxa"/>
            <w:tcBorders>
              <w:top w:val="nil"/>
              <w:left w:val="nil"/>
              <w:bottom w:val="single" w:sz="4" w:space="0" w:color="FFFFFF"/>
              <w:right w:val="single" w:sz="4" w:space="0" w:color="FFFFFF"/>
            </w:tcBorders>
            <w:shd w:val="clear" w:color="000000" w:fill="FCD5B4"/>
            <w:vAlign w:val="center"/>
            <w:hideMark/>
          </w:tcPr>
          <w:p w14:paraId="0F29E4E7" w14:textId="7E378B30" w:rsidR="005D2461" w:rsidRPr="005D2461" w:rsidRDefault="00895003" w:rsidP="00EE3B24">
            <w:pPr>
              <w:jc w:val="right"/>
              <w:rPr>
                <w:rFonts w:ascii="Calibri" w:hAnsi="Calibri"/>
                <w:b/>
                <w:bCs/>
                <w:color w:val="000000"/>
                <w:lang w:eastAsia="en-GB"/>
              </w:rPr>
            </w:pPr>
            <w:r>
              <w:rPr>
                <w:rFonts w:ascii="Calibri" w:hAnsi="Calibri"/>
                <w:b/>
                <w:bCs/>
                <w:color w:val="000000"/>
                <w:lang w:eastAsia="en-GB"/>
              </w:rPr>
              <w:t>6</w:t>
            </w:r>
            <w:r w:rsidR="00C814BE">
              <w:rPr>
                <w:rFonts w:ascii="Calibri" w:hAnsi="Calibri"/>
                <w:b/>
                <w:bCs/>
                <w:color w:val="000000"/>
                <w:lang w:eastAsia="en-GB"/>
              </w:rPr>
              <w:t>7</w:t>
            </w:r>
            <w:r>
              <w:rPr>
                <w:rFonts w:ascii="Calibri" w:hAnsi="Calibri"/>
                <w:b/>
                <w:bCs/>
                <w:color w:val="000000"/>
                <w:lang w:eastAsia="en-GB"/>
              </w:rPr>
              <w:t>,</w:t>
            </w:r>
            <w:r w:rsidR="00C814BE">
              <w:rPr>
                <w:rFonts w:ascii="Calibri" w:hAnsi="Calibri"/>
                <w:b/>
                <w:bCs/>
                <w:color w:val="000000"/>
                <w:lang w:eastAsia="en-GB"/>
              </w:rPr>
              <w:t>209</w:t>
            </w:r>
          </w:p>
        </w:tc>
      </w:tr>
      <w:tr w:rsidR="005D2461" w:rsidRPr="005D2461" w14:paraId="1C96F411"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745650AB"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Current Service Cost</w:t>
            </w:r>
          </w:p>
        </w:tc>
        <w:tc>
          <w:tcPr>
            <w:tcW w:w="1460" w:type="dxa"/>
            <w:tcBorders>
              <w:top w:val="nil"/>
              <w:left w:val="nil"/>
              <w:bottom w:val="single" w:sz="4" w:space="0" w:color="FFFFFF"/>
              <w:right w:val="single" w:sz="4" w:space="0" w:color="FFFFFF"/>
            </w:tcBorders>
            <w:shd w:val="clear" w:color="000000" w:fill="FDE9D9"/>
            <w:vAlign w:val="center"/>
            <w:hideMark/>
          </w:tcPr>
          <w:p w14:paraId="2E61A8AF" w14:textId="55A1A0F8" w:rsidR="005D2461" w:rsidRPr="005D2461" w:rsidRDefault="00C814BE" w:rsidP="001715ED">
            <w:pPr>
              <w:jc w:val="right"/>
              <w:rPr>
                <w:rFonts w:ascii="Calibri" w:hAnsi="Calibri"/>
                <w:color w:val="000000"/>
                <w:lang w:eastAsia="en-GB"/>
              </w:rPr>
            </w:pPr>
            <w:r>
              <w:rPr>
                <w:rFonts w:ascii="Calibri" w:hAnsi="Calibri"/>
                <w:color w:val="000000"/>
                <w:lang w:eastAsia="en-GB"/>
              </w:rPr>
              <w:t>2,620</w:t>
            </w:r>
          </w:p>
        </w:tc>
        <w:tc>
          <w:tcPr>
            <w:tcW w:w="1600" w:type="dxa"/>
            <w:tcBorders>
              <w:top w:val="nil"/>
              <w:left w:val="nil"/>
              <w:bottom w:val="single" w:sz="4" w:space="0" w:color="FFFFFF"/>
              <w:right w:val="single" w:sz="4" w:space="0" w:color="FFFFFF"/>
            </w:tcBorders>
            <w:shd w:val="clear" w:color="000000" w:fill="FDE9D9"/>
            <w:vAlign w:val="center"/>
          </w:tcPr>
          <w:p w14:paraId="7390FF16" w14:textId="4E7A643D" w:rsidR="005D2461" w:rsidRPr="005D2461" w:rsidRDefault="001F5DF3" w:rsidP="005D2461">
            <w:pPr>
              <w:jc w:val="right"/>
              <w:rPr>
                <w:rFonts w:ascii="Calibri" w:hAnsi="Calibri"/>
                <w:color w:val="000000"/>
                <w:lang w:eastAsia="en-GB"/>
              </w:rPr>
            </w:pPr>
            <w:r>
              <w:rPr>
                <w:rFonts w:ascii="Calibri" w:hAnsi="Calibri"/>
                <w:color w:val="000000"/>
                <w:lang w:eastAsia="en-GB"/>
              </w:rPr>
              <w:t>2,511</w:t>
            </w:r>
          </w:p>
        </w:tc>
      </w:tr>
      <w:tr w:rsidR="005D2461" w:rsidRPr="005D2461" w14:paraId="0FE16382"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661DFA6D"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Interest Cost</w:t>
            </w:r>
          </w:p>
        </w:tc>
        <w:tc>
          <w:tcPr>
            <w:tcW w:w="1460" w:type="dxa"/>
            <w:tcBorders>
              <w:top w:val="nil"/>
              <w:left w:val="nil"/>
              <w:bottom w:val="single" w:sz="4" w:space="0" w:color="FFFFFF"/>
              <w:right w:val="single" w:sz="4" w:space="0" w:color="FFFFFF"/>
            </w:tcBorders>
            <w:shd w:val="clear" w:color="000000" w:fill="FDE9D9"/>
            <w:vAlign w:val="center"/>
            <w:hideMark/>
          </w:tcPr>
          <w:p w14:paraId="271D2807" w14:textId="475662E0" w:rsidR="005D2461" w:rsidRPr="005D2461" w:rsidRDefault="005D2461" w:rsidP="001715ED">
            <w:pPr>
              <w:jc w:val="right"/>
              <w:rPr>
                <w:rFonts w:ascii="Calibri" w:hAnsi="Calibri"/>
                <w:color w:val="000000"/>
                <w:lang w:eastAsia="en-GB"/>
              </w:rPr>
            </w:pPr>
            <w:r w:rsidRPr="005D2461">
              <w:rPr>
                <w:rFonts w:ascii="Calibri" w:hAnsi="Calibri"/>
                <w:color w:val="000000"/>
                <w:lang w:eastAsia="en-GB"/>
              </w:rPr>
              <w:t>1,</w:t>
            </w:r>
            <w:r w:rsidR="00C814BE">
              <w:rPr>
                <w:rFonts w:ascii="Calibri" w:hAnsi="Calibri"/>
                <w:color w:val="000000"/>
                <w:lang w:eastAsia="en-GB"/>
              </w:rPr>
              <w:t>401</w:t>
            </w:r>
          </w:p>
        </w:tc>
        <w:tc>
          <w:tcPr>
            <w:tcW w:w="1600" w:type="dxa"/>
            <w:tcBorders>
              <w:top w:val="nil"/>
              <w:left w:val="nil"/>
              <w:bottom w:val="single" w:sz="4" w:space="0" w:color="FFFFFF"/>
              <w:right w:val="single" w:sz="4" w:space="0" w:color="FFFFFF"/>
            </w:tcBorders>
            <w:shd w:val="clear" w:color="000000" w:fill="FDE9D9"/>
            <w:vAlign w:val="center"/>
          </w:tcPr>
          <w:p w14:paraId="249554C2" w14:textId="4B49F42B" w:rsidR="005D2461" w:rsidRPr="005D2461" w:rsidRDefault="001F5DF3" w:rsidP="00D53968">
            <w:pPr>
              <w:jc w:val="right"/>
              <w:rPr>
                <w:rFonts w:ascii="Calibri" w:hAnsi="Calibri"/>
                <w:color w:val="000000"/>
                <w:lang w:eastAsia="en-GB"/>
              </w:rPr>
            </w:pPr>
            <w:r>
              <w:rPr>
                <w:rFonts w:ascii="Calibri" w:hAnsi="Calibri"/>
                <w:color w:val="000000"/>
                <w:lang w:eastAsia="en-GB"/>
              </w:rPr>
              <w:t>1,829</w:t>
            </w:r>
          </w:p>
        </w:tc>
      </w:tr>
      <w:tr w:rsidR="005D2461" w:rsidRPr="005D2461" w14:paraId="28C1BBCE"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54B31B36"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Contributions from scheme participants</w:t>
            </w:r>
          </w:p>
        </w:tc>
        <w:tc>
          <w:tcPr>
            <w:tcW w:w="1460" w:type="dxa"/>
            <w:tcBorders>
              <w:top w:val="nil"/>
              <w:left w:val="nil"/>
              <w:bottom w:val="single" w:sz="4" w:space="0" w:color="FFFFFF"/>
              <w:right w:val="single" w:sz="4" w:space="0" w:color="FFFFFF"/>
            </w:tcBorders>
            <w:shd w:val="clear" w:color="000000" w:fill="FDE9D9"/>
            <w:vAlign w:val="center"/>
            <w:hideMark/>
          </w:tcPr>
          <w:p w14:paraId="7627CE2A" w14:textId="1863E1EF" w:rsidR="005D2461" w:rsidRPr="005D2461" w:rsidRDefault="00895003" w:rsidP="00EE3B24">
            <w:pPr>
              <w:jc w:val="right"/>
              <w:rPr>
                <w:rFonts w:ascii="Calibri" w:hAnsi="Calibri"/>
                <w:color w:val="000000"/>
                <w:lang w:eastAsia="en-GB"/>
              </w:rPr>
            </w:pPr>
            <w:r>
              <w:rPr>
                <w:rFonts w:ascii="Calibri" w:hAnsi="Calibri"/>
                <w:color w:val="000000"/>
                <w:lang w:eastAsia="en-GB"/>
              </w:rPr>
              <w:t>3</w:t>
            </w:r>
            <w:r w:rsidR="00C814BE">
              <w:rPr>
                <w:rFonts w:ascii="Calibri" w:hAnsi="Calibri"/>
                <w:color w:val="000000"/>
                <w:lang w:eastAsia="en-GB"/>
              </w:rPr>
              <w:t>44</w:t>
            </w:r>
          </w:p>
        </w:tc>
        <w:tc>
          <w:tcPr>
            <w:tcW w:w="1600" w:type="dxa"/>
            <w:tcBorders>
              <w:top w:val="nil"/>
              <w:left w:val="nil"/>
              <w:bottom w:val="single" w:sz="4" w:space="0" w:color="FFFFFF"/>
              <w:right w:val="single" w:sz="4" w:space="0" w:color="FFFFFF"/>
            </w:tcBorders>
            <w:shd w:val="clear" w:color="000000" w:fill="FDE9D9"/>
            <w:vAlign w:val="center"/>
          </w:tcPr>
          <w:p w14:paraId="701D2282" w14:textId="6C72129C" w:rsidR="005D2461" w:rsidRPr="005D2461" w:rsidRDefault="001F5DF3" w:rsidP="005D2461">
            <w:pPr>
              <w:jc w:val="right"/>
              <w:rPr>
                <w:rFonts w:ascii="Calibri" w:hAnsi="Calibri"/>
                <w:color w:val="000000"/>
                <w:lang w:eastAsia="en-GB"/>
              </w:rPr>
            </w:pPr>
            <w:r>
              <w:rPr>
                <w:rFonts w:ascii="Calibri" w:hAnsi="Calibri"/>
                <w:color w:val="000000"/>
                <w:lang w:eastAsia="en-GB"/>
              </w:rPr>
              <w:t>370</w:t>
            </w:r>
          </w:p>
        </w:tc>
      </w:tr>
      <w:tr w:rsidR="005D2461" w:rsidRPr="005D2461" w14:paraId="409F6783" w14:textId="77777777" w:rsidTr="00F07E4C">
        <w:trPr>
          <w:trHeight w:val="300"/>
        </w:trPr>
        <w:tc>
          <w:tcPr>
            <w:tcW w:w="6600" w:type="dxa"/>
            <w:tcBorders>
              <w:top w:val="nil"/>
              <w:left w:val="nil"/>
              <w:bottom w:val="nil"/>
              <w:right w:val="nil"/>
            </w:tcBorders>
            <w:shd w:val="clear" w:color="000000" w:fill="FDE9D9"/>
            <w:vAlign w:val="center"/>
            <w:hideMark/>
          </w:tcPr>
          <w:p w14:paraId="2B4E9AF0"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Re</w:t>
            </w:r>
            <w:r w:rsidR="00A31DA2">
              <w:rPr>
                <w:rFonts w:ascii="Calibri" w:hAnsi="Calibri"/>
                <w:color w:val="000000"/>
                <w:lang w:eastAsia="en-GB"/>
              </w:rPr>
              <w:t>-</w:t>
            </w:r>
            <w:r w:rsidRPr="005D2461">
              <w:rPr>
                <w:rFonts w:ascii="Calibri" w:hAnsi="Calibri"/>
                <w:color w:val="000000"/>
                <w:lang w:eastAsia="en-GB"/>
              </w:rPr>
              <w:t xml:space="preserve">measurement </w:t>
            </w:r>
            <w:proofErr w:type="gramStart"/>
            <w:r w:rsidRPr="005D2461">
              <w:rPr>
                <w:rFonts w:ascii="Calibri" w:hAnsi="Calibri"/>
                <w:color w:val="000000"/>
                <w:lang w:eastAsia="en-GB"/>
              </w:rPr>
              <w:t>gain(</w:t>
            </w:r>
            <w:proofErr w:type="gramEnd"/>
            <w:r w:rsidRPr="005D2461">
              <w:rPr>
                <w:rFonts w:ascii="Calibri" w:hAnsi="Calibri"/>
                <w:color w:val="000000"/>
                <w:lang w:eastAsia="en-GB"/>
              </w:rPr>
              <w:t>-)/ loss:</w:t>
            </w:r>
          </w:p>
        </w:tc>
        <w:tc>
          <w:tcPr>
            <w:tcW w:w="1460" w:type="dxa"/>
            <w:tcBorders>
              <w:top w:val="nil"/>
              <w:left w:val="nil"/>
              <w:bottom w:val="nil"/>
              <w:right w:val="nil"/>
            </w:tcBorders>
            <w:shd w:val="clear" w:color="000000" w:fill="FDE9D9"/>
            <w:vAlign w:val="center"/>
            <w:hideMark/>
          </w:tcPr>
          <w:p w14:paraId="019ABF82"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28B19B4B" w14:textId="77777777" w:rsidR="005D2461" w:rsidRPr="005D2461" w:rsidRDefault="005D2461" w:rsidP="005D2461">
            <w:pPr>
              <w:jc w:val="right"/>
              <w:rPr>
                <w:rFonts w:ascii="Calibri" w:hAnsi="Calibri"/>
                <w:color w:val="000000"/>
                <w:lang w:eastAsia="en-GB"/>
              </w:rPr>
            </w:pPr>
          </w:p>
        </w:tc>
      </w:tr>
      <w:tr w:rsidR="005D2461" w:rsidRPr="005D2461" w14:paraId="519EC8BD" w14:textId="77777777" w:rsidTr="00F07E4C">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3E52D4B5"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Actuarial gains/losses arising from changes in demographic assumptions</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0AB70A42" w14:textId="408B9101" w:rsidR="005D2461" w:rsidRPr="005D2461" w:rsidRDefault="00C814BE" w:rsidP="005D2461">
            <w:pPr>
              <w:jc w:val="right"/>
              <w:rPr>
                <w:rFonts w:ascii="Calibri" w:hAnsi="Calibri"/>
                <w:color w:val="000000"/>
                <w:lang w:eastAsia="en-GB"/>
              </w:rPr>
            </w:pPr>
            <w:r>
              <w:rPr>
                <w:rFonts w:ascii="Calibri" w:hAnsi="Calibri"/>
                <w:color w:val="000000"/>
                <w:lang w:eastAsia="en-GB"/>
              </w:rPr>
              <w:t>-370</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2B114C09" w14:textId="024072FF" w:rsidR="002D187D" w:rsidRPr="005D2461" w:rsidRDefault="001F5DF3" w:rsidP="007E2CDB">
            <w:pPr>
              <w:jc w:val="right"/>
              <w:rPr>
                <w:rFonts w:ascii="Calibri" w:hAnsi="Calibri"/>
                <w:color w:val="000000"/>
                <w:lang w:eastAsia="en-GB"/>
              </w:rPr>
            </w:pPr>
            <w:r>
              <w:rPr>
                <w:rFonts w:ascii="Calibri" w:hAnsi="Calibri"/>
                <w:color w:val="000000"/>
                <w:lang w:eastAsia="en-GB"/>
              </w:rPr>
              <w:t>-414</w:t>
            </w:r>
          </w:p>
        </w:tc>
      </w:tr>
      <w:tr w:rsidR="005D2461" w:rsidRPr="005D2461" w14:paraId="06682632"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5387E1D6"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Actuarial gains/losses arising from changes in financial assumptions</w:t>
            </w:r>
          </w:p>
        </w:tc>
        <w:tc>
          <w:tcPr>
            <w:tcW w:w="1460" w:type="dxa"/>
            <w:tcBorders>
              <w:top w:val="nil"/>
              <w:left w:val="nil"/>
              <w:bottom w:val="single" w:sz="4" w:space="0" w:color="FFFFFF"/>
              <w:right w:val="single" w:sz="4" w:space="0" w:color="FFFFFF"/>
            </w:tcBorders>
            <w:shd w:val="clear" w:color="000000" w:fill="FDE9D9"/>
            <w:vAlign w:val="center"/>
            <w:hideMark/>
          </w:tcPr>
          <w:p w14:paraId="1EEFAD27" w14:textId="1AD8FABE" w:rsidR="005D2461" w:rsidRPr="005D2461" w:rsidRDefault="00C814BE" w:rsidP="005D2461">
            <w:pPr>
              <w:jc w:val="right"/>
              <w:rPr>
                <w:rFonts w:ascii="Calibri" w:hAnsi="Calibri"/>
                <w:color w:val="000000"/>
                <w:lang w:eastAsia="en-GB"/>
              </w:rPr>
            </w:pPr>
            <w:r>
              <w:rPr>
                <w:rFonts w:ascii="Calibri" w:hAnsi="Calibri"/>
                <w:color w:val="000000"/>
                <w:lang w:eastAsia="en-GB"/>
              </w:rPr>
              <w:t>-4,684</w:t>
            </w:r>
          </w:p>
        </w:tc>
        <w:tc>
          <w:tcPr>
            <w:tcW w:w="1600" w:type="dxa"/>
            <w:tcBorders>
              <w:top w:val="nil"/>
              <w:left w:val="nil"/>
              <w:bottom w:val="single" w:sz="4" w:space="0" w:color="FFFFFF"/>
              <w:right w:val="single" w:sz="4" w:space="0" w:color="FFFFFF"/>
            </w:tcBorders>
            <w:shd w:val="clear" w:color="000000" w:fill="FDE9D9"/>
            <w:vAlign w:val="center"/>
          </w:tcPr>
          <w:p w14:paraId="6BD285E9" w14:textId="117EA850" w:rsidR="005D2461" w:rsidRPr="005D2461" w:rsidRDefault="001F5DF3" w:rsidP="005D2461">
            <w:pPr>
              <w:jc w:val="right"/>
              <w:rPr>
                <w:rFonts w:ascii="Calibri" w:hAnsi="Calibri"/>
                <w:color w:val="000000"/>
                <w:lang w:eastAsia="en-GB"/>
              </w:rPr>
            </w:pPr>
            <w:r>
              <w:rPr>
                <w:rFonts w:ascii="Calibri" w:hAnsi="Calibri"/>
                <w:color w:val="000000"/>
                <w:lang w:eastAsia="en-GB"/>
              </w:rPr>
              <w:t>-24,715</w:t>
            </w:r>
          </w:p>
        </w:tc>
      </w:tr>
      <w:tr w:rsidR="005D2461" w:rsidRPr="005D2461" w14:paraId="1626F8A0"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648E0B07"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Other</w:t>
            </w:r>
          </w:p>
        </w:tc>
        <w:tc>
          <w:tcPr>
            <w:tcW w:w="1460" w:type="dxa"/>
            <w:tcBorders>
              <w:top w:val="nil"/>
              <w:left w:val="nil"/>
              <w:bottom w:val="single" w:sz="4" w:space="0" w:color="FFFFFF"/>
              <w:right w:val="single" w:sz="4" w:space="0" w:color="FFFFFF"/>
            </w:tcBorders>
            <w:shd w:val="clear" w:color="000000" w:fill="FDE9D9"/>
            <w:vAlign w:val="center"/>
            <w:hideMark/>
          </w:tcPr>
          <w:p w14:paraId="3849F498" w14:textId="549A90C6" w:rsidR="005D2461" w:rsidRPr="005D2461" w:rsidRDefault="00C814BE" w:rsidP="005D2461">
            <w:pPr>
              <w:jc w:val="right"/>
              <w:rPr>
                <w:rFonts w:ascii="Calibri" w:hAnsi="Calibri"/>
                <w:color w:val="000000"/>
                <w:lang w:eastAsia="en-GB"/>
              </w:rPr>
            </w:pPr>
            <w:r>
              <w:rPr>
                <w:rFonts w:ascii="Calibri" w:hAnsi="Calibri"/>
                <w:color w:val="000000"/>
                <w:lang w:eastAsia="en-GB"/>
              </w:rPr>
              <w:t>108</w:t>
            </w:r>
          </w:p>
        </w:tc>
        <w:tc>
          <w:tcPr>
            <w:tcW w:w="1600" w:type="dxa"/>
            <w:tcBorders>
              <w:top w:val="nil"/>
              <w:left w:val="nil"/>
              <w:bottom w:val="single" w:sz="4" w:space="0" w:color="FFFFFF"/>
              <w:right w:val="single" w:sz="4" w:space="0" w:color="FFFFFF"/>
            </w:tcBorders>
            <w:shd w:val="clear" w:color="000000" w:fill="FDE9D9"/>
            <w:vAlign w:val="center"/>
          </w:tcPr>
          <w:p w14:paraId="08393806" w14:textId="320B4D53" w:rsidR="005D2461" w:rsidRPr="005D2461" w:rsidRDefault="001F5DF3" w:rsidP="005D2461">
            <w:pPr>
              <w:jc w:val="right"/>
              <w:rPr>
                <w:rFonts w:ascii="Calibri" w:hAnsi="Calibri"/>
                <w:color w:val="000000"/>
                <w:lang w:eastAsia="en-GB"/>
              </w:rPr>
            </w:pPr>
            <w:r>
              <w:rPr>
                <w:rFonts w:ascii="Calibri" w:hAnsi="Calibri"/>
                <w:color w:val="000000"/>
                <w:lang w:eastAsia="en-GB"/>
              </w:rPr>
              <w:t>2,805</w:t>
            </w:r>
          </w:p>
        </w:tc>
      </w:tr>
      <w:tr w:rsidR="005D2461" w:rsidRPr="005D2461" w14:paraId="12CE2DEA"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701CDFAC"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Past Service Cost</w:t>
            </w:r>
          </w:p>
        </w:tc>
        <w:tc>
          <w:tcPr>
            <w:tcW w:w="1460" w:type="dxa"/>
            <w:tcBorders>
              <w:top w:val="nil"/>
              <w:left w:val="nil"/>
              <w:bottom w:val="single" w:sz="4" w:space="0" w:color="FFFFFF"/>
              <w:right w:val="single" w:sz="4" w:space="0" w:color="FFFFFF"/>
            </w:tcBorders>
            <w:shd w:val="clear" w:color="000000" w:fill="FDE9D9"/>
            <w:vAlign w:val="center"/>
            <w:hideMark/>
          </w:tcPr>
          <w:p w14:paraId="1EBDC99D" w14:textId="534D9ED9" w:rsidR="005D2461" w:rsidRPr="005D2461" w:rsidRDefault="00C814BE" w:rsidP="005D2461">
            <w:pPr>
              <w:jc w:val="right"/>
              <w:rPr>
                <w:rFonts w:ascii="Calibri" w:hAnsi="Calibri"/>
                <w:color w:val="000000"/>
                <w:lang w:eastAsia="en-GB"/>
              </w:rPr>
            </w:pPr>
            <w:r>
              <w:rPr>
                <w:rFonts w:ascii="Calibri" w:hAnsi="Calibri"/>
                <w:color w:val="000000"/>
                <w:lang w:eastAsia="en-GB"/>
              </w:rPr>
              <w:t>11</w:t>
            </w:r>
          </w:p>
        </w:tc>
        <w:tc>
          <w:tcPr>
            <w:tcW w:w="1600" w:type="dxa"/>
            <w:tcBorders>
              <w:top w:val="nil"/>
              <w:left w:val="nil"/>
              <w:bottom w:val="single" w:sz="4" w:space="0" w:color="FFFFFF"/>
              <w:right w:val="single" w:sz="4" w:space="0" w:color="FFFFFF"/>
            </w:tcBorders>
            <w:shd w:val="clear" w:color="000000" w:fill="FDE9D9"/>
            <w:vAlign w:val="center"/>
          </w:tcPr>
          <w:p w14:paraId="71EC56E3" w14:textId="2FB88A8C" w:rsidR="005D2461" w:rsidRPr="005D2461" w:rsidRDefault="001F5DF3" w:rsidP="005D2461">
            <w:pPr>
              <w:jc w:val="right"/>
              <w:rPr>
                <w:rFonts w:ascii="Calibri" w:hAnsi="Calibri"/>
                <w:color w:val="000000"/>
                <w:lang w:eastAsia="en-GB"/>
              </w:rPr>
            </w:pPr>
            <w:r>
              <w:rPr>
                <w:rFonts w:ascii="Calibri" w:hAnsi="Calibri"/>
                <w:color w:val="000000"/>
                <w:lang w:eastAsia="en-GB"/>
              </w:rPr>
              <w:t>0</w:t>
            </w:r>
          </w:p>
        </w:tc>
      </w:tr>
      <w:tr w:rsidR="005D2461" w:rsidRPr="005D2461" w14:paraId="04FB2080"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0AC42FC5"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Losses/</w:t>
            </w:r>
            <w:proofErr w:type="gramStart"/>
            <w:r w:rsidRPr="005D2461">
              <w:rPr>
                <w:rFonts w:ascii="Calibri" w:hAnsi="Calibri"/>
                <w:color w:val="000000"/>
                <w:lang w:eastAsia="en-GB"/>
              </w:rPr>
              <w:t>gains(</w:t>
            </w:r>
            <w:proofErr w:type="gramEnd"/>
            <w:r w:rsidRPr="005D2461">
              <w:rPr>
                <w:rFonts w:ascii="Calibri" w:hAnsi="Calibri"/>
                <w:color w:val="000000"/>
                <w:lang w:eastAsia="en-GB"/>
              </w:rPr>
              <w:t xml:space="preserve">-) on curtailments </w:t>
            </w:r>
          </w:p>
        </w:tc>
        <w:tc>
          <w:tcPr>
            <w:tcW w:w="1460" w:type="dxa"/>
            <w:tcBorders>
              <w:top w:val="nil"/>
              <w:left w:val="nil"/>
              <w:bottom w:val="single" w:sz="4" w:space="0" w:color="FFFFFF"/>
              <w:right w:val="single" w:sz="4" w:space="0" w:color="FFFFFF"/>
            </w:tcBorders>
            <w:shd w:val="clear" w:color="000000" w:fill="FDE9D9"/>
            <w:vAlign w:val="center"/>
            <w:hideMark/>
          </w:tcPr>
          <w:p w14:paraId="2369502A" w14:textId="77777777" w:rsidR="005D2461" w:rsidRPr="005D2461" w:rsidRDefault="005D2461" w:rsidP="005D2461">
            <w:pPr>
              <w:jc w:val="right"/>
              <w:rPr>
                <w:rFonts w:ascii="Calibri" w:hAnsi="Calibri"/>
                <w:color w:val="000000"/>
                <w:lang w:eastAsia="en-GB"/>
              </w:rPr>
            </w:pPr>
            <w:r w:rsidRPr="005D2461">
              <w:rPr>
                <w:rFonts w:ascii="Calibri" w:hAnsi="Calibri"/>
                <w:color w:val="000000"/>
                <w:lang w:eastAsia="en-GB"/>
              </w:rPr>
              <w:t>0</w:t>
            </w:r>
          </w:p>
        </w:tc>
        <w:tc>
          <w:tcPr>
            <w:tcW w:w="1600" w:type="dxa"/>
            <w:tcBorders>
              <w:top w:val="nil"/>
              <w:left w:val="nil"/>
              <w:bottom w:val="single" w:sz="4" w:space="0" w:color="FFFFFF"/>
              <w:right w:val="single" w:sz="4" w:space="0" w:color="FFFFFF"/>
            </w:tcBorders>
            <w:shd w:val="clear" w:color="000000" w:fill="FDE9D9"/>
            <w:vAlign w:val="center"/>
          </w:tcPr>
          <w:p w14:paraId="1A352C8F" w14:textId="55A7EFBB" w:rsidR="005D2461" w:rsidRPr="005D2461" w:rsidRDefault="001F5DF3" w:rsidP="005D2461">
            <w:pPr>
              <w:jc w:val="right"/>
              <w:rPr>
                <w:rFonts w:ascii="Calibri" w:hAnsi="Calibri"/>
                <w:color w:val="000000"/>
                <w:lang w:eastAsia="en-GB"/>
              </w:rPr>
            </w:pPr>
            <w:r>
              <w:rPr>
                <w:rFonts w:ascii="Calibri" w:hAnsi="Calibri"/>
                <w:color w:val="000000"/>
                <w:lang w:eastAsia="en-GB"/>
              </w:rPr>
              <w:t>0</w:t>
            </w:r>
          </w:p>
        </w:tc>
      </w:tr>
      <w:tr w:rsidR="005D2461" w:rsidRPr="005D2461" w14:paraId="6610ADD0"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311A8AF8" w14:textId="77777777" w:rsidR="005D2461" w:rsidRPr="005D2461" w:rsidRDefault="005D2461" w:rsidP="005D2461">
            <w:pPr>
              <w:jc w:val="both"/>
              <w:rPr>
                <w:rFonts w:ascii="Calibri" w:hAnsi="Calibri"/>
                <w:color w:val="000000"/>
                <w:lang w:eastAsia="en-GB"/>
              </w:rPr>
            </w:pPr>
            <w:r w:rsidRPr="005D2461">
              <w:rPr>
                <w:rFonts w:ascii="Calibri" w:hAnsi="Calibri"/>
                <w:color w:val="000000"/>
                <w:lang w:eastAsia="en-GB"/>
              </w:rPr>
              <w:t>Benefits paid</w:t>
            </w:r>
          </w:p>
        </w:tc>
        <w:tc>
          <w:tcPr>
            <w:tcW w:w="1460" w:type="dxa"/>
            <w:tcBorders>
              <w:top w:val="nil"/>
              <w:left w:val="nil"/>
              <w:bottom w:val="single" w:sz="4" w:space="0" w:color="FFFFFF"/>
              <w:right w:val="single" w:sz="4" w:space="0" w:color="FFFFFF"/>
            </w:tcBorders>
            <w:shd w:val="clear" w:color="000000" w:fill="FDE9D9"/>
            <w:vAlign w:val="center"/>
            <w:hideMark/>
          </w:tcPr>
          <w:p w14:paraId="625215F9" w14:textId="2A9D3F21" w:rsidR="005D2461" w:rsidRPr="005D2461" w:rsidRDefault="005D2461" w:rsidP="001715ED">
            <w:pPr>
              <w:jc w:val="right"/>
              <w:rPr>
                <w:rFonts w:ascii="Calibri" w:hAnsi="Calibri"/>
                <w:color w:val="000000"/>
                <w:lang w:eastAsia="en-GB"/>
              </w:rPr>
            </w:pPr>
            <w:r w:rsidRPr="005D2461">
              <w:rPr>
                <w:rFonts w:ascii="Calibri" w:hAnsi="Calibri"/>
                <w:color w:val="000000"/>
                <w:lang w:eastAsia="en-GB"/>
              </w:rPr>
              <w:t>-1</w:t>
            </w:r>
            <w:r w:rsidR="00895003">
              <w:rPr>
                <w:rFonts w:ascii="Calibri" w:hAnsi="Calibri"/>
                <w:color w:val="000000"/>
                <w:lang w:eastAsia="en-GB"/>
              </w:rPr>
              <w:t>,7</w:t>
            </w:r>
            <w:r w:rsidR="00C814BE">
              <w:rPr>
                <w:rFonts w:ascii="Calibri" w:hAnsi="Calibri"/>
                <w:color w:val="000000"/>
                <w:lang w:eastAsia="en-GB"/>
              </w:rPr>
              <w:t>03</w:t>
            </w:r>
          </w:p>
        </w:tc>
        <w:tc>
          <w:tcPr>
            <w:tcW w:w="1600" w:type="dxa"/>
            <w:tcBorders>
              <w:top w:val="nil"/>
              <w:left w:val="nil"/>
              <w:bottom w:val="single" w:sz="4" w:space="0" w:color="FFFFFF"/>
              <w:right w:val="single" w:sz="4" w:space="0" w:color="FFFFFF"/>
            </w:tcBorders>
            <w:shd w:val="clear" w:color="000000" w:fill="FDE9D9"/>
            <w:vAlign w:val="center"/>
          </w:tcPr>
          <w:p w14:paraId="0221CF0C" w14:textId="1C4F77CE" w:rsidR="005D2461" w:rsidRPr="005D2461" w:rsidRDefault="001F5DF3" w:rsidP="005D2461">
            <w:pPr>
              <w:jc w:val="right"/>
              <w:rPr>
                <w:rFonts w:ascii="Calibri" w:hAnsi="Calibri"/>
                <w:color w:val="000000"/>
                <w:lang w:eastAsia="en-GB"/>
              </w:rPr>
            </w:pPr>
            <w:r>
              <w:rPr>
                <w:rFonts w:ascii="Calibri" w:hAnsi="Calibri"/>
                <w:color w:val="000000"/>
                <w:lang w:eastAsia="en-GB"/>
              </w:rPr>
              <w:t>-1,708</w:t>
            </w:r>
          </w:p>
        </w:tc>
      </w:tr>
      <w:tr w:rsidR="005D2461" w:rsidRPr="005D2461" w14:paraId="04030820" w14:textId="77777777" w:rsidTr="00F07E4C">
        <w:trPr>
          <w:trHeight w:val="300"/>
        </w:trPr>
        <w:tc>
          <w:tcPr>
            <w:tcW w:w="6600" w:type="dxa"/>
            <w:tcBorders>
              <w:top w:val="nil"/>
              <w:left w:val="single" w:sz="4" w:space="0" w:color="FFFFFF"/>
              <w:bottom w:val="single" w:sz="4" w:space="0" w:color="FFFFFF"/>
              <w:right w:val="single" w:sz="4" w:space="0" w:color="FFFFFF"/>
            </w:tcBorders>
            <w:shd w:val="clear" w:color="000000" w:fill="FCD5B4"/>
            <w:vAlign w:val="center"/>
            <w:hideMark/>
          </w:tcPr>
          <w:p w14:paraId="28E8F615" w14:textId="77777777" w:rsidR="005D2461" w:rsidRPr="005D2461" w:rsidRDefault="005D2461" w:rsidP="005D2461">
            <w:pPr>
              <w:jc w:val="both"/>
              <w:rPr>
                <w:rFonts w:ascii="Calibri" w:hAnsi="Calibri"/>
                <w:b/>
                <w:bCs/>
                <w:color w:val="000000"/>
                <w:lang w:eastAsia="en-GB"/>
              </w:rPr>
            </w:pPr>
            <w:r w:rsidRPr="005D2461">
              <w:rPr>
                <w:rFonts w:ascii="Calibri" w:hAnsi="Calibri"/>
                <w:b/>
                <w:bCs/>
                <w:color w:val="000000"/>
                <w:lang w:eastAsia="en-GB"/>
              </w:rPr>
              <w:t xml:space="preserve">Closing balance </w:t>
            </w:r>
            <w:proofErr w:type="gramStart"/>
            <w:r w:rsidRPr="005D2461">
              <w:rPr>
                <w:rFonts w:ascii="Calibri" w:hAnsi="Calibri"/>
                <w:b/>
                <w:bCs/>
                <w:color w:val="000000"/>
                <w:lang w:eastAsia="en-GB"/>
              </w:rPr>
              <w:t>at</w:t>
            </w:r>
            <w:proofErr w:type="gramEnd"/>
            <w:r w:rsidRPr="005D2461">
              <w:rPr>
                <w:rFonts w:ascii="Calibri" w:hAnsi="Calibri"/>
                <w:b/>
                <w:bCs/>
                <w:color w:val="000000"/>
                <w:lang w:eastAsia="en-GB"/>
              </w:rPr>
              <w:t xml:space="preserve"> 31 March</w:t>
            </w:r>
          </w:p>
        </w:tc>
        <w:tc>
          <w:tcPr>
            <w:tcW w:w="1460" w:type="dxa"/>
            <w:tcBorders>
              <w:top w:val="nil"/>
              <w:left w:val="nil"/>
              <w:bottom w:val="single" w:sz="4" w:space="0" w:color="FFFFFF"/>
              <w:right w:val="single" w:sz="4" w:space="0" w:color="FFFFFF"/>
            </w:tcBorders>
            <w:shd w:val="clear" w:color="000000" w:fill="FCD5B4"/>
            <w:vAlign w:val="center"/>
            <w:hideMark/>
          </w:tcPr>
          <w:p w14:paraId="0C35553B" w14:textId="299B9FFD" w:rsidR="005D2461" w:rsidRPr="005D2461" w:rsidRDefault="00895003" w:rsidP="001715ED">
            <w:pPr>
              <w:jc w:val="right"/>
              <w:rPr>
                <w:rFonts w:ascii="Calibri" w:hAnsi="Calibri"/>
                <w:b/>
                <w:bCs/>
                <w:color w:val="000000"/>
                <w:lang w:eastAsia="en-GB"/>
              </w:rPr>
            </w:pPr>
            <w:r>
              <w:rPr>
                <w:rFonts w:ascii="Calibri" w:hAnsi="Calibri"/>
                <w:b/>
                <w:bCs/>
                <w:color w:val="000000"/>
                <w:lang w:eastAsia="en-GB"/>
              </w:rPr>
              <w:t>6</w:t>
            </w:r>
            <w:r w:rsidR="00C814BE">
              <w:rPr>
                <w:rFonts w:ascii="Calibri" w:hAnsi="Calibri"/>
                <w:b/>
                <w:bCs/>
                <w:color w:val="000000"/>
                <w:lang w:eastAsia="en-GB"/>
              </w:rPr>
              <w:t>7,209</w:t>
            </w:r>
          </w:p>
        </w:tc>
        <w:tc>
          <w:tcPr>
            <w:tcW w:w="1600" w:type="dxa"/>
            <w:tcBorders>
              <w:top w:val="nil"/>
              <w:left w:val="nil"/>
              <w:bottom w:val="single" w:sz="4" w:space="0" w:color="FFFFFF"/>
              <w:right w:val="single" w:sz="4" w:space="0" w:color="FFFFFF"/>
            </w:tcBorders>
            <w:shd w:val="clear" w:color="000000" w:fill="FCD5B4"/>
            <w:vAlign w:val="center"/>
          </w:tcPr>
          <w:p w14:paraId="7513647D" w14:textId="2EBCC09D" w:rsidR="005D2461" w:rsidRPr="005D2461" w:rsidRDefault="001F5DF3" w:rsidP="00847423">
            <w:pPr>
              <w:jc w:val="right"/>
              <w:rPr>
                <w:rFonts w:ascii="Calibri" w:hAnsi="Calibri"/>
                <w:b/>
                <w:bCs/>
                <w:color w:val="000000"/>
                <w:lang w:eastAsia="en-GB"/>
              </w:rPr>
            </w:pPr>
            <w:r>
              <w:rPr>
                <w:rFonts w:ascii="Calibri" w:hAnsi="Calibri"/>
                <w:b/>
                <w:bCs/>
                <w:color w:val="000000"/>
                <w:lang w:eastAsia="en-GB"/>
              </w:rPr>
              <w:t>47,887</w:t>
            </w:r>
          </w:p>
        </w:tc>
      </w:tr>
    </w:tbl>
    <w:p w14:paraId="58EFED46" w14:textId="77777777" w:rsidR="0061492C" w:rsidRDefault="0061492C" w:rsidP="008917BB">
      <w:pPr>
        <w:widowControl w:val="0"/>
        <w:tabs>
          <w:tab w:val="left" w:pos="1701"/>
          <w:tab w:val="left" w:pos="7200"/>
          <w:tab w:val="left" w:pos="8640"/>
        </w:tabs>
        <w:ind w:right="370"/>
        <w:jc w:val="both"/>
        <w:rPr>
          <w:rFonts w:asciiTheme="minorHAnsi" w:hAnsiTheme="minorHAnsi" w:cs="Arial"/>
          <w:b/>
          <w:sz w:val="24"/>
          <w:szCs w:val="24"/>
        </w:rPr>
      </w:pPr>
    </w:p>
    <w:p w14:paraId="5FD1C388" w14:textId="755F0280" w:rsidR="008917BB" w:rsidRPr="00955491" w:rsidRDefault="008917BB" w:rsidP="008917BB">
      <w:pPr>
        <w:widowControl w:val="0"/>
        <w:tabs>
          <w:tab w:val="left" w:pos="1701"/>
          <w:tab w:val="left" w:pos="7200"/>
          <w:tab w:val="left" w:pos="8640"/>
        </w:tabs>
        <w:ind w:right="370"/>
        <w:jc w:val="both"/>
        <w:rPr>
          <w:rFonts w:asciiTheme="minorHAnsi" w:hAnsiTheme="minorHAnsi" w:cs="Arial"/>
          <w:b/>
          <w:sz w:val="24"/>
          <w:szCs w:val="24"/>
        </w:rPr>
      </w:pPr>
      <w:r w:rsidRPr="00955491">
        <w:rPr>
          <w:rFonts w:asciiTheme="minorHAnsi" w:hAnsiTheme="minorHAnsi" w:cs="Arial"/>
          <w:b/>
          <w:sz w:val="24"/>
          <w:szCs w:val="24"/>
        </w:rPr>
        <w:lastRenderedPageBreak/>
        <w:t>Local Government Pension Scheme assets comprised:</w:t>
      </w:r>
    </w:p>
    <w:p w14:paraId="0D472AD3" w14:textId="77777777" w:rsidR="00955491" w:rsidRDefault="00955491" w:rsidP="008917BB">
      <w:pPr>
        <w:widowControl w:val="0"/>
        <w:tabs>
          <w:tab w:val="left" w:pos="1701"/>
          <w:tab w:val="left" w:pos="7200"/>
          <w:tab w:val="left" w:pos="8640"/>
        </w:tabs>
        <w:ind w:right="370"/>
        <w:jc w:val="both"/>
        <w:rPr>
          <w:rFonts w:ascii="Arial" w:hAnsi="Arial" w:cs="Arial"/>
          <w:b/>
        </w:rPr>
      </w:pPr>
    </w:p>
    <w:tbl>
      <w:tblPr>
        <w:tblW w:w="9800" w:type="dxa"/>
        <w:tblInd w:w="93" w:type="dxa"/>
        <w:tblLook w:val="04A0" w:firstRow="1" w:lastRow="0" w:firstColumn="1" w:lastColumn="0" w:noHBand="0" w:noVBand="1"/>
        <w:tblCaption w:val="Analysis of Local Government Pension Scheme Assets"/>
        <w:tblDescription w:val="Analysis of Local Government Pension Scheme Assets"/>
      </w:tblPr>
      <w:tblGrid>
        <w:gridCol w:w="3120"/>
        <w:gridCol w:w="1280"/>
        <w:gridCol w:w="1300"/>
        <w:gridCol w:w="820"/>
        <w:gridCol w:w="1240"/>
        <w:gridCol w:w="1240"/>
        <w:gridCol w:w="800"/>
      </w:tblGrid>
      <w:tr w:rsidR="00A05D84" w:rsidRPr="00A05D84" w14:paraId="5D285E08" w14:textId="77777777" w:rsidTr="00CD3384">
        <w:trPr>
          <w:cantSplit/>
          <w:trHeight w:val="300"/>
          <w:tblHeader/>
        </w:trPr>
        <w:tc>
          <w:tcPr>
            <w:tcW w:w="3120" w:type="dxa"/>
            <w:tcBorders>
              <w:top w:val="nil"/>
              <w:left w:val="nil"/>
              <w:bottom w:val="nil"/>
              <w:right w:val="nil"/>
            </w:tcBorders>
            <w:shd w:val="clear" w:color="000000" w:fill="FABF8F"/>
            <w:vAlign w:val="center"/>
            <w:hideMark/>
          </w:tcPr>
          <w:p w14:paraId="7E42A223"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 </w:t>
            </w:r>
          </w:p>
        </w:tc>
        <w:tc>
          <w:tcPr>
            <w:tcW w:w="3400" w:type="dxa"/>
            <w:gridSpan w:val="3"/>
            <w:tcBorders>
              <w:top w:val="nil"/>
              <w:left w:val="single" w:sz="4" w:space="0" w:color="FFFFFF"/>
              <w:bottom w:val="single" w:sz="4" w:space="0" w:color="FFFFFF"/>
              <w:right w:val="single" w:sz="4" w:space="0" w:color="FFFFFF"/>
            </w:tcBorders>
            <w:shd w:val="clear" w:color="000000" w:fill="FABF8F"/>
            <w:vAlign w:val="center"/>
            <w:hideMark/>
          </w:tcPr>
          <w:p w14:paraId="5D530F7A" w14:textId="3BE215B5" w:rsidR="00A05D84" w:rsidRPr="00A05D84" w:rsidRDefault="00A05D84" w:rsidP="00A639A9">
            <w:pPr>
              <w:jc w:val="center"/>
              <w:rPr>
                <w:rFonts w:ascii="Calibri" w:hAnsi="Calibri"/>
                <w:color w:val="000000"/>
                <w:lang w:eastAsia="en-GB"/>
              </w:rPr>
            </w:pPr>
            <w:r w:rsidRPr="00A05D84">
              <w:rPr>
                <w:rFonts w:ascii="Calibri" w:hAnsi="Calibri"/>
                <w:color w:val="000000"/>
                <w:lang w:eastAsia="en-GB"/>
              </w:rPr>
              <w:t>20</w:t>
            </w:r>
            <w:r w:rsidR="00895003">
              <w:rPr>
                <w:rFonts w:ascii="Calibri" w:hAnsi="Calibri"/>
                <w:color w:val="000000"/>
                <w:lang w:eastAsia="en-GB"/>
              </w:rPr>
              <w:t>2</w:t>
            </w:r>
            <w:r w:rsidR="00C814BE">
              <w:rPr>
                <w:rFonts w:ascii="Calibri" w:hAnsi="Calibri"/>
                <w:color w:val="000000"/>
                <w:lang w:eastAsia="en-GB"/>
              </w:rPr>
              <w:t>1</w:t>
            </w:r>
            <w:r w:rsidRPr="00A05D84">
              <w:rPr>
                <w:rFonts w:ascii="Calibri" w:hAnsi="Calibri"/>
                <w:color w:val="000000"/>
                <w:lang w:eastAsia="en-GB"/>
              </w:rPr>
              <w:t>-</w:t>
            </w:r>
            <w:r w:rsidR="00A639A9">
              <w:rPr>
                <w:rFonts w:ascii="Calibri" w:hAnsi="Calibri"/>
                <w:color w:val="000000"/>
                <w:lang w:eastAsia="en-GB"/>
              </w:rPr>
              <w:t>2</w:t>
            </w:r>
            <w:r w:rsidR="00C814BE">
              <w:rPr>
                <w:rFonts w:ascii="Calibri" w:hAnsi="Calibri"/>
                <w:color w:val="000000"/>
                <w:lang w:eastAsia="en-GB"/>
              </w:rPr>
              <w:t>2</w:t>
            </w:r>
          </w:p>
        </w:tc>
        <w:tc>
          <w:tcPr>
            <w:tcW w:w="3280" w:type="dxa"/>
            <w:gridSpan w:val="3"/>
            <w:tcBorders>
              <w:top w:val="single" w:sz="4" w:space="0" w:color="FFFFFF"/>
              <w:left w:val="nil"/>
              <w:bottom w:val="single" w:sz="4" w:space="0" w:color="FFFFFF"/>
              <w:right w:val="single" w:sz="4" w:space="0" w:color="FFFFFF"/>
            </w:tcBorders>
            <w:shd w:val="clear" w:color="000000" w:fill="FABF8F"/>
            <w:vAlign w:val="center"/>
            <w:hideMark/>
          </w:tcPr>
          <w:p w14:paraId="56859169" w14:textId="6823C8F9" w:rsidR="00A05D84" w:rsidRPr="00A05D84" w:rsidRDefault="00A05D84" w:rsidP="00A639A9">
            <w:pPr>
              <w:jc w:val="center"/>
              <w:rPr>
                <w:rFonts w:ascii="Calibri" w:hAnsi="Calibri"/>
                <w:color w:val="000000"/>
                <w:lang w:eastAsia="en-GB"/>
              </w:rPr>
            </w:pPr>
            <w:r w:rsidRPr="00A05D84">
              <w:rPr>
                <w:rFonts w:ascii="Calibri" w:hAnsi="Calibri"/>
                <w:color w:val="000000"/>
                <w:lang w:eastAsia="en-GB"/>
              </w:rPr>
              <w:t>20</w:t>
            </w:r>
            <w:r w:rsidR="00A639A9">
              <w:rPr>
                <w:rFonts w:ascii="Calibri" w:hAnsi="Calibri"/>
                <w:color w:val="000000"/>
                <w:lang w:eastAsia="en-GB"/>
              </w:rPr>
              <w:t>2</w:t>
            </w:r>
            <w:r w:rsidR="00C814BE">
              <w:rPr>
                <w:rFonts w:ascii="Calibri" w:hAnsi="Calibri"/>
                <w:color w:val="000000"/>
                <w:lang w:eastAsia="en-GB"/>
              </w:rPr>
              <w:t>2</w:t>
            </w:r>
            <w:r w:rsidRPr="00A05D84">
              <w:rPr>
                <w:rFonts w:ascii="Calibri" w:hAnsi="Calibri"/>
                <w:color w:val="000000"/>
                <w:lang w:eastAsia="en-GB"/>
              </w:rPr>
              <w:t>-</w:t>
            </w:r>
            <w:r w:rsidR="001223DF">
              <w:rPr>
                <w:rFonts w:ascii="Calibri" w:hAnsi="Calibri"/>
                <w:color w:val="000000"/>
                <w:lang w:eastAsia="en-GB"/>
              </w:rPr>
              <w:t>2</w:t>
            </w:r>
            <w:r w:rsidR="00C814BE">
              <w:rPr>
                <w:rFonts w:ascii="Calibri" w:hAnsi="Calibri"/>
                <w:color w:val="000000"/>
                <w:lang w:eastAsia="en-GB"/>
              </w:rPr>
              <w:t>3</w:t>
            </w:r>
          </w:p>
        </w:tc>
      </w:tr>
      <w:tr w:rsidR="00A05D84" w:rsidRPr="00A05D84" w14:paraId="364A17BD" w14:textId="77777777" w:rsidTr="00A05D84">
        <w:trPr>
          <w:trHeight w:val="840"/>
        </w:trPr>
        <w:tc>
          <w:tcPr>
            <w:tcW w:w="3120" w:type="dxa"/>
            <w:tcBorders>
              <w:top w:val="nil"/>
              <w:left w:val="nil"/>
              <w:bottom w:val="nil"/>
              <w:right w:val="nil"/>
            </w:tcBorders>
            <w:shd w:val="clear" w:color="000000" w:fill="FABF8F"/>
            <w:vAlign w:val="center"/>
            <w:hideMark/>
          </w:tcPr>
          <w:p w14:paraId="70AC4088"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 </w:t>
            </w:r>
          </w:p>
        </w:tc>
        <w:tc>
          <w:tcPr>
            <w:tcW w:w="1280" w:type="dxa"/>
            <w:tcBorders>
              <w:top w:val="nil"/>
              <w:left w:val="single" w:sz="4" w:space="0" w:color="FFFFFF"/>
              <w:bottom w:val="single" w:sz="4" w:space="0" w:color="FFFFFF"/>
              <w:right w:val="single" w:sz="4" w:space="0" w:color="FFFFFF"/>
            </w:tcBorders>
            <w:shd w:val="clear" w:color="000000" w:fill="FABF8F"/>
            <w:vAlign w:val="center"/>
            <w:hideMark/>
          </w:tcPr>
          <w:p w14:paraId="1B348344"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Quoted Prices in Active Markets</w:t>
            </w:r>
          </w:p>
        </w:tc>
        <w:tc>
          <w:tcPr>
            <w:tcW w:w="1300" w:type="dxa"/>
            <w:tcBorders>
              <w:top w:val="nil"/>
              <w:left w:val="nil"/>
              <w:bottom w:val="single" w:sz="4" w:space="0" w:color="FFFFFF"/>
              <w:right w:val="single" w:sz="4" w:space="0" w:color="FFFFFF"/>
            </w:tcBorders>
            <w:shd w:val="clear" w:color="000000" w:fill="FABF8F"/>
            <w:vAlign w:val="center"/>
            <w:hideMark/>
          </w:tcPr>
          <w:p w14:paraId="489C83DF"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Quoted Prices not in Active Markets</w:t>
            </w:r>
          </w:p>
        </w:tc>
        <w:tc>
          <w:tcPr>
            <w:tcW w:w="820" w:type="dxa"/>
            <w:tcBorders>
              <w:top w:val="nil"/>
              <w:left w:val="nil"/>
              <w:bottom w:val="single" w:sz="4" w:space="0" w:color="FFFFFF"/>
              <w:right w:val="single" w:sz="4" w:space="0" w:color="FFFFFF"/>
            </w:tcBorders>
            <w:shd w:val="clear" w:color="000000" w:fill="FABF8F"/>
            <w:vAlign w:val="center"/>
            <w:hideMark/>
          </w:tcPr>
          <w:p w14:paraId="377BD662"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Total</w:t>
            </w:r>
          </w:p>
        </w:tc>
        <w:tc>
          <w:tcPr>
            <w:tcW w:w="1240" w:type="dxa"/>
            <w:tcBorders>
              <w:top w:val="nil"/>
              <w:left w:val="nil"/>
              <w:bottom w:val="single" w:sz="4" w:space="0" w:color="FFFFFF"/>
              <w:right w:val="single" w:sz="4" w:space="0" w:color="FFFFFF"/>
            </w:tcBorders>
            <w:shd w:val="clear" w:color="000000" w:fill="FABF8F"/>
            <w:vAlign w:val="center"/>
            <w:hideMark/>
          </w:tcPr>
          <w:p w14:paraId="24DC354F"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Quoted Prices in Active Markets</w:t>
            </w:r>
          </w:p>
        </w:tc>
        <w:tc>
          <w:tcPr>
            <w:tcW w:w="1240" w:type="dxa"/>
            <w:tcBorders>
              <w:top w:val="nil"/>
              <w:left w:val="nil"/>
              <w:bottom w:val="single" w:sz="4" w:space="0" w:color="FFFFFF"/>
              <w:right w:val="single" w:sz="4" w:space="0" w:color="FFFFFF"/>
            </w:tcBorders>
            <w:shd w:val="clear" w:color="000000" w:fill="FABF8F"/>
            <w:vAlign w:val="center"/>
            <w:hideMark/>
          </w:tcPr>
          <w:p w14:paraId="2EF5EB05"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Quoted Prices not in Active Markets</w:t>
            </w:r>
          </w:p>
        </w:tc>
        <w:tc>
          <w:tcPr>
            <w:tcW w:w="800" w:type="dxa"/>
            <w:tcBorders>
              <w:top w:val="nil"/>
              <w:left w:val="nil"/>
              <w:bottom w:val="single" w:sz="4" w:space="0" w:color="FFFFFF"/>
              <w:right w:val="nil"/>
            </w:tcBorders>
            <w:shd w:val="clear" w:color="000000" w:fill="FABF8F"/>
            <w:vAlign w:val="center"/>
            <w:hideMark/>
          </w:tcPr>
          <w:p w14:paraId="2B45F80F" w14:textId="77777777" w:rsidR="00A05D84" w:rsidRPr="00A05D84" w:rsidRDefault="00A05D84" w:rsidP="00A05D84">
            <w:pPr>
              <w:jc w:val="center"/>
              <w:rPr>
                <w:rFonts w:ascii="Calibri" w:hAnsi="Calibri"/>
                <w:color w:val="000000"/>
                <w:lang w:eastAsia="en-GB"/>
              </w:rPr>
            </w:pPr>
            <w:r w:rsidRPr="00A05D84">
              <w:rPr>
                <w:rFonts w:ascii="Calibri" w:hAnsi="Calibri"/>
                <w:color w:val="000000"/>
                <w:lang w:eastAsia="en-GB"/>
              </w:rPr>
              <w:t>Total</w:t>
            </w:r>
          </w:p>
        </w:tc>
      </w:tr>
      <w:tr w:rsidR="00A05D84" w:rsidRPr="00A05D84" w14:paraId="51461AE7" w14:textId="77777777" w:rsidTr="00A05D84">
        <w:trPr>
          <w:trHeight w:val="255"/>
        </w:trPr>
        <w:tc>
          <w:tcPr>
            <w:tcW w:w="3120" w:type="dxa"/>
            <w:tcBorders>
              <w:top w:val="nil"/>
              <w:left w:val="nil"/>
              <w:bottom w:val="nil"/>
              <w:right w:val="nil"/>
            </w:tcBorders>
            <w:shd w:val="clear" w:color="000000" w:fill="FABF8F"/>
            <w:vAlign w:val="center"/>
            <w:hideMark/>
          </w:tcPr>
          <w:p w14:paraId="537D81A7"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 </w:t>
            </w:r>
          </w:p>
        </w:tc>
        <w:tc>
          <w:tcPr>
            <w:tcW w:w="1280" w:type="dxa"/>
            <w:tcBorders>
              <w:top w:val="nil"/>
              <w:left w:val="single" w:sz="4" w:space="0" w:color="FFFFFF"/>
              <w:bottom w:val="single" w:sz="4" w:space="0" w:color="FFFFFF"/>
              <w:right w:val="single" w:sz="4" w:space="0" w:color="FFFFFF"/>
            </w:tcBorders>
            <w:shd w:val="clear" w:color="000000" w:fill="FABF8F"/>
            <w:hideMark/>
          </w:tcPr>
          <w:p w14:paraId="10E3D543"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c>
          <w:tcPr>
            <w:tcW w:w="1300" w:type="dxa"/>
            <w:tcBorders>
              <w:top w:val="nil"/>
              <w:left w:val="nil"/>
              <w:bottom w:val="single" w:sz="4" w:space="0" w:color="FFFFFF"/>
              <w:right w:val="single" w:sz="4" w:space="0" w:color="FFFFFF"/>
            </w:tcBorders>
            <w:shd w:val="clear" w:color="000000" w:fill="FABF8F"/>
            <w:hideMark/>
          </w:tcPr>
          <w:p w14:paraId="0F792CE8"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c>
          <w:tcPr>
            <w:tcW w:w="820" w:type="dxa"/>
            <w:tcBorders>
              <w:top w:val="nil"/>
              <w:left w:val="nil"/>
              <w:bottom w:val="single" w:sz="4" w:space="0" w:color="FFFFFF"/>
              <w:right w:val="single" w:sz="4" w:space="0" w:color="FFFFFF"/>
            </w:tcBorders>
            <w:shd w:val="clear" w:color="000000" w:fill="FABF8F"/>
            <w:hideMark/>
          </w:tcPr>
          <w:p w14:paraId="36BC7149"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c>
          <w:tcPr>
            <w:tcW w:w="1240" w:type="dxa"/>
            <w:tcBorders>
              <w:top w:val="nil"/>
              <w:left w:val="nil"/>
              <w:bottom w:val="single" w:sz="4" w:space="0" w:color="FFFFFF"/>
              <w:right w:val="single" w:sz="4" w:space="0" w:color="FFFFFF"/>
            </w:tcBorders>
            <w:shd w:val="clear" w:color="000000" w:fill="FABF8F"/>
            <w:hideMark/>
          </w:tcPr>
          <w:p w14:paraId="7652CF6A"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c>
          <w:tcPr>
            <w:tcW w:w="1240" w:type="dxa"/>
            <w:tcBorders>
              <w:top w:val="nil"/>
              <w:left w:val="nil"/>
              <w:bottom w:val="single" w:sz="4" w:space="0" w:color="FFFFFF"/>
              <w:right w:val="single" w:sz="4" w:space="0" w:color="FFFFFF"/>
            </w:tcBorders>
            <w:shd w:val="clear" w:color="000000" w:fill="FABF8F"/>
            <w:hideMark/>
          </w:tcPr>
          <w:p w14:paraId="61EC03CD"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c>
          <w:tcPr>
            <w:tcW w:w="800" w:type="dxa"/>
            <w:tcBorders>
              <w:top w:val="nil"/>
              <w:left w:val="nil"/>
              <w:bottom w:val="single" w:sz="4" w:space="0" w:color="FFFFFF"/>
              <w:right w:val="single" w:sz="4" w:space="0" w:color="FFFFFF"/>
            </w:tcBorders>
            <w:shd w:val="clear" w:color="000000" w:fill="FABF8F"/>
            <w:hideMark/>
          </w:tcPr>
          <w:p w14:paraId="365AB7B3"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£’000</w:t>
            </w:r>
          </w:p>
        </w:tc>
      </w:tr>
      <w:tr w:rsidR="00A05D84" w:rsidRPr="00A05D84" w14:paraId="6BB66CD6" w14:textId="77777777" w:rsidTr="00A05D84">
        <w:trPr>
          <w:trHeight w:val="300"/>
        </w:trPr>
        <w:tc>
          <w:tcPr>
            <w:tcW w:w="3120" w:type="dxa"/>
            <w:tcBorders>
              <w:top w:val="nil"/>
              <w:left w:val="nil"/>
              <w:bottom w:val="nil"/>
              <w:right w:val="nil"/>
            </w:tcBorders>
            <w:shd w:val="clear" w:color="000000" w:fill="FDE9D9"/>
            <w:vAlign w:val="center"/>
            <w:hideMark/>
          </w:tcPr>
          <w:p w14:paraId="0982F7B3"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Equity Securities</w:t>
            </w:r>
          </w:p>
        </w:tc>
        <w:tc>
          <w:tcPr>
            <w:tcW w:w="1280" w:type="dxa"/>
            <w:tcBorders>
              <w:top w:val="nil"/>
              <w:left w:val="nil"/>
              <w:bottom w:val="nil"/>
              <w:right w:val="nil"/>
            </w:tcBorders>
            <w:shd w:val="clear" w:color="000000" w:fill="FDE9D9"/>
            <w:vAlign w:val="center"/>
            <w:hideMark/>
          </w:tcPr>
          <w:p w14:paraId="00653119"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45193FDC"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74B3A21A" w14:textId="77777777" w:rsidR="00A05D84" w:rsidRPr="00A05D84" w:rsidRDefault="00A05D84" w:rsidP="00A05D84">
            <w:pPr>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hideMark/>
          </w:tcPr>
          <w:p w14:paraId="2A5EBD1A" w14:textId="77777777" w:rsidR="00A05D84" w:rsidRPr="00A05D84" w:rsidRDefault="00A05D84" w:rsidP="00A05D84">
            <w:pPr>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hideMark/>
          </w:tcPr>
          <w:p w14:paraId="0F895974" w14:textId="77777777" w:rsidR="00A05D84" w:rsidRPr="00A05D84" w:rsidRDefault="00A05D84" w:rsidP="00A05D84">
            <w:pPr>
              <w:rPr>
                <w:rFonts w:ascii="Calibri" w:hAnsi="Calibri"/>
                <w:color w:val="000000"/>
                <w:lang w:eastAsia="en-GB"/>
              </w:rPr>
            </w:pPr>
            <w:r w:rsidRPr="00A05D84">
              <w:rPr>
                <w:rFonts w:ascii="Calibri" w:hAnsi="Calibri"/>
                <w:color w:val="000000"/>
                <w:lang w:eastAsia="en-GB"/>
              </w:rPr>
              <w:t> </w:t>
            </w:r>
          </w:p>
        </w:tc>
        <w:tc>
          <w:tcPr>
            <w:tcW w:w="800" w:type="dxa"/>
            <w:tcBorders>
              <w:top w:val="nil"/>
              <w:left w:val="nil"/>
              <w:bottom w:val="nil"/>
              <w:right w:val="nil"/>
            </w:tcBorders>
            <w:shd w:val="clear" w:color="000000" w:fill="FDE9D9"/>
            <w:vAlign w:val="center"/>
            <w:hideMark/>
          </w:tcPr>
          <w:p w14:paraId="233963CD"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r>
      <w:tr w:rsidR="0082116A" w:rsidRPr="00A05D84" w14:paraId="7608B39B"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507A44E1" w14:textId="77777777" w:rsidR="0082116A" w:rsidRPr="00A05D84" w:rsidRDefault="0082116A" w:rsidP="00A05D84">
            <w:pPr>
              <w:jc w:val="both"/>
              <w:rPr>
                <w:rFonts w:ascii="Calibri" w:hAnsi="Calibri"/>
                <w:color w:val="000000"/>
                <w:lang w:eastAsia="en-GB"/>
              </w:rPr>
            </w:pPr>
            <w:r>
              <w:rPr>
                <w:rFonts w:ascii="Calibri" w:hAnsi="Calibri"/>
                <w:color w:val="000000"/>
                <w:lang w:eastAsia="en-GB"/>
              </w:rPr>
              <w:t>Consumer</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7DB13E61" w14:textId="46D40DDF" w:rsidR="0082116A" w:rsidRDefault="00C814BE" w:rsidP="001715ED">
            <w:pPr>
              <w:jc w:val="right"/>
              <w:rPr>
                <w:rFonts w:ascii="Calibri" w:hAnsi="Calibri"/>
                <w:color w:val="000000"/>
                <w:lang w:eastAsia="en-GB"/>
              </w:rPr>
            </w:pPr>
            <w:r>
              <w:rPr>
                <w:rFonts w:ascii="Calibri" w:hAnsi="Calibri"/>
                <w:color w:val="000000"/>
                <w:lang w:eastAsia="en-GB"/>
              </w:rPr>
              <w:t>54</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13B31CDB"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5966BCB9" w14:textId="3E3F7696" w:rsidR="0082116A" w:rsidRDefault="00C814BE" w:rsidP="008F2603">
            <w:pPr>
              <w:jc w:val="right"/>
              <w:rPr>
                <w:rFonts w:ascii="Calibri" w:hAnsi="Calibri"/>
                <w:color w:val="000000"/>
                <w:lang w:eastAsia="en-GB"/>
              </w:rPr>
            </w:pPr>
            <w:r>
              <w:rPr>
                <w:rFonts w:ascii="Calibri" w:hAnsi="Calibri"/>
                <w:color w:val="000000"/>
                <w:lang w:eastAsia="en-GB"/>
              </w:rPr>
              <w:t>54</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5562E3C4" w14:textId="18ACE189" w:rsidR="0082116A" w:rsidRPr="00A05D84" w:rsidRDefault="00656FAE" w:rsidP="00A05D84">
            <w:pPr>
              <w:jc w:val="right"/>
              <w:rPr>
                <w:rFonts w:ascii="Calibri" w:hAnsi="Calibri"/>
                <w:color w:val="000000"/>
                <w:lang w:eastAsia="en-GB"/>
              </w:rPr>
            </w:pPr>
            <w:r>
              <w:rPr>
                <w:rFonts w:ascii="Calibri" w:hAnsi="Calibri"/>
                <w:color w:val="000000"/>
                <w:lang w:eastAsia="en-GB"/>
              </w:rPr>
              <w:t>53</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4DC8B8E2" w14:textId="3B54FA92"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28699869" w14:textId="7359CBF2" w:rsidR="0082116A" w:rsidRPr="00A05D84" w:rsidRDefault="00656FAE" w:rsidP="00A05D84">
            <w:pPr>
              <w:jc w:val="right"/>
              <w:rPr>
                <w:rFonts w:ascii="Calibri" w:hAnsi="Calibri"/>
                <w:color w:val="000000"/>
                <w:lang w:eastAsia="en-GB"/>
              </w:rPr>
            </w:pPr>
            <w:r>
              <w:rPr>
                <w:rFonts w:ascii="Calibri" w:hAnsi="Calibri"/>
                <w:color w:val="000000"/>
                <w:lang w:eastAsia="en-GB"/>
              </w:rPr>
              <w:t>53</w:t>
            </w:r>
          </w:p>
        </w:tc>
      </w:tr>
      <w:tr w:rsidR="0082116A" w:rsidRPr="00A05D84" w14:paraId="3BAC261F"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46DF3BBE" w14:textId="77777777" w:rsidR="0082116A" w:rsidRPr="00A05D84" w:rsidRDefault="0082116A" w:rsidP="00A05D84">
            <w:pPr>
              <w:jc w:val="both"/>
              <w:rPr>
                <w:rFonts w:ascii="Calibri" w:hAnsi="Calibri"/>
                <w:color w:val="000000"/>
                <w:lang w:eastAsia="en-GB"/>
              </w:rPr>
            </w:pPr>
            <w:r>
              <w:rPr>
                <w:rFonts w:ascii="Calibri" w:hAnsi="Calibri"/>
                <w:color w:val="000000"/>
                <w:lang w:eastAsia="en-GB"/>
              </w:rPr>
              <w:t>Manufacturing</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7D03BA5E" w14:textId="02BD0B8B" w:rsidR="0082116A" w:rsidRDefault="00C814BE" w:rsidP="001715ED">
            <w:pPr>
              <w:jc w:val="right"/>
              <w:rPr>
                <w:rFonts w:ascii="Calibri" w:hAnsi="Calibri"/>
                <w:color w:val="000000"/>
                <w:lang w:eastAsia="en-GB"/>
              </w:rPr>
            </w:pPr>
            <w:r>
              <w:rPr>
                <w:rFonts w:ascii="Calibri" w:hAnsi="Calibri"/>
                <w:color w:val="000000"/>
                <w:lang w:eastAsia="en-GB"/>
              </w:rPr>
              <w:t>7</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131199E5"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25498F7B" w14:textId="3FF453C2" w:rsidR="0082116A" w:rsidRDefault="00C814BE" w:rsidP="001715ED">
            <w:pPr>
              <w:jc w:val="right"/>
              <w:rPr>
                <w:rFonts w:ascii="Calibri" w:hAnsi="Calibri"/>
                <w:color w:val="000000"/>
                <w:lang w:eastAsia="en-GB"/>
              </w:rPr>
            </w:pPr>
            <w:r>
              <w:rPr>
                <w:rFonts w:ascii="Calibri" w:hAnsi="Calibri"/>
                <w:color w:val="000000"/>
                <w:lang w:eastAsia="en-GB"/>
              </w:rPr>
              <w:t>7</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12121862" w14:textId="6A9D2C43" w:rsidR="0082116A" w:rsidRPr="00A05D84" w:rsidRDefault="00BA26A3" w:rsidP="00A05D84">
            <w:pPr>
              <w:jc w:val="right"/>
              <w:rPr>
                <w:rFonts w:ascii="Calibri" w:hAnsi="Calibri"/>
                <w:color w:val="000000"/>
                <w:lang w:eastAsia="en-GB"/>
              </w:rPr>
            </w:pPr>
            <w:r>
              <w:rPr>
                <w:rFonts w:ascii="Calibri" w:hAnsi="Calibri"/>
                <w:color w:val="000000"/>
                <w:lang w:eastAsia="en-GB"/>
              </w:rPr>
              <w:t>6</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5B3E3201" w14:textId="03572515"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7C11385C" w14:textId="706CD957" w:rsidR="0082116A" w:rsidRPr="00A05D84" w:rsidRDefault="00BA26A3" w:rsidP="00A05D84">
            <w:pPr>
              <w:jc w:val="right"/>
              <w:rPr>
                <w:rFonts w:ascii="Calibri" w:hAnsi="Calibri"/>
                <w:color w:val="000000"/>
                <w:lang w:eastAsia="en-GB"/>
              </w:rPr>
            </w:pPr>
            <w:r>
              <w:rPr>
                <w:rFonts w:ascii="Calibri" w:hAnsi="Calibri"/>
                <w:color w:val="000000"/>
                <w:lang w:eastAsia="en-GB"/>
              </w:rPr>
              <w:t>6</w:t>
            </w:r>
          </w:p>
        </w:tc>
      </w:tr>
      <w:tr w:rsidR="0082116A" w:rsidRPr="00A05D84" w14:paraId="432632A9"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563F411C" w14:textId="34EC57D8" w:rsidR="0082116A" w:rsidRPr="00A05D84" w:rsidRDefault="0082116A" w:rsidP="00A05D84">
            <w:pPr>
              <w:jc w:val="both"/>
              <w:rPr>
                <w:rFonts w:ascii="Calibri" w:hAnsi="Calibri"/>
                <w:color w:val="000000"/>
                <w:lang w:eastAsia="en-GB"/>
              </w:rPr>
            </w:pPr>
            <w:r>
              <w:rPr>
                <w:rFonts w:ascii="Calibri" w:hAnsi="Calibri"/>
                <w:color w:val="000000"/>
                <w:lang w:eastAsia="en-GB"/>
              </w:rPr>
              <w:t xml:space="preserve">Energy </w:t>
            </w:r>
            <w:r w:rsidR="00704A70">
              <w:rPr>
                <w:rFonts w:ascii="Calibri" w:hAnsi="Calibri"/>
                <w:color w:val="000000"/>
                <w:lang w:eastAsia="en-GB"/>
              </w:rPr>
              <w:t>and</w:t>
            </w:r>
            <w:r>
              <w:rPr>
                <w:rFonts w:ascii="Calibri" w:hAnsi="Calibri"/>
                <w:color w:val="000000"/>
                <w:lang w:eastAsia="en-GB"/>
              </w:rPr>
              <w:t xml:space="preserve"> Utilities</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53B1C4CF" w14:textId="0DFD6FC7" w:rsidR="0082116A" w:rsidRDefault="00C814BE" w:rsidP="001715ED">
            <w:pPr>
              <w:jc w:val="right"/>
              <w:rPr>
                <w:rFonts w:ascii="Calibri" w:hAnsi="Calibri"/>
                <w:color w:val="000000"/>
                <w:lang w:eastAsia="en-GB"/>
              </w:rPr>
            </w:pPr>
            <w:r>
              <w:rPr>
                <w:rFonts w:ascii="Calibri" w:hAnsi="Calibri"/>
                <w:color w:val="000000"/>
                <w:lang w:eastAsia="en-GB"/>
              </w:rPr>
              <w:t>67</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65D819C8"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2E61ECAB" w14:textId="3BBC6F77" w:rsidR="0082116A" w:rsidRDefault="00C814BE" w:rsidP="001715ED">
            <w:pPr>
              <w:jc w:val="right"/>
              <w:rPr>
                <w:rFonts w:ascii="Calibri" w:hAnsi="Calibri"/>
                <w:color w:val="000000"/>
                <w:lang w:eastAsia="en-GB"/>
              </w:rPr>
            </w:pPr>
            <w:r>
              <w:rPr>
                <w:rFonts w:ascii="Calibri" w:hAnsi="Calibri"/>
                <w:color w:val="000000"/>
                <w:lang w:eastAsia="en-GB"/>
              </w:rPr>
              <w:t>67</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7DC11BE2" w14:textId="1AF9F916" w:rsidR="0082116A" w:rsidRPr="00A05D84" w:rsidRDefault="00656FAE" w:rsidP="00A05D84">
            <w:pPr>
              <w:jc w:val="right"/>
              <w:rPr>
                <w:rFonts w:ascii="Calibri" w:hAnsi="Calibri"/>
                <w:color w:val="000000"/>
                <w:lang w:eastAsia="en-GB"/>
              </w:rPr>
            </w:pPr>
            <w:r>
              <w:rPr>
                <w:rFonts w:ascii="Calibri" w:hAnsi="Calibri"/>
                <w:color w:val="000000"/>
                <w:lang w:eastAsia="en-GB"/>
              </w:rPr>
              <w:t>66</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74579D0B" w14:textId="02D57106"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60309738" w14:textId="134A9021" w:rsidR="0082116A" w:rsidRPr="00A05D84" w:rsidRDefault="00656FAE" w:rsidP="00A05D84">
            <w:pPr>
              <w:jc w:val="right"/>
              <w:rPr>
                <w:rFonts w:ascii="Calibri" w:hAnsi="Calibri"/>
                <w:color w:val="000000"/>
                <w:lang w:eastAsia="en-GB"/>
              </w:rPr>
            </w:pPr>
            <w:r>
              <w:rPr>
                <w:rFonts w:ascii="Calibri" w:hAnsi="Calibri"/>
                <w:color w:val="000000"/>
                <w:lang w:eastAsia="en-GB"/>
              </w:rPr>
              <w:t>66</w:t>
            </w:r>
          </w:p>
        </w:tc>
      </w:tr>
      <w:tr w:rsidR="0082116A" w:rsidRPr="00A05D84" w14:paraId="1BF8763F"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2B7245C7" w14:textId="77777777" w:rsidR="0082116A" w:rsidRPr="00A05D84" w:rsidRDefault="0082116A" w:rsidP="00A05D84">
            <w:pPr>
              <w:jc w:val="both"/>
              <w:rPr>
                <w:rFonts w:ascii="Calibri" w:hAnsi="Calibri"/>
                <w:color w:val="000000"/>
                <w:lang w:eastAsia="en-GB"/>
              </w:rPr>
            </w:pPr>
            <w:r>
              <w:rPr>
                <w:rFonts w:ascii="Calibri" w:hAnsi="Calibri"/>
                <w:color w:val="000000"/>
                <w:lang w:eastAsia="en-GB"/>
              </w:rPr>
              <w:t>Financial Institutions</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59EBA89A" w14:textId="16F5AB6F" w:rsidR="0082116A" w:rsidRDefault="00C814BE" w:rsidP="001715ED">
            <w:pPr>
              <w:jc w:val="right"/>
              <w:rPr>
                <w:rFonts w:ascii="Calibri" w:hAnsi="Calibri"/>
                <w:color w:val="000000"/>
                <w:lang w:eastAsia="en-GB"/>
              </w:rPr>
            </w:pPr>
            <w:r>
              <w:rPr>
                <w:rFonts w:ascii="Calibri" w:hAnsi="Calibri"/>
                <w:color w:val="000000"/>
                <w:lang w:eastAsia="en-GB"/>
              </w:rPr>
              <w:t>94</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40AFF675"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398ED087" w14:textId="3830DEEE" w:rsidR="0082116A" w:rsidRDefault="00C814BE" w:rsidP="001715ED">
            <w:pPr>
              <w:jc w:val="right"/>
              <w:rPr>
                <w:rFonts w:ascii="Calibri" w:hAnsi="Calibri"/>
                <w:color w:val="000000"/>
                <w:lang w:eastAsia="en-GB"/>
              </w:rPr>
            </w:pPr>
            <w:r>
              <w:rPr>
                <w:rFonts w:ascii="Calibri" w:hAnsi="Calibri"/>
                <w:color w:val="000000"/>
                <w:lang w:eastAsia="en-GB"/>
              </w:rPr>
              <w:t>94</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36E2A5B5" w14:textId="300071FE" w:rsidR="0082116A" w:rsidRPr="00A05D84" w:rsidRDefault="00656FAE" w:rsidP="00A05D84">
            <w:pPr>
              <w:jc w:val="right"/>
              <w:rPr>
                <w:rFonts w:ascii="Calibri" w:hAnsi="Calibri"/>
                <w:color w:val="000000"/>
                <w:lang w:eastAsia="en-GB"/>
              </w:rPr>
            </w:pPr>
            <w:r>
              <w:rPr>
                <w:rFonts w:ascii="Calibri" w:hAnsi="Calibri"/>
                <w:color w:val="000000"/>
                <w:lang w:eastAsia="en-GB"/>
              </w:rPr>
              <w:t>92</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2FFBE25A" w14:textId="1C21DED7"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6D27691D" w14:textId="5E74F711" w:rsidR="0082116A" w:rsidRPr="00A05D84" w:rsidRDefault="00656FAE" w:rsidP="00A05D84">
            <w:pPr>
              <w:jc w:val="right"/>
              <w:rPr>
                <w:rFonts w:ascii="Calibri" w:hAnsi="Calibri"/>
                <w:color w:val="000000"/>
                <w:lang w:eastAsia="en-GB"/>
              </w:rPr>
            </w:pPr>
            <w:r>
              <w:rPr>
                <w:rFonts w:ascii="Calibri" w:hAnsi="Calibri"/>
                <w:color w:val="000000"/>
                <w:lang w:eastAsia="en-GB"/>
              </w:rPr>
              <w:t>92</w:t>
            </w:r>
          </w:p>
        </w:tc>
      </w:tr>
      <w:tr w:rsidR="0082116A" w:rsidRPr="00A05D84" w14:paraId="0FE9F93F"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25DD1A57" w14:textId="24144A33" w:rsidR="0082116A" w:rsidRPr="00A05D84" w:rsidRDefault="0082116A" w:rsidP="00A05D84">
            <w:pPr>
              <w:jc w:val="both"/>
              <w:rPr>
                <w:rFonts w:ascii="Calibri" w:hAnsi="Calibri"/>
                <w:color w:val="000000"/>
                <w:lang w:eastAsia="en-GB"/>
              </w:rPr>
            </w:pPr>
            <w:r>
              <w:rPr>
                <w:rFonts w:ascii="Calibri" w:hAnsi="Calibri"/>
                <w:color w:val="000000"/>
                <w:lang w:eastAsia="en-GB"/>
              </w:rPr>
              <w:t xml:space="preserve">Health </w:t>
            </w:r>
            <w:r w:rsidR="00704A70">
              <w:rPr>
                <w:rFonts w:ascii="Calibri" w:hAnsi="Calibri"/>
                <w:color w:val="000000"/>
                <w:lang w:eastAsia="en-GB"/>
              </w:rPr>
              <w:t>and</w:t>
            </w:r>
            <w:r>
              <w:rPr>
                <w:rFonts w:ascii="Calibri" w:hAnsi="Calibri"/>
                <w:color w:val="000000"/>
                <w:lang w:eastAsia="en-GB"/>
              </w:rPr>
              <w:t xml:space="preserve"> Care</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2E485213" w14:textId="4A2952EE" w:rsidR="0082116A" w:rsidRDefault="00895003" w:rsidP="001715ED">
            <w:pPr>
              <w:jc w:val="right"/>
              <w:rPr>
                <w:rFonts w:ascii="Calibri" w:hAnsi="Calibri"/>
                <w:color w:val="000000"/>
                <w:lang w:eastAsia="en-GB"/>
              </w:rPr>
            </w:pPr>
            <w:r>
              <w:rPr>
                <w:rFonts w:ascii="Calibri" w:hAnsi="Calibri"/>
                <w:color w:val="000000"/>
                <w:lang w:eastAsia="en-GB"/>
              </w:rPr>
              <w:t>3</w:t>
            </w:r>
            <w:r w:rsidR="00C814BE">
              <w:rPr>
                <w:rFonts w:ascii="Calibri" w:hAnsi="Calibri"/>
                <w:color w:val="000000"/>
                <w:lang w:eastAsia="en-GB"/>
              </w:rPr>
              <w:t>8</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27816DE8"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2B62304E" w14:textId="20547581" w:rsidR="0082116A" w:rsidRDefault="00C814BE" w:rsidP="001715ED">
            <w:pPr>
              <w:jc w:val="right"/>
              <w:rPr>
                <w:rFonts w:ascii="Calibri" w:hAnsi="Calibri"/>
                <w:color w:val="000000"/>
                <w:lang w:eastAsia="en-GB"/>
              </w:rPr>
            </w:pPr>
            <w:r>
              <w:rPr>
                <w:rFonts w:ascii="Calibri" w:hAnsi="Calibri"/>
                <w:color w:val="000000"/>
                <w:lang w:eastAsia="en-GB"/>
              </w:rPr>
              <w:t>38</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70E3DDB3" w14:textId="090B24D3" w:rsidR="00D16F2E" w:rsidRPr="00A05D84" w:rsidRDefault="00656FAE" w:rsidP="00D16F2E">
            <w:pPr>
              <w:jc w:val="right"/>
              <w:rPr>
                <w:rFonts w:ascii="Calibri" w:hAnsi="Calibri"/>
                <w:color w:val="000000"/>
                <w:lang w:eastAsia="en-GB"/>
              </w:rPr>
            </w:pPr>
            <w:r>
              <w:rPr>
                <w:rFonts w:ascii="Calibri" w:hAnsi="Calibri"/>
                <w:color w:val="000000"/>
                <w:lang w:eastAsia="en-GB"/>
              </w:rPr>
              <w:t>37</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70BD1329" w14:textId="0B90592B"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209504E8" w14:textId="57A48AB3" w:rsidR="0082116A" w:rsidRPr="00A05D84" w:rsidRDefault="00656FAE" w:rsidP="00A05D84">
            <w:pPr>
              <w:jc w:val="right"/>
              <w:rPr>
                <w:rFonts w:ascii="Calibri" w:hAnsi="Calibri"/>
                <w:color w:val="000000"/>
                <w:lang w:eastAsia="en-GB"/>
              </w:rPr>
            </w:pPr>
            <w:r>
              <w:rPr>
                <w:rFonts w:ascii="Calibri" w:hAnsi="Calibri"/>
                <w:color w:val="000000"/>
                <w:lang w:eastAsia="en-GB"/>
              </w:rPr>
              <w:t>37</w:t>
            </w:r>
          </w:p>
        </w:tc>
      </w:tr>
      <w:tr w:rsidR="0082116A" w:rsidRPr="00A05D84" w14:paraId="416420D3"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tcPr>
          <w:p w14:paraId="1E0BABDF" w14:textId="77777777" w:rsidR="0082116A" w:rsidRPr="00A05D84" w:rsidRDefault="0082116A" w:rsidP="00A05D84">
            <w:pPr>
              <w:jc w:val="both"/>
              <w:rPr>
                <w:rFonts w:ascii="Calibri" w:hAnsi="Calibri"/>
                <w:color w:val="000000"/>
                <w:lang w:eastAsia="en-GB"/>
              </w:rPr>
            </w:pPr>
            <w:r>
              <w:rPr>
                <w:rFonts w:ascii="Calibri" w:hAnsi="Calibri"/>
                <w:color w:val="000000"/>
                <w:lang w:eastAsia="en-GB"/>
              </w:rPr>
              <w:t>Information Technology</w:t>
            </w:r>
          </w:p>
        </w:tc>
        <w:tc>
          <w:tcPr>
            <w:tcW w:w="1280" w:type="dxa"/>
            <w:tcBorders>
              <w:top w:val="single" w:sz="4" w:space="0" w:color="FFFFFF"/>
              <w:left w:val="nil"/>
              <w:bottom w:val="single" w:sz="4" w:space="0" w:color="FFFFFF"/>
              <w:right w:val="single" w:sz="4" w:space="0" w:color="FFFFFF"/>
            </w:tcBorders>
            <w:shd w:val="clear" w:color="000000" w:fill="FDE9D9"/>
            <w:vAlign w:val="center"/>
          </w:tcPr>
          <w:p w14:paraId="40CD5684" w14:textId="1A02F741" w:rsidR="0082116A" w:rsidRDefault="00C814BE" w:rsidP="001715ED">
            <w:pPr>
              <w:jc w:val="right"/>
              <w:rPr>
                <w:rFonts w:ascii="Calibri" w:hAnsi="Calibri"/>
                <w:color w:val="000000"/>
                <w:lang w:eastAsia="en-GB"/>
              </w:rPr>
            </w:pPr>
            <w:r>
              <w:rPr>
                <w:rFonts w:ascii="Calibri" w:hAnsi="Calibri"/>
                <w:color w:val="000000"/>
                <w:lang w:eastAsia="en-GB"/>
              </w:rPr>
              <w:t>20</w:t>
            </w:r>
          </w:p>
        </w:tc>
        <w:tc>
          <w:tcPr>
            <w:tcW w:w="1300" w:type="dxa"/>
            <w:tcBorders>
              <w:top w:val="single" w:sz="4" w:space="0" w:color="FFFFFF"/>
              <w:left w:val="nil"/>
              <w:bottom w:val="single" w:sz="4" w:space="0" w:color="FFFFFF"/>
              <w:right w:val="single" w:sz="4" w:space="0" w:color="FFFFFF"/>
            </w:tcBorders>
            <w:shd w:val="clear" w:color="000000" w:fill="FDE9D9"/>
            <w:vAlign w:val="center"/>
          </w:tcPr>
          <w:p w14:paraId="207CCAE4" w14:textId="77777777" w:rsidR="0082116A" w:rsidRPr="00A05D84" w:rsidRDefault="0082116A" w:rsidP="00A05D84">
            <w:pPr>
              <w:jc w:val="right"/>
              <w:rPr>
                <w:rFonts w:ascii="Calibri" w:hAnsi="Calibri"/>
                <w:color w:val="000000"/>
                <w:lang w:eastAsia="en-GB"/>
              </w:rPr>
            </w:pPr>
            <w:r>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tcPr>
          <w:p w14:paraId="6E80447F" w14:textId="1AA35E44" w:rsidR="0082116A" w:rsidRDefault="00C814BE" w:rsidP="001715ED">
            <w:pPr>
              <w:jc w:val="right"/>
              <w:rPr>
                <w:rFonts w:ascii="Calibri" w:hAnsi="Calibri"/>
                <w:color w:val="000000"/>
                <w:lang w:eastAsia="en-GB"/>
              </w:rPr>
            </w:pPr>
            <w:r>
              <w:rPr>
                <w:rFonts w:ascii="Calibri" w:hAnsi="Calibri"/>
                <w:color w:val="000000"/>
                <w:lang w:eastAsia="en-GB"/>
              </w:rPr>
              <w:t>20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49D0BAC4" w14:textId="1C3D6BCE" w:rsidR="0082116A" w:rsidRPr="00A05D84" w:rsidRDefault="00656FAE" w:rsidP="00076B7B">
            <w:pPr>
              <w:jc w:val="right"/>
              <w:rPr>
                <w:rFonts w:ascii="Calibri" w:hAnsi="Calibri"/>
                <w:color w:val="000000"/>
                <w:lang w:eastAsia="en-GB"/>
              </w:rPr>
            </w:pPr>
            <w:r>
              <w:rPr>
                <w:rFonts w:ascii="Calibri" w:hAnsi="Calibri"/>
                <w:color w:val="000000"/>
                <w:lang w:eastAsia="en-GB"/>
              </w:rPr>
              <w:t>19</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6799CA24" w14:textId="7B5D86BD" w:rsidR="0082116A"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11ECB839" w14:textId="7C34E16A" w:rsidR="0082116A" w:rsidRPr="00A05D84" w:rsidRDefault="00656FAE" w:rsidP="00A05D84">
            <w:pPr>
              <w:jc w:val="right"/>
              <w:rPr>
                <w:rFonts w:ascii="Calibri" w:hAnsi="Calibri"/>
                <w:color w:val="000000"/>
                <w:lang w:eastAsia="en-GB"/>
              </w:rPr>
            </w:pPr>
            <w:r>
              <w:rPr>
                <w:rFonts w:ascii="Calibri" w:hAnsi="Calibri"/>
                <w:color w:val="000000"/>
                <w:lang w:eastAsia="en-GB"/>
              </w:rPr>
              <w:t>19</w:t>
            </w:r>
          </w:p>
        </w:tc>
      </w:tr>
      <w:tr w:rsidR="00A05D84" w:rsidRPr="00A05D84" w14:paraId="6B92D746"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394C0862"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Other</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34EA6740" w14:textId="7F306B84" w:rsidR="00A05D84" w:rsidRPr="00A05D84" w:rsidRDefault="00C814BE" w:rsidP="001715ED">
            <w:pPr>
              <w:jc w:val="right"/>
              <w:rPr>
                <w:rFonts w:ascii="Calibri" w:hAnsi="Calibri"/>
                <w:color w:val="000000"/>
                <w:lang w:eastAsia="en-GB"/>
              </w:rPr>
            </w:pPr>
            <w:r>
              <w:rPr>
                <w:rFonts w:ascii="Calibri" w:hAnsi="Calibri"/>
                <w:color w:val="000000"/>
                <w:lang w:eastAsia="en-GB"/>
              </w:rPr>
              <w:t>109</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1F87DF50"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3A8ECA78" w14:textId="1A80A481" w:rsidR="00A05D84" w:rsidRPr="00A05D84" w:rsidRDefault="00C814BE" w:rsidP="001715ED">
            <w:pPr>
              <w:jc w:val="right"/>
              <w:rPr>
                <w:rFonts w:ascii="Calibri" w:hAnsi="Calibri"/>
                <w:color w:val="000000"/>
                <w:lang w:eastAsia="en-GB"/>
              </w:rPr>
            </w:pPr>
            <w:r>
              <w:rPr>
                <w:rFonts w:ascii="Calibri" w:hAnsi="Calibri"/>
                <w:color w:val="000000"/>
                <w:lang w:eastAsia="en-GB"/>
              </w:rPr>
              <w:t>109</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12FA1F3C" w14:textId="68B91B0C" w:rsidR="0082116A" w:rsidRPr="00A05D84" w:rsidRDefault="00656FAE" w:rsidP="00076B7B">
            <w:pPr>
              <w:jc w:val="right"/>
              <w:rPr>
                <w:rFonts w:ascii="Calibri" w:hAnsi="Calibri"/>
                <w:color w:val="000000"/>
                <w:lang w:eastAsia="en-GB"/>
              </w:rPr>
            </w:pPr>
            <w:r>
              <w:rPr>
                <w:rFonts w:ascii="Calibri" w:hAnsi="Calibri"/>
                <w:color w:val="000000"/>
                <w:lang w:eastAsia="en-GB"/>
              </w:rPr>
              <w:t>107</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208CF8C5" w14:textId="204F9904" w:rsidR="00A05D84" w:rsidRPr="00A05D84" w:rsidRDefault="00656FAE"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5B306B57" w14:textId="30D11E85" w:rsidR="00A05D84" w:rsidRPr="00A05D84" w:rsidRDefault="00656FAE" w:rsidP="00A05D84">
            <w:pPr>
              <w:jc w:val="right"/>
              <w:rPr>
                <w:rFonts w:ascii="Calibri" w:hAnsi="Calibri"/>
                <w:color w:val="000000"/>
                <w:lang w:eastAsia="en-GB"/>
              </w:rPr>
            </w:pPr>
            <w:r>
              <w:rPr>
                <w:rFonts w:ascii="Calibri" w:hAnsi="Calibri"/>
                <w:color w:val="000000"/>
                <w:lang w:eastAsia="en-GB"/>
              </w:rPr>
              <w:t>107</w:t>
            </w:r>
          </w:p>
        </w:tc>
      </w:tr>
      <w:tr w:rsidR="00A05D84" w:rsidRPr="00A05D84" w14:paraId="0E510CE7" w14:textId="77777777" w:rsidTr="00F07E4C">
        <w:trPr>
          <w:trHeight w:val="300"/>
        </w:trPr>
        <w:tc>
          <w:tcPr>
            <w:tcW w:w="3120" w:type="dxa"/>
            <w:tcBorders>
              <w:top w:val="nil"/>
              <w:left w:val="nil"/>
              <w:bottom w:val="nil"/>
              <w:right w:val="nil"/>
            </w:tcBorders>
            <w:shd w:val="clear" w:color="000000" w:fill="FDE9D9"/>
            <w:vAlign w:val="center"/>
            <w:hideMark/>
          </w:tcPr>
          <w:p w14:paraId="7B597D21"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Debt Securities</w:t>
            </w:r>
          </w:p>
        </w:tc>
        <w:tc>
          <w:tcPr>
            <w:tcW w:w="1280" w:type="dxa"/>
            <w:tcBorders>
              <w:top w:val="nil"/>
              <w:left w:val="nil"/>
              <w:bottom w:val="nil"/>
              <w:right w:val="nil"/>
            </w:tcBorders>
            <w:shd w:val="clear" w:color="000000" w:fill="FDE9D9"/>
            <w:vAlign w:val="center"/>
            <w:hideMark/>
          </w:tcPr>
          <w:p w14:paraId="33225FFD"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48C93045"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694DAC38"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tcPr>
          <w:p w14:paraId="63D4C26C" w14:textId="77777777" w:rsidR="00A05D84" w:rsidRPr="00A05D84" w:rsidRDefault="00A05D84" w:rsidP="00A05D84">
            <w:pPr>
              <w:jc w:val="right"/>
              <w:rPr>
                <w:rFonts w:ascii="Calibri" w:hAnsi="Calibri"/>
                <w:color w:val="000000"/>
                <w:lang w:eastAsia="en-GB"/>
              </w:rPr>
            </w:pPr>
          </w:p>
        </w:tc>
        <w:tc>
          <w:tcPr>
            <w:tcW w:w="1240" w:type="dxa"/>
            <w:tcBorders>
              <w:top w:val="nil"/>
              <w:left w:val="nil"/>
              <w:bottom w:val="nil"/>
              <w:right w:val="nil"/>
            </w:tcBorders>
            <w:shd w:val="clear" w:color="000000" w:fill="FDE9D9"/>
            <w:vAlign w:val="center"/>
          </w:tcPr>
          <w:p w14:paraId="7433A084" w14:textId="77777777" w:rsidR="00A05D84" w:rsidRPr="00A05D84" w:rsidRDefault="00A05D84" w:rsidP="00A05D84">
            <w:pPr>
              <w:jc w:val="right"/>
              <w:rPr>
                <w:rFonts w:ascii="Calibri" w:hAnsi="Calibri"/>
                <w:color w:val="000000"/>
                <w:lang w:eastAsia="en-GB"/>
              </w:rPr>
            </w:pPr>
          </w:p>
        </w:tc>
        <w:tc>
          <w:tcPr>
            <w:tcW w:w="800" w:type="dxa"/>
            <w:tcBorders>
              <w:top w:val="nil"/>
              <w:left w:val="nil"/>
              <w:bottom w:val="nil"/>
              <w:right w:val="nil"/>
            </w:tcBorders>
            <w:shd w:val="clear" w:color="000000" w:fill="FDE9D9"/>
            <w:vAlign w:val="center"/>
          </w:tcPr>
          <w:p w14:paraId="7BA1EEBF" w14:textId="77777777" w:rsidR="00A05D84" w:rsidRPr="00A05D84" w:rsidRDefault="00A05D84" w:rsidP="00A05D84">
            <w:pPr>
              <w:jc w:val="right"/>
              <w:rPr>
                <w:rFonts w:ascii="Calibri" w:hAnsi="Calibri"/>
                <w:color w:val="000000"/>
                <w:lang w:eastAsia="en-GB"/>
              </w:rPr>
            </w:pPr>
          </w:p>
        </w:tc>
      </w:tr>
      <w:tr w:rsidR="00A05D84" w:rsidRPr="00A05D84" w14:paraId="64B74CC4"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5668A29A"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UK Government</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0732DFFD" w14:textId="41179271" w:rsidR="00A05D84" w:rsidRPr="00A05D84" w:rsidRDefault="00C814BE" w:rsidP="001223DF">
            <w:pPr>
              <w:jc w:val="right"/>
              <w:rPr>
                <w:rFonts w:ascii="Calibri" w:hAnsi="Calibri"/>
                <w:color w:val="000000"/>
                <w:lang w:eastAsia="en-GB"/>
              </w:rPr>
            </w:pPr>
            <w:r>
              <w:rPr>
                <w:rFonts w:ascii="Calibri" w:hAnsi="Calibri"/>
                <w:color w:val="000000"/>
                <w:lang w:eastAsia="en-GB"/>
              </w:rPr>
              <w:t>2,337</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45C7B1EB" w14:textId="0212B8A1" w:rsidR="00A05D84" w:rsidRPr="00A05D84" w:rsidRDefault="00C814BE" w:rsidP="00A05D84">
            <w:pPr>
              <w:jc w:val="right"/>
              <w:rPr>
                <w:rFonts w:ascii="Calibri" w:hAnsi="Calibri"/>
                <w:color w:val="000000"/>
                <w:lang w:eastAsia="en-GB"/>
              </w:rPr>
            </w:pPr>
            <w:r>
              <w:rPr>
                <w:rFonts w:ascii="Calibri" w:hAnsi="Calibri"/>
                <w:color w:val="000000"/>
                <w:lang w:eastAsia="en-GB"/>
              </w:rPr>
              <w:t>5</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19016961" w14:textId="1AE1EB4A" w:rsidR="00A05D84" w:rsidRPr="00A05D84" w:rsidRDefault="00C814BE" w:rsidP="001223DF">
            <w:pPr>
              <w:jc w:val="right"/>
              <w:rPr>
                <w:rFonts w:ascii="Calibri" w:hAnsi="Calibri"/>
                <w:color w:val="000000"/>
                <w:lang w:eastAsia="en-GB"/>
              </w:rPr>
            </w:pPr>
            <w:r>
              <w:rPr>
                <w:rFonts w:ascii="Calibri" w:hAnsi="Calibri"/>
                <w:color w:val="000000"/>
                <w:lang w:eastAsia="en-GB"/>
              </w:rPr>
              <w:t>2,342</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66345C04" w14:textId="3D5FA5EA" w:rsidR="00A05D84" w:rsidRPr="00A05D84" w:rsidRDefault="00656FAE" w:rsidP="00076B7B">
            <w:pPr>
              <w:jc w:val="right"/>
              <w:rPr>
                <w:rFonts w:ascii="Calibri" w:hAnsi="Calibri"/>
                <w:color w:val="000000"/>
                <w:lang w:eastAsia="en-GB"/>
              </w:rPr>
            </w:pPr>
            <w:r>
              <w:rPr>
                <w:rFonts w:ascii="Calibri" w:hAnsi="Calibri"/>
                <w:color w:val="000000"/>
                <w:lang w:eastAsia="en-GB"/>
              </w:rPr>
              <w:t>2,28</w:t>
            </w:r>
            <w:r w:rsidR="00D715E5">
              <w:rPr>
                <w:rFonts w:ascii="Calibri" w:hAnsi="Calibri"/>
                <w:color w:val="000000"/>
                <w:lang w:eastAsia="en-GB"/>
              </w:rPr>
              <w:t>6</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01BB04FC" w14:textId="68EF2FDC" w:rsidR="00A05D84" w:rsidRPr="00A05D84" w:rsidRDefault="00BA26A3" w:rsidP="00A05D84">
            <w:pPr>
              <w:jc w:val="right"/>
              <w:rPr>
                <w:rFonts w:ascii="Calibri" w:hAnsi="Calibri"/>
                <w:color w:val="000000"/>
                <w:lang w:eastAsia="en-GB"/>
              </w:rPr>
            </w:pPr>
            <w:r>
              <w:rPr>
                <w:rFonts w:ascii="Calibri" w:hAnsi="Calibri"/>
                <w:color w:val="000000"/>
                <w:lang w:eastAsia="en-GB"/>
              </w:rPr>
              <w:t>5</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7EBAF0DD" w14:textId="5764442F" w:rsidR="00A05D84" w:rsidRPr="00A05D84" w:rsidRDefault="00D715E5" w:rsidP="00A05D84">
            <w:pPr>
              <w:jc w:val="right"/>
              <w:rPr>
                <w:rFonts w:ascii="Calibri" w:hAnsi="Calibri"/>
                <w:color w:val="000000"/>
                <w:lang w:eastAsia="en-GB"/>
              </w:rPr>
            </w:pPr>
            <w:r>
              <w:rPr>
                <w:rFonts w:ascii="Calibri" w:hAnsi="Calibri"/>
                <w:color w:val="000000"/>
                <w:lang w:eastAsia="en-GB"/>
              </w:rPr>
              <w:t>2,29</w:t>
            </w:r>
            <w:r w:rsidR="00BA26A3">
              <w:rPr>
                <w:rFonts w:ascii="Calibri" w:hAnsi="Calibri"/>
                <w:color w:val="000000"/>
                <w:lang w:eastAsia="en-GB"/>
              </w:rPr>
              <w:t>1</w:t>
            </w:r>
          </w:p>
        </w:tc>
      </w:tr>
      <w:tr w:rsidR="00A05D84" w:rsidRPr="00A05D84" w14:paraId="7A850000"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6708DD22"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Other</w:t>
            </w:r>
          </w:p>
        </w:tc>
        <w:tc>
          <w:tcPr>
            <w:tcW w:w="1280" w:type="dxa"/>
            <w:tcBorders>
              <w:top w:val="nil"/>
              <w:left w:val="nil"/>
              <w:bottom w:val="single" w:sz="4" w:space="0" w:color="FFFFFF"/>
              <w:right w:val="single" w:sz="4" w:space="0" w:color="FFFFFF"/>
            </w:tcBorders>
            <w:shd w:val="clear" w:color="000000" w:fill="FDE9D9"/>
            <w:vAlign w:val="center"/>
            <w:hideMark/>
          </w:tcPr>
          <w:p w14:paraId="5A184AB3" w14:textId="5A94DAFE" w:rsidR="00A05D84" w:rsidRPr="00A05D84" w:rsidRDefault="00C814BE" w:rsidP="001715ED">
            <w:pPr>
              <w:jc w:val="right"/>
              <w:rPr>
                <w:rFonts w:ascii="Calibri" w:hAnsi="Calibri"/>
                <w:color w:val="000000"/>
                <w:lang w:eastAsia="en-GB"/>
              </w:rPr>
            </w:pPr>
            <w:r>
              <w:rPr>
                <w:rFonts w:ascii="Calibri" w:hAnsi="Calibri"/>
                <w:color w:val="000000"/>
                <w:lang w:eastAsia="en-GB"/>
              </w:rPr>
              <w:t>88</w:t>
            </w:r>
          </w:p>
        </w:tc>
        <w:tc>
          <w:tcPr>
            <w:tcW w:w="1300" w:type="dxa"/>
            <w:tcBorders>
              <w:top w:val="nil"/>
              <w:left w:val="nil"/>
              <w:bottom w:val="single" w:sz="4" w:space="0" w:color="FFFFFF"/>
              <w:right w:val="single" w:sz="4" w:space="0" w:color="FFFFFF"/>
            </w:tcBorders>
            <w:shd w:val="clear" w:color="000000" w:fill="FDE9D9"/>
            <w:vAlign w:val="center"/>
            <w:hideMark/>
          </w:tcPr>
          <w:p w14:paraId="70F69DB3"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nil"/>
              <w:left w:val="nil"/>
              <w:bottom w:val="single" w:sz="4" w:space="0" w:color="FFFFFF"/>
              <w:right w:val="single" w:sz="4" w:space="0" w:color="FFFFFF"/>
            </w:tcBorders>
            <w:shd w:val="clear" w:color="000000" w:fill="FDE9D9"/>
            <w:vAlign w:val="center"/>
            <w:hideMark/>
          </w:tcPr>
          <w:p w14:paraId="400CD2B7" w14:textId="46B4FBA0" w:rsidR="00A05D84" w:rsidRPr="00A05D84" w:rsidRDefault="00C814BE" w:rsidP="001715ED">
            <w:pPr>
              <w:jc w:val="right"/>
              <w:rPr>
                <w:rFonts w:ascii="Calibri" w:hAnsi="Calibri"/>
                <w:color w:val="000000"/>
                <w:lang w:eastAsia="en-GB"/>
              </w:rPr>
            </w:pPr>
            <w:r>
              <w:rPr>
                <w:rFonts w:ascii="Calibri" w:hAnsi="Calibri"/>
                <w:color w:val="000000"/>
                <w:lang w:eastAsia="en-GB"/>
              </w:rPr>
              <w:t>88</w:t>
            </w:r>
          </w:p>
        </w:tc>
        <w:tc>
          <w:tcPr>
            <w:tcW w:w="1240" w:type="dxa"/>
            <w:tcBorders>
              <w:top w:val="nil"/>
              <w:left w:val="nil"/>
              <w:bottom w:val="single" w:sz="4" w:space="0" w:color="FFFFFF"/>
              <w:right w:val="single" w:sz="4" w:space="0" w:color="FFFFFF"/>
            </w:tcBorders>
            <w:shd w:val="clear" w:color="000000" w:fill="FDE9D9"/>
            <w:vAlign w:val="center"/>
          </w:tcPr>
          <w:p w14:paraId="46FC8588" w14:textId="197195D5" w:rsidR="00A05D84" w:rsidRPr="00A05D84" w:rsidRDefault="00D715E5" w:rsidP="00A05D84">
            <w:pPr>
              <w:jc w:val="right"/>
              <w:rPr>
                <w:rFonts w:ascii="Calibri" w:hAnsi="Calibri"/>
                <w:color w:val="000000"/>
                <w:lang w:eastAsia="en-GB"/>
              </w:rPr>
            </w:pPr>
            <w:r>
              <w:rPr>
                <w:rFonts w:ascii="Calibri" w:hAnsi="Calibri"/>
                <w:color w:val="000000"/>
                <w:lang w:eastAsia="en-GB"/>
              </w:rPr>
              <w:t>86</w:t>
            </w:r>
          </w:p>
        </w:tc>
        <w:tc>
          <w:tcPr>
            <w:tcW w:w="1240" w:type="dxa"/>
            <w:tcBorders>
              <w:top w:val="nil"/>
              <w:left w:val="nil"/>
              <w:bottom w:val="single" w:sz="4" w:space="0" w:color="FFFFFF"/>
              <w:right w:val="single" w:sz="4" w:space="0" w:color="FFFFFF"/>
            </w:tcBorders>
            <w:shd w:val="clear" w:color="000000" w:fill="FDE9D9"/>
            <w:vAlign w:val="center"/>
          </w:tcPr>
          <w:p w14:paraId="609B7E15" w14:textId="358DBBF6"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nil"/>
              <w:left w:val="nil"/>
              <w:bottom w:val="single" w:sz="4" w:space="0" w:color="FFFFFF"/>
              <w:right w:val="single" w:sz="4" w:space="0" w:color="FFFFFF"/>
            </w:tcBorders>
            <w:shd w:val="clear" w:color="000000" w:fill="FDE9D9"/>
            <w:vAlign w:val="center"/>
          </w:tcPr>
          <w:p w14:paraId="4840D700" w14:textId="0F95989F" w:rsidR="00A05D84" w:rsidRPr="00A05D84" w:rsidRDefault="00D715E5" w:rsidP="00A05D84">
            <w:pPr>
              <w:jc w:val="right"/>
              <w:rPr>
                <w:rFonts w:ascii="Calibri" w:hAnsi="Calibri"/>
                <w:color w:val="000000"/>
                <w:lang w:eastAsia="en-GB"/>
              </w:rPr>
            </w:pPr>
            <w:r>
              <w:rPr>
                <w:rFonts w:ascii="Calibri" w:hAnsi="Calibri"/>
                <w:color w:val="000000"/>
                <w:lang w:eastAsia="en-GB"/>
              </w:rPr>
              <w:t>86</w:t>
            </w:r>
          </w:p>
        </w:tc>
      </w:tr>
      <w:tr w:rsidR="00A05D84" w:rsidRPr="00A05D84" w14:paraId="7B23A7AB" w14:textId="77777777" w:rsidTr="00F07E4C">
        <w:trPr>
          <w:trHeight w:val="300"/>
        </w:trPr>
        <w:tc>
          <w:tcPr>
            <w:tcW w:w="3120" w:type="dxa"/>
            <w:tcBorders>
              <w:top w:val="nil"/>
              <w:left w:val="nil"/>
              <w:bottom w:val="nil"/>
              <w:right w:val="nil"/>
            </w:tcBorders>
            <w:shd w:val="clear" w:color="000000" w:fill="FDE9D9"/>
            <w:vAlign w:val="center"/>
            <w:hideMark/>
          </w:tcPr>
          <w:p w14:paraId="5B5DFA82"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Private Equity</w:t>
            </w:r>
          </w:p>
        </w:tc>
        <w:tc>
          <w:tcPr>
            <w:tcW w:w="1280" w:type="dxa"/>
            <w:tcBorders>
              <w:top w:val="nil"/>
              <w:left w:val="nil"/>
              <w:bottom w:val="nil"/>
              <w:right w:val="nil"/>
            </w:tcBorders>
            <w:shd w:val="clear" w:color="000000" w:fill="FDE9D9"/>
            <w:vAlign w:val="center"/>
            <w:hideMark/>
          </w:tcPr>
          <w:p w14:paraId="3F602677"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66B089E1"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hideMark/>
          </w:tcPr>
          <w:p w14:paraId="1DA67719" w14:textId="77777777" w:rsidR="00A05D84" w:rsidRPr="00A05D84" w:rsidRDefault="00A05D84" w:rsidP="00A05D84">
            <w:pPr>
              <w:jc w:val="right"/>
              <w:rPr>
                <w:rFonts w:ascii="Calibri" w:hAnsi="Calibri"/>
                <w:color w:val="000000"/>
                <w:sz w:val="22"/>
                <w:szCs w:val="22"/>
                <w:lang w:eastAsia="en-GB"/>
              </w:rPr>
            </w:pPr>
            <w:r w:rsidRPr="00A05D84">
              <w:rPr>
                <w:rFonts w:ascii="Calibri" w:hAnsi="Calibri"/>
                <w:color w:val="000000"/>
                <w:sz w:val="22"/>
                <w:szCs w:val="22"/>
                <w:lang w:eastAsia="en-GB"/>
              </w:rPr>
              <w:t> </w:t>
            </w:r>
          </w:p>
        </w:tc>
        <w:tc>
          <w:tcPr>
            <w:tcW w:w="1240" w:type="dxa"/>
            <w:tcBorders>
              <w:top w:val="nil"/>
              <w:left w:val="nil"/>
              <w:bottom w:val="nil"/>
              <w:right w:val="nil"/>
            </w:tcBorders>
            <w:shd w:val="clear" w:color="000000" w:fill="FDE9D9"/>
          </w:tcPr>
          <w:p w14:paraId="1633C550" w14:textId="77777777" w:rsidR="00A05D84" w:rsidRPr="00A05D84" w:rsidRDefault="00A05D84" w:rsidP="00A05D84">
            <w:pPr>
              <w:jc w:val="right"/>
              <w:rPr>
                <w:rFonts w:ascii="Calibri" w:hAnsi="Calibri"/>
                <w:color w:val="000000"/>
                <w:sz w:val="22"/>
                <w:szCs w:val="22"/>
                <w:lang w:eastAsia="en-GB"/>
              </w:rPr>
            </w:pPr>
          </w:p>
        </w:tc>
        <w:tc>
          <w:tcPr>
            <w:tcW w:w="1240" w:type="dxa"/>
            <w:tcBorders>
              <w:top w:val="nil"/>
              <w:left w:val="nil"/>
              <w:bottom w:val="nil"/>
              <w:right w:val="nil"/>
            </w:tcBorders>
            <w:shd w:val="clear" w:color="000000" w:fill="FDE9D9"/>
          </w:tcPr>
          <w:p w14:paraId="5B254FA0" w14:textId="77777777" w:rsidR="00A05D84" w:rsidRPr="00A05D84" w:rsidRDefault="00A05D84" w:rsidP="00A05D84">
            <w:pPr>
              <w:jc w:val="right"/>
              <w:rPr>
                <w:rFonts w:ascii="Calibri" w:hAnsi="Calibri"/>
                <w:color w:val="000000"/>
                <w:sz w:val="22"/>
                <w:szCs w:val="22"/>
                <w:lang w:eastAsia="en-GB"/>
              </w:rPr>
            </w:pPr>
          </w:p>
        </w:tc>
        <w:tc>
          <w:tcPr>
            <w:tcW w:w="800" w:type="dxa"/>
            <w:tcBorders>
              <w:top w:val="nil"/>
              <w:left w:val="nil"/>
              <w:bottom w:val="nil"/>
              <w:right w:val="nil"/>
            </w:tcBorders>
            <w:shd w:val="clear" w:color="000000" w:fill="FDE9D9"/>
          </w:tcPr>
          <w:p w14:paraId="416C847E" w14:textId="77777777" w:rsidR="00A05D84" w:rsidRPr="00A05D84" w:rsidRDefault="00A05D84" w:rsidP="00A05D84">
            <w:pPr>
              <w:jc w:val="right"/>
              <w:rPr>
                <w:rFonts w:ascii="Calibri" w:hAnsi="Calibri"/>
                <w:color w:val="000000"/>
                <w:sz w:val="22"/>
                <w:szCs w:val="22"/>
                <w:lang w:eastAsia="en-GB"/>
              </w:rPr>
            </w:pPr>
          </w:p>
        </w:tc>
      </w:tr>
      <w:tr w:rsidR="00A05D84" w:rsidRPr="00A05D84" w14:paraId="75C68797"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1E4396B"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All</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4B7B7FBC"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5BE01C2C" w14:textId="7FBA97C3" w:rsidR="00A05D84" w:rsidRPr="00A05D84" w:rsidRDefault="00C814BE" w:rsidP="001223DF">
            <w:pPr>
              <w:jc w:val="right"/>
              <w:rPr>
                <w:rFonts w:ascii="Calibri" w:hAnsi="Calibri"/>
                <w:color w:val="000000"/>
                <w:lang w:eastAsia="en-GB"/>
              </w:rPr>
            </w:pPr>
            <w:r>
              <w:rPr>
                <w:rFonts w:ascii="Calibri" w:hAnsi="Calibri"/>
                <w:color w:val="000000"/>
                <w:lang w:eastAsia="en-GB"/>
              </w:rPr>
              <w:t>3,121</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3FA5ABC3" w14:textId="7FEBA60E" w:rsidR="00A05D84" w:rsidRPr="00A05D84" w:rsidRDefault="00C814BE" w:rsidP="001223DF">
            <w:pPr>
              <w:jc w:val="right"/>
              <w:rPr>
                <w:rFonts w:ascii="Calibri" w:hAnsi="Calibri"/>
                <w:color w:val="000000"/>
                <w:lang w:eastAsia="en-GB"/>
              </w:rPr>
            </w:pPr>
            <w:r>
              <w:rPr>
                <w:rFonts w:ascii="Calibri" w:hAnsi="Calibri"/>
                <w:color w:val="000000"/>
                <w:lang w:eastAsia="en-GB"/>
              </w:rPr>
              <w:t>3,121</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51BB2145" w14:textId="790CD69D"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12F82E35" w14:textId="4F697AFA" w:rsidR="00A05D84" w:rsidRPr="00A05D84" w:rsidRDefault="00D715E5" w:rsidP="00076B7B">
            <w:pPr>
              <w:jc w:val="right"/>
              <w:rPr>
                <w:rFonts w:ascii="Calibri" w:hAnsi="Calibri"/>
                <w:color w:val="000000"/>
                <w:lang w:eastAsia="en-GB"/>
              </w:rPr>
            </w:pPr>
            <w:r>
              <w:rPr>
                <w:rFonts w:ascii="Calibri" w:hAnsi="Calibri"/>
                <w:color w:val="000000"/>
                <w:lang w:eastAsia="en-GB"/>
              </w:rPr>
              <w:t>3,052</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56116E6F" w14:textId="539E3E8F" w:rsidR="00A05D84" w:rsidRPr="00A05D84" w:rsidRDefault="00D715E5" w:rsidP="002D5F70">
            <w:pPr>
              <w:jc w:val="right"/>
              <w:rPr>
                <w:rFonts w:ascii="Calibri" w:hAnsi="Calibri"/>
                <w:color w:val="000000"/>
                <w:lang w:eastAsia="en-GB"/>
              </w:rPr>
            </w:pPr>
            <w:r>
              <w:rPr>
                <w:rFonts w:ascii="Calibri" w:hAnsi="Calibri"/>
                <w:color w:val="000000"/>
                <w:lang w:eastAsia="en-GB"/>
              </w:rPr>
              <w:t>3,052</w:t>
            </w:r>
          </w:p>
        </w:tc>
      </w:tr>
      <w:tr w:rsidR="00A05D84" w:rsidRPr="00A05D84" w14:paraId="6312E944" w14:textId="77777777" w:rsidTr="00F07E4C">
        <w:trPr>
          <w:trHeight w:val="300"/>
        </w:trPr>
        <w:tc>
          <w:tcPr>
            <w:tcW w:w="3120" w:type="dxa"/>
            <w:tcBorders>
              <w:top w:val="nil"/>
              <w:left w:val="nil"/>
              <w:bottom w:val="nil"/>
              <w:right w:val="nil"/>
            </w:tcBorders>
            <w:shd w:val="clear" w:color="000000" w:fill="FDE9D9"/>
            <w:vAlign w:val="center"/>
            <w:hideMark/>
          </w:tcPr>
          <w:p w14:paraId="5C4CA1F1"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Real Estate</w:t>
            </w:r>
          </w:p>
        </w:tc>
        <w:tc>
          <w:tcPr>
            <w:tcW w:w="1280" w:type="dxa"/>
            <w:tcBorders>
              <w:top w:val="nil"/>
              <w:left w:val="nil"/>
              <w:bottom w:val="nil"/>
              <w:right w:val="nil"/>
            </w:tcBorders>
            <w:shd w:val="clear" w:color="000000" w:fill="FDE9D9"/>
            <w:vAlign w:val="center"/>
            <w:hideMark/>
          </w:tcPr>
          <w:p w14:paraId="02ED7E96"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6C1DE069"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51370485"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tcPr>
          <w:p w14:paraId="46B55422" w14:textId="77777777" w:rsidR="00A05D84" w:rsidRPr="00A05D84" w:rsidRDefault="00A05D84" w:rsidP="00A05D84">
            <w:pPr>
              <w:jc w:val="right"/>
              <w:rPr>
                <w:rFonts w:ascii="Calibri" w:hAnsi="Calibri"/>
                <w:color w:val="000000"/>
                <w:lang w:eastAsia="en-GB"/>
              </w:rPr>
            </w:pPr>
          </w:p>
        </w:tc>
        <w:tc>
          <w:tcPr>
            <w:tcW w:w="1240" w:type="dxa"/>
            <w:tcBorders>
              <w:top w:val="nil"/>
              <w:left w:val="nil"/>
              <w:bottom w:val="nil"/>
              <w:right w:val="nil"/>
            </w:tcBorders>
            <w:shd w:val="clear" w:color="000000" w:fill="FDE9D9"/>
            <w:vAlign w:val="center"/>
          </w:tcPr>
          <w:p w14:paraId="356972D2" w14:textId="77777777" w:rsidR="00A05D84" w:rsidRPr="00A05D84" w:rsidRDefault="00A05D84" w:rsidP="00A05D84">
            <w:pPr>
              <w:jc w:val="right"/>
              <w:rPr>
                <w:rFonts w:ascii="Calibri" w:hAnsi="Calibri"/>
                <w:color w:val="000000"/>
                <w:lang w:eastAsia="en-GB"/>
              </w:rPr>
            </w:pPr>
          </w:p>
        </w:tc>
        <w:tc>
          <w:tcPr>
            <w:tcW w:w="800" w:type="dxa"/>
            <w:tcBorders>
              <w:top w:val="nil"/>
              <w:left w:val="nil"/>
              <w:bottom w:val="nil"/>
              <w:right w:val="nil"/>
            </w:tcBorders>
            <w:shd w:val="clear" w:color="000000" w:fill="FDE9D9"/>
            <w:vAlign w:val="center"/>
          </w:tcPr>
          <w:p w14:paraId="2966AD4B" w14:textId="77777777" w:rsidR="00A05D84" w:rsidRPr="00A05D84" w:rsidRDefault="00A05D84" w:rsidP="00A05D84">
            <w:pPr>
              <w:jc w:val="right"/>
              <w:rPr>
                <w:rFonts w:ascii="Calibri" w:hAnsi="Calibri"/>
                <w:color w:val="000000"/>
                <w:lang w:eastAsia="en-GB"/>
              </w:rPr>
            </w:pPr>
          </w:p>
        </w:tc>
      </w:tr>
      <w:tr w:rsidR="00A05D84" w:rsidRPr="00A05D84" w14:paraId="36C77A07"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78BB96E"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UK Property</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7655A818"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4F1E9994" w14:textId="0C29BA3F" w:rsidR="00A05D84" w:rsidRPr="00A05D84" w:rsidRDefault="00895003" w:rsidP="001223DF">
            <w:pPr>
              <w:jc w:val="right"/>
              <w:rPr>
                <w:rFonts w:ascii="Calibri" w:hAnsi="Calibri"/>
                <w:color w:val="000000"/>
                <w:lang w:eastAsia="en-GB"/>
              </w:rPr>
            </w:pPr>
            <w:r>
              <w:rPr>
                <w:rFonts w:ascii="Calibri" w:hAnsi="Calibri"/>
                <w:color w:val="000000"/>
                <w:lang w:eastAsia="en-GB"/>
              </w:rPr>
              <w:t>3,</w:t>
            </w:r>
            <w:r w:rsidR="00C814BE">
              <w:rPr>
                <w:rFonts w:ascii="Calibri" w:hAnsi="Calibri"/>
                <w:color w:val="000000"/>
                <w:lang w:eastAsia="en-GB"/>
              </w:rPr>
              <w:t>590</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63F69C27" w14:textId="4326BDEA" w:rsidR="00A05D84" w:rsidRPr="00A05D84" w:rsidRDefault="00895003" w:rsidP="001223DF">
            <w:pPr>
              <w:jc w:val="right"/>
              <w:rPr>
                <w:rFonts w:ascii="Calibri" w:hAnsi="Calibri"/>
                <w:color w:val="000000"/>
                <w:lang w:eastAsia="en-GB"/>
              </w:rPr>
            </w:pPr>
            <w:r>
              <w:rPr>
                <w:rFonts w:ascii="Calibri" w:hAnsi="Calibri"/>
                <w:color w:val="000000"/>
                <w:lang w:eastAsia="en-GB"/>
              </w:rPr>
              <w:t>3,</w:t>
            </w:r>
            <w:r w:rsidR="00C814BE">
              <w:rPr>
                <w:rFonts w:ascii="Calibri" w:hAnsi="Calibri"/>
                <w:color w:val="000000"/>
                <w:lang w:eastAsia="en-GB"/>
              </w:rPr>
              <w:t>590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06D178C3" w14:textId="78D2D2E1" w:rsidR="00A05D84" w:rsidRPr="00A05D84" w:rsidRDefault="00D715E5" w:rsidP="009E6E9F">
            <w:pPr>
              <w:jc w:val="right"/>
              <w:rPr>
                <w:rFonts w:ascii="Calibri" w:hAnsi="Calibri"/>
                <w:color w:val="000000"/>
                <w:lang w:eastAsia="en-GB"/>
              </w:rPr>
            </w:pPr>
            <w:r>
              <w:rPr>
                <w:rFonts w:ascii="Calibri" w:hAnsi="Calibri"/>
                <w:color w:val="000000"/>
                <w:lang w:eastAsia="en-GB"/>
              </w:rPr>
              <w:t>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2D12763B" w14:textId="72B3370E" w:rsidR="00A05D84" w:rsidRPr="00A05D84" w:rsidRDefault="00D715E5" w:rsidP="006A2D9F">
            <w:pPr>
              <w:jc w:val="right"/>
              <w:rPr>
                <w:rFonts w:ascii="Calibri" w:hAnsi="Calibri"/>
                <w:color w:val="000000"/>
                <w:lang w:eastAsia="en-GB"/>
              </w:rPr>
            </w:pPr>
            <w:r>
              <w:rPr>
                <w:rFonts w:ascii="Calibri" w:hAnsi="Calibri"/>
                <w:color w:val="000000"/>
                <w:lang w:eastAsia="en-GB"/>
              </w:rPr>
              <w:t>3,511</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384E8169" w14:textId="380A30E8" w:rsidR="00A05D84" w:rsidRPr="00A05D84" w:rsidRDefault="00D715E5" w:rsidP="0068219F">
            <w:pPr>
              <w:jc w:val="right"/>
              <w:rPr>
                <w:rFonts w:ascii="Calibri" w:hAnsi="Calibri"/>
                <w:color w:val="000000"/>
                <w:lang w:eastAsia="en-GB"/>
              </w:rPr>
            </w:pPr>
            <w:r>
              <w:rPr>
                <w:rFonts w:ascii="Calibri" w:hAnsi="Calibri"/>
                <w:color w:val="000000"/>
                <w:lang w:eastAsia="en-GB"/>
              </w:rPr>
              <w:t>3,511</w:t>
            </w:r>
          </w:p>
        </w:tc>
      </w:tr>
      <w:tr w:rsidR="00A05D84" w:rsidRPr="00A05D84" w14:paraId="1A3715E8"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1DA13311"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Overseas Property</w:t>
            </w:r>
          </w:p>
        </w:tc>
        <w:tc>
          <w:tcPr>
            <w:tcW w:w="1280" w:type="dxa"/>
            <w:tcBorders>
              <w:top w:val="nil"/>
              <w:left w:val="nil"/>
              <w:bottom w:val="single" w:sz="4" w:space="0" w:color="FFFFFF"/>
              <w:right w:val="single" w:sz="4" w:space="0" w:color="FFFFFF"/>
            </w:tcBorders>
            <w:shd w:val="clear" w:color="000000" w:fill="FDE9D9"/>
            <w:vAlign w:val="center"/>
            <w:hideMark/>
          </w:tcPr>
          <w:p w14:paraId="4C30C275"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300" w:type="dxa"/>
            <w:tcBorders>
              <w:top w:val="nil"/>
              <w:left w:val="nil"/>
              <w:bottom w:val="single" w:sz="4" w:space="0" w:color="FFFFFF"/>
              <w:right w:val="single" w:sz="4" w:space="0" w:color="FFFFFF"/>
            </w:tcBorders>
            <w:shd w:val="clear" w:color="000000" w:fill="FDE9D9"/>
            <w:vAlign w:val="center"/>
            <w:hideMark/>
          </w:tcPr>
          <w:p w14:paraId="05A0CD96"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nil"/>
              <w:left w:val="nil"/>
              <w:bottom w:val="single" w:sz="4" w:space="0" w:color="FFFFFF"/>
              <w:right w:val="single" w:sz="4" w:space="0" w:color="FFFFFF"/>
            </w:tcBorders>
            <w:shd w:val="clear" w:color="000000" w:fill="FDE9D9"/>
            <w:vAlign w:val="center"/>
            <w:hideMark/>
          </w:tcPr>
          <w:p w14:paraId="04FBA71F"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45470982" w14:textId="7A02F970"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51449160" w14:textId="5F2830A0"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nil"/>
              <w:left w:val="nil"/>
              <w:bottom w:val="single" w:sz="4" w:space="0" w:color="FFFFFF"/>
              <w:right w:val="single" w:sz="4" w:space="0" w:color="FFFFFF"/>
            </w:tcBorders>
            <w:shd w:val="clear" w:color="000000" w:fill="FDE9D9"/>
            <w:vAlign w:val="center"/>
          </w:tcPr>
          <w:p w14:paraId="4E89DED9" w14:textId="23DE5C8B"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r>
      <w:tr w:rsidR="00A05D84" w:rsidRPr="00A05D84" w14:paraId="3B1CD8B5" w14:textId="77777777" w:rsidTr="00F07E4C">
        <w:trPr>
          <w:trHeight w:val="300"/>
        </w:trPr>
        <w:tc>
          <w:tcPr>
            <w:tcW w:w="3120" w:type="dxa"/>
            <w:tcBorders>
              <w:top w:val="nil"/>
              <w:left w:val="nil"/>
              <w:bottom w:val="nil"/>
              <w:right w:val="nil"/>
            </w:tcBorders>
            <w:shd w:val="clear" w:color="000000" w:fill="FDE9D9"/>
            <w:vAlign w:val="center"/>
            <w:hideMark/>
          </w:tcPr>
          <w:p w14:paraId="4E502E69"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Investment Funds and Unit Trusts</w:t>
            </w:r>
          </w:p>
        </w:tc>
        <w:tc>
          <w:tcPr>
            <w:tcW w:w="1280" w:type="dxa"/>
            <w:tcBorders>
              <w:top w:val="nil"/>
              <w:left w:val="nil"/>
              <w:bottom w:val="nil"/>
              <w:right w:val="nil"/>
            </w:tcBorders>
            <w:shd w:val="clear" w:color="000000" w:fill="FDE9D9"/>
            <w:vAlign w:val="center"/>
            <w:hideMark/>
          </w:tcPr>
          <w:p w14:paraId="751156C5"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353AC199"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2A21D224"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tcPr>
          <w:p w14:paraId="6E877476" w14:textId="77777777" w:rsidR="00A05D84" w:rsidRPr="00A05D84" w:rsidRDefault="00A05D84" w:rsidP="00A05D84">
            <w:pPr>
              <w:jc w:val="right"/>
              <w:rPr>
                <w:rFonts w:ascii="Calibri" w:hAnsi="Calibri"/>
                <w:color w:val="000000"/>
                <w:lang w:eastAsia="en-GB"/>
              </w:rPr>
            </w:pPr>
          </w:p>
        </w:tc>
        <w:tc>
          <w:tcPr>
            <w:tcW w:w="1240" w:type="dxa"/>
            <w:tcBorders>
              <w:top w:val="nil"/>
              <w:left w:val="nil"/>
              <w:bottom w:val="nil"/>
              <w:right w:val="nil"/>
            </w:tcBorders>
            <w:shd w:val="clear" w:color="000000" w:fill="FDE9D9"/>
            <w:vAlign w:val="center"/>
          </w:tcPr>
          <w:p w14:paraId="5D8BB459" w14:textId="77777777" w:rsidR="00A05D84" w:rsidRPr="00A05D84" w:rsidRDefault="00A05D84" w:rsidP="00A05D84">
            <w:pPr>
              <w:jc w:val="right"/>
              <w:rPr>
                <w:rFonts w:ascii="Calibri" w:hAnsi="Calibri"/>
                <w:color w:val="000000"/>
                <w:lang w:eastAsia="en-GB"/>
              </w:rPr>
            </w:pPr>
          </w:p>
        </w:tc>
        <w:tc>
          <w:tcPr>
            <w:tcW w:w="800" w:type="dxa"/>
            <w:tcBorders>
              <w:top w:val="nil"/>
              <w:left w:val="nil"/>
              <w:bottom w:val="nil"/>
              <w:right w:val="nil"/>
            </w:tcBorders>
            <w:shd w:val="clear" w:color="000000" w:fill="FDE9D9"/>
            <w:vAlign w:val="center"/>
          </w:tcPr>
          <w:p w14:paraId="5392A04F" w14:textId="77777777" w:rsidR="00A05D84" w:rsidRPr="00A05D84" w:rsidRDefault="00A05D84" w:rsidP="00A05D84">
            <w:pPr>
              <w:jc w:val="right"/>
              <w:rPr>
                <w:rFonts w:ascii="Calibri" w:hAnsi="Calibri"/>
                <w:color w:val="000000"/>
                <w:lang w:eastAsia="en-GB"/>
              </w:rPr>
            </w:pPr>
          </w:p>
        </w:tc>
      </w:tr>
      <w:tr w:rsidR="00A05D84" w:rsidRPr="00A05D84" w14:paraId="00A6332E"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5CB261B5"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Equities</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425B414F" w14:textId="5EDC5D8E" w:rsidR="00A05D84" w:rsidRPr="00A05D84" w:rsidRDefault="00A05D84" w:rsidP="001223DF">
            <w:pPr>
              <w:jc w:val="right"/>
              <w:rPr>
                <w:rFonts w:ascii="Calibri" w:hAnsi="Calibri"/>
                <w:color w:val="000000"/>
                <w:lang w:eastAsia="en-GB"/>
              </w:rPr>
            </w:pPr>
            <w:r w:rsidRPr="00A05D84">
              <w:rPr>
                <w:rFonts w:ascii="Calibri" w:hAnsi="Calibri"/>
                <w:color w:val="000000"/>
                <w:lang w:eastAsia="en-GB"/>
              </w:rPr>
              <w:t>1</w:t>
            </w:r>
            <w:r w:rsidR="00C814BE">
              <w:rPr>
                <w:rFonts w:ascii="Calibri" w:hAnsi="Calibri"/>
                <w:color w:val="000000"/>
                <w:lang w:eastAsia="en-GB"/>
              </w:rPr>
              <w:t>3,372</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41E54466" w14:textId="61D63E37" w:rsidR="00A05D84" w:rsidRPr="00A05D84" w:rsidRDefault="00C814BE" w:rsidP="00A05D84">
            <w:pPr>
              <w:jc w:val="right"/>
              <w:rPr>
                <w:rFonts w:ascii="Calibri" w:hAnsi="Calibri"/>
                <w:color w:val="000000"/>
                <w:lang w:eastAsia="en-GB"/>
              </w:rPr>
            </w:pPr>
            <w:r>
              <w:rPr>
                <w:rFonts w:ascii="Calibri" w:hAnsi="Calibri"/>
                <w:color w:val="000000"/>
                <w:lang w:eastAsia="en-GB"/>
              </w:rPr>
              <w:t>8,112</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137DC896" w14:textId="113D97C8" w:rsidR="00A05D84" w:rsidRPr="00A05D84" w:rsidRDefault="00C814BE" w:rsidP="001223DF">
            <w:pPr>
              <w:jc w:val="right"/>
              <w:rPr>
                <w:rFonts w:ascii="Calibri" w:hAnsi="Calibri"/>
                <w:color w:val="000000"/>
                <w:lang w:eastAsia="en-GB"/>
              </w:rPr>
            </w:pPr>
            <w:r>
              <w:rPr>
                <w:rFonts w:ascii="Calibri" w:hAnsi="Calibri"/>
                <w:color w:val="000000"/>
                <w:lang w:eastAsia="en-GB"/>
              </w:rPr>
              <w:t>21,484</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5B84D990" w14:textId="19A99992" w:rsidR="00A05D84" w:rsidRPr="00A05D84" w:rsidRDefault="00D715E5" w:rsidP="006A2D9F">
            <w:pPr>
              <w:jc w:val="right"/>
              <w:rPr>
                <w:rFonts w:ascii="Calibri" w:hAnsi="Calibri"/>
                <w:color w:val="000000"/>
                <w:lang w:eastAsia="en-GB"/>
              </w:rPr>
            </w:pPr>
            <w:r>
              <w:rPr>
                <w:rFonts w:ascii="Calibri" w:hAnsi="Calibri"/>
                <w:color w:val="000000"/>
                <w:lang w:eastAsia="en-GB"/>
              </w:rPr>
              <w:t>13,078</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129B5690" w14:textId="052BD214" w:rsidR="00A05D84" w:rsidRPr="00A05D84" w:rsidRDefault="00D715E5" w:rsidP="00A05D84">
            <w:pPr>
              <w:jc w:val="right"/>
              <w:rPr>
                <w:rFonts w:ascii="Calibri" w:hAnsi="Calibri"/>
                <w:color w:val="000000"/>
                <w:lang w:eastAsia="en-GB"/>
              </w:rPr>
            </w:pPr>
            <w:r>
              <w:rPr>
                <w:rFonts w:ascii="Calibri" w:hAnsi="Calibri"/>
                <w:color w:val="000000"/>
                <w:lang w:eastAsia="en-GB"/>
              </w:rPr>
              <w:t>7,934</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6C547F58" w14:textId="1C75632B" w:rsidR="00A05D84" w:rsidRPr="00A05D84" w:rsidRDefault="00D715E5" w:rsidP="0068219F">
            <w:pPr>
              <w:jc w:val="right"/>
              <w:rPr>
                <w:rFonts w:ascii="Calibri" w:hAnsi="Calibri"/>
                <w:color w:val="000000"/>
                <w:lang w:eastAsia="en-GB"/>
              </w:rPr>
            </w:pPr>
            <w:r>
              <w:rPr>
                <w:rFonts w:ascii="Calibri" w:hAnsi="Calibri"/>
                <w:color w:val="000000"/>
                <w:lang w:eastAsia="en-GB"/>
              </w:rPr>
              <w:t>21,012</w:t>
            </w:r>
          </w:p>
        </w:tc>
      </w:tr>
      <w:tr w:rsidR="00A05D84" w:rsidRPr="00A05D84" w14:paraId="003FE763"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030627E2"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Bonds</w:t>
            </w:r>
          </w:p>
        </w:tc>
        <w:tc>
          <w:tcPr>
            <w:tcW w:w="1280" w:type="dxa"/>
            <w:tcBorders>
              <w:top w:val="nil"/>
              <w:left w:val="nil"/>
              <w:bottom w:val="single" w:sz="4" w:space="0" w:color="FFFFFF"/>
              <w:right w:val="single" w:sz="4" w:space="0" w:color="FFFFFF"/>
            </w:tcBorders>
            <w:shd w:val="clear" w:color="000000" w:fill="FDE9D9"/>
            <w:vAlign w:val="center"/>
            <w:hideMark/>
          </w:tcPr>
          <w:p w14:paraId="1E34B71C" w14:textId="764ACCDA" w:rsidR="00A05D84" w:rsidRPr="00A05D84" w:rsidRDefault="00C814BE" w:rsidP="001223DF">
            <w:pPr>
              <w:jc w:val="right"/>
              <w:rPr>
                <w:rFonts w:ascii="Calibri" w:hAnsi="Calibri"/>
                <w:color w:val="000000"/>
                <w:lang w:eastAsia="en-GB"/>
              </w:rPr>
            </w:pPr>
            <w:r>
              <w:rPr>
                <w:rFonts w:ascii="Calibri" w:hAnsi="Calibri"/>
                <w:color w:val="000000"/>
                <w:lang w:eastAsia="en-GB"/>
              </w:rPr>
              <w:t>0</w:t>
            </w:r>
          </w:p>
        </w:tc>
        <w:tc>
          <w:tcPr>
            <w:tcW w:w="1300" w:type="dxa"/>
            <w:tcBorders>
              <w:top w:val="nil"/>
              <w:left w:val="nil"/>
              <w:bottom w:val="single" w:sz="4" w:space="0" w:color="FFFFFF"/>
              <w:right w:val="single" w:sz="4" w:space="0" w:color="FFFFFF"/>
            </w:tcBorders>
            <w:shd w:val="clear" w:color="000000" w:fill="FDE9D9"/>
            <w:vAlign w:val="center"/>
            <w:hideMark/>
          </w:tcPr>
          <w:p w14:paraId="67618060" w14:textId="77777777" w:rsidR="00A05D84" w:rsidRPr="00A05D84" w:rsidRDefault="001223DF" w:rsidP="001223DF">
            <w:pPr>
              <w:jc w:val="right"/>
              <w:rPr>
                <w:rFonts w:ascii="Calibri" w:hAnsi="Calibri"/>
                <w:color w:val="000000"/>
                <w:lang w:eastAsia="en-GB"/>
              </w:rPr>
            </w:pPr>
            <w:r>
              <w:rPr>
                <w:rFonts w:ascii="Calibri" w:hAnsi="Calibri"/>
                <w:color w:val="000000"/>
                <w:lang w:eastAsia="en-GB"/>
              </w:rPr>
              <w:t>0</w:t>
            </w:r>
          </w:p>
        </w:tc>
        <w:tc>
          <w:tcPr>
            <w:tcW w:w="820" w:type="dxa"/>
            <w:tcBorders>
              <w:top w:val="nil"/>
              <w:left w:val="nil"/>
              <w:bottom w:val="single" w:sz="4" w:space="0" w:color="FFFFFF"/>
              <w:right w:val="single" w:sz="4" w:space="0" w:color="FFFFFF"/>
            </w:tcBorders>
            <w:shd w:val="clear" w:color="000000" w:fill="FDE9D9"/>
            <w:vAlign w:val="center"/>
            <w:hideMark/>
          </w:tcPr>
          <w:p w14:paraId="2286D435" w14:textId="6CEB326A" w:rsidR="00A05D84" w:rsidRPr="00A05D84" w:rsidRDefault="00C814BE" w:rsidP="001715ED">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2987B1A6" w14:textId="5E6A199F"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55B6F037" w14:textId="2765E106"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nil"/>
              <w:left w:val="nil"/>
              <w:bottom w:val="single" w:sz="4" w:space="0" w:color="FFFFFF"/>
              <w:right w:val="single" w:sz="4" w:space="0" w:color="FFFFFF"/>
            </w:tcBorders>
            <w:shd w:val="clear" w:color="000000" w:fill="FDE9D9"/>
            <w:vAlign w:val="center"/>
          </w:tcPr>
          <w:p w14:paraId="662A4FAF" w14:textId="0A766B1D"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r>
      <w:tr w:rsidR="00A05D84" w:rsidRPr="00A05D84" w14:paraId="62C7222B"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2E9C6947"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Hedge Funds</w:t>
            </w:r>
          </w:p>
        </w:tc>
        <w:tc>
          <w:tcPr>
            <w:tcW w:w="1280" w:type="dxa"/>
            <w:tcBorders>
              <w:top w:val="nil"/>
              <w:left w:val="nil"/>
              <w:bottom w:val="single" w:sz="4" w:space="0" w:color="FFFFFF"/>
              <w:right w:val="single" w:sz="4" w:space="0" w:color="FFFFFF"/>
            </w:tcBorders>
            <w:shd w:val="clear" w:color="000000" w:fill="FDE9D9"/>
            <w:vAlign w:val="center"/>
            <w:hideMark/>
          </w:tcPr>
          <w:p w14:paraId="417F97FE" w14:textId="0BF04DE5" w:rsidR="00A05D84" w:rsidRPr="00A05D84" w:rsidRDefault="00C814BE" w:rsidP="001715ED">
            <w:pPr>
              <w:jc w:val="right"/>
              <w:rPr>
                <w:rFonts w:ascii="Calibri" w:hAnsi="Calibri"/>
                <w:color w:val="000000"/>
                <w:lang w:eastAsia="en-GB"/>
              </w:rPr>
            </w:pPr>
            <w:r>
              <w:rPr>
                <w:rFonts w:ascii="Calibri" w:hAnsi="Calibri"/>
                <w:color w:val="000000"/>
                <w:lang w:eastAsia="en-GB"/>
              </w:rPr>
              <w:t>0</w:t>
            </w:r>
          </w:p>
        </w:tc>
        <w:tc>
          <w:tcPr>
            <w:tcW w:w="1300" w:type="dxa"/>
            <w:tcBorders>
              <w:top w:val="nil"/>
              <w:left w:val="nil"/>
              <w:bottom w:val="single" w:sz="4" w:space="0" w:color="FFFFFF"/>
              <w:right w:val="single" w:sz="4" w:space="0" w:color="FFFFFF"/>
            </w:tcBorders>
            <w:shd w:val="clear" w:color="000000" w:fill="FDE9D9"/>
            <w:vAlign w:val="center"/>
            <w:hideMark/>
          </w:tcPr>
          <w:p w14:paraId="56F6D346" w14:textId="77777777" w:rsidR="00A05D84" w:rsidRPr="00A05D84" w:rsidRDefault="001223DF" w:rsidP="00A05D84">
            <w:pPr>
              <w:jc w:val="right"/>
              <w:rPr>
                <w:rFonts w:ascii="Calibri" w:hAnsi="Calibri"/>
                <w:color w:val="000000"/>
                <w:lang w:eastAsia="en-GB"/>
              </w:rPr>
            </w:pPr>
            <w:r>
              <w:rPr>
                <w:rFonts w:ascii="Calibri" w:hAnsi="Calibri"/>
                <w:color w:val="000000"/>
                <w:lang w:eastAsia="en-GB"/>
              </w:rPr>
              <w:t>0</w:t>
            </w:r>
          </w:p>
        </w:tc>
        <w:tc>
          <w:tcPr>
            <w:tcW w:w="820" w:type="dxa"/>
            <w:tcBorders>
              <w:top w:val="nil"/>
              <w:left w:val="nil"/>
              <w:bottom w:val="single" w:sz="4" w:space="0" w:color="FFFFFF"/>
              <w:right w:val="single" w:sz="4" w:space="0" w:color="FFFFFF"/>
            </w:tcBorders>
            <w:shd w:val="clear" w:color="000000" w:fill="FDE9D9"/>
            <w:vAlign w:val="center"/>
            <w:hideMark/>
          </w:tcPr>
          <w:p w14:paraId="561402C3" w14:textId="3492B631" w:rsidR="00A05D84" w:rsidRPr="00A05D84" w:rsidRDefault="00C814BE" w:rsidP="001715ED">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58BAE6FA" w14:textId="7BF7F965"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153BF37E" w14:textId="73278AEE"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nil"/>
              <w:left w:val="nil"/>
              <w:bottom w:val="single" w:sz="4" w:space="0" w:color="FFFFFF"/>
              <w:right w:val="single" w:sz="4" w:space="0" w:color="FFFFFF"/>
            </w:tcBorders>
            <w:shd w:val="clear" w:color="000000" w:fill="FDE9D9"/>
            <w:vAlign w:val="center"/>
          </w:tcPr>
          <w:p w14:paraId="37F8E71D" w14:textId="4F09B463"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r>
      <w:tr w:rsidR="00A05D84" w:rsidRPr="00A05D84" w14:paraId="7BA990BA"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0C76B546"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Commodities</w:t>
            </w:r>
          </w:p>
        </w:tc>
        <w:tc>
          <w:tcPr>
            <w:tcW w:w="1280" w:type="dxa"/>
            <w:tcBorders>
              <w:top w:val="nil"/>
              <w:left w:val="nil"/>
              <w:bottom w:val="single" w:sz="4" w:space="0" w:color="FFFFFF"/>
              <w:right w:val="single" w:sz="4" w:space="0" w:color="FFFFFF"/>
            </w:tcBorders>
            <w:shd w:val="clear" w:color="000000" w:fill="FDE9D9"/>
            <w:vAlign w:val="center"/>
            <w:hideMark/>
          </w:tcPr>
          <w:p w14:paraId="4114F640" w14:textId="77777777" w:rsidR="00A05D84" w:rsidRPr="00A05D84" w:rsidRDefault="00F07E4C" w:rsidP="00A05D84">
            <w:pPr>
              <w:jc w:val="right"/>
              <w:rPr>
                <w:rFonts w:ascii="Calibri" w:hAnsi="Calibri"/>
                <w:color w:val="000000"/>
                <w:lang w:eastAsia="en-GB"/>
              </w:rPr>
            </w:pPr>
            <w:r>
              <w:rPr>
                <w:rFonts w:ascii="Calibri" w:hAnsi="Calibri"/>
                <w:color w:val="000000"/>
                <w:lang w:eastAsia="en-GB"/>
              </w:rPr>
              <w:t>0</w:t>
            </w:r>
          </w:p>
        </w:tc>
        <w:tc>
          <w:tcPr>
            <w:tcW w:w="1300" w:type="dxa"/>
            <w:tcBorders>
              <w:top w:val="nil"/>
              <w:left w:val="nil"/>
              <w:bottom w:val="single" w:sz="4" w:space="0" w:color="FFFFFF"/>
              <w:right w:val="single" w:sz="4" w:space="0" w:color="FFFFFF"/>
            </w:tcBorders>
            <w:shd w:val="clear" w:color="000000" w:fill="FDE9D9"/>
            <w:vAlign w:val="center"/>
            <w:hideMark/>
          </w:tcPr>
          <w:p w14:paraId="5C37DB73" w14:textId="2D245AB7" w:rsidR="00A05D84" w:rsidRPr="00A05D84" w:rsidRDefault="001223DF" w:rsidP="001715ED">
            <w:pPr>
              <w:jc w:val="right"/>
              <w:rPr>
                <w:rFonts w:ascii="Calibri" w:hAnsi="Calibri"/>
                <w:color w:val="000000"/>
                <w:lang w:eastAsia="en-GB"/>
              </w:rPr>
            </w:pPr>
            <w:r>
              <w:rPr>
                <w:rFonts w:ascii="Calibri" w:hAnsi="Calibri"/>
                <w:color w:val="000000"/>
                <w:lang w:eastAsia="en-GB"/>
              </w:rPr>
              <w:t>1,</w:t>
            </w:r>
            <w:r w:rsidR="00C814BE">
              <w:rPr>
                <w:rFonts w:ascii="Calibri" w:hAnsi="Calibri"/>
                <w:color w:val="000000"/>
                <w:lang w:eastAsia="en-GB"/>
              </w:rPr>
              <w:t>171</w:t>
            </w:r>
          </w:p>
        </w:tc>
        <w:tc>
          <w:tcPr>
            <w:tcW w:w="820" w:type="dxa"/>
            <w:tcBorders>
              <w:top w:val="nil"/>
              <w:left w:val="nil"/>
              <w:bottom w:val="single" w:sz="4" w:space="0" w:color="FFFFFF"/>
              <w:right w:val="single" w:sz="4" w:space="0" w:color="FFFFFF"/>
            </w:tcBorders>
            <w:shd w:val="clear" w:color="000000" w:fill="FDE9D9"/>
            <w:vAlign w:val="center"/>
            <w:hideMark/>
          </w:tcPr>
          <w:p w14:paraId="65EAC1B0" w14:textId="5ABBD3F9" w:rsidR="00A05D84" w:rsidRPr="00A05D84" w:rsidRDefault="001223DF" w:rsidP="001715ED">
            <w:pPr>
              <w:jc w:val="right"/>
              <w:rPr>
                <w:rFonts w:ascii="Calibri" w:hAnsi="Calibri"/>
                <w:color w:val="000000"/>
                <w:lang w:eastAsia="en-GB"/>
              </w:rPr>
            </w:pPr>
            <w:r>
              <w:rPr>
                <w:rFonts w:ascii="Calibri" w:hAnsi="Calibri"/>
                <w:color w:val="000000"/>
                <w:lang w:eastAsia="en-GB"/>
              </w:rPr>
              <w:t>1</w:t>
            </w:r>
            <w:r w:rsidR="00C814BE">
              <w:rPr>
                <w:rFonts w:ascii="Calibri" w:hAnsi="Calibri"/>
                <w:color w:val="000000"/>
                <w:lang w:eastAsia="en-GB"/>
              </w:rPr>
              <w:t>,171</w:t>
            </w:r>
          </w:p>
        </w:tc>
        <w:tc>
          <w:tcPr>
            <w:tcW w:w="1240" w:type="dxa"/>
            <w:tcBorders>
              <w:top w:val="nil"/>
              <w:left w:val="nil"/>
              <w:bottom w:val="single" w:sz="4" w:space="0" w:color="FFFFFF"/>
              <w:right w:val="single" w:sz="4" w:space="0" w:color="FFFFFF"/>
            </w:tcBorders>
            <w:shd w:val="clear" w:color="000000" w:fill="FDE9D9"/>
            <w:vAlign w:val="center"/>
          </w:tcPr>
          <w:p w14:paraId="7A1560E3" w14:textId="425A1168"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2132F082" w14:textId="288735B6" w:rsidR="00A05D84" w:rsidRPr="00A05D84" w:rsidRDefault="00D715E5" w:rsidP="00076B7B">
            <w:pPr>
              <w:jc w:val="right"/>
              <w:rPr>
                <w:rFonts w:ascii="Calibri" w:hAnsi="Calibri"/>
                <w:color w:val="000000"/>
                <w:lang w:eastAsia="en-GB"/>
              </w:rPr>
            </w:pPr>
            <w:r>
              <w:rPr>
                <w:rFonts w:ascii="Calibri" w:hAnsi="Calibri"/>
                <w:color w:val="000000"/>
                <w:lang w:eastAsia="en-GB"/>
              </w:rPr>
              <w:t>1,145</w:t>
            </w:r>
          </w:p>
        </w:tc>
        <w:tc>
          <w:tcPr>
            <w:tcW w:w="800" w:type="dxa"/>
            <w:tcBorders>
              <w:top w:val="nil"/>
              <w:left w:val="nil"/>
              <w:bottom w:val="single" w:sz="4" w:space="0" w:color="FFFFFF"/>
              <w:right w:val="single" w:sz="4" w:space="0" w:color="FFFFFF"/>
            </w:tcBorders>
            <w:shd w:val="clear" w:color="000000" w:fill="FDE9D9"/>
            <w:vAlign w:val="center"/>
          </w:tcPr>
          <w:p w14:paraId="3A41716F" w14:textId="3246D449" w:rsidR="00A05D84" w:rsidRPr="00A05D84" w:rsidRDefault="00D715E5" w:rsidP="00A05D84">
            <w:pPr>
              <w:jc w:val="right"/>
              <w:rPr>
                <w:rFonts w:ascii="Calibri" w:hAnsi="Calibri"/>
                <w:color w:val="000000"/>
                <w:lang w:eastAsia="en-GB"/>
              </w:rPr>
            </w:pPr>
            <w:r>
              <w:rPr>
                <w:rFonts w:ascii="Calibri" w:hAnsi="Calibri"/>
                <w:color w:val="000000"/>
                <w:lang w:eastAsia="en-GB"/>
              </w:rPr>
              <w:t>1,145</w:t>
            </w:r>
          </w:p>
        </w:tc>
      </w:tr>
      <w:tr w:rsidR="00A05D84" w:rsidRPr="00A05D84" w14:paraId="202D59DF"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332234DE"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Infrastructure</w:t>
            </w:r>
          </w:p>
        </w:tc>
        <w:tc>
          <w:tcPr>
            <w:tcW w:w="1280" w:type="dxa"/>
            <w:tcBorders>
              <w:top w:val="nil"/>
              <w:left w:val="nil"/>
              <w:bottom w:val="single" w:sz="4" w:space="0" w:color="FFFFFF"/>
              <w:right w:val="single" w:sz="4" w:space="0" w:color="FFFFFF"/>
            </w:tcBorders>
            <w:shd w:val="clear" w:color="000000" w:fill="FDE9D9"/>
            <w:vAlign w:val="center"/>
            <w:hideMark/>
          </w:tcPr>
          <w:p w14:paraId="425307E2"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300" w:type="dxa"/>
            <w:tcBorders>
              <w:top w:val="nil"/>
              <w:left w:val="nil"/>
              <w:bottom w:val="single" w:sz="4" w:space="0" w:color="FFFFFF"/>
              <w:right w:val="single" w:sz="4" w:space="0" w:color="FFFFFF"/>
            </w:tcBorders>
            <w:shd w:val="clear" w:color="000000" w:fill="FDE9D9"/>
            <w:vAlign w:val="center"/>
            <w:hideMark/>
          </w:tcPr>
          <w:p w14:paraId="06623DC6" w14:textId="1EEC59EE" w:rsidR="00A05D84" w:rsidRPr="00A05D84" w:rsidRDefault="00895003" w:rsidP="001715ED">
            <w:pPr>
              <w:jc w:val="right"/>
              <w:rPr>
                <w:rFonts w:ascii="Calibri" w:hAnsi="Calibri"/>
                <w:color w:val="000000"/>
                <w:lang w:eastAsia="en-GB"/>
              </w:rPr>
            </w:pPr>
            <w:r>
              <w:rPr>
                <w:rFonts w:ascii="Calibri" w:hAnsi="Calibri"/>
                <w:color w:val="000000"/>
                <w:lang w:eastAsia="en-GB"/>
              </w:rPr>
              <w:t>2,</w:t>
            </w:r>
            <w:r w:rsidR="00C814BE">
              <w:rPr>
                <w:rFonts w:ascii="Calibri" w:hAnsi="Calibri"/>
                <w:color w:val="000000"/>
                <w:lang w:eastAsia="en-GB"/>
              </w:rPr>
              <w:t>440</w:t>
            </w:r>
          </w:p>
        </w:tc>
        <w:tc>
          <w:tcPr>
            <w:tcW w:w="820" w:type="dxa"/>
            <w:tcBorders>
              <w:top w:val="nil"/>
              <w:left w:val="nil"/>
              <w:bottom w:val="single" w:sz="4" w:space="0" w:color="FFFFFF"/>
              <w:right w:val="single" w:sz="4" w:space="0" w:color="FFFFFF"/>
            </w:tcBorders>
            <w:shd w:val="clear" w:color="000000" w:fill="FDE9D9"/>
            <w:vAlign w:val="center"/>
            <w:hideMark/>
          </w:tcPr>
          <w:p w14:paraId="01E89226" w14:textId="49E4650E" w:rsidR="00A05D84" w:rsidRPr="00A05D84" w:rsidRDefault="00895003" w:rsidP="001715ED">
            <w:pPr>
              <w:jc w:val="right"/>
              <w:rPr>
                <w:rFonts w:ascii="Calibri" w:hAnsi="Calibri"/>
                <w:color w:val="000000"/>
                <w:lang w:eastAsia="en-GB"/>
              </w:rPr>
            </w:pPr>
            <w:r>
              <w:rPr>
                <w:rFonts w:ascii="Calibri" w:hAnsi="Calibri"/>
                <w:color w:val="000000"/>
                <w:lang w:eastAsia="en-GB"/>
              </w:rPr>
              <w:t>2,</w:t>
            </w:r>
            <w:r w:rsidR="00C814BE">
              <w:rPr>
                <w:rFonts w:ascii="Calibri" w:hAnsi="Calibri"/>
                <w:color w:val="000000"/>
                <w:lang w:eastAsia="en-GB"/>
              </w:rPr>
              <w:t>440</w:t>
            </w:r>
          </w:p>
        </w:tc>
        <w:tc>
          <w:tcPr>
            <w:tcW w:w="1240" w:type="dxa"/>
            <w:tcBorders>
              <w:top w:val="nil"/>
              <w:left w:val="nil"/>
              <w:bottom w:val="single" w:sz="4" w:space="0" w:color="FFFFFF"/>
              <w:right w:val="single" w:sz="4" w:space="0" w:color="FFFFFF"/>
            </w:tcBorders>
            <w:shd w:val="clear" w:color="000000" w:fill="FDE9D9"/>
            <w:vAlign w:val="center"/>
          </w:tcPr>
          <w:p w14:paraId="523B7EA4" w14:textId="624AAFB6"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nil"/>
              <w:left w:val="nil"/>
              <w:bottom w:val="single" w:sz="4" w:space="0" w:color="FFFFFF"/>
              <w:right w:val="single" w:sz="4" w:space="0" w:color="FFFFFF"/>
            </w:tcBorders>
            <w:shd w:val="clear" w:color="000000" w:fill="FDE9D9"/>
            <w:vAlign w:val="center"/>
          </w:tcPr>
          <w:p w14:paraId="4F763451" w14:textId="3F4FAB71" w:rsidR="00A05D84" w:rsidRPr="00A05D84" w:rsidRDefault="00D715E5" w:rsidP="006A2D9F">
            <w:pPr>
              <w:jc w:val="right"/>
              <w:rPr>
                <w:rFonts w:ascii="Calibri" w:hAnsi="Calibri"/>
                <w:color w:val="000000"/>
                <w:lang w:eastAsia="en-GB"/>
              </w:rPr>
            </w:pPr>
            <w:r>
              <w:rPr>
                <w:rFonts w:ascii="Calibri" w:hAnsi="Calibri"/>
                <w:color w:val="000000"/>
                <w:lang w:eastAsia="en-GB"/>
              </w:rPr>
              <w:t>2,386</w:t>
            </w:r>
          </w:p>
        </w:tc>
        <w:tc>
          <w:tcPr>
            <w:tcW w:w="800" w:type="dxa"/>
            <w:tcBorders>
              <w:top w:val="nil"/>
              <w:left w:val="nil"/>
              <w:bottom w:val="single" w:sz="4" w:space="0" w:color="FFFFFF"/>
              <w:right w:val="single" w:sz="4" w:space="0" w:color="FFFFFF"/>
            </w:tcBorders>
            <w:shd w:val="clear" w:color="000000" w:fill="FDE9D9"/>
            <w:vAlign w:val="center"/>
          </w:tcPr>
          <w:p w14:paraId="04C1F6FF" w14:textId="5F6DC64C" w:rsidR="00A05D84" w:rsidRPr="00A05D84" w:rsidRDefault="00D715E5" w:rsidP="00A05D84">
            <w:pPr>
              <w:jc w:val="right"/>
              <w:rPr>
                <w:rFonts w:ascii="Calibri" w:hAnsi="Calibri"/>
                <w:color w:val="000000"/>
                <w:lang w:eastAsia="en-GB"/>
              </w:rPr>
            </w:pPr>
            <w:r>
              <w:rPr>
                <w:rFonts w:ascii="Calibri" w:hAnsi="Calibri"/>
                <w:color w:val="000000"/>
                <w:lang w:eastAsia="en-GB"/>
              </w:rPr>
              <w:t>2,386</w:t>
            </w:r>
          </w:p>
        </w:tc>
      </w:tr>
      <w:tr w:rsidR="00A05D84" w:rsidRPr="00A05D84" w14:paraId="09142C1F"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06DD9390"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Other</w:t>
            </w:r>
          </w:p>
        </w:tc>
        <w:tc>
          <w:tcPr>
            <w:tcW w:w="1280" w:type="dxa"/>
            <w:tcBorders>
              <w:top w:val="nil"/>
              <w:left w:val="nil"/>
              <w:bottom w:val="single" w:sz="4" w:space="0" w:color="FFFFFF"/>
              <w:right w:val="single" w:sz="4" w:space="0" w:color="FFFFFF"/>
            </w:tcBorders>
            <w:shd w:val="clear" w:color="000000" w:fill="FDE9D9"/>
            <w:vAlign w:val="center"/>
            <w:hideMark/>
          </w:tcPr>
          <w:p w14:paraId="7D729CBA" w14:textId="22ABF874" w:rsidR="00A05D84" w:rsidRPr="00A05D84" w:rsidRDefault="00C814BE" w:rsidP="001223DF">
            <w:pPr>
              <w:jc w:val="right"/>
              <w:rPr>
                <w:rFonts w:ascii="Calibri" w:hAnsi="Calibri"/>
                <w:color w:val="000000"/>
                <w:lang w:eastAsia="en-GB"/>
              </w:rPr>
            </w:pPr>
            <w:r>
              <w:rPr>
                <w:rFonts w:ascii="Calibri" w:hAnsi="Calibri"/>
                <w:color w:val="000000"/>
                <w:lang w:eastAsia="en-GB"/>
              </w:rPr>
              <w:t>3,967</w:t>
            </w:r>
          </w:p>
        </w:tc>
        <w:tc>
          <w:tcPr>
            <w:tcW w:w="1300" w:type="dxa"/>
            <w:tcBorders>
              <w:top w:val="nil"/>
              <w:left w:val="nil"/>
              <w:bottom w:val="single" w:sz="4" w:space="0" w:color="FFFFFF"/>
              <w:right w:val="single" w:sz="4" w:space="0" w:color="FFFFFF"/>
            </w:tcBorders>
            <w:shd w:val="clear" w:color="000000" w:fill="FDE9D9"/>
            <w:vAlign w:val="center"/>
            <w:hideMark/>
          </w:tcPr>
          <w:p w14:paraId="30F38C39" w14:textId="173467A4" w:rsidR="00A05D84" w:rsidRPr="00A05D84" w:rsidRDefault="00C814BE" w:rsidP="00A05D84">
            <w:pPr>
              <w:jc w:val="right"/>
              <w:rPr>
                <w:rFonts w:ascii="Calibri" w:hAnsi="Calibri"/>
                <w:color w:val="000000"/>
                <w:lang w:eastAsia="en-GB"/>
              </w:rPr>
            </w:pPr>
            <w:r>
              <w:rPr>
                <w:rFonts w:ascii="Calibri" w:hAnsi="Calibri"/>
                <w:color w:val="000000"/>
                <w:lang w:eastAsia="en-GB"/>
              </w:rPr>
              <w:t>5,617</w:t>
            </w:r>
          </w:p>
        </w:tc>
        <w:tc>
          <w:tcPr>
            <w:tcW w:w="820" w:type="dxa"/>
            <w:tcBorders>
              <w:top w:val="nil"/>
              <w:left w:val="nil"/>
              <w:bottom w:val="single" w:sz="4" w:space="0" w:color="FFFFFF"/>
              <w:right w:val="single" w:sz="4" w:space="0" w:color="FFFFFF"/>
            </w:tcBorders>
            <w:shd w:val="clear" w:color="000000" w:fill="FDE9D9"/>
            <w:vAlign w:val="center"/>
            <w:hideMark/>
          </w:tcPr>
          <w:p w14:paraId="0A573BE7" w14:textId="72B97F1B" w:rsidR="00A05D84" w:rsidRPr="00A05D84" w:rsidRDefault="00C814BE" w:rsidP="001223DF">
            <w:pPr>
              <w:jc w:val="right"/>
              <w:rPr>
                <w:rFonts w:ascii="Calibri" w:hAnsi="Calibri"/>
                <w:color w:val="000000"/>
                <w:lang w:eastAsia="en-GB"/>
              </w:rPr>
            </w:pPr>
            <w:r>
              <w:rPr>
                <w:rFonts w:ascii="Calibri" w:hAnsi="Calibri"/>
                <w:color w:val="000000"/>
                <w:lang w:eastAsia="en-GB"/>
              </w:rPr>
              <w:t>9,584</w:t>
            </w:r>
          </w:p>
        </w:tc>
        <w:tc>
          <w:tcPr>
            <w:tcW w:w="1240" w:type="dxa"/>
            <w:tcBorders>
              <w:top w:val="nil"/>
              <w:left w:val="nil"/>
              <w:bottom w:val="single" w:sz="4" w:space="0" w:color="FFFFFF"/>
              <w:right w:val="single" w:sz="4" w:space="0" w:color="FFFFFF"/>
            </w:tcBorders>
            <w:shd w:val="clear" w:color="000000" w:fill="FDE9D9"/>
            <w:vAlign w:val="center"/>
          </w:tcPr>
          <w:p w14:paraId="4FA1D48C" w14:textId="127760D9" w:rsidR="00A05D84" w:rsidRPr="00A05D84" w:rsidRDefault="00D715E5" w:rsidP="00076B7B">
            <w:pPr>
              <w:jc w:val="right"/>
              <w:rPr>
                <w:rFonts w:ascii="Calibri" w:hAnsi="Calibri"/>
                <w:color w:val="000000"/>
                <w:lang w:eastAsia="en-GB"/>
              </w:rPr>
            </w:pPr>
            <w:r>
              <w:rPr>
                <w:rFonts w:ascii="Calibri" w:hAnsi="Calibri"/>
                <w:color w:val="000000"/>
                <w:lang w:eastAsia="en-GB"/>
              </w:rPr>
              <w:t>3,880</w:t>
            </w:r>
          </w:p>
        </w:tc>
        <w:tc>
          <w:tcPr>
            <w:tcW w:w="1240" w:type="dxa"/>
            <w:tcBorders>
              <w:top w:val="nil"/>
              <w:left w:val="nil"/>
              <w:bottom w:val="single" w:sz="4" w:space="0" w:color="FFFFFF"/>
              <w:right w:val="single" w:sz="4" w:space="0" w:color="FFFFFF"/>
            </w:tcBorders>
            <w:shd w:val="clear" w:color="000000" w:fill="FDE9D9"/>
            <w:vAlign w:val="center"/>
          </w:tcPr>
          <w:p w14:paraId="0E63F194" w14:textId="02992589" w:rsidR="00A05D84" w:rsidRPr="00A05D84" w:rsidRDefault="00D715E5" w:rsidP="00A05D84">
            <w:pPr>
              <w:jc w:val="right"/>
              <w:rPr>
                <w:rFonts w:ascii="Calibri" w:hAnsi="Calibri"/>
                <w:color w:val="000000"/>
                <w:lang w:eastAsia="en-GB"/>
              </w:rPr>
            </w:pPr>
            <w:r>
              <w:rPr>
                <w:rFonts w:ascii="Calibri" w:hAnsi="Calibri"/>
                <w:color w:val="000000"/>
                <w:lang w:eastAsia="en-GB"/>
              </w:rPr>
              <w:t>5,494</w:t>
            </w:r>
          </w:p>
        </w:tc>
        <w:tc>
          <w:tcPr>
            <w:tcW w:w="800" w:type="dxa"/>
            <w:tcBorders>
              <w:top w:val="nil"/>
              <w:left w:val="nil"/>
              <w:bottom w:val="single" w:sz="4" w:space="0" w:color="FFFFFF"/>
              <w:right w:val="single" w:sz="4" w:space="0" w:color="FFFFFF"/>
            </w:tcBorders>
            <w:shd w:val="clear" w:color="000000" w:fill="FDE9D9"/>
            <w:vAlign w:val="center"/>
          </w:tcPr>
          <w:p w14:paraId="2B3771C4" w14:textId="0547BA0B" w:rsidR="00A05D84" w:rsidRPr="00A05D84" w:rsidRDefault="00D715E5" w:rsidP="00A05D84">
            <w:pPr>
              <w:jc w:val="right"/>
              <w:rPr>
                <w:rFonts w:ascii="Calibri" w:hAnsi="Calibri"/>
                <w:color w:val="000000"/>
                <w:lang w:eastAsia="en-GB"/>
              </w:rPr>
            </w:pPr>
            <w:r>
              <w:rPr>
                <w:rFonts w:ascii="Calibri" w:hAnsi="Calibri"/>
                <w:color w:val="000000"/>
                <w:lang w:eastAsia="en-GB"/>
              </w:rPr>
              <w:t>9,374</w:t>
            </w:r>
          </w:p>
        </w:tc>
      </w:tr>
      <w:tr w:rsidR="00A05D84" w:rsidRPr="00A05D84" w14:paraId="0028834C" w14:textId="77777777" w:rsidTr="00F07E4C">
        <w:trPr>
          <w:trHeight w:val="300"/>
        </w:trPr>
        <w:tc>
          <w:tcPr>
            <w:tcW w:w="3120" w:type="dxa"/>
            <w:tcBorders>
              <w:top w:val="nil"/>
              <w:left w:val="nil"/>
              <w:bottom w:val="nil"/>
              <w:right w:val="nil"/>
            </w:tcBorders>
            <w:shd w:val="clear" w:color="000000" w:fill="FDE9D9"/>
            <w:vAlign w:val="center"/>
            <w:hideMark/>
          </w:tcPr>
          <w:p w14:paraId="65ED526A"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Derivatives</w:t>
            </w:r>
          </w:p>
        </w:tc>
        <w:tc>
          <w:tcPr>
            <w:tcW w:w="1280" w:type="dxa"/>
            <w:tcBorders>
              <w:top w:val="nil"/>
              <w:left w:val="nil"/>
              <w:bottom w:val="nil"/>
              <w:right w:val="nil"/>
            </w:tcBorders>
            <w:shd w:val="clear" w:color="000000" w:fill="FDE9D9"/>
            <w:vAlign w:val="center"/>
            <w:hideMark/>
          </w:tcPr>
          <w:p w14:paraId="5C7F8C57"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2437CBA9"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0B8CD502"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tcPr>
          <w:p w14:paraId="34D47390" w14:textId="77777777" w:rsidR="00A05D84" w:rsidRPr="00A05D84" w:rsidRDefault="00A05D84" w:rsidP="00A05D84">
            <w:pPr>
              <w:jc w:val="right"/>
              <w:rPr>
                <w:rFonts w:ascii="Calibri" w:hAnsi="Calibri"/>
                <w:color w:val="000000"/>
                <w:lang w:eastAsia="en-GB"/>
              </w:rPr>
            </w:pPr>
          </w:p>
        </w:tc>
        <w:tc>
          <w:tcPr>
            <w:tcW w:w="1240" w:type="dxa"/>
            <w:tcBorders>
              <w:top w:val="nil"/>
              <w:left w:val="nil"/>
              <w:bottom w:val="nil"/>
              <w:right w:val="nil"/>
            </w:tcBorders>
            <w:shd w:val="clear" w:color="000000" w:fill="FDE9D9"/>
            <w:vAlign w:val="center"/>
          </w:tcPr>
          <w:p w14:paraId="556219E0" w14:textId="77777777" w:rsidR="00A05D84" w:rsidRPr="00A05D84" w:rsidRDefault="00A05D84" w:rsidP="00A05D84">
            <w:pPr>
              <w:jc w:val="right"/>
              <w:rPr>
                <w:rFonts w:ascii="Calibri" w:hAnsi="Calibri"/>
                <w:color w:val="000000"/>
                <w:lang w:eastAsia="en-GB"/>
              </w:rPr>
            </w:pPr>
          </w:p>
        </w:tc>
        <w:tc>
          <w:tcPr>
            <w:tcW w:w="800" w:type="dxa"/>
            <w:tcBorders>
              <w:top w:val="nil"/>
              <w:left w:val="nil"/>
              <w:bottom w:val="nil"/>
              <w:right w:val="nil"/>
            </w:tcBorders>
            <w:shd w:val="clear" w:color="000000" w:fill="FDE9D9"/>
            <w:vAlign w:val="center"/>
          </w:tcPr>
          <w:p w14:paraId="2F8799EA" w14:textId="77777777" w:rsidR="00A05D84" w:rsidRPr="00A05D84" w:rsidRDefault="00A05D84" w:rsidP="00A05D84">
            <w:pPr>
              <w:jc w:val="right"/>
              <w:rPr>
                <w:rFonts w:ascii="Calibri" w:hAnsi="Calibri"/>
                <w:color w:val="000000"/>
                <w:lang w:eastAsia="en-GB"/>
              </w:rPr>
            </w:pPr>
          </w:p>
        </w:tc>
      </w:tr>
      <w:tr w:rsidR="00A05D84" w:rsidRPr="00A05D84" w14:paraId="1A399C82"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2D41B38E"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Interest Rate</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4C922A39"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1E6ABA8E"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7F8397FF"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766B1D9A" w14:textId="2BB8DA2A"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065B827A" w14:textId="6D965080"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7FA93A97" w14:textId="3A9B3723"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r>
      <w:tr w:rsidR="00A05D84" w:rsidRPr="00A05D84" w14:paraId="1D8AF160"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DE9D9"/>
            <w:vAlign w:val="center"/>
            <w:hideMark/>
          </w:tcPr>
          <w:p w14:paraId="2F35DF33"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Foreign Exchange</w:t>
            </w:r>
          </w:p>
        </w:tc>
        <w:tc>
          <w:tcPr>
            <w:tcW w:w="1280" w:type="dxa"/>
            <w:tcBorders>
              <w:top w:val="nil"/>
              <w:left w:val="nil"/>
              <w:bottom w:val="single" w:sz="4" w:space="0" w:color="FFFFFF"/>
              <w:right w:val="single" w:sz="4" w:space="0" w:color="FFFFFF"/>
            </w:tcBorders>
            <w:shd w:val="clear" w:color="000000" w:fill="FDE9D9"/>
            <w:vAlign w:val="center"/>
            <w:hideMark/>
          </w:tcPr>
          <w:p w14:paraId="40C0754E" w14:textId="51E29516" w:rsidR="00A05D84" w:rsidRPr="00A05D84" w:rsidRDefault="00C814BE" w:rsidP="001223DF">
            <w:pPr>
              <w:jc w:val="right"/>
              <w:rPr>
                <w:rFonts w:ascii="Calibri" w:hAnsi="Calibri"/>
                <w:color w:val="000000"/>
                <w:lang w:eastAsia="en-GB"/>
              </w:rPr>
            </w:pPr>
            <w:r>
              <w:rPr>
                <w:rFonts w:ascii="Calibri" w:hAnsi="Calibri"/>
                <w:color w:val="000000"/>
                <w:lang w:eastAsia="en-GB"/>
              </w:rPr>
              <w:t>97</w:t>
            </w:r>
          </w:p>
        </w:tc>
        <w:tc>
          <w:tcPr>
            <w:tcW w:w="1300" w:type="dxa"/>
            <w:tcBorders>
              <w:top w:val="nil"/>
              <w:left w:val="nil"/>
              <w:bottom w:val="single" w:sz="4" w:space="0" w:color="FFFFFF"/>
              <w:right w:val="single" w:sz="4" w:space="0" w:color="FFFFFF"/>
            </w:tcBorders>
            <w:shd w:val="clear" w:color="000000" w:fill="FDE9D9"/>
            <w:vAlign w:val="center"/>
            <w:hideMark/>
          </w:tcPr>
          <w:p w14:paraId="3260F9A5"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nil"/>
              <w:left w:val="nil"/>
              <w:bottom w:val="single" w:sz="4" w:space="0" w:color="FFFFFF"/>
              <w:right w:val="single" w:sz="4" w:space="0" w:color="FFFFFF"/>
            </w:tcBorders>
            <w:shd w:val="clear" w:color="000000" w:fill="FDE9D9"/>
            <w:vAlign w:val="center"/>
            <w:hideMark/>
          </w:tcPr>
          <w:p w14:paraId="4D55ED48" w14:textId="326CF30F" w:rsidR="00A05D84" w:rsidRPr="00A05D84" w:rsidRDefault="00C814BE" w:rsidP="001223DF">
            <w:pPr>
              <w:jc w:val="right"/>
              <w:rPr>
                <w:rFonts w:ascii="Calibri" w:hAnsi="Calibri"/>
                <w:color w:val="000000"/>
                <w:lang w:eastAsia="en-GB"/>
              </w:rPr>
            </w:pPr>
            <w:r>
              <w:rPr>
                <w:rFonts w:ascii="Calibri" w:hAnsi="Calibri"/>
                <w:color w:val="000000"/>
                <w:lang w:eastAsia="en-GB"/>
              </w:rPr>
              <w:t>97</w:t>
            </w:r>
          </w:p>
        </w:tc>
        <w:tc>
          <w:tcPr>
            <w:tcW w:w="1240" w:type="dxa"/>
            <w:tcBorders>
              <w:top w:val="nil"/>
              <w:left w:val="nil"/>
              <w:bottom w:val="single" w:sz="4" w:space="0" w:color="FFFFFF"/>
              <w:right w:val="single" w:sz="4" w:space="0" w:color="FFFFFF"/>
            </w:tcBorders>
            <w:shd w:val="clear" w:color="000000" w:fill="FDE9D9"/>
            <w:vAlign w:val="center"/>
          </w:tcPr>
          <w:p w14:paraId="747CC1CA" w14:textId="418DA4FD" w:rsidR="00A05D84" w:rsidRPr="00A05D84" w:rsidRDefault="00D715E5" w:rsidP="00A05D84">
            <w:pPr>
              <w:jc w:val="right"/>
              <w:rPr>
                <w:rFonts w:ascii="Calibri" w:hAnsi="Calibri"/>
                <w:color w:val="000000"/>
                <w:lang w:eastAsia="en-GB"/>
              </w:rPr>
            </w:pPr>
            <w:r>
              <w:rPr>
                <w:rFonts w:ascii="Calibri" w:hAnsi="Calibri"/>
                <w:color w:val="000000"/>
                <w:lang w:eastAsia="en-GB"/>
              </w:rPr>
              <w:t>95</w:t>
            </w:r>
          </w:p>
        </w:tc>
        <w:tc>
          <w:tcPr>
            <w:tcW w:w="1240" w:type="dxa"/>
            <w:tcBorders>
              <w:top w:val="nil"/>
              <w:left w:val="nil"/>
              <w:bottom w:val="single" w:sz="4" w:space="0" w:color="FFFFFF"/>
              <w:right w:val="single" w:sz="4" w:space="0" w:color="FFFFFF"/>
            </w:tcBorders>
            <w:shd w:val="clear" w:color="000000" w:fill="FDE9D9"/>
            <w:vAlign w:val="center"/>
          </w:tcPr>
          <w:p w14:paraId="71234C07" w14:textId="71FF4491"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nil"/>
              <w:left w:val="nil"/>
              <w:bottom w:val="single" w:sz="4" w:space="0" w:color="FFFFFF"/>
              <w:right w:val="single" w:sz="4" w:space="0" w:color="FFFFFF"/>
            </w:tcBorders>
            <w:shd w:val="clear" w:color="000000" w:fill="FDE9D9"/>
            <w:vAlign w:val="center"/>
          </w:tcPr>
          <w:p w14:paraId="7228AD3D" w14:textId="4CEF4EC3" w:rsidR="00A05D84" w:rsidRPr="00A05D84" w:rsidRDefault="00D715E5" w:rsidP="00A05D84">
            <w:pPr>
              <w:jc w:val="right"/>
              <w:rPr>
                <w:rFonts w:ascii="Calibri" w:hAnsi="Calibri"/>
                <w:color w:val="000000"/>
                <w:lang w:eastAsia="en-GB"/>
              </w:rPr>
            </w:pPr>
            <w:r>
              <w:rPr>
                <w:rFonts w:ascii="Calibri" w:hAnsi="Calibri"/>
                <w:color w:val="000000"/>
                <w:lang w:eastAsia="en-GB"/>
              </w:rPr>
              <w:t>95</w:t>
            </w:r>
          </w:p>
        </w:tc>
      </w:tr>
      <w:tr w:rsidR="00A05D84" w:rsidRPr="00A05D84" w14:paraId="425C26FF" w14:textId="77777777" w:rsidTr="00F07E4C">
        <w:trPr>
          <w:trHeight w:val="300"/>
        </w:trPr>
        <w:tc>
          <w:tcPr>
            <w:tcW w:w="3120" w:type="dxa"/>
            <w:tcBorders>
              <w:top w:val="nil"/>
              <w:left w:val="nil"/>
              <w:bottom w:val="nil"/>
              <w:right w:val="nil"/>
            </w:tcBorders>
            <w:shd w:val="clear" w:color="000000" w:fill="FDE9D9"/>
            <w:vAlign w:val="center"/>
            <w:hideMark/>
          </w:tcPr>
          <w:p w14:paraId="765ABF39"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Cash and Cash Equivalents:</w:t>
            </w:r>
          </w:p>
        </w:tc>
        <w:tc>
          <w:tcPr>
            <w:tcW w:w="1280" w:type="dxa"/>
            <w:tcBorders>
              <w:top w:val="nil"/>
              <w:left w:val="nil"/>
              <w:bottom w:val="nil"/>
              <w:right w:val="nil"/>
            </w:tcBorders>
            <w:shd w:val="clear" w:color="000000" w:fill="FDE9D9"/>
            <w:vAlign w:val="center"/>
            <w:hideMark/>
          </w:tcPr>
          <w:p w14:paraId="1266D543"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1300" w:type="dxa"/>
            <w:tcBorders>
              <w:top w:val="nil"/>
              <w:left w:val="nil"/>
              <w:bottom w:val="nil"/>
              <w:right w:val="nil"/>
            </w:tcBorders>
            <w:shd w:val="clear" w:color="000000" w:fill="FDE9D9"/>
            <w:vAlign w:val="center"/>
            <w:hideMark/>
          </w:tcPr>
          <w:p w14:paraId="0E102005" w14:textId="77777777" w:rsidR="00A05D84" w:rsidRPr="00A05D84" w:rsidRDefault="00A05D84" w:rsidP="00A05D84">
            <w:pPr>
              <w:jc w:val="right"/>
              <w:rPr>
                <w:rFonts w:ascii="Calibri" w:hAnsi="Calibri"/>
                <w:b/>
                <w:bCs/>
                <w:color w:val="000000"/>
                <w:lang w:eastAsia="en-GB"/>
              </w:rPr>
            </w:pPr>
            <w:r w:rsidRPr="00A05D84">
              <w:rPr>
                <w:rFonts w:ascii="Calibri" w:hAnsi="Calibri"/>
                <w:b/>
                <w:bCs/>
                <w:color w:val="000000"/>
                <w:lang w:eastAsia="en-GB"/>
              </w:rPr>
              <w:t> </w:t>
            </w:r>
          </w:p>
        </w:tc>
        <w:tc>
          <w:tcPr>
            <w:tcW w:w="820" w:type="dxa"/>
            <w:tcBorders>
              <w:top w:val="nil"/>
              <w:left w:val="nil"/>
              <w:bottom w:val="nil"/>
              <w:right w:val="nil"/>
            </w:tcBorders>
            <w:shd w:val="clear" w:color="000000" w:fill="FDE9D9"/>
            <w:vAlign w:val="center"/>
            <w:hideMark/>
          </w:tcPr>
          <w:p w14:paraId="1BA90788"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 </w:t>
            </w:r>
          </w:p>
        </w:tc>
        <w:tc>
          <w:tcPr>
            <w:tcW w:w="1240" w:type="dxa"/>
            <w:tcBorders>
              <w:top w:val="nil"/>
              <w:left w:val="nil"/>
              <w:bottom w:val="nil"/>
              <w:right w:val="nil"/>
            </w:tcBorders>
            <w:shd w:val="clear" w:color="000000" w:fill="FDE9D9"/>
            <w:vAlign w:val="center"/>
          </w:tcPr>
          <w:p w14:paraId="3E92AA39" w14:textId="77777777" w:rsidR="00A05D84" w:rsidRPr="00A05D84" w:rsidRDefault="00A05D84" w:rsidP="00A05D84">
            <w:pPr>
              <w:jc w:val="right"/>
              <w:rPr>
                <w:rFonts w:ascii="Calibri" w:hAnsi="Calibri"/>
                <w:color w:val="000000"/>
                <w:lang w:eastAsia="en-GB"/>
              </w:rPr>
            </w:pPr>
          </w:p>
        </w:tc>
        <w:tc>
          <w:tcPr>
            <w:tcW w:w="1240" w:type="dxa"/>
            <w:tcBorders>
              <w:top w:val="nil"/>
              <w:left w:val="nil"/>
              <w:bottom w:val="nil"/>
              <w:right w:val="nil"/>
            </w:tcBorders>
            <w:shd w:val="clear" w:color="000000" w:fill="FDE9D9"/>
            <w:vAlign w:val="center"/>
          </w:tcPr>
          <w:p w14:paraId="1B9920EE" w14:textId="77777777" w:rsidR="00A05D84" w:rsidRPr="00A05D84" w:rsidRDefault="00A05D84" w:rsidP="00A05D84">
            <w:pPr>
              <w:jc w:val="right"/>
              <w:rPr>
                <w:rFonts w:ascii="Calibri" w:hAnsi="Calibri"/>
                <w:color w:val="000000"/>
                <w:lang w:eastAsia="en-GB"/>
              </w:rPr>
            </w:pPr>
          </w:p>
        </w:tc>
        <w:tc>
          <w:tcPr>
            <w:tcW w:w="800" w:type="dxa"/>
            <w:tcBorders>
              <w:top w:val="nil"/>
              <w:left w:val="nil"/>
              <w:bottom w:val="nil"/>
              <w:right w:val="nil"/>
            </w:tcBorders>
            <w:shd w:val="clear" w:color="000000" w:fill="FDE9D9"/>
            <w:vAlign w:val="center"/>
          </w:tcPr>
          <w:p w14:paraId="5C91043B" w14:textId="77777777" w:rsidR="00A05D84" w:rsidRPr="00A05D84" w:rsidRDefault="00A05D84" w:rsidP="00A05D84">
            <w:pPr>
              <w:jc w:val="right"/>
              <w:rPr>
                <w:rFonts w:ascii="Calibri" w:hAnsi="Calibri"/>
                <w:color w:val="000000"/>
                <w:lang w:eastAsia="en-GB"/>
              </w:rPr>
            </w:pPr>
          </w:p>
        </w:tc>
      </w:tr>
      <w:tr w:rsidR="00A05D84" w:rsidRPr="00A05D84" w14:paraId="0FB88B35" w14:textId="77777777" w:rsidTr="00F07E4C">
        <w:trPr>
          <w:trHeight w:val="300"/>
        </w:trPr>
        <w:tc>
          <w:tcPr>
            <w:tcW w:w="312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6450DD20" w14:textId="77777777" w:rsidR="00A05D84" w:rsidRPr="00A05D84" w:rsidRDefault="00A05D84" w:rsidP="00A05D84">
            <w:pPr>
              <w:jc w:val="both"/>
              <w:rPr>
                <w:rFonts w:ascii="Calibri" w:hAnsi="Calibri"/>
                <w:color w:val="000000"/>
                <w:lang w:eastAsia="en-GB"/>
              </w:rPr>
            </w:pPr>
            <w:r w:rsidRPr="00A05D84">
              <w:rPr>
                <w:rFonts w:ascii="Calibri" w:hAnsi="Calibri"/>
                <w:color w:val="000000"/>
                <w:lang w:eastAsia="en-GB"/>
              </w:rPr>
              <w:t>All</w:t>
            </w:r>
          </w:p>
        </w:tc>
        <w:tc>
          <w:tcPr>
            <w:tcW w:w="1280" w:type="dxa"/>
            <w:tcBorders>
              <w:top w:val="single" w:sz="4" w:space="0" w:color="FFFFFF"/>
              <w:left w:val="nil"/>
              <w:bottom w:val="single" w:sz="4" w:space="0" w:color="FFFFFF"/>
              <w:right w:val="single" w:sz="4" w:space="0" w:color="FFFFFF"/>
            </w:tcBorders>
            <w:shd w:val="clear" w:color="000000" w:fill="FDE9D9"/>
            <w:vAlign w:val="center"/>
            <w:hideMark/>
          </w:tcPr>
          <w:p w14:paraId="0D400253" w14:textId="26DE2502" w:rsidR="00A05D84" w:rsidRPr="00A05D84" w:rsidRDefault="00C814BE" w:rsidP="001223DF">
            <w:pPr>
              <w:jc w:val="right"/>
              <w:rPr>
                <w:rFonts w:ascii="Calibri" w:hAnsi="Calibri"/>
                <w:color w:val="000000"/>
                <w:lang w:eastAsia="en-GB"/>
              </w:rPr>
            </w:pPr>
            <w:r>
              <w:rPr>
                <w:rFonts w:ascii="Calibri" w:hAnsi="Calibri"/>
                <w:color w:val="000000"/>
                <w:lang w:eastAsia="en-GB"/>
              </w:rPr>
              <w:t>2,356</w:t>
            </w:r>
          </w:p>
        </w:tc>
        <w:tc>
          <w:tcPr>
            <w:tcW w:w="1300" w:type="dxa"/>
            <w:tcBorders>
              <w:top w:val="single" w:sz="4" w:space="0" w:color="FFFFFF"/>
              <w:left w:val="nil"/>
              <w:bottom w:val="single" w:sz="4" w:space="0" w:color="FFFFFF"/>
              <w:right w:val="single" w:sz="4" w:space="0" w:color="FFFFFF"/>
            </w:tcBorders>
            <w:shd w:val="clear" w:color="000000" w:fill="FDE9D9"/>
            <w:vAlign w:val="center"/>
            <w:hideMark/>
          </w:tcPr>
          <w:p w14:paraId="6BA5DAA1" w14:textId="77777777" w:rsidR="00A05D84" w:rsidRPr="00A05D84" w:rsidRDefault="00A05D84" w:rsidP="00A05D84">
            <w:pPr>
              <w:jc w:val="right"/>
              <w:rPr>
                <w:rFonts w:ascii="Calibri" w:hAnsi="Calibri"/>
                <w:color w:val="000000"/>
                <w:lang w:eastAsia="en-GB"/>
              </w:rPr>
            </w:pPr>
            <w:r w:rsidRPr="00A05D84">
              <w:rPr>
                <w:rFonts w:ascii="Calibri" w:hAnsi="Calibri"/>
                <w:color w:val="000000"/>
                <w:lang w:eastAsia="en-GB"/>
              </w:rPr>
              <w:t>0</w:t>
            </w:r>
          </w:p>
        </w:tc>
        <w:tc>
          <w:tcPr>
            <w:tcW w:w="820" w:type="dxa"/>
            <w:tcBorders>
              <w:top w:val="single" w:sz="4" w:space="0" w:color="FFFFFF"/>
              <w:left w:val="nil"/>
              <w:bottom w:val="single" w:sz="4" w:space="0" w:color="FFFFFF"/>
              <w:right w:val="single" w:sz="4" w:space="0" w:color="FFFFFF"/>
            </w:tcBorders>
            <w:shd w:val="clear" w:color="000000" w:fill="FDE9D9"/>
            <w:vAlign w:val="center"/>
            <w:hideMark/>
          </w:tcPr>
          <w:p w14:paraId="54C14055" w14:textId="35E3986E" w:rsidR="00A05D84" w:rsidRPr="00A05D84" w:rsidRDefault="00C814BE" w:rsidP="001223DF">
            <w:pPr>
              <w:jc w:val="right"/>
              <w:rPr>
                <w:rFonts w:ascii="Calibri" w:hAnsi="Calibri"/>
                <w:color w:val="000000"/>
                <w:lang w:eastAsia="en-GB"/>
              </w:rPr>
            </w:pPr>
            <w:r>
              <w:rPr>
                <w:rFonts w:ascii="Calibri" w:hAnsi="Calibri"/>
                <w:color w:val="000000"/>
                <w:lang w:eastAsia="en-GB"/>
              </w:rPr>
              <w:t>2,356</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14CDE1CF" w14:textId="211650A9" w:rsidR="00A05D84" w:rsidRPr="00A05D84" w:rsidRDefault="00D715E5" w:rsidP="00A05D84">
            <w:pPr>
              <w:jc w:val="right"/>
              <w:rPr>
                <w:rFonts w:ascii="Calibri" w:hAnsi="Calibri"/>
                <w:color w:val="000000"/>
                <w:lang w:eastAsia="en-GB"/>
              </w:rPr>
            </w:pPr>
            <w:r>
              <w:rPr>
                <w:rFonts w:ascii="Calibri" w:hAnsi="Calibri"/>
                <w:color w:val="000000"/>
                <w:lang w:eastAsia="en-GB"/>
              </w:rPr>
              <w:t>2,304</w:t>
            </w:r>
          </w:p>
        </w:tc>
        <w:tc>
          <w:tcPr>
            <w:tcW w:w="1240" w:type="dxa"/>
            <w:tcBorders>
              <w:top w:val="single" w:sz="4" w:space="0" w:color="FFFFFF"/>
              <w:left w:val="nil"/>
              <w:bottom w:val="single" w:sz="4" w:space="0" w:color="FFFFFF"/>
              <w:right w:val="single" w:sz="4" w:space="0" w:color="FFFFFF"/>
            </w:tcBorders>
            <w:shd w:val="clear" w:color="000000" w:fill="FDE9D9"/>
            <w:vAlign w:val="center"/>
          </w:tcPr>
          <w:p w14:paraId="395C8F60" w14:textId="70212089" w:rsidR="00A05D84" w:rsidRPr="00A05D84" w:rsidRDefault="00D715E5" w:rsidP="00A05D84">
            <w:pPr>
              <w:jc w:val="right"/>
              <w:rPr>
                <w:rFonts w:ascii="Calibri" w:hAnsi="Calibri"/>
                <w:color w:val="000000"/>
                <w:lang w:eastAsia="en-GB"/>
              </w:rPr>
            </w:pPr>
            <w:r>
              <w:rPr>
                <w:rFonts w:ascii="Calibri" w:hAnsi="Calibri"/>
                <w:color w:val="000000"/>
                <w:lang w:eastAsia="en-GB"/>
              </w:rPr>
              <w:t>0</w:t>
            </w:r>
          </w:p>
        </w:tc>
        <w:tc>
          <w:tcPr>
            <w:tcW w:w="800" w:type="dxa"/>
            <w:tcBorders>
              <w:top w:val="single" w:sz="4" w:space="0" w:color="FFFFFF"/>
              <w:left w:val="nil"/>
              <w:bottom w:val="single" w:sz="4" w:space="0" w:color="FFFFFF"/>
              <w:right w:val="single" w:sz="4" w:space="0" w:color="FFFFFF"/>
            </w:tcBorders>
            <w:shd w:val="clear" w:color="000000" w:fill="FDE9D9"/>
            <w:vAlign w:val="center"/>
          </w:tcPr>
          <w:p w14:paraId="2EF53329" w14:textId="222FEC97" w:rsidR="00A05D84" w:rsidRPr="00A05D84" w:rsidRDefault="00D715E5" w:rsidP="00A05D84">
            <w:pPr>
              <w:jc w:val="right"/>
              <w:rPr>
                <w:rFonts w:ascii="Calibri" w:hAnsi="Calibri"/>
                <w:color w:val="000000"/>
                <w:lang w:eastAsia="en-GB"/>
              </w:rPr>
            </w:pPr>
            <w:r>
              <w:rPr>
                <w:rFonts w:ascii="Calibri" w:hAnsi="Calibri"/>
                <w:color w:val="000000"/>
                <w:lang w:eastAsia="en-GB"/>
              </w:rPr>
              <w:t>2,304</w:t>
            </w:r>
          </w:p>
        </w:tc>
      </w:tr>
      <w:tr w:rsidR="00A05D84" w:rsidRPr="00A05D84" w14:paraId="36C706E7" w14:textId="77777777" w:rsidTr="00F07E4C">
        <w:trPr>
          <w:trHeight w:val="300"/>
        </w:trPr>
        <w:tc>
          <w:tcPr>
            <w:tcW w:w="3120" w:type="dxa"/>
            <w:tcBorders>
              <w:top w:val="nil"/>
              <w:left w:val="single" w:sz="4" w:space="0" w:color="FFFFFF"/>
              <w:bottom w:val="single" w:sz="4" w:space="0" w:color="FFFFFF"/>
              <w:right w:val="single" w:sz="4" w:space="0" w:color="FFFFFF"/>
            </w:tcBorders>
            <w:shd w:val="clear" w:color="000000" w:fill="FCD5B4"/>
            <w:vAlign w:val="center"/>
            <w:hideMark/>
          </w:tcPr>
          <w:p w14:paraId="35C12587" w14:textId="77777777" w:rsidR="00A05D84" w:rsidRPr="00A05D84" w:rsidRDefault="00A05D84" w:rsidP="00A05D84">
            <w:pPr>
              <w:jc w:val="both"/>
              <w:rPr>
                <w:rFonts w:ascii="Calibri" w:hAnsi="Calibri"/>
                <w:b/>
                <w:bCs/>
                <w:color w:val="000000"/>
                <w:lang w:eastAsia="en-GB"/>
              </w:rPr>
            </w:pPr>
            <w:r w:rsidRPr="00A05D84">
              <w:rPr>
                <w:rFonts w:ascii="Calibri" w:hAnsi="Calibri"/>
                <w:b/>
                <w:bCs/>
                <w:color w:val="000000"/>
                <w:lang w:eastAsia="en-GB"/>
              </w:rPr>
              <w:t>Total Assets</w:t>
            </w:r>
          </w:p>
        </w:tc>
        <w:tc>
          <w:tcPr>
            <w:tcW w:w="1280" w:type="dxa"/>
            <w:tcBorders>
              <w:top w:val="nil"/>
              <w:left w:val="nil"/>
              <w:bottom w:val="single" w:sz="4" w:space="0" w:color="FFFFFF"/>
              <w:right w:val="single" w:sz="4" w:space="0" w:color="FFFFFF"/>
            </w:tcBorders>
            <w:shd w:val="clear" w:color="000000" w:fill="FCD5B4"/>
            <w:vAlign w:val="center"/>
            <w:hideMark/>
          </w:tcPr>
          <w:p w14:paraId="4DC98B80" w14:textId="6B8CE325" w:rsidR="00A05D84" w:rsidRPr="00A05D84" w:rsidRDefault="00A05D84" w:rsidP="001223DF">
            <w:pPr>
              <w:jc w:val="right"/>
              <w:rPr>
                <w:rFonts w:ascii="Calibri" w:hAnsi="Calibri"/>
                <w:b/>
                <w:bCs/>
                <w:color w:val="000000"/>
                <w:lang w:eastAsia="en-GB"/>
              </w:rPr>
            </w:pPr>
            <w:r w:rsidRPr="00A05D84">
              <w:rPr>
                <w:rFonts w:ascii="Calibri" w:hAnsi="Calibri"/>
                <w:b/>
                <w:bCs/>
                <w:color w:val="000000"/>
                <w:lang w:eastAsia="en-GB"/>
              </w:rPr>
              <w:t>2</w:t>
            </w:r>
            <w:r w:rsidR="00C814BE">
              <w:rPr>
                <w:rFonts w:ascii="Calibri" w:hAnsi="Calibri"/>
                <w:b/>
                <w:bCs/>
                <w:color w:val="000000"/>
                <w:lang w:eastAsia="en-GB"/>
              </w:rPr>
              <w:t>2,606</w:t>
            </w:r>
          </w:p>
        </w:tc>
        <w:tc>
          <w:tcPr>
            <w:tcW w:w="1300" w:type="dxa"/>
            <w:tcBorders>
              <w:top w:val="nil"/>
              <w:left w:val="nil"/>
              <w:bottom w:val="single" w:sz="4" w:space="0" w:color="FFFFFF"/>
              <w:right w:val="single" w:sz="4" w:space="0" w:color="FFFFFF"/>
            </w:tcBorders>
            <w:shd w:val="clear" w:color="000000" w:fill="FCD5B4"/>
            <w:vAlign w:val="center"/>
            <w:hideMark/>
          </w:tcPr>
          <w:p w14:paraId="47F99713" w14:textId="2C891F38" w:rsidR="00A05D84" w:rsidRPr="00A05D84" w:rsidRDefault="00C814BE" w:rsidP="001223DF">
            <w:pPr>
              <w:jc w:val="right"/>
              <w:rPr>
                <w:rFonts w:ascii="Calibri" w:hAnsi="Calibri"/>
                <w:b/>
                <w:bCs/>
                <w:color w:val="000000"/>
                <w:lang w:eastAsia="en-GB"/>
              </w:rPr>
            </w:pPr>
            <w:r>
              <w:rPr>
                <w:rFonts w:ascii="Calibri" w:hAnsi="Calibri"/>
                <w:b/>
                <w:bCs/>
                <w:color w:val="000000"/>
                <w:lang w:eastAsia="en-GB"/>
              </w:rPr>
              <w:t>24,056</w:t>
            </w:r>
          </w:p>
        </w:tc>
        <w:tc>
          <w:tcPr>
            <w:tcW w:w="820" w:type="dxa"/>
            <w:tcBorders>
              <w:top w:val="nil"/>
              <w:left w:val="nil"/>
              <w:bottom w:val="single" w:sz="4" w:space="0" w:color="FFFFFF"/>
              <w:right w:val="single" w:sz="4" w:space="0" w:color="FFFFFF"/>
            </w:tcBorders>
            <w:shd w:val="clear" w:color="000000" w:fill="FCD5B4"/>
            <w:vAlign w:val="center"/>
            <w:hideMark/>
          </w:tcPr>
          <w:p w14:paraId="4D258B1E" w14:textId="4D5326BA" w:rsidR="00A05D84" w:rsidRPr="00A05D84" w:rsidRDefault="00895003" w:rsidP="001223DF">
            <w:pPr>
              <w:jc w:val="right"/>
              <w:rPr>
                <w:rFonts w:ascii="Calibri" w:hAnsi="Calibri"/>
                <w:b/>
                <w:bCs/>
                <w:color w:val="000000"/>
                <w:lang w:eastAsia="en-GB"/>
              </w:rPr>
            </w:pPr>
            <w:r>
              <w:rPr>
                <w:rFonts w:ascii="Calibri" w:hAnsi="Calibri"/>
                <w:b/>
                <w:bCs/>
                <w:color w:val="000000"/>
                <w:lang w:eastAsia="en-GB"/>
              </w:rPr>
              <w:t>4</w:t>
            </w:r>
            <w:r w:rsidR="00C814BE">
              <w:rPr>
                <w:rFonts w:ascii="Calibri" w:hAnsi="Calibri"/>
                <w:b/>
                <w:bCs/>
                <w:color w:val="000000"/>
                <w:lang w:eastAsia="en-GB"/>
              </w:rPr>
              <w:t>6,662</w:t>
            </w:r>
          </w:p>
        </w:tc>
        <w:tc>
          <w:tcPr>
            <w:tcW w:w="1240" w:type="dxa"/>
            <w:tcBorders>
              <w:top w:val="nil"/>
              <w:left w:val="nil"/>
              <w:bottom w:val="single" w:sz="4" w:space="0" w:color="FFFFFF"/>
              <w:right w:val="single" w:sz="4" w:space="0" w:color="FFFFFF"/>
            </w:tcBorders>
            <w:shd w:val="clear" w:color="000000" w:fill="FCD5B4"/>
            <w:vAlign w:val="center"/>
          </w:tcPr>
          <w:p w14:paraId="3456E839" w14:textId="4F61E5D8" w:rsidR="00A05D84" w:rsidRPr="00A05D84" w:rsidRDefault="00D715E5" w:rsidP="00A05D84">
            <w:pPr>
              <w:jc w:val="right"/>
              <w:rPr>
                <w:rFonts w:ascii="Calibri" w:hAnsi="Calibri"/>
                <w:b/>
                <w:bCs/>
                <w:color w:val="000000"/>
                <w:lang w:eastAsia="en-GB"/>
              </w:rPr>
            </w:pPr>
            <w:r>
              <w:rPr>
                <w:rFonts w:ascii="Calibri" w:hAnsi="Calibri"/>
                <w:b/>
                <w:bCs/>
                <w:color w:val="000000"/>
                <w:lang w:eastAsia="en-GB"/>
              </w:rPr>
              <w:t>22,1</w:t>
            </w:r>
            <w:r w:rsidR="00BA26A3">
              <w:rPr>
                <w:rFonts w:ascii="Calibri" w:hAnsi="Calibri"/>
                <w:b/>
                <w:bCs/>
                <w:color w:val="000000"/>
                <w:lang w:eastAsia="en-GB"/>
              </w:rPr>
              <w:t>09</w:t>
            </w:r>
          </w:p>
        </w:tc>
        <w:tc>
          <w:tcPr>
            <w:tcW w:w="1240" w:type="dxa"/>
            <w:tcBorders>
              <w:top w:val="nil"/>
              <w:left w:val="nil"/>
              <w:bottom w:val="single" w:sz="4" w:space="0" w:color="FFFFFF"/>
              <w:right w:val="single" w:sz="4" w:space="0" w:color="FFFFFF"/>
            </w:tcBorders>
            <w:shd w:val="clear" w:color="000000" w:fill="FCD5B4"/>
            <w:vAlign w:val="center"/>
          </w:tcPr>
          <w:p w14:paraId="0517A2E2" w14:textId="431836FF" w:rsidR="00A05D84" w:rsidRPr="00A05D84" w:rsidRDefault="00D715E5" w:rsidP="00A05D84">
            <w:pPr>
              <w:jc w:val="right"/>
              <w:rPr>
                <w:rFonts w:ascii="Calibri" w:hAnsi="Calibri"/>
                <w:b/>
                <w:bCs/>
                <w:color w:val="000000"/>
                <w:lang w:eastAsia="en-GB"/>
              </w:rPr>
            </w:pPr>
            <w:r>
              <w:rPr>
                <w:rFonts w:ascii="Calibri" w:hAnsi="Calibri"/>
                <w:b/>
                <w:bCs/>
                <w:color w:val="000000"/>
                <w:lang w:eastAsia="en-GB"/>
              </w:rPr>
              <w:t>23,52</w:t>
            </w:r>
            <w:r w:rsidR="00BA26A3">
              <w:rPr>
                <w:rFonts w:ascii="Calibri" w:hAnsi="Calibri"/>
                <w:b/>
                <w:bCs/>
                <w:color w:val="000000"/>
                <w:lang w:eastAsia="en-GB"/>
              </w:rPr>
              <w:t>7</w:t>
            </w:r>
          </w:p>
        </w:tc>
        <w:tc>
          <w:tcPr>
            <w:tcW w:w="800" w:type="dxa"/>
            <w:tcBorders>
              <w:top w:val="nil"/>
              <w:left w:val="nil"/>
              <w:bottom w:val="single" w:sz="4" w:space="0" w:color="FFFFFF"/>
              <w:right w:val="single" w:sz="4" w:space="0" w:color="FFFFFF"/>
            </w:tcBorders>
            <w:shd w:val="clear" w:color="000000" w:fill="FCD5B4"/>
            <w:vAlign w:val="center"/>
          </w:tcPr>
          <w:p w14:paraId="76D07936" w14:textId="42A030B4" w:rsidR="00A05D84" w:rsidRPr="00A05D84" w:rsidRDefault="00D715E5" w:rsidP="00A05D84">
            <w:pPr>
              <w:jc w:val="right"/>
              <w:rPr>
                <w:rFonts w:ascii="Calibri" w:hAnsi="Calibri"/>
                <w:b/>
                <w:bCs/>
                <w:color w:val="000000"/>
                <w:lang w:eastAsia="en-GB"/>
              </w:rPr>
            </w:pPr>
            <w:r>
              <w:rPr>
                <w:rFonts w:ascii="Calibri" w:hAnsi="Calibri"/>
                <w:b/>
                <w:bCs/>
                <w:color w:val="000000"/>
                <w:lang w:eastAsia="en-GB"/>
              </w:rPr>
              <w:t>45,63</w:t>
            </w:r>
            <w:r w:rsidR="00BA26A3">
              <w:rPr>
                <w:rFonts w:ascii="Calibri" w:hAnsi="Calibri"/>
                <w:b/>
                <w:bCs/>
                <w:color w:val="000000"/>
                <w:lang w:eastAsia="en-GB"/>
              </w:rPr>
              <w:t>6</w:t>
            </w:r>
          </w:p>
        </w:tc>
      </w:tr>
    </w:tbl>
    <w:p w14:paraId="0C60902E" w14:textId="77777777" w:rsidR="00A05D84" w:rsidRDefault="00A05D84" w:rsidP="008917BB">
      <w:pPr>
        <w:widowControl w:val="0"/>
        <w:tabs>
          <w:tab w:val="left" w:pos="1701"/>
          <w:tab w:val="left" w:pos="7200"/>
          <w:tab w:val="left" w:pos="8640"/>
        </w:tabs>
        <w:ind w:right="370"/>
        <w:jc w:val="both"/>
        <w:rPr>
          <w:rFonts w:ascii="Arial" w:hAnsi="Arial" w:cs="Arial"/>
          <w:b/>
        </w:rPr>
      </w:pPr>
    </w:p>
    <w:p w14:paraId="6F87FA64" w14:textId="77777777" w:rsidR="008917BB" w:rsidRPr="00955491" w:rsidRDefault="008917BB" w:rsidP="008917BB">
      <w:pPr>
        <w:widowControl w:val="0"/>
        <w:tabs>
          <w:tab w:val="left" w:pos="1701"/>
          <w:tab w:val="left" w:pos="7200"/>
          <w:tab w:val="left" w:pos="8640"/>
        </w:tabs>
        <w:ind w:right="-288"/>
        <w:jc w:val="both"/>
        <w:rPr>
          <w:rFonts w:asciiTheme="minorHAnsi" w:hAnsiTheme="minorHAnsi" w:cs="Arial"/>
          <w:sz w:val="24"/>
          <w:szCs w:val="24"/>
        </w:rPr>
      </w:pPr>
      <w:r w:rsidRPr="00955491">
        <w:rPr>
          <w:rFonts w:asciiTheme="minorHAnsi" w:hAnsiTheme="minorHAnsi" w:cs="Arial"/>
          <w:b/>
          <w:sz w:val="24"/>
          <w:szCs w:val="24"/>
        </w:rPr>
        <w:t>Basis for Estimating Assets and Liabilities</w:t>
      </w:r>
    </w:p>
    <w:p w14:paraId="4E9DCBAF" w14:textId="77777777" w:rsidR="008917BB" w:rsidRPr="00955491" w:rsidRDefault="008917BB" w:rsidP="008917BB">
      <w:pPr>
        <w:widowControl w:val="0"/>
        <w:tabs>
          <w:tab w:val="left" w:pos="1701"/>
          <w:tab w:val="left" w:pos="7200"/>
          <w:tab w:val="left" w:pos="8640"/>
        </w:tabs>
        <w:ind w:right="370"/>
        <w:jc w:val="both"/>
        <w:rPr>
          <w:rFonts w:asciiTheme="minorHAnsi" w:hAnsiTheme="minorHAnsi" w:cs="Arial"/>
          <w:sz w:val="22"/>
          <w:szCs w:val="22"/>
        </w:rPr>
      </w:pPr>
    </w:p>
    <w:p w14:paraId="169BCE12" w14:textId="7B0F3826" w:rsidR="008917BB" w:rsidRPr="00955491" w:rsidRDefault="008917BB" w:rsidP="008917BB">
      <w:pPr>
        <w:widowControl w:val="0"/>
        <w:tabs>
          <w:tab w:val="left" w:pos="1701"/>
          <w:tab w:val="left" w:pos="7200"/>
          <w:tab w:val="left" w:pos="8640"/>
        </w:tabs>
        <w:ind w:right="370"/>
        <w:jc w:val="both"/>
        <w:rPr>
          <w:rFonts w:asciiTheme="minorHAnsi" w:hAnsiTheme="minorHAnsi" w:cs="Arial"/>
          <w:sz w:val="22"/>
          <w:szCs w:val="22"/>
        </w:rPr>
      </w:pPr>
      <w:r w:rsidRPr="00955491">
        <w:rPr>
          <w:rFonts w:asciiTheme="minorHAnsi" w:hAnsiTheme="minorHAnsi" w:cs="Arial"/>
          <w:sz w:val="22"/>
          <w:szCs w:val="22"/>
        </w:rPr>
        <w:t>Liabilities have been assessed on an actuarial basis using the projected unit credit method, an estimate of the pensions that will be payable in future years dependent on assumptions about mortality rates, salary levels etc. The liabilities have been assessed by Hymans Robertson, an independent firm of actuaries</w:t>
      </w:r>
      <w:r w:rsidRPr="009A601B">
        <w:rPr>
          <w:rFonts w:asciiTheme="minorHAnsi" w:hAnsiTheme="minorHAnsi" w:cs="Arial"/>
          <w:sz w:val="22"/>
          <w:szCs w:val="22"/>
        </w:rPr>
        <w:t xml:space="preserve">. </w:t>
      </w:r>
      <w:r w:rsidRPr="00CE7BC0">
        <w:rPr>
          <w:rFonts w:asciiTheme="minorHAnsi" w:hAnsiTheme="minorHAnsi" w:cs="Arial"/>
          <w:sz w:val="22"/>
          <w:szCs w:val="22"/>
        </w:rPr>
        <w:t xml:space="preserve">The last formal actuarial valuation in respect of the Leicestershire County Council Pension Fund was carried </w:t>
      </w:r>
      <w:r w:rsidRPr="00BF29BD">
        <w:rPr>
          <w:rFonts w:asciiTheme="minorHAnsi" w:hAnsiTheme="minorHAnsi" w:cs="Arial"/>
          <w:sz w:val="22"/>
          <w:szCs w:val="22"/>
        </w:rPr>
        <w:t xml:space="preserve">out as </w:t>
      </w:r>
      <w:proofErr w:type="gramStart"/>
      <w:r w:rsidRPr="00BF29BD">
        <w:rPr>
          <w:rFonts w:asciiTheme="minorHAnsi" w:hAnsiTheme="minorHAnsi" w:cs="Arial"/>
          <w:sz w:val="22"/>
          <w:szCs w:val="22"/>
        </w:rPr>
        <w:t>at</w:t>
      </w:r>
      <w:proofErr w:type="gramEnd"/>
      <w:r w:rsidRPr="00BF29BD">
        <w:rPr>
          <w:rFonts w:asciiTheme="minorHAnsi" w:hAnsiTheme="minorHAnsi" w:cs="Arial"/>
          <w:sz w:val="22"/>
          <w:szCs w:val="22"/>
        </w:rPr>
        <w:t xml:space="preserve"> 31 March</w:t>
      </w:r>
      <w:r w:rsidRPr="00BF29BD">
        <w:rPr>
          <w:rFonts w:asciiTheme="minorHAnsi" w:hAnsiTheme="minorHAnsi" w:cs="Arial"/>
          <w:color w:val="000000" w:themeColor="text1"/>
          <w:sz w:val="22"/>
          <w:szCs w:val="22"/>
        </w:rPr>
        <w:t xml:space="preserve"> 20</w:t>
      </w:r>
      <w:r w:rsidR="00BF29BD" w:rsidRPr="00BF29BD">
        <w:rPr>
          <w:rFonts w:asciiTheme="minorHAnsi" w:hAnsiTheme="minorHAnsi" w:cs="Arial"/>
          <w:color w:val="000000" w:themeColor="text1"/>
          <w:sz w:val="22"/>
          <w:szCs w:val="22"/>
        </w:rPr>
        <w:t>22</w:t>
      </w:r>
      <w:r w:rsidRPr="00BF29BD">
        <w:rPr>
          <w:rFonts w:asciiTheme="minorHAnsi" w:hAnsiTheme="minorHAnsi" w:cs="Arial"/>
          <w:color w:val="000000" w:themeColor="text1"/>
          <w:sz w:val="22"/>
          <w:szCs w:val="22"/>
        </w:rPr>
        <w:t xml:space="preserve">.  The </w:t>
      </w:r>
      <w:r w:rsidRPr="00BF29BD">
        <w:rPr>
          <w:rFonts w:asciiTheme="minorHAnsi" w:hAnsiTheme="minorHAnsi" w:cs="Arial"/>
          <w:sz w:val="22"/>
          <w:szCs w:val="22"/>
        </w:rPr>
        <w:t>actuary has projected the results of this valuation to 31 March 20</w:t>
      </w:r>
      <w:r w:rsidR="001223DF" w:rsidRPr="00BF29BD">
        <w:rPr>
          <w:rFonts w:asciiTheme="minorHAnsi" w:hAnsiTheme="minorHAnsi" w:cs="Arial"/>
          <w:sz w:val="22"/>
          <w:szCs w:val="22"/>
        </w:rPr>
        <w:t>2</w:t>
      </w:r>
      <w:r w:rsidR="00BF29BD" w:rsidRPr="00BF29BD">
        <w:rPr>
          <w:rFonts w:asciiTheme="minorHAnsi" w:hAnsiTheme="minorHAnsi" w:cs="Arial"/>
          <w:sz w:val="22"/>
          <w:szCs w:val="22"/>
        </w:rPr>
        <w:t>3</w:t>
      </w:r>
      <w:r w:rsidRPr="00BF29BD">
        <w:rPr>
          <w:rFonts w:asciiTheme="minorHAnsi" w:hAnsiTheme="minorHAnsi" w:cs="Arial"/>
          <w:sz w:val="22"/>
          <w:szCs w:val="22"/>
        </w:rPr>
        <w:t xml:space="preserve"> </w:t>
      </w:r>
      <w:r w:rsidR="00507CAD" w:rsidRPr="00BF29BD">
        <w:rPr>
          <w:rFonts w:asciiTheme="minorHAnsi" w:hAnsiTheme="minorHAnsi" w:cs="Arial"/>
          <w:sz w:val="22"/>
          <w:szCs w:val="22"/>
        </w:rPr>
        <w:t>based on a roll forward from the 20</w:t>
      </w:r>
      <w:r w:rsidR="00BF29BD" w:rsidRPr="00BF29BD">
        <w:rPr>
          <w:rFonts w:asciiTheme="minorHAnsi" w:hAnsiTheme="minorHAnsi" w:cs="Arial"/>
          <w:sz w:val="22"/>
          <w:szCs w:val="22"/>
        </w:rPr>
        <w:t>22</w:t>
      </w:r>
      <w:r w:rsidR="00507CAD" w:rsidRPr="00BF29BD">
        <w:rPr>
          <w:rFonts w:asciiTheme="minorHAnsi" w:hAnsiTheme="minorHAnsi" w:cs="Arial"/>
          <w:sz w:val="22"/>
          <w:szCs w:val="22"/>
        </w:rPr>
        <w:t xml:space="preserve"> formal valuation.</w:t>
      </w:r>
    </w:p>
    <w:p w14:paraId="723D45AE" w14:textId="77777777" w:rsidR="008917BB" w:rsidRPr="00955491" w:rsidRDefault="008917BB" w:rsidP="008917BB">
      <w:pPr>
        <w:widowControl w:val="0"/>
        <w:tabs>
          <w:tab w:val="left" w:pos="1701"/>
          <w:tab w:val="left" w:pos="7200"/>
          <w:tab w:val="left" w:pos="8640"/>
        </w:tabs>
        <w:ind w:left="426" w:right="370"/>
        <w:jc w:val="both"/>
        <w:rPr>
          <w:rFonts w:asciiTheme="minorHAnsi" w:hAnsiTheme="minorHAnsi" w:cs="Arial"/>
          <w:sz w:val="22"/>
          <w:szCs w:val="22"/>
        </w:rPr>
      </w:pPr>
    </w:p>
    <w:p w14:paraId="33A70671" w14:textId="77777777" w:rsidR="008917BB" w:rsidRPr="00955491" w:rsidRDefault="008917BB" w:rsidP="008917BB">
      <w:pPr>
        <w:widowControl w:val="0"/>
        <w:tabs>
          <w:tab w:val="left" w:pos="1701"/>
          <w:tab w:val="left" w:pos="7200"/>
          <w:tab w:val="left" w:pos="8640"/>
        </w:tabs>
        <w:ind w:right="-288"/>
        <w:jc w:val="both"/>
        <w:rPr>
          <w:rFonts w:asciiTheme="minorHAnsi" w:hAnsiTheme="minorHAnsi" w:cs="Arial"/>
          <w:sz w:val="22"/>
          <w:szCs w:val="22"/>
        </w:rPr>
      </w:pPr>
      <w:r w:rsidRPr="00955491">
        <w:rPr>
          <w:rFonts w:asciiTheme="minorHAnsi" w:hAnsiTheme="minorHAnsi" w:cs="Arial"/>
          <w:sz w:val="22"/>
          <w:szCs w:val="22"/>
        </w:rPr>
        <w:t>The significant assumptions used by the actuary have been:</w:t>
      </w:r>
    </w:p>
    <w:p w14:paraId="29AEFBFD" w14:textId="77777777" w:rsidR="00B2647E" w:rsidRDefault="00B2647E" w:rsidP="008917BB">
      <w:pPr>
        <w:widowControl w:val="0"/>
        <w:tabs>
          <w:tab w:val="left" w:pos="1701"/>
          <w:tab w:val="left" w:pos="7200"/>
          <w:tab w:val="left" w:pos="8640"/>
        </w:tabs>
        <w:ind w:right="-288"/>
        <w:jc w:val="both"/>
        <w:rPr>
          <w:rFonts w:ascii="Arial" w:hAnsi="Arial" w:cs="Arial"/>
        </w:rPr>
      </w:pPr>
    </w:p>
    <w:p w14:paraId="3905D1B5" w14:textId="77777777" w:rsidR="00A05D84" w:rsidRDefault="00A05D84" w:rsidP="008917BB">
      <w:pPr>
        <w:widowControl w:val="0"/>
        <w:tabs>
          <w:tab w:val="left" w:pos="1701"/>
          <w:tab w:val="left" w:pos="7200"/>
          <w:tab w:val="left" w:pos="8640"/>
        </w:tabs>
        <w:ind w:right="-288"/>
        <w:jc w:val="both"/>
        <w:rPr>
          <w:rFonts w:ascii="Arial" w:hAnsi="Arial" w:cs="Arial"/>
        </w:rPr>
      </w:pPr>
    </w:p>
    <w:tbl>
      <w:tblPr>
        <w:tblW w:w="9660" w:type="dxa"/>
        <w:tblInd w:w="93" w:type="dxa"/>
        <w:tblLook w:val="04A0" w:firstRow="1" w:lastRow="0" w:firstColumn="1" w:lastColumn="0" w:noHBand="0" w:noVBand="1"/>
        <w:tblCaption w:val="Assumptions used by Pension Scheme Actuary"/>
        <w:tblDescription w:val="Assumptions used by Pension Scheme Actuary"/>
      </w:tblPr>
      <w:tblGrid>
        <w:gridCol w:w="6600"/>
        <w:gridCol w:w="1460"/>
        <w:gridCol w:w="1600"/>
      </w:tblGrid>
      <w:tr w:rsidR="00955491" w:rsidRPr="00955491" w14:paraId="5FC7BBB8" w14:textId="77777777" w:rsidTr="00CD3384">
        <w:trPr>
          <w:cantSplit/>
          <w:trHeight w:val="300"/>
          <w:tblHeader/>
        </w:trPr>
        <w:tc>
          <w:tcPr>
            <w:tcW w:w="6600" w:type="dxa"/>
            <w:tcBorders>
              <w:top w:val="nil"/>
              <w:left w:val="nil"/>
              <w:bottom w:val="nil"/>
              <w:right w:val="nil"/>
            </w:tcBorders>
            <w:shd w:val="clear" w:color="000000" w:fill="FABF8F"/>
            <w:vAlign w:val="center"/>
            <w:hideMark/>
          </w:tcPr>
          <w:p w14:paraId="2F4ADA75" w14:textId="77777777" w:rsidR="00955491" w:rsidRPr="00955491" w:rsidRDefault="00955491" w:rsidP="00955491">
            <w:pPr>
              <w:jc w:val="both"/>
              <w:rPr>
                <w:rFonts w:ascii="Calibri" w:hAnsi="Calibri"/>
                <w:b/>
                <w:bCs/>
                <w:color w:val="000000"/>
                <w:lang w:eastAsia="en-GB"/>
              </w:rPr>
            </w:pPr>
            <w:r w:rsidRPr="00955491">
              <w:rPr>
                <w:rFonts w:ascii="Calibri" w:hAnsi="Calibri"/>
                <w:b/>
                <w:bCs/>
                <w:color w:val="000000"/>
                <w:lang w:eastAsia="en-GB"/>
              </w:rPr>
              <w:lastRenderedPageBreak/>
              <w:t> </w:t>
            </w:r>
          </w:p>
        </w:tc>
        <w:tc>
          <w:tcPr>
            <w:tcW w:w="1460" w:type="dxa"/>
            <w:tcBorders>
              <w:top w:val="single" w:sz="4" w:space="0" w:color="FFFFFF"/>
              <w:left w:val="single" w:sz="4" w:space="0" w:color="FFFFFF"/>
              <w:bottom w:val="single" w:sz="4" w:space="0" w:color="FFFFFF"/>
              <w:right w:val="single" w:sz="4" w:space="0" w:color="FFFFFF"/>
            </w:tcBorders>
            <w:shd w:val="clear" w:color="000000" w:fill="FABF8F"/>
            <w:vAlign w:val="center"/>
            <w:hideMark/>
          </w:tcPr>
          <w:p w14:paraId="65AB7BD7" w14:textId="4DD65954" w:rsidR="00955491" w:rsidRPr="00955491" w:rsidRDefault="00955491" w:rsidP="008F2603">
            <w:pPr>
              <w:jc w:val="right"/>
              <w:rPr>
                <w:rFonts w:ascii="Calibri" w:hAnsi="Calibri"/>
                <w:color w:val="000000"/>
                <w:lang w:eastAsia="en-GB"/>
              </w:rPr>
            </w:pPr>
            <w:r w:rsidRPr="00955491">
              <w:rPr>
                <w:rFonts w:ascii="Calibri" w:hAnsi="Calibri"/>
                <w:color w:val="000000"/>
                <w:lang w:eastAsia="en-GB"/>
              </w:rPr>
              <w:t>20</w:t>
            </w:r>
            <w:r w:rsidR="00895003">
              <w:rPr>
                <w:rFonts w:ascii="Calibri" w:hAnsi="Calibri"/>
                <w:color w:val="000000"/>
                <w:lang w:eastAsia="en-GB"/>
              </w:rPr>
              <w:t>2</w:t>
            </w:r>
            <w:r w:rsidR="0025199A">
              <w:rPr>
                <w:rFonts w:ascii="Calibri" w:hAnsi="Calibri"/>
                <w:color w:val="000000"/>
                <w:lang w:eastAsia="en-GB"/>
              </w:rPr>
              <w:t>1</w:t>
            </w:r>
            <w:r w:rsidRPr="00955491">
              <w:rPr>
                <w:rFonts w:ascii="Calibri" w:hAnsi="Calibri"/>
                <w:color w:val="000000"/>
                <w:lang w:eastAsia="en-GB"/>
              </w:rPr>
              <w:t>-</w:t>
            </w:r>
            <w:r w:rsidR="008F2603">
              <w:rPr>
                <w:rFonts w:ascii="Calibri" w:hAnsi="Calibri"/>
                <w:color w:val="000000"/>
                <w:lang w:eastAsia="en-GB"/>
              </w:rPr>
              <w:t>2</w:t>
            </w:r>
            <w:r w:rsidR="0025199A">
              <w:rPr>
                <w:rFonts w:ascii="Calibri" w:hAnsi="Calibri"/>
                <w:color w:val="000000"/>
                <w:lang w:eastAsia="en-GB"/>
              </w:rPr>
              <w:t>2</w:t>
            </w:r>
          </w:p>
        </w:tc>
        <w:tc>
          <w:tcPr>
            <w:tcW w:w="1600" w:type="dxa"/>
            <w:tcBorders>
              <w:top w:val="single" w:sz="4" w:space="0" w:color="FFFFFF"/>
              <w:left w:val="nil"/>
              <w:bottom w:val="single" w:sz="4" w:space="0" w:color="FFFFFF"/>
              <w:right w:val="single" w:sz="4" w:space="0" w:color="FFFFFF"/>
            </w:tcBorders>
            <w:shd w:val="clear" w:color="000000" w:fill="FABF8F"/>
            <w:vAlign w:val="center"/>
            <w:hideMark/>
          </w:tcPr>
          <w:p w14:paraId="7EBACFED" w14:textId="6A740459" w:rsidR="00955491" w:rsidRPr="00955491" w:rsidRDefault="00955491" w:rsidP="008F2603">
            <w:pPr>
              <w:jc w:val="right"/>
              <w:rPr>
                <w:rFonts w:ascii="Calibri" w:hAnsi="Calibri"/>
                <w:color w:val="000000"/>
                <w:lang w:eastAsia="en-GB"/>
              </w:rPr>
            </w:pPr>
            <w:r w:rsidRPr="00955491">
              <w:rPr>
                <w:rFonts w:ascii="Calibri" w:hAnsi="Calibri"/>
                <w:color w:val="000000"/>
                <w:lang w:eastAsia="en-GB"/>
              </w:rPr>
              <w:t>20</w:t>
            </w:r>
            <w:r w:rsidR="008F2603">
              <w:rPr>
                <w:rFonts w:ascii="Calibri" w:hAnsi="Calibri"/>
                <w:color w:val="000000"/>
                <w:lang w:eastAsia="en-GB"/>
              </w:rPr>
              <w:t>2</w:t>
            </w:r>
            <w:r w:rsidR="0025199A">
              <w:rPr>
                <w:rFonts w:ascii="Calibri" w:hAnsi="Calibri"/>
                <w:color w:val="000000"/>
                <w:lang w:eastAsia="en-GB"/>
              </w:rPr>
              <w:t>2</w:t>
            </w:r>
            <w:r w:rsidRPr="00955491">
              <w:rPr>
                <w:rFonts w:ascii="Calibri" w:hAnsi="Calibri"/>
                <w:color w:val="000000"/>
                <w:lang w:eastAsia="en-GB"/>
              </w:rPr>
              <w:t>-</w:t>
            </w:r>
            <w:r w:rsidR="001223DF">
              <w:rPr>
                <w:rFonts w:ascii="Calibri" w:hAnsi="Calibri"/>
                <w:color w:val="000000"/>
                <w:lang w:eastAsia="en-GB"/>
              </w:rPr>
              <w:t>2</w:t>
            </w:r>
            <w:r w:rsidR="0025199A">
              <w:rPr>
                <w:rFonts w:ascii="Calibri" w:hAnsi="Calibri"/>
                <w:color w:val="000000"/>
                <w:lang w:eastAsia="en-GB"/>
              </w:rPr>
              <w:t>3</w:t>
            </w:r>
          </w:p>
        </w:tc>
      </w:tr>
      <w:tr w:rsidR="00955491" w:rsidRPr="00955491" w14:paraId="02EB32BE" w14:textId="77777777" w:rsidTr="00E047D6">
        <w:trPr>
          <w:trHeight w:val="300"/>
        </w:trPr>
        <w:tc>
          <w:tcPr>
            <w:tcW w:w="6600" w:type="dxa"/>
            <w:tcBorders>
              <w:top w:val="single" w:sz="4" w:space="0" w:color="FFFFFF" w:themeColor="background1"/>
              <w:left w:val="nil"/>
              <w:bottom w:val="nil"/>
              <w:right w:val="nil"/>
            </w:tcBorders>
            <w:shd w:val="clear" w:color="000000" w:fill="FDE9D9"/>
            <w:vAlign w:val="center"/>
            <w:hideMark/>
          </w:tcPr>
          <w:p w14:paraId="0C796F2B" w14:textId="77777777" w:rsidR="00955491" w:rsidRPr="00955491" w:rsidRDefault="00955491" w:rsidP="00955491">
            <w:pPr>
              <w:jc w:val="both"/>
              <w:rPr>
                <w:rFonts w:ascii="Calibri" w:hAnsi="Calibri"/>
                <w:b/>
                <w:bCs/>
                <w:color w:val="000000"/>
                <w:lang w:eastAsia="en-GB"/>
              </w:rPr>
            </w:pPr>
            <w:r w:rsidRPr="00955491">
              <w:rPr>
                <w:rFonts w:ascii="Calibri" w:hAnsi="Calibri"/>
                <w:b/>
                <w:bCs/>
                <w:color w:val="000000"/>
                <w:lang w:eastAsia="en-GB"/>
              </w:rPr>
              <w:t>Mortality assumptions:</w:t>
            </w:r>
          </w:p>
        </w:tc>
        <w:tc>
          <w:tcPr>
            <w:tcW w:w="1460" w:type="dxa"/>
            <w:tcBorders>
              <w:top w:val="single" w:sz="4" w:space="0" w:color="FFFFFF" w:themeColor="background1"/>
              <w:left w:val="nil"/>
              <w:bottom w:val="nil"/>
              <w:right w:val="nil"/>
            </w:tcBorders>
            <w:shd w:val="clear" w:color="000000" w:fill="FDE9D9"/>
            <w:vAlign w:val="center"/>
            <w:hideMark/>
          </w:tcPr>
          <w:p w14:paraId="29AA789F" w14:textId="77777777" w:rsidR="00955491" w:rsidRPr="00385D4C" w:rsidRDefault="00955491" w:rsidP="00955491">
            <w:pPr>
              <w:jc w:val="right"/>
              <w:rPr>
                <w:rFonts w:ascii="Calibri" w:hAnsi="Calibri"/>
                <w:color w:val="000000" w:themeColor="text1"/>
                <w:lang w:eastAsia="en-GB"/>
              </w:rPr>
            </w:pPr>
            <w:r w:rsidRPr="00385D4C">
              <w:rPr>
                <w:rFonts w:ascii="Calibri" w:hAnsi="Calibri"/>
                <w:color w:val="000000" w:themeColor="text1"/>
                <w:lang w:eastAsia="en-GB"/>
              </w:rPr>
              <w:t> </w:t>
            </w:r>
          </w:p>
        </w:tc>
        <w:tc>
          <w:tcPr>
            <w:tcW w:w="1600" w:type="dxa"/>
            <w:tcBorders>
              <w:top w:val="single" w:sz="4" w:space="0" w:color="FFFFFF" w:themeColor="background1"/>
              <w:left w:val="nil"/>
              <w:bottom w:val="nil"/>
              <w:right w:val="nil"/>
            </w:tcBorders>
            <w:shd w:val="clear" w:color="000000" w:fill="FDE9D9"/>
            <w:vAlign w:val="center"/>
            <w:hideMark/>
          </w:tcPr>
          <w:p w14:paraId="0BE247DA" w14:textId="77777777" w:rsidR="00955491" w:rsidRPr="00385D4C" w:rsidRDefault="00955491" w:rsidP="00955491">
            <w:pPr>
              <w:jc w:val="right"/>
              <w:rPr>
                <w:rFonts w:ascii="Calibri" w:hAnsi="Calibri"/>
                <w:color w:val="000000" w:themeColor="text1"/>
                <w:lang w:eastAsia="en-GB"/>
              </w:rPr>
            </w:pPr>
            <w:r w:rsidRPr="00385D4C">
              <w:rPr>
                <w:rFonts w:ascii="Calibri" w:hAnsi="Calibri"/>
                <w:color w:val="000000" w:themeColor="text1"/>
                <w:lang w:eastAsia="en-GB"/>
              </w:rPr>
              <w:t> </w:t>
            </w:r>
          </w:p>
        </w:tc>
      </w:tr>
      <w:tr w:rsidR="00955491" w:rsidRPr="00955491" w14:paraId="710DCC10" w14:textId="77777777" w:rsidTr="00955491">
        <w:trPr>
          <w:trHeight w:val="300"/>
        </w:trPr>
        <w:tc>
          <w:tcPr>
            <w:tcW w:w="6600" w:type="dxa"/>
            <w:tcBorders>
              <w:top w:val="nil"/>
              <w:left w:val="nil"/>
              <w:bottom w:val="nil"/>
              <w:right w:val="nil"/>
            </w:tcBorders>
            <w:shd w:val="clear" w:color="000000" w:fill="FDE9D9"/>
            <w:vAlign w:val="center"/>
            <w:hideMark/>
          </w:tcPr>
          <w:p w14:paraId="14064D83"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Longevity at 65 for current pensioners:</w:t>
            </w:r>
          </w:p>
        </w:tc>
        <w:tc>
          <w:tcPr>
            <w:tcW w:w="1460" w:type="dxa"/>
            <w:tcBorders>
              <w:top w:val="nil"/>
              <w:left w:val="nil"/>
              <w:bottom w:val="nil"/>
              <w:right w:val="nil"/>
            </w:tcBorders>
            <w:shd w:val="clear" w:color="000000" w:fill="FDE9D9"/>
            <w:vAlign w:val="center"/>
            <w:hideMark/>
          </w:tcPr>
          <w:p w14:paraId="50D84DB1" w14:textId="77777777" w:rsidR="00955491" w:rsidRPr="00385D4C" w:rsidRDefault="00955491" w:rsidP="00955491">
            <w:pPr>
              <w:jc w:val="right"/>
              <w:rPr>
                <w:rFonts w:ascii="Calibri" w:hAnsi="Calibri"/>
                <w:color w:val="000000" w:themeColor="text1"/>
                <w:lang w:eastAsia="en-GB"/>
              </w:rPr>
            </w:pPr>
            <w:r w:rsidRPr="00385D4C">
              <w:rPr>
                <w:rFonts w:ascii="Calibri" w:hAnsi="Calibri"/>
                <w:color w:val="000000" w:themeColor="text1"/>
                <w:lang w:eastAsia="en-GB"/>
              </w:rPr>
              <w:t> </w:t>
            </w:r>
          </w:p>
        </w:tc>
        <w:tc>
          <w:tcPr>
            <w:tcW w:w="1600" w:type="dxa"/>
            <w:tcBorders>
              <w:top w:val="nil"/>
              <w:left w:val="nil"/>
              <w:bottom w:val="nil"/>
              <w:right w:val="nil"/>
            </w:tcBorders>
            <w:shd w:val="clear" w:color="000000" w:fill="FDE9D9"/>
            <w:vAlign w:val="center"/>
            <w:hideMark/>
          </w:tcPr>
          <w:p w14:paraId="15296B80" w14:textId="77777777" w:rsidR="00955491" w:rsidRPr="00385D4C" w:rsidRDefault="00955491" w:rsidP="00955491">
            <w:pPr>
              <w:jc w:val="right"/>
              <w:rPr>
                <w:rFonts w:ascii="Calibri" w:hAnsi="Calibri"/>
                <w:color w:val="000000" w:themeColor="text1"/>
                <w:lang w:eastAsia="en-GB"/>
              </w:rPr>
            </w:pPr>
            <w:r w:rsidRPr="00385D4C">
              <w:rPr>
                <w:rFonts w:ascii="Calibri" w:hAnsi="Calibri"/>
                <w:color w:val="000000" w:themeColor="text1"/>
                <w:lang w:eastAsia="en-GB"/>
              </w:rPr>
              <w:t> </w:t>
            </w:r>
          </w:p>
        </w:tc>
      </w:tr>
      <w:tr w:rsidR="00955491" w:rsidRPr="00955491" w14:paraId="32FCC731" w14:textId="77777777" w:rsidTr="000C68FB">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395A755A"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Men</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5E54DB21" w14:textId="13EF220A" w:rsidR="00955491" w:rsidRPr="00955491" w:rsidRDefault="00955491" w:rsidP="008F2603">
            <w:pPr>
              <w:jc w:val="right"/>
              <w:rPr>
                <w:rFonts w:ascii="Calibri" w:hAnsi="Calibri"/>
                <w:color w:val="000000"/>
                <w:lang w:eastAsia="en-GB"/>
              </w:rPr>
            </w:pPr>
            <w:r w:rsidRPr="00955491">
              <w:rPr>
                <w:rFonts w:ascii="Calibri" w:hAnsi="Calibri"/>
                <w:color w:val="000000"/>
                <w:lang w:eastAsia="en-GB"/>
              </w:rPr>
              <w:t>2</w:t>
            </w:r>
            <w:r w:rsidR="008F2603">
              <w:rPr>
                <w:rFonts w:ascii="Calibri" w:hAnsi="Calibri"/>
                <w:color w:val="000000"/>
                <w:lang w:eastAsia="en-GB"/>
              </w:rPr>
              <w:t>1</w:t>
            </w:r>
            <w:r w:rsidRPr="00955491">
              <w:rPr>
                <w:rFonts w:ascii="Calibri" w:hAnsi="Calibri"/>
                <w:color w:val="000000"/>
                <w:lang w:eastAsia="en-GB"/>
              </w:rPr>
              <w:t>.</w:t>
            </w:r>
            <w:r w:rsidR="0025199A">
              <w:rPr>
                <w:rFonts w:ascii="Calibri" w:hAnsi="Calibri"/>
                <w:color w:val="000000"/>
                <w:lang w:eastAsia="en-GB"/>
              </w:rPr>
              <w:t>5</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78676E3B" w14:textId="4F0FD056" w:rsidR="00955491" w:rsidRPr="00955491" w:rsidRDefault="00BA26A3" w:rsidP="00955491">
            <w:pPr>
              <w:jc w:val="right"/>
              <w:rPr>
                <w:rFonts w:ascii="Calibri" w:hAnsi="Calibri"/>
                <w:color w:val="000000"/>
                <w:lang w:eastAsia="en-GB"/>
              </w:rPr>
            </w:pPr>
            <w:r>
              <w:rPr>
                <w:rFonts w:ascii="Calibri" w:hAnsi="Calibri"/>
                <w:color w:val="000000"/>
                <w:lang w:eastAsia="en-GB"/>
              </w:rPr>
              <w:t>21.7</w:t>
            </w:r>
          </w:p>
        </w:tc>
      </w:tr>
      <w:tr w:rsidR="00955491" w:rsidRPr="00955491" w14:paraId="0E98BC3F" w14:textId="77777777" w:rsidTr="000C68FB">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26728316"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Women</w:t>
            </w:r>
          </w:p>
        </w:tc>
        <w:tc>
          <w:tcPr>
            <w:tcW w:w="1460" w:type="dxa"/>
            <w:tcBorders>
              <w:top w:val="nil"/>
              <w:left w:val="nil"/>
              <w:bottom w:val="single" w:sz="4" w:space="0" w:color="FFFFFF"/>
              <w:right w:val="single" w:sz="4" w:space="0" w:color="FFFFFF"/>
            </w:tcBorders>
            <w:shd w:val="clear" w:color="000000" w:fill="FDE9D9"/>
            <w:vAlign w:val="center"/>
            <w:hideMark/>
          </w:tcPr>
          <w:p w14:paraId="121BA622" w14:textId="1E591DCF" w:rsidR="00955491" w:rsidRPr="00955491" w:rsidRDefault="008F2603" w:rsidP="00955491">
            <w:pPr>
              <w:jc w:val="right"/>
              <w:rPr>
                <w:rFonts w:ascii="Calibri" w:hAnsi="Calibri"/>
                <w:color w:val="000000"/>
                <w:lang w:eastAsia="en-GB"/>
              </w:rPr>
            </w:pPr>
            <w:r>
              <w:rPr>
                <w:rFonts w:ascii="Calibri" w:hAnsi="Calibri"/>
                <w:color w:val="000000"/>
                <w:lang w:eastAsia="en-GB"/>
              </w:rPr>
              <w:t>2</w:t>
            </w:r>
            <w:r w:rsidR="009F1F66">
              <w:rPr>
                <w:rFonts w:ascii="Calibri" w:hAnsi="Calibri"/>
                <w:color w:val="000000"/>
                <w:lang w:eastAsia="en-GB"/>
              </w:rPr>
              <w:t>4.</w:t>
            </w:r>
            <w:r w:rsidR="0025199A">
              <w:rPr>
                <w:rFonts w:ascii="Calibri" w:hAnsi="Calibri"/>
                <w:color w:val="000000"/>
                <w:lang w:eastAsia="en-GB"/>
              </w:rPr>
              <w:t>0</w:t>
            </w:r>
          </w:p>
        </w:tc>
        <w:tc>
          <w:tcPr>
            <w:tcW w:w="1600" w:type="dxa"/>
            <w:tcBorders>
              <w:top w:val="nil"/>
              <w:left w:val="nil"/>
              <w:bottom w:val="single" w:sz="4" w:space="0" w:color="FFFFFF"/>
              <w:right w:val="single" w:sz="4" w:space="0" w:color="FFFFFF"/>
            </w:tcBorders>
            <w:shd w:val="clear" w:color="000000" w:fill="FDE9D9"/>
            <w:vAlign w:val="center"/>
          </w:tcPr>
          <w:p w14:paraId="49C1103C" w14:textId="109B0A4E" w:rsidR="00955491" w:rsidRPr="00955491" w:rsidRDefault="00BA26A3" w:rsidP="00955491">
            <w:pPr>
              <w:jc w:val="right"/>
              <w:rPr>
                <w:rFonts w:ascii="Calibri" w:hAnsi="Calibri"/>
                <w:color w:val="000000"/>
                <w:lang w:eastAsia="en-GB"/>
              </w:rPr>
            </w:pPr>
            <w:r>
              <w:rPr>
                <w:rFonts w:ascii="Calibri" w:hAnsi="Calibri"/>
                <w:color w:val="000000"/>
                <w:lang w:eastAsia="en-GB"/>
              </w:rPr>
              <w:t>24.5</w:t>
            </w:r>
          </w:p>
        </w:tc>
      </w:tr>
      <w:tr w:rsidR="00955491" w:rsidRPr="00955491" w14:paraId="230F1A3F" w14:textId="77777777" w:rsidTr="001715ED">
        <w:trPr>
          <w:trHeight w:val="300"/>
        </w:trPr>
        <w:tc>
          <w:tcPr>
            <w:tcW w:w="6600" w:type="dxa"/>
            <w:tcBorders>
              <w:top w:val="nil"/>
              <w:left w:val="nil"/>
              <w:bottom w:val="nil"/>
              <w:right w:val="nil"/>
            </w:tcBorders>
            <w:shd w:val="clear" w:color="000000" w:fill="FDE9D9"/>
            <w:vAlign w:val="center"/>
            <w:hideMark/>
          </w:tcPr>
          <w:p w14:paraId="147A6653"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Longevity at 65 for future pensioners:</w:t>
            </w:r>
          </w:p>
        </w:tc>
        <w:tc>
          <w:tcPr>
            <w:tcW w:w="1460" w:type="dxa"/>
            <w:tcBorders>
              <w:top w:val="nil"/>
              <w:left w:val="nil"/>
              <w:bottom w:val="nil"/>
              <w:right w:val="nil"/>
            </w:tcBorders>
            <w:shd w:val="clear" w:color="000000" w:fill="FDE9D9"/>
            <w:vAlign w:val="center"/>
            <w:hideMark/>
          </w:tcPr>
          <w:p w14:paraId="36B442CA" w14:textId="77777777" w:rsidR="00955491" w:rsidRPr="00955491" w:rsidRDefault="00955491" w:rsidP="00955491">
            <w:pPr>
              <w:jc w:val="right"/>
              <w:rPr>
                <w:rFonts w:ascii="Calibri" w:hAnsi="Calibri"/>
                <w:color w:val="000000"/>
                <w:lang w:eastAsia="en-GB"/>
              </w:rPr>
            </w:pPr>
            <w:r w:rsidRPr="0095549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3C73018C" w14:textId="77777777" w:rsidR="00955491" w:rsidRPr="00955491" w:rsidRDefault="00955491" w:rsidP="00955491">
            <w:pPr>
              <w:jc w:val="right"/>
              <w:rPr>
                <w:rFonts w:ascii="Calibri" w:hAnsi="Calibri"/>
                <w:color w:val="000000"/>
                <w:lang w:eastAsia="en-GB"/>
              </w:rPr>
            </w:pPr>
          </w:p>
        </w:tc>
      </w:tr>
      <w:tr w:rsidR="00955491" w:rsidRPr="00955491" w14:paraId="19F39457" w14:textId="77777777" w:rsidTr="000C68FB">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156EBA2E"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Men</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53E941A3" w14:textId="39EA0DD0" w:rsidR="00955491" w:rsidRPr="00955491" w:rsidRDefault="00955491" w:rsidP="000C68FB">
            <w:pPr>
              <w:jc w:val="right"/>
              <w:rPr>
                <w:rFonts w:ascii="Calibri" w:hAnsi="Calibri"/>
                <w:color w:val="000000"/>
                <w:lang w:eastAsia="en-GB"/>
              </w:rPr>
            </w:pPr>
            <w:r w:rsidRPr="00955491">
              <w:rPr>
                <w:rFonts w:ascii="Calibri" w:hAnsi="Calibri"/>
                <w:color w:val="000000"/>
                <w:lang w:eastAsia="en-GB"/>
              </w:rPr>
              <w:t>2</w:t>
            </w:r>
            <w:r w:rsidR="008F2603">
              <w:rPr>
                <w:rFonts w:ascii="Calibri" w:hAnsi="Calibri"/>
                <w:color w:val="000000"/>
                <w:lang w:eastAsia="en-GB"/>
              </w:rPr>
              <w:t>2.</w:t>
            </w:r>
            <w:r w:rsidR="0025199A">
              <w:rPr>
                <w:rFonts w:ascii="Calibri" w:hAnsi="Calibri"/>
                <w:color w:val="000000"/>
                <w:lang w:eastAsia="en-GB"/>
              </w:rPr>
              <w:t>6</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3687FCA2" w14:textId="73AE4DD8" w:rsidR="00955491" w:rsidRPr="00955491" w:rsidRDefault="00BA26A3" w:rsidP="00955491">
            <w:pPr>
              <w:jc w:val="right"/>
              <w:rPr>
                <w:rFonts w:ascii="Calibri" w:hAnsi="Calibri"/>
                <w:color w:val="000000"/>
                <w:lang w:eastAsia="en-GB"/>
              </w:rPr>
            </w:pPr>
            <w:r>
              <w:rPr>
                <w:rFonts w:ascii="Calibri" w:hAnsi="Calibri"/>
                <w:color w:val="000000"/>
                <w:lang w:eastAsia="en-GB"/>
              </w:rPr>
              <w:t>22.4</w:t>
            </w:r>
          </w:p>
        </w:tc>
      </w:tr>
      <w:tr w:rsidR="00955491" w:rsidRPr="00955491" w14:paraId="772E1746" w14:textId="77777777" w:rsidTr="000C68FB">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308E9E01"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Women</w:t>
            </w:r>
          </w:p>
        </w:tc>
        <w:tc>
          <w:tcPr>
            <w:tcW w:w="1460" w:type="dxa"/>
            <w:tcBorders>
              <w:top w:val="nil"/>
              <w:left w:val="nil"/>
              <w:bottom w:val="single" w:sz="4" w:space="0" w:color="FFFFFF"/>
              <w:right w:val="single" w:sz="4" w:space="0" w:color="FFFFFF"/>
            </w:tcBorders>
            <w:shd w:val="clear" w:color="000000" w:fill="FDE9D9"/>
            <w:vAlign w:val="center"/>
            <w:hideMark/>
          </w:tcPr>
          <w:p w14:paraId="6A506261" w14:textId="77EAE178" w:rsidR="00955491" w:rsidRPr="00955491" w:rsidRDefault="00955491" w:rsidP="000C68FB">
            <w:pPr>
              <w:jc w:val="right"/>
              <w:rPr>
                <w:rFonts w:ascii="Calibri" w:hAnsi="Calibri"/>
                <w:color w:val="000000"/>
                <w:lang w:eastAsia="en-GB"/>
              </w:rPr>
            </w:pPr>
            <w:r w:rsidRPr="00955491">
              <w:rPr>
                <w:rFonts w:ascii="Calibri" w:hAnsi="Calibri"/>
                <w:color w:val="000000"/>
                <w:lang w:eastAsia="en-GB"/>
              </w:rPr>
              <w:t>2</w:t>
            </w:r>
            <w:r w:rsidR="008F2603">
              <w:rPr>
                <w:rFonts w:ascii="Calibri" w:hAnsi="Calibri"/>
                <w:color w:val="000000"/>
                <w:lang w:eastAsia="en-GB"/>
              </w:rPr>
              <w:t>5.</w:t>
            </w:r>
            <w:r w:rsidR="0025199A">
              <w:rPr>
                <w:rFonts w:ascii="Calibri" w:hAnsi="Calibri"/>
                <w:color w:val="000000"/>
                <w:lang w:eastAsia="en-GB"/>
              </w:rPr>
              <w:t>7</w:t>
            </w:r>
          </w:p>
        </w:tc>
        <w:tc>
          <w:tcPr>
            <w:tcW w:w="1600" w:type="dxa"/>
            <w:tcBorders>
              <w:top w:val="nil"/>
              <w:left w:val="nil"/>
              <w:bottom w:val="single" w:sz="4" w:space="0" w:color="FFFFFF"/>
              <w:right w:val="single" w:sz="4" w:space="0" w:color="FFFFFF"/>
            </w:tcBorders>
            <w:shd w:val="clear" w:color="000000" w:fill="FDE9D9"/>
            <w:vAlign w:val="center"/>
          </w:tcPr>
          <w:p w14:paraId="28DB1129" w14:textId="35492519" w:rsidR="00955491" w:rsidRPr="00955491" w:rsidRDefault="00BA26A3" w:rsidP="00955491">
            <w:pPr>
              <w:jc w:val="right"/>
              <w:rPr>
                <w:rFonts w:ascii="Calibri" w:hAnsi="Calibri"/>
                <w:color w:val="000000"/>
                <w:lang w:eastAsia="en-GB"/>
              </w:rPr>
            </w:pPr>
            <w:r>
              <w:rPr>
                <w:rFonts w:ascii="Calibri" w:hAnsi="Calibri"/>
                <w:color w:val="000000"/>
                <w:lang w:eastAsia="en-GB"/>
              </w:rPr>
              <w:t>25.7</w:t>
            </w:r>
          </w:p>
        </w:tc>
      </w:tr>
      <w:tr w:rsidR="00955491" w:rsidRPr="00955491" w14:paraId="52DF6556" w14:textId="77777777" w:rsidTr="000C68FB">
        <w:trPr>
          <w:trHeight w:val="300"/>
        </w:trPr>
        <w:tc>
          <w:tcPr>
            <w:tcW w:w="6600" w:type="dxa"/>
            <w:tcBorders>
              <w:top w:val="nil"/>
              <w:left w:val="nil"/>
              <w:bottom w:val="nil"/>
              <w:right w:val="nil"/>
            </w:tcBorders>
            <w:shd w:val="clear" w:color="000000" w:fill="FDE9D9"/>
            <w:vAlign w:val="center"/>
            <w:hideMark/>
          </w:tcPr>
          <w:p w14:paraId="3E3FE046"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 </w:t>
            </w:r>
          </w:p>
        </w:tc>
        <w:tc>
          <w:tcPr>
            <w:tcW w:w="1460" w:type="dxa"/>
            <w:tcBorders>
              <w:top w:val="nil"/>
              <w:left w:val="nil"/>
              <w:bottom w:val="nil"/>
              <w:right w:val="nil"/>
            </w:tcBorders>
            <w:shd w:val="clear" w:color="000000" w:fill="FDE9D9"/>
            <w:vAlign w:val="center"/>
            <w:hideMark/>
          </w:tcPr>
          <w:p w14:paraId="338BC368" w14:textId="77777777" w:rsidR="00955491" w:rsidRPr="00955491" w:rsidRDefault="00955491" w:rsidP="00955491">
            <w:pPr>
              <w:jc w:val="right"/>
              <w:rPr>
                <w:rFonts w:ascii="Calibri" w:hAnsi="Calibri"/>
                <w:color w:val="000000"/>
                <w:lang w:eastAsia="en-GB"/>
              </w:rPr>
            </w:pPr>
            <w:r w:rsidRPr="00955491">
              <w:rPr>
                <w:rFonts w:ascii="Calibri" w:hAnsi="Calibri"/>
                <w:color w:val="000000"/>
                <w:lang w:eastAsia="en-GB"/>
              </w:rPr>
              <w:t> </w:t>
            </w:r>
          </w:p>
        </w:tc>
        <w:tc>
          <w:tcPr>
            <w:tcW w:w="1600" w:type="dxa"/>
            <w:tcBorders>
              <w:top w:val="nil"/>
              <w:left w:val="nil"/>
              <w:bottom w:val="nil"/>
              <w:right w:val="nil"/>
            </w:tcBorders>
            <w:shd w:val="clear" w:color="000000" w:fill="FDE9D9"/>
            <w:vAlign w:val="center"/>
          </w:tcPr>
          <w:p w14:paraId="13D44ECA" w14:textId="77777777" w:rsidR="00955491" w:rsidRPr="00955491" w:rsidRDefault="00955491" w:rsidP="00955491">
            <w:pPr>
              <w:jc w:val="right"/>
              <w:rPr>
                <w:rFonts w:ascii="Calibri" w:hAnsi="Calibri"/>
                <w:color w:val="000000"/>
                <w:lang w:eastAsia="en-GB"/>
              </w:rPr>
            </w:pPr>
          </w:p>
        </w:tc>
      </w:tr>
      <w:tr w:rsidR="00955491" w:rsidRPr="00955491" w14:paraId="4F5A9701" w14:textId="77777777" w:rsidTr="000C68FB">
        <w:trPr>
          <w:trHeight w:val="300"/>
        </w:trPr>
        <w:tc>
          <w:tcPr>
            <w:tcW w:w="6600" w:type="dxa"/>
            <w:tcBorders>
              <w:top w:val="single" w:sz="4" w:space="0" w:color="FFFFFF"/>
              <w:left w:val="single" w:sz="4" w:space="0" w:color="FFFFFF"/>
              <w:bottom w:val="single" w:sz="4" w:space="0" w:color="FFFFFF"/>
              <w:right w:val="single" w:sz="4" w:space="0" w:color="FFFFFF"/>
            </w:tcBorders>
            <w:shd w:val="clear" w:color="000000" w:fill="FDE9D9"/>
            <w:vAlign w:val="center"/>
            <w:hideMark/>
          </w:tcPr>
          <w:p w14:paraId="5F3F78CB"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Rate of inflation</w:t>
            </w:r>
          </w:p>
        </w:tc>
        <w:tc>
          <w:tcPr>
            <w:tcW w:w="1460" w:type="dxa"/>
            <w:tcBorders>
              <w:top w:val="single" w:sz="4" w:space="0" w:color="FFFFFF"/>
              <w:left w:val="nil"/>
              <w:bottom w:val="single" w:sz="4" w:space="0" w:color="FFFFFF"/>
              <w:right w:val="single" w:sz="4" w:space="0" w:color="FFFFFF"/>
            </w:tcBorders>
            <w:shd w:val="clear" w:color="000000" w:fill="FDE9D9"/>
            <w:vAlign w:val="center"/>
            <w:hideMark/>
          </w:tcPr>
          <w:p w14:paraId="2109FACF" w14:textId="35501812" w:rsidR="00955491" w:rsidRPr="00955491" w:rsidRDefault="0025199A" w:rsidP="001223DF">
            <w:pPr>
              <w:jc w:val="right"/>
              <w:rPr>
                <w:rFonts w:ascii="Calibri" w:hAnsi="Calibri"/>
                <w:color w:val="000000"/>
                <w:lang w:eastAsia="en-GB"/>
              </w:rPr>
            </w:pPr>
            <w:r>
              <w:rPr>
                <w:rFonts w:ascii="Calibri" w:hAnsi="Calibri"/>
                <w:color w:val="000000"/>
                <w:lang w:eastAsia="en-GB"/>
              </w:rPr>
              <w:t>3.20</w:t>
            </w:r>
            <w:r w:rsidR="00955491" w:rsidRPr="00955491">
              <w:rPr>
                <w:rFonts w:ascii="Calibri" w:hAnsi="Calibri"/>
                <w:color w:val="000000"/>
                <w:lang w:eastAsia="en-GB"/>
              </w:rPr>
              <w:t>%</w:t>
            </w:r>
          </w:p>
        </w:tc>
        <w:tc>
          <w:tcPr>
            <w:tcW w:w="1600" w:type="dxa"/>
            <w:tcBorders>
              <w:top w:val="single" w:sz="4" w:space="0" w:color="FFFFFF"/>
              <w:left w:val="nil"/>
              <w:bottom w:val="single" w:sz="4" w:space="0" w:color="FFFFFF"/>
              <w:right w:val="single" w:sz="4" w:space="0" w:color="FFFFFF"/>
            </w:tcBorders>
            <w:shd w:val="clear" w:color="000000" w:fill="FDE9D9"/>
            <w:vAlign w:val="center"/>
          </w:tcPr>
          <w:p w14:paraId="16E7A2BB" w14:textId="65B9F96C" w:rsidR="00955491" w:rsidRPr="00955491" w:rsidRDefault="00BA26A3" w:rsidP="00955491">
            <w:pPr>
              <w:jc w:val="right"/>
              <w:rPr>
                <w:rFonts w:ascii="Calibri" w:hAnsi="Calibri"/>
                <w:color w:val="000000"/>
                <w:lang w:eastAsia="en-GB"/>
              </w:rPr>
            </w:pPr>
            <w:r>
              <w:rPr>
                <w:rFonts w:ascii="Calibri" w:hAnsi="Calibri"/>
                <w:color w:val="000000"/>
                <w:lang w:eastAsia="en-GB"/>
              </w:rPr>
              <w:t>2.95%</w:t>
            </w:r>
          </w:p>
        </w:tc>
      </w:tr>
      <w:tr w:rsidR="00955491" w:rsidRPr="00955491" w14:paraId="125E4823" w14:textId="77777777" w:rsidTr="000C68FB">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615FEE9B"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Rate of increase in salaries</w:t>
            </w:r>
          </w:p>
        </w:tc>
        <w:tc>
          <w:tcPr>
            <w:tcW w:w="1460" w:type="dxa"/>
            <w:tcBorders>
              <w:top w:val="nil"/>
              <w:left w:val="nil"/>
              <w:bottom w:val="single" w:sz="4" w:space="0" w:color="FFFFFF"/>
              <w:right w:val="single" w:sz="4" w:space="0" w:color="FFFFFF"/>
            </w:tcBorders>
            <w:shd w:val="clear" w:color="000000" w:fill="FDE9D9"/>
            <w:vAlign w:val="center"/>
            <w:hideMark/>
          </w:tcPr>
          <w:p w14:paraId="3851AA11" w14:textId="2174633B" w:rsidR="00955491" w:rsidRPr="00955491" w:rsidRDefault="009F1F66" w:rsidP="008F2603">
            <w:pPr>
              <w:jc w:val="right"/>
              <w:rPr>
                <w:rFonts w:ascii="Calibri" w:hAnsi="Calibri"/>
                <w:color w:val="000000"/>
                <w:lang w:eastAsia="en-GB"/>
              </w:rPr>
            </w:pPr>
            <w:r>
              <w:rPr>
                <w:rFonts w:ascii="Calibri" w:hAnsi="Calibri"/>
                <w:color w:val="000000"/>
                <w:lang w:eastAsia="en-GB"/>
              </w:rPr>
              <w:t>3.</w:t>
            </w:r>
            <w:r w:rsidR="0025199A">
              <w:rPr>
                <w:rFonts w:ascii="Calibri" w:hAnsi="Calibri"/>
                <w:color w:val="000000"/>
                <w:lang w:eastAsia="en-GB"/>
              </w:rPr>
              <w:t>70</w:t>
            </w:r>
            <w:r w:rsidR="00955491" w:rsidRPr="00955491">
              <w:rPr>
                <w:rFonts w:ascii="Calibri" w:hAnsi="Calibri"/>
                <w:color w:val="000000"/>
                <w:lang w:eastAsia="en-GB"/>
              </w:rPr>
              <w:t>%</w:t>
            </w:r>
          </w:p>
        </w:tc>
        <w:tc>
          <w:tcPr>
            <w:tcW w:w="1600" w:type="dxa"/>
            <w:tcBorders>
              <w:top w:val="nil"/>
              <w:left w:val="nil"/>
              <w:bottom w:val="single" w:sz="4" w:space="0" w:color="FFFFFF"/>
              <w:right w:val="single" w:sz="4" w:space="0" w:color="FFFFFF"/>
            </w:tcBorders>
            <w:shd w:val="clear" w:color="000000" w:fill="FDE9D9"/>
            <w:vAlign w:val="center"/>
          </w:tcPr>
          <w:p w14:paraId="2FF62E63" w14:textId="779D5C55" w:rsidR="00955491" w:rsidRPr="00955491" w:rsidRDefault="00BA26A3" w:rsidP="00955491">
            <w:pPr>
              <w:jc w:val="right"/>
              <w:rPr>
                <w:rFonts w:ascii="Calibri" w:hAnsi="Calibri"/>
                <w:color w:val="000000"/>
                <w:lang w:eastAsia="en-GB"/>
              </w:rPr>
            </w:pPr>
            <w:r>
              <w:rPr>
                <w:rFonts w:ascii="Calibri" w:hAnsi="Calibri"/>
                <w:color w:val="000000"/>
                <w:lang w:eastAsia="en-GB"/>
              </w:rPr>
              <w:t>3.45%</w:t>
            </w:r>
          </w:p>
        </w:tc>
      </w:tr>
      <w:tr w:rsidR="00955491" w:rsidRPr="00955491" w14:paraId="4A4E27C1" w14:textId="77777777" w:rsidTr="000C68FB">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460214B9"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Rate of increase in pensions</w:t>
            </w:r>
          </w:p>
        </w:tc>
        <w:tc>
          <w:tcPr>
            <w:tcW w:w="1460" w:type="dxa"/>
            <w:tcBorders>
              <w:top w:val="nil"/>
              <w:left w:val="nil"/>
              <w:bottom w:val="single" w:sz="4" w:space="0" w:color="FFFFFF"/>
              <w:right w:val="single" w:sz="4" w:space="0" w:color="FFFFFF"/>
            </w:tcBorders>
            <w:shd w:val="clear" w:color="000000" w:fill="FDE9D9"/>
            <w:vAlign w:val="center"/>
            <w:hideMark/>
          </w:tcPr>
          <w:p w14:paraId="58E1C4EA" w14:textId="29E7179A" w:rsidR="00955491" w:rsidRPr="00955491" w:rsidRDefault="0025199A" w:rsidP="00955491">
            <w:pPr>
              <w:jc w:val="right"/>
              <w:rPr>
                <w:rFonts w:ascii="Calibri" w:hAnsi="Calibri"/>
                <w:color w:val="000000"/>
                <w:lang w:eastAsia="en-GB"/>
              </w:rPr>
            </w:pPr>
            <w:r>
              <w:rPr>
                <w:rFonts w:ascii="Calibri" w:hAnsi="Calibri"/>
                <w:color w:val="000000"/>
                <w:lang w:eastAsia="en-GB"/>
              </w:rPr>
              <w:t>3.20</w:t>
            </w:r>
            <w:r w:rsidR="00955491" w:rsidRPr="00955491">
              <w:rPr>
                <w:rFonts w:ascii="Calibri" w:hAnsi="Calibri"/>
                <w:color w:val="000000"/>
                <w:lang w:eastAsia="en-GB"/>
              </w:rPr>
              <w:t>%</w:t>
            </w:r>
          </w:p>
        </w:tc>
        <w:tc>
          <w:tcPr>
            <w:tcW w:w="1600" w:type="dxa"/>
            <w:tcBorders>
              <w:top w:val="nil"/>
              <w:left w:val="nil"/>
              <w:bottom w:val="single" w:sz="4" w:space="0" w:color="FFFFFF"/>
              <w:right w:val="single" w:sz="4" w:space="0" w:color="FFFFFF"/>
            </w:tcBorders>
            <w:shd w:val="clear" w:color="000000" w:fill="FDE9D9"/>
            <w:vAlign w:val="center"/>
          </w:tcPr>
          <w:p w14:paraId="684C1853" w14:textId="5A76FD48" w:rsidR="00955491" w:rsidRPr="00955491" w:rsidRDefault="00BA26A3" w:rsidP="00955491">
            <w:pPr>
              <w:jc w:val="right"/>
              <w:rPr>
                <w:rFonts w:ascii="Calibri" w:hAnsi="Calibri"/>
                <w:color w:val="000000"/>
                <w:lang w:eastAsia="en-GB"/>
              </w:rPr>
            </w:pPr>
            <w:r>
              <w:rPr>
                <w:rFonts w:ascii="Calibri" w:hAnsi="Calibri"/>
                <w:color w:val="000000"/>
                <w:lang w:eastAsia="en-GB"/>
              </w:rPr>
              <w:t>2.95%</w:t>
            </w:r>
          </w:p>
        </w:tc>
      </w:tr>
      <w:tr w:rsidR="00955491" w:rsidRPr="00955491" w14:paraId="4839230A" w14:textId="77777777" w:rsidTr="000C68FB">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3357FDC4" w14:textId="77777777" w:rsidR="00955491" w:rsidRPr="00955491" w:rsidRDefault="00955491" w:rsidP="00955491">
            <w:pPr>
              <w:jc w:val="both"/>
              <w:rPr>
                <w:rFonts w:ascii="Calibri" w:hAnsi="Calibri"/>
                <w:color w:val="000000"/>
                <w:lang w:eastAsia="en-GB"/>
              </w:rPr>
            </w:pPr>
            <w:r w:rsidRPr="00955491">
              <w:rPr>
                <w:rFonts w:ascii="Calibri" w:hAnsi="Calibri"/>
                <w:color w:val="000000"/>
                <w:lang w:eastAsia="en-GB"/>
              </w:rPr>
              <w:t xml:space="preserve">Rate of discounting scheme liabilities </w:t>
            </w:r>
          </w:p>
        </w:tc>
        <w:tc>
          <w:tcPr>
            <w:tcW w:w="1460" w:type="dxa"/>
            <w:tcBorders>
              <w:top w:val="nil"/>
              <w:left w:val="nil"/>
              <w:bottom w:val="single" w:sz="4" w:space="0" w:color="FFFFFF"/>
              <w:right w:val="single" w:sz="4" w:space="0" w:color="FFFFFF"/>
            </w:tcBorders>
            <w:shd w:val="clear" w:color="000000" w:fill="FDE9D9"/>
            <w:vAlign w:val="center"/>
            <w:hideMark/>
          </w:tcPr>
          <w:p w14:paraId="51AF1C32" w14:textId="742EC297" w:rsidR="00955491" w:rsidRPr="00955491" w:rsidRDefault="000C68FB" w:rsidP="001715ED">
            <w:pPr>
              <w:jc w:val="right"/>
              <w:rPr>
                <w:rFonts w:ascii="Calibri" w:hAnsi="Calibri"/>
                <w:color w:val="000000"/>
                <w:lang w:eastAsia="en-GB"/>
              </w:rPr>
            </w:pPr>
            <w:r>
              <w:rPr>
                <w:rFonts w:ascii="Calibri" w:hAnsi="Calibri"/>
                <w:color w:val="000000"/>
                <w:lang w:eastAsia="en-GB"/>
              </w:rPr>
              <w:t>2.</w:t>
            </w:r>
            <w:r w:rsidR="0025199A">
              <w:rPr>
                <w:rFonts w:ascii="Calibri" w:hAnsi="Calibri"/>
                <w:color w:val="000000"/>
                <w:lang w:eastAsia="en-GB"/>
              </w:rPr>
              <w:t>7</w:t>
            </w:r>
            <w:r w:rsidR="009F1F66">
              <w:rPr>
                <w:rFonts w:ascii="Calibri" w:hAnsi="Calibri"/>
                <w:color w:val="000000"/>
                <w:lang w:eastAsia="en-GB"/>
              </w:rPr>
              <w:t>0</w:t>
            </w:r>
            <w:r w:rsidR="00955491" w:rsidRPr="00955491">
              <w:rPr>
                <w:rFonts w:ascii="Calibri" w:hAnsi="Calibri"/>
                <w:color w:val="000000"/>
                <w:lang w:eastAsia="en-GB"/>
              </w:rPr>
              <w:t>%</w:t>
            </w:r>
          </w:p>
        </w:tc>
        <w:tc>
          <w:tcPr>
            <w:tcW w:w="1600" w:type="dxa"/>
            <w:tcBorders>
              <w:top w:val="nil"/>
              <w:left w:val="nil"/>
              <w:bottom w:val="single" w:sz="4" w:space="0" w:color="FFFFFF"/>
              <w:right w:val="single" w:sz="4" w:space="0" w:color="FFFFFF"/>
            </w:tcBorders>
            <w:shd w:val="clear" w:color="000000" w:fill="FDE9D9"/>
            <w:vAlign w:val="center"/>
          </w:tcPr>
          <w:p w14:paraId="45D99BC1" w14:textId="48E43D75" w:rsidR="00955491" w:rsidRPr="00955491" w:rsidRDefault="00BA26A3" w:rsidP="00955491">
            <w:pPr>
              <w:jc w:val="right"/>
              <w:rPr>
                <w:rFonts w:ascii="Calibri" w:hAnsi="Calibri"/>
                <w:color w:val="000000"/>
                <w:lang w:eastAsia="en-GB"/>
              </w:rPr>
            </w:pPr>
            <w:r>
              <w:rPr>
                <w:rFonts w:ascii="Calibri" w:hAnsi="Calibri"/>
                <w:color w:val="000000"/>
                <w:lang w:eastAsia="en-GB"/>
              </w:rPr>
              <w:t>4.75%</w:t>
            </w:r>
          </w:p>
        </w:tc>
      </w:tr>
    </w:tbl>
    <w:p w14:paraId="53020E00" w14:textId="77777777" w:rsidR="008917BB" w:rsidRPr="00385D4C" w:rsidRDefault="008917BB" w:rsidP="008917BB">
      <w:pPr>
        <w:widowControl w:val="0"/>
        <w:tabs>
          <w:tab w:val="left" w:pos="1701"/>
          <w:tab w:val="left" w:pos="7200"/>
          <w:tab w:val="left" w:pos="8640"/>
        </w:tabs>
        <w:ind w:right="-288"/>
        <w:jc w:val="both"/>
        <w:rPr>
          <w:rFonts w:ascii="Arial" w:hAnsi="Arial" w:cs="Arial"/>
          <w:color w:val="000000" w:themeColor="text1"/>
        </w:rPr>
      </w:pPr>
    </w:p>
    <w:p w14:paraId="10DFE7E6" w14:textId="567E2D0F" w:rsidR="008917BB" w:rsidRPr="00385D4C" w:rsidRDefault="008917BB" w:rsidP="008917BB">
      <w:pPr>
        <w:widowControl w:val="0"/>
        <w:tabs>
          <w:tab w:val="left" w:pos="1701"/>
          <w:tab w:val="left" w:pos="7200"/>
          <w:tab w:val="left" w:pos="8640"/>
        </w:tabs>
        <w:ind w:right="370"/>
        <w:jc w:val="both"/>
        <w:rPr>
          <w:rFonts w:asciiTheme="minorHAnsi" w:hAnsiTheme="minorHAnsi" w:cs="Arial"/>
          <w:color w:val="000000" w:themeColor="text1"/>
          <w:sz w:val="22"/>
          <w:szCs w:val="22"/>
        </w:rPr>
      </w:pPr>
      <w:r w:rsidRPr="00385D4C">
        <w:rPr>
          <w:rFonts w:asciiTheme="minorHAnsi" w:hAnsiTheme="minorHAnsi" w:cs="Arial"/>
          <w:color w:val="000000" w:themeColor="text1"/>
          <w:sz w:val="22"/>
          <w:szCs w:val="22"/>
        </w:rPr>
        <w:t xml:space="preserve">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 </w:t>
      </w:r>
      <w:r w:rsidR="00120BFE" w:rsidRPr="00385D4C">
        <w:rPr>
          <w:rFonts w:asciiTheme="minorHAnsi" w:hAnsiTheme="minorHAnsi" w:cs="Arial"/>
          <w:color w:val="000000" w:themeColor="text1"/>
          <w:sz w:val="22"/>
          <w:szCs w:val="22"/>
        </w:rPr>
        <w:t>for example,</w:t>
      </w:r>
      <w:r w:rsidRPr="00385D4C">
        <w:rPr>
          <w:rFonts w:asciiTheme="minorHAnsi" w:hAnsiTheme="minorHAnsi" w:cs="Arial"/>
          <w:color w:val="000000" w:themeColor="text1"/>
          <w:sz w:val="22"/>
          <w:szCs w:val="22"/>
        </w:rPr>
        <w:t xml:space="preserve"> on an actuarial basis using the projected unit credit method.  The methods and types of assumptions used in preparing the sensitivity analysis below did not change from those used in the previous period.</w:t>
      </w:r>
    </w:p>
    <w:p w14:paraId="78D02A7C" w14:textId="01265721" w:rsidR="008917BB" w:rsidRDefault="008917BB" w:rsidP="008917BB">
      <w:pPr>
        <w:widowControl w:val="0"/>
        <w:tabs>
          <w:tab w:val="left" w:pos="1701"/>
          <w:tab w:val="left" w:pos="7200"/>
          <w:tab w:val="left" w:pos="8640"/>
        </w:tabs>
        <w:ind w:right="370"/>
        <w:jc w:val="both"/>
        <w:rPr>
          <w:rFonts w:ascii="Arial" w:hAnsi="Arial" w:cs="Arial"/>
        </w:rPr>
      </w:pPr>
    </w:p>
    <w:p w14:paraId="64FABF45" w14:textId="77777777" w:rsidR="008917BB" w:rsidRPr="00955491" w:rsidRDefault="008917BB" w:rsidP="008917BB">
      <w:pPr>
        <w:widowControl w:val="0"/>
        <w:tabs>
          <w:tab w:val="left" w:pos="1701"/>
          <w:tab w:val="left" w:pos="7200"/>
          <w:tab w:val="left" w:pos="8640"/>
        </w:tabs>
        <w:ind w:right="370"/>
        <w:jc w:val="both"/>
        <w:rPr>
          <w:rFonts w:asciiTheme="minorHAnsi" w:hAnsiTheme="minorHAnsi" w:cs="Arial"/>
          <w:b/>
          <w:sz w:val="24"/>
          <w:szCs w:val="24"/>
        </w:rPr>
      </w:pPr>
      <w:r w:rsidRPr="00955491">
        <w:rPr>
          <w:rFonts w:asciiTheme="minorHAnsi" w:hAnsiTheme="minorHAnsi" w:cs="Arial"/>
          <w:b/>
          <w:sz w:val="24"/>
          <w:szCs w:val="24"/>
        </w:rPr>
        <w:t>Impact on the defined Benefit Obligation in the Scheme</w:t>
      </w:r>
    </w:p>
    <w:p w14:paraId="0288AD63" w14:textId="77777777" w:rsidR="00955491" w:rsidRPr="00C50706" w:rsidRDefault="00955491" w:rsidP="008917BB">
      <w:pPr>
        <w:widowControl w:val="0"/>
        <w:tabs>
          <w:tab w:val="left" w:pos="1701"/>
          <w:tab w:val="left" w:pos="7200"/>
          <w:tab w:val="left" w:pos="8640"/>
        </w:tabs>
        <w:ind w:right="370"/>
        <w:jc w:val="both"/>
        <w:rPr>
          <w:rFonts w:ascii="Arial" w:hAnsi="Arial" w:cs="Arial"/>
          <w:b/>
          <w:highlight w:val="yellow"/>
        </w:rPr>
      </w:pPr>
    </w:p>
    <w:tbl>
      <w:tblPr>
        <w:tblW w:w="9660" w:type="dxa"/>
        <w:tblInd w:w="93" w:type="dxa"/>
        <w:tblLook w:val="04A0" w:firstRow="1" w:lastRow="0" w:firstColumn="1" w:lastColumn="0" w:noHBand="0" w:noVBand="1"/>
        <w:tblCaption w:val="Impact of assumptions on the defined Benefit Obligation in the Pension Scheme"/>
        <w:tblDescription w:val="Impact of assumptions on the defined Benefit Obligation in the Pension Scheme"/>
      </w:tblPr>
      <w:tblGrid>
        <w:gridCol w:w="6600"/>
        <w:gridCol w:w="1460"/>
        <w:gridCol w:w="1600"/>
      </w:tblGrid>
      <w:tr w:rsidR="009D5FDC" w:rsidRPr="004D3BCA" w14:paraId="5FEBFABF" w14:textId="77777777" w:rsidTr="00CD3384">
        <w:trPr>
          <w:cantSplit/>
          <w:trHeight w:val="300"/>
          <w:tblHeader/>
        </w:trPr>
        <w:tc>
          <w:tcPr>
            <w:tcW w:w="6600" w:type="dxa"/>
            <w:tcBorders>
              <w:top w:val="nil"/>
              <w:left w:val="single" w:sz="4" w:space="0" w:color="FFFFFF"/>
              <w:right w:val="single" w:sz="4" w:space="0" w:color="FFFFFF"/>
            </w:tcBorders>
            <w:shd w:val="clear" w:color="auto" w:fill="FABF8F" w:themeFill="accent6" w:themeFillTint="99"/>
            <w:vAlign w:val="center"/>
          </w:tcPr>
          <w:p w14:paraId="66201F25" w14:textId="77777777" w:rsidR="009D5FDC" w:rsidRPr="004D3BCA" w:rsidRDefault="009D5FDC" w:rsidP="00526B17">
            <w:pPr>
              <w:jc w:val="both"/>
              <w:rPr>
                <w:rFonts w:ascii="Calibri" w:hAnsi="Calibri"/>
                <w:color w:val="000000"/>
                <w:lang w:eastAsia="en-GB"/>
              </w:rPr>
            </w:pPr>
          </w:p>
        </w:tc>
        <w:tc>
          <w:tcPr>
            <w:tcW w:w="1460" w:type="dxa"/>
            <w:tcBorders>
              <w:top w:val="nil"/>
              <w:left w:val="nil"/>
              <w:bottom w:val="single" w:sz="4" w:space="0" w:color="FFFFFF"/>
              <w:right w:val="single" w:sz="4" w:space="0" w:color="FFFFFF"/>
            </w:tcBorders>
            <w:shd w:val="clear" w:color="auto" w:fill="FABF8F" w:themeFill="accent6" w:themeFillTint="99"/>
            <w:vAlign w:val="center"/>
          </w:tcPr>
          <w:p w14:paraId="7957B52A" w14:textId="5CEA61D9" w:rsidR="009D5FDC" w:rsidRDefault="009D5FDC" w:rsidP="004D3BCA">
            <w:pPr>
              <w:jc w:val="right"/>
              <w:rPr>
                <w:rFonts w:ascii="Calibri" w:hAnsi="Calibri"/>
                <w:color w:val="000000"/>
                <w:lang w:eastAsia="en-GB"/>
              </w:rPr>
            </w:pPr>
            <w:r>
              <w:rPr>
                <w:rFonts w:ascii="Calibri" w:hAnsi="Calibri"/>
                <w:color w:val="000000"/>
                <w:lang w:eastAsia="en-GB"/>
              </w:rPr>
              <w:t>Increase in assumption</w:t>
            </w:r>
          </w:p>
        </w:tc>
        <w:tc>
          <w:tcPr>
            <w:tcW w:w="1600" w:type="dxa"/>
            <w:tcBorders>
              <w:top w:val="nil"/>
              <w:left w:val="nil"/>
              <w:bottom w:val="single" w:sz="4" w:space="0" w:color="FFFFFF"/>
              <w:right w:val="single" w:sz="4" w:space="0" w:color="FFFFFF"/>
            </w:tcBorders>
            <w:shd w:val="clear" w:color="auto" w:fill="FABF8F" w:themeFill="accent6" w:themeFillTint="99"/>
            <w:vAlign w:val="center"/>
          </w:tcPr>
          <w:p w14:paraId="34CE0D96" w14:textId="2097E4D8" w:rsidR="009D5FDC" w:rsidRPr="004D3BCA" w:rsidRDefault="009D5FDC" w:rsidP="004D3BCA">
            <w:pPr>
              <w:jc w:val="right"/>
              <w:rPr>
                <w:rFonts w:ascii="Calibri" w:hAnsi="Calibri"/>
                <w:color w:val="000000"/>
                <w:lang w:eastAsia="en-GB"/>
              </w:rPr>
            </w:pPr>
            <w:r>
              <w:rPr>
                <w:rFonts w:ascii="Calibri" w:hAnsi="Calibri"/>
                <w:color w:val="000000"/>
                <w:lang w:eastAsia="en-GB"/>
              </w:rPr>
              <w:t>Decrease in assumption</w:t>
            </w:r>
          </w:p>
        </w:tc>
      </w:tr>
      <w:tr w:rsidR="009D5FDC" w:rsidRPr="004D3BCA" w14:paraId="28F18C87" w14:textId="77777777" w:rsidTr="009D5FDC">
        <w:trPr>
          <w:trHeight w:val="300"/>
        </w:trPr>
        <w:tc>
          <w:tcPr>
            <w:tcW w:w="6600" w:type="dxa"/>
            <w:tcBorders>
              <w:top w:val="nil"/>
              <w:left w:val="single" w:sz="4" w:space="0" w:color="FFFFFF"/>
              <w:bottom w:val="single" w:sz="4" w:space="0" w:color="FFFFFF"/>
              <w:right w:val="single" w:sz="4" w:space="0" w:color="FFFFFF"/>
            </w:tcBorders>
            <w:shd w:val="clear" w:color="auto" w:fill="FABF8F" w:themeFill="accent6" w:themeFillTint="99"/>
            <w:vAlign w:val="center"/>
          </w:tcPr>
          <w:p w14:paraId="2D89749C" w14:textId="77777777" w:rsidR="009D5FDC" w:rsidRPr="004D3BCA" w:rsidRDefault="009D5FDC" w:rsidP="00526B17">
            <w:pPr>
              <w:jc w:val="both"/>
              <w:rPr>
                <w:rFonts w:ascii="Calibri" w:hAnsi="Calibri"/>
                <w:color w:val="000000"/>
                <w:lang w:eastAsia="en-GB"/>
              </w:rPr>
            </w:pPr>
          </w:p>
        </w:tc>
        <w:tc>
          <w:tcPr>
            <w:tcW w:w="1460" w:type="dxa"/>
            <w:tcBorders>
              <w:top w:val="nil"/>
              <w:left w:val="nil"/>
              <w:bottom w:val="single" w:sz="4" w:space="0" w:color="FFFFFF"/>
              <w:right w:val="single" w:sz="4" w:space="0" w:color="FFFFFF"/>
            </w:tcBorders>
            <w:shd w:val="clear" w:color="auto" w:fill="FABF8F" w:themeFill="accent6" w:themeFillTint="99"/>
            <w:vAlign w:val="center"/>
          </w:tcPr>
          <w:p w14:paraId="0D4B5A8B" w14:textId="3CBD1630" w:rsidR="009D5FDC" w:rsidRDefault="009D5FDC" w:rsidP="004D3BCA">
            <w:pPr>
              <w:jc w:val="right"/>
              <w:rPr>
                <w:rFonts w:ascii="Calibri" w:hAnsi="Calibri"/>
                <w:color w:val="000000"/>
                <w:lang w:eastAsia="en-GB"/>
              </w:rPr>
            </w:pPr>
            <w:r>
              <w:rPr>
                <w:rFonts w:ascii="Calibri" w:hAnsi="Calibri"/>
                <w:color w:val="000000"/>
                <w:lang w:eastAsia="en-GB"/>
              </w:rPr>
              <w:t>£’000</w:t>
            </w:r>
          </w:p>
        </w:tc>
        <w:tc>
          <w:tcPr>
            <w:tcW w:w="1600" w:type="dxa"/>
            <w:tcBorders>
              <w:top w:val="nil"/>
              <w:left w:val="nil"/>
              <w:bottom w:val="single" w:sz="4" w:space="0" w:color="FFFFFF"/>
              <w:right w:val="single" w:sz="4" w:space="0" w:color="FFFFFF"/>
            </w:tcBorders>
            <w:shd w:val="clear" w:color="auto" w:fill="FABF8F" w:themeFill="accent6" w:themeFillTint="99"/>
            <w:vAlign w:val="center"/>
          </w:tcPr>
          <w:p w14:paraId="1EDD401E" w14:textId="51CD0661" w:rsidR="009D5FDC" w:rsidRPr="004D3BCA" w:rsidRDefault="009D5FDC" w:rsidP="004D3BCA">
            <w:pPr>
              <w:jc w:val="right"/>
              <w:rPr>
                <w:rFonts w:ascii="Calibri" w:hAnsi="Calibri"/>
                <w:color w:val="000000"/>
                <w:lang w:eastAsia="en-GB"/>
              </w:rPr>
            </w:pPr>
            <w:r>
              <w:rPr>
                <w:rFonts w:ascii="Calibri" w:hAnsi="Calibri"/>
                <w:color w:val="000000"/>
                <w:lang w:eastAsia="en-GB"/>
              </w:rPr>
              <w:t>£’000</w:t>
            </w:r>
          </w:p>
        </w:tc>
      </w:tr>
      <w:tr w:rsidR="004D3BCA" w:rsidRPr="004D3BCA" w14:paraId="6E51D378" w14:textId="77777777" w:rsidTr="00E634D7">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75CC90FE" w14:textId="7B4E2D4E" w:rsidR="004D3BCA" w:rsidRPr="004D3BCA" w:rsidRDefault="004D3BCA" w:rsidP="00526B17">
            <w:pPr>
              <w:jc w:val="both"/>
              <w:rPr>
                <w:rFonts w:ascii="Calibri" w:hAnsi="Calibri"/>
                <w:color w:val="000000"/>
                <w:lang w:eastAsia="en-GB"/>
              </w:rPr>
            </w:pPr>
            <w:r w:rsidRPr="004D3BCA">
              <w:rPr>
                <w:rFonts w:ascii="Calibri" w:hAnsi="Calibri"/>
                <w:color w:val="000000"/>
                <w:lang w:eastAsia="en-GB"/>
              </w:rPr>
              <w:t xml:space="preserve">Rate of increase in salaries (increase by </w:t>
            </w:r>
            <w:r w:rsidR="00815EDA">
              <w:rPr>
                <w:rFonts w:ascii="Calibri" w:hAnsi="Calibri"/>
                <w:color w:val="000000"/>
                <w:lang w:eastAsia="en-GB"/>
              </w:rPr>
              <w:t>0.</w:t>
            </w:r>
            <w:r w:rsidR="0018444C">
              <w:rPr>
                <w:rFonts w:ascii="Calibri" w:hAnsi="Calibri"/>
                <w:color w:val="000000"/>
                <w:lang w:eastAsia="en-GB"/>
              </w:rPr>
              <w:t>1</w:t>
            </w:r>
            <w:r w:rsidRPr="004D3BCA">
              <w:rPr>
                <w:rFonts w:ascii="Calibri" w:hAnsi="Calibri"/>
                <w:color w:val="000000"/>
                <w:lang w:eastAsia="en-GB"/>
              </w:rPr>
              <w:t>%)</w:t>
            </w:r>
          </w:p>
        </w:tc>
        <w:tc>
          <w:tcPr>
            <w:tcW w:w="1460" w:type="dxa"/>
            <w:tcBorders>
              <w:top w:val="nil"/>
              <w:left w:val="nil"/>
              <w:bottom w:val="single" w:sz="4" w:space="0" w:color="FFFFFF"/>
              <w:right w:val="single" w:sz="4" w:space="0" w:color="FFFFFF"/>
            </w:tcBorders>
            <w:shd w:val="clear" w:color="000000" w:fill="FDE9D9"/>
            <w:vAlign w:val="center"/>
          </w:tcPr>
          <w:p w14:paraId="43E36293" w14:textId="77B8E0B0" w:rsidR="004D3BCA" w:rsidRPr="004D3BCA" w:rsidRDefault="0021583E" w:rsidP="004D3BCA">
            <w:pPr>
              <w:jc w:val="right"/>
              <w:rPr>
                <w:rFonts w:ascii="Calibri" w:hAnsi="Calibri"/>
                <w:color w:val="000000"/>
                <w:lang w:eastAsia="en-GB"/>
              </w:rPr>
            </w:pPr>
            <w:r>
              <w:rPr>
                <w:rFonts w:ascii="Calibri" w:hAnsi="Calibri"/>
                <w:color w:val="000000"/>
                <w:lang w:eastAsia="en-GB"/>
              </w:rPr>
              <w:t>90</w:t>
            </w:r>
          </w:p>
        </w:tc>
        <w:tc>
          <w:tcPr>
            <w:tcW w:w="1600" w:type="dxa"/>
            <w:tcBorders>
              <w:top w:val="nil"/>
              <w:left w:val="nil"/>
              <w:bottom w:val="single" w:sz="4" w:space="0" w:color="FFFFFF"/>
              <w:right w:val="single" w:sz="4" w:space="0" w:color="FFFFFF"/>
            </w:tcBorders>
            <w:shd w:val="clear" w:color="000000" w:fill="FDE9D9"/>
            <w:vAlign w:val="center"/>
          </w:tcPr>
          <w:p w14:paraId="05497673" w14:textId="77777777" w:rsidR="004D3BCA" w:rsidRPr="004D3BCA" w:rsidRDefault="004D3BCA" w:rsidP="004D3BCA">
            <w:pPr>
              <w:jc w:val="right"/>
              <w:rPr>
                <w:rFonts w:ascii="Calibri" w:hAnsi="Calibri"/>
                <w:color w:val="000000"/>
                <w:lang w:eastAsia="en-GB"/>
              </w:rPr>
            </w:pPr>
          </w:p>
        </w:tc>
      </w:tr>
      <w:tr w:rsidR="004D3BCA" w:rsidRPr="004D3BCA" w14:paraId="0FBE454A" w14:textId="77777777" w:rsidTr="00815EDA">
        <w:trPr>
          <w:trHeight w:val="300"/>
        </w:trPr>
        <w:tc>
          <w:tcPr>
            <w:tcW w:w="6600" w:type="dxa"/>
            <w:tcBorders>
              <w:top w:val="nil"/>
              <w:left w:val="single" w:sz="4" w:space="0" w:color="FFFFFF"/>
              <w:bottom w:val="single" w:sz="4" w:space="0" w:color="FFFFFF"/>
              <w:right w:val="single" w:sz="4" w:space="0" w:color="FFFFFF"/>
            </w:tcBorders>
            <w:shd w:val="clear" w:color="000000" w:fill="FDE9D9"/>
            <w:vAlign w:val="center"/>
            <w:hideMark/>
          </w:tcPr>
          <w:p w14:paraId="542A9D8D" w14:textId="554344D7" w:rsidR="004D3BCA" w:rsidRPr="004D3BCA" w:rsidRDefault="004D3BCA" w:rsidP="0018444C">
            <w:pPr>
              <w:jc w:val="both"/>
              <w:rPr>
                <w:rFonts w:ascii="Calibri" w:hAnsi="Calibri"/>
                <w:color w:val="000000"/>
                <w:lang w:eastAsia="en-GB"/>
              </w:rPr>
            </w:pPr>
            <w:r w:rsidRPr="004D3BCA">
              <w:rPr>
                <w:rFonts w:ascii="Calibri" w:hAnsi="Calibri"/>
                <w:color w:val="000000"/>
                <w:lang w:eastAsia="en-GB"/>
              </w:rPr>
              <w:t>Rate of increase in pensions (increase by</w:t>
            </w:r>
            <w:r w:rsidR="00526B17">
              <w:rPr>
                <w:rFonts w:ascii="Calibri" w:hAnsi="Calibri"/>
                <w:color w:val="000000"/>
                <w:lang w:eastAsia="en-GB"/>
              </w:rPr>
              <w:t xml:space="preserve"> </w:t>
            </w:r>
            <w:r w:rsidR="00815EDA">
              <w:rPr>
                <w:rFonts w:ascii="Calibri" w:hAnsi="Calibri"/>
                <w:color w:val="000000"/>
                <w:lang w:eastAsia="en-GB"/>
              </w:rPr>
              <w:t>0.1</w:t>
            </w:r>
            <w:r w:rsidRPr="004D3BCA">
              <w:rPr>
                <w:rFonts w:ascii="Calibri" w:hAnsi="Calibri"/>
                <w:color w:val="000000"/>
                <w:lang w:eastAsia="en-GB"/>
              </w:rPr>
              <w:t>%)</w:t>
            </w:r>
          </w:p>
        </w:tc>
        <w:tc>
          <w:tcPr>
            <w:tcW w:w="1460" w:type="dxa"/>
            <w:tcBorders>
              <w:top w:val="nil"/>
              <w:left w:val="nil"/>
              <w:bottom w:val="single" w:sz="4" w:space="0" w:color="FFFFFF"/>
              <w:right w:val="single" w:sz="4" w:space="0" w:color="FFFFFF"/>
            </w:tcBorders>
            <w:shd w:val="clear" w:color="000000" w:fill="FDE9D9"/>
            <w:vAlign w:val="center"/>
          </w:tcPr>
          <w:p w14:paraId="01EB06EA" w14:textId="4199D862" w:rsidR="004D3BCA" w:rsidRPr="004D3BCA" w:rsidRDefault="0021583E" w:rsidP="00D53968">
            <w:pPr>
              <w:jc w:val="right"/>
              <w:rPr>
                <w:rFonts w:ascii="Calibri" w:hAnsi="Calibri"/>
                <w:color w:val="000000"/>
                <w:lang w:eastAsia="en-GB"/>
              </w:rPr>
            </w:pPr>
            <w:r>
              <w:rPr>
                <w:rFonts w:ascii="Calibri" w:hAnsi="Calibri"/>
                <w:color w:val="000000"/>
                <w:lang w:eastAsia="en-GB"/>
              </w:rPr>
              <w:t>736</w:t>
            </w:r>
          </w:p>
        </w:tc>
        <w:tc>
          <w:tcPr>
            <w:tcW w:w="1600" w:type="dxa"/>
            <w:tcBorders>
              <w:top w:val="nil"/>
              <w:left w:val="nil"/>
              <w:bottom w:val="single" w:sz="4" w:space="0" w:color="FFFFFF"/>
              <w:right w:val="single" w:sz="4" w:space="0" w:color="FFFFFF"/>
            </w:tcBorders>
            <w:shd w:val="clear" w:color="000000" w:fill="FDE9D9"/>
            <w:vAlign w:val="center"/>
          </w:tcPr>
          <w:p w14:paraId="3074E692" w14:textId="77777777" w:rsidR="004D3BCA" w:rsidRPr="004D3BCA" w:rsidRDefault="004D3BCA" w:rsidP="004D3BCA">
            <w:pPr>
              <w:jc w:val="right"/>
              <w:rPr>
                <w:rFonts w:ascii="Calibri" w:hAnsi="Calibri"/>
                <w:color w:val="000000"/>
                <w:lang w:eastAsia="en-GB"/>
              </w:rPr>
            </w:pPr>
          </w:p>
        </w:tc>
      </w:tr>
      <w:tr w:rsidR="004D3BCA" w:rsidRPr="004D3BCA" w14:paraId="64FC21ED" w14:textId="77777777" w:rsidTr="00815EDA">
        <w:trPr>
          <w:trHeight w:val="300"/>
        </w:trPr>
        <w:tc>
          <w:tcPr>
            <w:tcW w:w="6600" w:type="dxa"/>
            <w:tcBorders>
              <w:top w:val="single" w:sz="4" w:space="0" w:color="FFFFFF"/>
              <w:left w:val="single" w:sz="4" w:space="0" w:color="FFFFFF"/>
              <w:bottom w:val="single" w:sz="4" w:space="0" w:color="FFFFFF" w:themeColor="background1"/>
              <w:right w:val="single" w:sz="4" w:space="0" w:color="FFFFFF" w:themeColor="background1"/>
            </w:tcBorders>
            <w:shd w:val="clear" w:color="000000" w:fill="FDE9D9"/>
            <w:vAlign w:val="center"/>
            <w:hideMark/>
          </w:tcPr>
          <w:p w14:paraId="1174CEA0" w14:textId="62ACC264" w:rsidR="004D3BCA" w:rsidRPr="004D3BCA" w:rsidRDefault="004D3BCA" w:rsidP="0018444C">
            <w:pPr>
              <w:jc w:val="both"/>
              <w:rPr>
                <w:rFonts w:ascii="Calibri" w:hAnsi="Calibri"/>
                <w:color w:val="000000"/>
                <w:lang w:eastAsia="en-GB"/>
              </w:rPr>
            </w:pPr>
            <w:r w:rsidRPr="004D3BCA">
              <w:rPr>
                <w:rFonts w:ascii="Calibri" w:hAnsi="Calibri"/>
                <w:color w:val="000000"/>
                <w:lang w:eastAsia="en-GB"/>
              </w:rPr>
              <w:t xml:space="preserve">Rate for discounting scheme liabilities (decrease by </w:t>
            </w:r>
            <w:r w:rsidR="00815EDA">
              <w:rPr>
                <w:rFonts w:ascii="Calibri" w:hAnsi="Calibri"/>
                <w:color w:val="000000"/>
                <w:lang w:eastAsia="en-GB"/>
              </w:rPr>
              <w:t>0.</w:t>
            </w:r>
            <w:r w:rsidR="00BC3651">
              <w:rPr>
                <w:rFonts w:ascii="Calibri" w:hAnsi="Calibri"/>
                <w:color w:val="000000"/>
                <w:lang w:eastAsia="en-GB"/>
              </w:rPr>
              <w:t>1</w:t>
            </w:r>
            <w:r w:rsidRPr="004D3BCA">
              <w:rPr>
                <w:rFonts w:ascii="Calibri" w:hAnsi="Calibri"/>
                <w:color w:val="000000"/>
                <w:lang w:eastAsia="en-GB"/>
              </w:rPr>
              <w:t>%)</w:t>
            </w:r>
          </w:p>
        </w:tc>
        <w:tc>
          <w:tcPr>
            <w:tcW w:w="146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000000" w:fill="FDE9D9"/>
            <w:vAlign w:val="center"/>
          </w:tcPr>
          <w:p w14:paraId="49278014" w14:textId="77777777" w:rsidR="004D3BCA" w:rsidRPr="004D3BCA" w:rsidRDefault="004D3BCA" w:rsidP="004D3BCA">
            <w:pPr>
              <w:jc w:val="right"/>
              <w:rPr>
                <w:rFonts w:ascii="Calibri" w:hAnsi="Calibri"/>
                <w:color w:val="000000"/>
                <w:lang w:eastAsia="en-GB"/>
              </w:rPr>
            </w:pPr>
          </w:p>
        </w:tc>
        <w:tc>
          <w:tcPr>
            <w:tcW w:w="1600" w:type="dxa"/>
            <w:tcBorders>
              <w:top w:val="single" w:sz="4" w:space="0" w:color="FFFFFF"/>
              <w:left w:val="single" w:sz="4" w:space="0" w:color="FFFFFF" w:themeColor="background1"/>
              <w:bottom w:val="single" w:sz="4" w:space="0" w:color="FFFFFF" w:themeColor="background1"/>
              <w:right w:val="single" w:sz="4" w:space="0" w:color="FFFFFF"/>
            </w:tcBorders>
            <w:shd w:val="clear" w:color="000000" w:fill="FDE9D9"/>
            <w:vAlign w:val="center"/>
          </w:tcPr>
          <w:p w14:paraId="0B6962B3" w14:textId="2892C337" w:rsidR="004D3BCA" w:rsidRPr="004D3BCA" w:rsidRDefault="0021583E" w:rsidP="00D53968">
            <w:pPr>
              <w:jc w:val="right"/>
              <w:rPr>
                <w:rFonts w:ascii="Calibri" w:hAnsi="Calibri"/>
                <w:color w:val="000000"/>
                <w:lang w:eastAsia="en-GB"/>
              </w:rPr>
            </w:pPr>
            <w:r>
              <w:rPr>
                <w:rFonts w:ascii="Calibri" w:hAnsi="Calibri"/>
                <w:color w:val="000000"/>
                <w:lang w:eastAsia="en-GB"/>
              </w:rPr>
              <w:t>814</w:t>
            </w:r>
          </w:p>
        </w:tc>
      </w:tr>
      <w:tr w:rsidR="00815EDA" w:rsidRPr="004D3BCA" w14:paraId="77B7C93F" w14:textId="77777777" w:rsidTr="00815EDA">
        <w:trPr>
          <w:trHeight w:val="300"/>
        </w:trPr>
        <w:tc>
          <w:tcPr>
            <w:tcW w:w="6600" w:type="dxa"/>
            <w:tcBorders>
              <w:top w:val="single" w:sz="4" w:space="0" w:color="FFFFFF" w:themeColor="background1"/>
              <w:left w:val="single" w:sz="4" w:space="0" w:color="FFFFFF"/>
              <w:bottom w:val="single" w:sz="4" w:space="0" w:color="FFFFFF"/>
              <w:right w:val="single" w:sz="4" w:space="0" w:color="FFFFFF" w:themeColor="background1"/>
            </w:tcBorders>
            <w:shd w:val="clear" w:color="000000" w:fill="FDE9D9"/>
            <w:vAlign w:val="center"/>
          </w:tcPr>
          <w:p w14:paraId="10A2498B" w14:textId="0BBC7152" w:rsidR="00815EDA" w:rsidRPr="004D3BCA" w:rsidRDefault="00815EDA" w:rsidP="0018444C">
            <w:pPr>
              <w:jc w:val="both"/>
              <w:rPr>
                <w:rFonts w:ascii="Calibri" w:hAnsi="Calibri"/>
                <w:color w:val="000000"/>
                <w:lang w:eastAsia="en-GB"/>
              </w:rPr>
            </w:pPr>
            <w:r>
              <w:rPr>
                <w:rFonts w:ascii="Calibri" w:hAnsi="Calibri"/>
                <w:color w:val="000000"/>
                <w:lang w:eastAsia="en-GB"/>
              </w:rPr>
              <w:t>Increase in member life expectancy (increase by 1)</w:t>
            </w:r>
          </w:p>
        </w:tc>
        <w:tc>
          <w:tcPr>
            <w:tcW w:w="146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000000" w:fill="FDE9D9"/>
            <w:vAlign w:val="center"/>
          </w:tcPr>
          <w:p w14:paraId="3CEC0794" w14:textId="36E34349" w:rsidR="00815EDA" w:rsidRPr="004D3BCA" w:rsidRDefault="0021583E" w:rsidP="004D3BCA">
            <w:pPr>
              <w:jc w:val="right"/>
              <w:rPr>
                <w:rFonts w:ascii="Calibri" w:hAnsi="Calibri"/>
                <w:color w:val="000000"/>
                <w:lang w:eastAsia="en-GB"/>
              </w:rPr>
            </w:pPr>
            <w:r>
              <w:rPr>
                <w:rFonts w:ascii="Calibri" w:hAnsi="Calibri"/>
                <w:color w:val="000000"/>
                <w:lang w:eastAsia="en-GB"/>
              </w:rPr>
              <w:t>1,915</w:t>
            </w:r>
          </w:p>
        </w:tc>
        <w:tc>
          <w:tcPr>
            <w:tcW w:w="1600" w:type="dxa"/>
            <w:tcBorders>
              <w:top w:val="single" w:sz="4" w:space="0" w:color="FFFFFF" w:themeColor="background1"/>
              <w:left w:val="single" w:sz="4" w:space="0" w:color="FFFFFF" w:themeColor="background1"/>
              <w:bottom w:val="single" w:sz="4" w:space="0" w:color="FFFFFF"/>
              <w:right w:val="single" w:sz="4" w:space="0" w:color="FFFFFF"/>
            </w:tcBorders>
            <w:shd w:val="clear" w:color="000000" w:fill="FDE9D9"/>
            <w:vAlign w:val="center"/>
          </w:tcPr>
          <w:p w14:paraId="45EB8771" w14:textId="77777777" w:rsidR="00815EDA" w:rsidRDefault="00815EDA" w:rsidP="00D53968">
            <w:pPr>
              <w:jc w:val="right"/>
              <w:rPr>
                <w:rFonts w:ascii="Calibri" w:hAnsi="Calibri"/>
                <w:color w:val="000000"/>
                <w:lang w:eastAsia="en-GB"/>
              </w:rPr>
            </w:pPr>
          </w:p>
        </w:tc>
      </w:tr>
    </w:tbl>
    <w:p w14:paraId="37AE6414" w14:textId="77777777" w:rsidR="008917BB" w:rsidRPr="00F214B4" w:rsidRDefault="008917BB" w:rsidP="008917BB">
      <w:pPr>
        <w:widowControl w:val="0"/>
        <w:tabs>
          <w:tab w:val="left" w:pos="1701"/>
          <w:tab w:val="left" w:pos="7200"/>
          <w:tab w:val="left" w:pos="8640"/>
        </w:tabs>
        <w:ind w:right="370"/>
        <w:jc w:val="both"/>
        <w:rPr>
          <w:rFonts w:ascii="Arial" w:hAnsi="Arial" w:cs="Arial"/>
        </w:rPr>
      </w:pPr>
    </w:p>
    <w:p w14:paraId="38422B15" w14:textId="77777777" w:rsidR="008917BB" w:rsidRPr="004D3BCA" w:rsidRDefault="008917BB" w:rsidP="008917BB">
      <w:pPr>
        <w:widowControl w:val="0"/>
        <w:tabs>
          <w:tab w:val="left" w:pos="567"/>
        </w:tabs>
        <w:spacing w:line="18" w:lineRule="atLeast"/>
        <w:ind w:left="426" w:right="567" w:hanging="426"/>
        <w:jc w:val="both"/>
        <w:rPr>
          <w:rFonts w:asciiTheme="minorHAnsi" w:hAnsiTheme="minorHAnsi" w:cs="Arial"/>
          <w:b/>
          <w:sz w:val="24"/>
          <w:szCs w:val="24"/>
        </w:rPr>
      </w:pPr>
      <w:r w:rsidRPr="004D3BCA">
        <w:rPr>
          <w:rFonts w:asciiTheme="minorHAnsi" w:hAnsiTheme="minorHAnsi" w:cs="Arial"/>
          <w:b/>
          <w:sz w:val="24"/>
          <w:szCs w:val="24"/>
        </w:rPr>
        <w:t>Impact on the Authorities Cash Flows</w:t>
      </w:r>
    </w:p>
    <w:p w14:paraId="5D7B99F9" w14:textId="77777777" w:rsidR="008917BB" w:rsidRPr="00385D4C" w:rsidRDefault="008917BB" w:rsidP="008917BB">
      <w:pPr>
        <w:widowControl w:val="0"/>
        <w:tabs>
          <w:tab w:val="left" w:pos="567"/>
        </w:tabs>
        <w:spacing w:line="18" w:lineRule="atLeast"/>
        <w:ind w:left="426" w:right="567" w:hanging="426"/>
        <w:jc w:val="both"/>
        <w:rPr>
          <w:rFonts w:ascii="Arial" w:hAnsi="Arial" w:cs="Arial"/>
          <w:b/>
          <w:color w:val="000000" w:themeColor="text1"/>
          <w:highlight w:val="yellow"/>
        </w:rPr>
      </w:pPr>
    </w:p>
    <w:p w14:paraId="69CEBB06" w14:textId="76B57AEA" w:rsidR="008917BB" w:rsidRPr="00385D4C" w:rsidRDefault="008917BB" w:rsidP="008917BB">
      <w:pPr>
        <w:widowControl w:val="0"/>
        <w:spacing w:line="18" w:lineRule="atLeast"/>
        <w:ind w:right="567"/>
        <w:jc w:val="both"/>
        <w:rPr>
          <w:rFonts w:asciiTheme="minorHAnsi" w:hAnsiTheme="minorHAnsi" w:cs="Arial"/>
          <w:color w:val="000000" w:themeColor="text1"/>
          <w:sz w:val="22"/>
          <w:szCs w:val="22"/>
        </w:rPr>
      </w:pPr>
      <w:r w:rsidRPr="00385D4C">
        <w:rPr>
          <w:rFonts w:asciiTheme="minorHAnsi" w:hAnsiTheme="minorHAnsi" w:cs="Arial"/>
          <w:color w:val="000000" w:themeColor="text1"/>
          <w:sz w:val="22"/>
          <w:szCs w:val="22"/>
        </w:rPr>
        <w:t xml:space="preserve">The objectives of the scheme are to keep employers’ contributions at as constant a rate as possible.  Leicestershire County Council has agreed a strategy with the scheme’s actuary to achieve a funding level of 100% over the next 3 years.  Funding levels are monitored on an annual basis.  </w:t>
      </w:r>
      <w:r w:rsidRPr="00F75AFD">
        <w:rPr>
          <w:rFonts w:asciiTheme="minorHAnsi" w:hAnsiTheme="minorHAnsi" w:cs="Arial"/>
          <w:color w:val="000000" w:themeColor="text1"/>
          <w:sz w:val="22"/>
          <w:szCs w:val="22"/>
        </w:rPr>
        <w:t xml:space="preserve">The next triennial valuation is due to </w:t>
      </w:r>
      <w:r w:rsidRPr="00BF29BD">
        <w:rPr>
          <w:rFonts w:asciiTheme="minorHAnsi" w:hAnsiTheme="minorHAnsi" w:cs="Arial"/>
          <w:color w:val="000000" w:themeColor="text1"/>
          <w:sz w:val="22"/>
          <w:szCs w:val="22"/>
        </w:rPr>
        <w:t xml:space="preserve">be completed </w:t>
      </w:r>
      <w:r w:rsidR="00F75AFD" w:rsidRPr="00BF29BD">
        <w:rPr>
          <w:rFonts w:asciiTheme="minorHAnsi" w:hAnsiTheme="minorHAnsi" w:cs="Arial"/>
          <w:color w:val="000000" w:themeColor="text1"/>
          <w:sz w:val="22"/>
          <w:szCs w:val="22"/>
        </w:rPr>
        <w:t>on</w:t>
      </w:r>
      <w:r w:rsidRPr="00BF29BD">
        <w:rPr>
          <w:rFonts w:asciiTheme="minorHAnsi" w:hAnsiTheme="minorHAnsi" w:cs="Arial"/>
          <w:color w:val="000000" w:themeColor="text1"/>
          <w:sz w:val="22"/>
          <w:szCs w:val="22"/>
        </w:rPr>
        <w:t xml:space="preserve"> 31 March 20</w:t>
      </w:r>
      <w:r w:rsidR="00FF379B" w:rsidRPr="00BF29BD">
        <w:rPr>
          <w:rFonts w:asciiTheme="minorHAnsi" w:hAnsiTheme="minorHAnsi" w:cs="Arial"/>
          <w:color w:val="000000" w:themeColor="text1"/>
          <w:sz w:val="22"/>
          <w:szCs w:val="22"/>
        </w:rPr>
        <w:t>2</w:t>
      </w:r>
      <w:r w:rsidR="00BF29BD" w:rsidRPr="00BF29BD">
        <w:rPr>
          <w:rFonts w:asciiTheme="minorHAnsi" w:hAnsiTheme="minorHAnsi" w:cs="Arial"/>
          <w:color w:val="000000" w:themeColor="text1"/>
          <w:sz w:val="22"/>
          <w:szCs w:val="22"/>
        </w:rPr>
        <w:t>5</w:t>
      </w:r>
      <w:r w:rsidRPr="00BF29BD">
        <w:rPr>
          <w:rFonts w:asciiTheme="minorHAnsi" w:hAnsiTheme="minorHAnsi" w:cs="Arial"/>
          <w:color w:val="000000" w:themeColor="text1"/>
          <w:sz w:val="22"/>
          <w:szCs w:val="22"/>
        </w:rPr>
        <w:t>.</w:t>
      </w:r>
    </w:p>
    <w:p w14:paraId="3AE9BFA7" w14:textId="77777777" w:rsidR="008917BB" w:rsidRPr="00385D4C" w:rsidRDefault="008917BB" w:rsidP="008917BB">
      <w:pPr>
        <w:widowControl w:val="0"/>
        <w:tabs>
          <w:tab w:val="left" w:pos="567"/>
        </w:tabs>
        <w:spacing w:line="18" w:lineRule="atLeast"/>
        <w:ind w:left="426" w:right="567" w:hanging="426"/>
        <w:jc w:val="both"/>
        <w:rPr>
          <w:rFonts w:asciiTheme="minorHAnsi" w:hAnsiTheme="minorHAnsi" w:cs="Arial"/>
          <w:color w:val="000000" w:themeColor="text1"/>
          <w:sz w:val="22"/>
          <w:szCs w:val="22"/>
        </w:rPr>
      </w:pPr>
    </w:p>
    <w:p w14:paraId="346A47C7" w14:textId="77777777" w:rsidR="008917BB" w:rsidRPr="00385D4C" w:rsidRDefault="008917BB" w:rsidP="008917BB">
      <w:pPr>
        <w:widowControl w:val="0"/>
        <w:tabs>
          <w:tab w:val="left" w:pos="0"/>
        </w:tabs>
        <w:spacing w:line="18" w:lineRule="atLeast"/>
        <w:ind w:right="567"/>
        <w:jc w:val="both"/>
        <w:rPr>
          <w:rFonts w:asciiTheme="minorHAnsi" w:hAnsiTheme="minorHAnsi" w:cs="Arial"/>
          <w:color w:val="000000" w:themeColor="text1"/>
          <w:sz w:val="22"/>
          <w:szCs w:val="22"/>
        </w:rPr>
      </w:pPr>
      <w:r w:rsidRPr="00385D4C">
        <w:rPr>
          <w:rFonts w:asciiTheme="minorHAnsi" w:hAnsiTheme="minorHAnsi" w:cs="Arial"/>
          <w:color w:val="000000" w:themeColor="text1"/>
          <w:sz w:val="22"/>
          <w:szCs w:val="22"/>
        </w:rPr>
        <w:t>The scheme will need to take account of the national changes to the scheme under the Public Pensions Services Act 2013.  Under the Act, the Local Government Pension Scheme in England and Wales and the other main existing public service schemes may not provide benefits in relation to service after 31 March 2014 (or for service after 31 March 2015 for other main existing public service pension schemes in England and Wales).  The Act provides for scheme regulations to be made within a common framework, to establish new career average revalued earnings schemes to pay pensions and other benefits to certain public servants.</w:t>
      </w:r>
    </w:p>
    <w:p w14:paraId="6C507C86" w14:textId="77777777" w:rsidR="008917BB" w:rsidRPr="00385D4C" w:rsidRDefault="008917BB" w:rsidP="008917BB">
      <w:pPr>
        <w:widowControl w:val="0"/>
        <w:tabs>
          <w:tab w:val="left" w:pos="567"/>
        </w:tabs>
        <w:spacing w:line="18" w:lineRule="atLeast"/>
        <w:ind w:left="426" w:right="567" w:hanging="426"/>
        <w:jc w:val="both"/>
        <w:rPr>
          <w:rFonts w:asciiTheme="minorHAnsi" w:hAnsiTheme="minorHAnsi" w:cs="Arial"/>
          <w:color w:val="000000" w:themeColor="text1"/>
          <w:sz w:val="22"/>
          <w:szCs w:val="22"/>
        </w:rPr>
      </w:pPr>
    </w:p>
    <w:p w14:paraId="66C61BB6" w14:textId="488A4E5C" w:rsidR="008917BB" w:rsidRPr="00385D4C" w:rsidRDefault="008917BB" w:rsidP="008917BB">
      <w:pPr>
        <w:widowControl w:val="0"/>
        <w:tabs>
          <w:tab w:val="left" w:pos="567"/>
        </w:tabs>
        <w:spacing w:line="18" w:lineRule="atLeast"/>
        <w:ind w:left="426" w:right="567" w:hanging="426"/>
        <w:jc w:val="both"/>
        <w:rPr>
          <w:rFonts w:asciiTheme="minorHAnsi" w:hAnsiTheme="minorHAnsi" w:cs="Arial"/>
          <w:color w:val="000000" w:themeColor="text1"/>
          <w:sz w:val="22"/>
          <w:szCs w:val="22"/>
        </w:rPr>
      </w:pPr>
      <w:r w:rsidRPr="00385D4C">
        <w:rPr>
          <w:rFonts w:asciiTheme="minorHAnsi" w:hAnsiTheme="minorHAnsi" w:cs="Arial"/>
          <w:color w:val="000000" w:themeColor="text1"/>
          <w:sz w:val="22"/>
          <w:szCs w:val="22"/>
        </w:rPr>
        <w:t xml:space="preserve">The Council anticipate </w:t>
      </w:r>
      <w:proofErr w:type="gramStart"/>
      <w:r w:rsidRPr="00385D4C">
        <w:rPr>
          <w:rFonts w:asciiTheme="minorHAnsi" w:hAnsiTheme="minorHAnsi" w:cs="Arial"/>
          <w:color w:val="000000" w:themeColor="text1"/>
          <w:sz w:val="22"/>
          <w:szCs w:val="22"/>
        </w:rPr>
        <w:t>to</w:t>
      </w:r>
      <w:r w:rsidR="00D90860" w:rsidRPr="00385D4C">
        <w:rPr>
          <w:rFonts w:asciiTheme="minorHAnsi" w:hAnsiTheme="minorHAnsi" w:cs="Arial"/>
          <w:color w:val="000000" w:themeColor="text1"/>
          <w:sz w:val="22"/>
          <w:szCs w:val="22"/>
        </w:rPr>
        <w:t xml:space="preserve"> </w:t>
      </w:r>
      <w:r w:rsidRPr="00ED7848">
        <w:rPr>
          <w:rFonts w:asciiTheme="minorHAnsi" w:hAnsiTheme="minorHAnsi" w:cs="Arial"/>
          <w:color w:val="000000" w:themeColor="text1"/>
          <w:sz w:val="22"/>
          <w:szCs w:val="22"/>
        </w:rPr>
        <w:t>pay</w:t>
      </w:r>
      <w:proofErr w:type="gramEnd"/>
      <w:r w:rsidRPr="00ED7848">
        <w:rPr>
          <w:rFonts w:asciiTheme="minorHAnsi" w:hAnsiTheme="minorHAnsi" w:cs="Arial"/>
          <w:color w:val="000000" w:themeColor="text1"/>
          <w:sz w:val="22"/>
          <w:szCs w:val="22"/>
        </w:rPr>
        <w:t xml:space="preserve"> £</w:t>
      </w:r>
      <w:r w:rsidR="00297A96" w:rsidRPr="00ED7848">
        <w:rPr>
          <w:rFonts w:asciiTheme="minorHAnsi" w:hAnsiTheme="minorHAnsi" w:cs="Arial"/>
          <w:color w:val="000000" w:themeColor="text1"/>
          <w:sz w:val="22"/>
          <w:szCs w:val="22"/>
        </w:rPr>
        <w:t>1,</w:t>
      </w:r>
      <w:r w:rsidR="00ED7848" w:rsidRPr="00ED7848">
        <w:rPr>
          <w:rFonts w:asciiTheme="minorHAnsi" w:hAnsiTheme="minorHAnsi" w:cs="Arial"/>
          <w:color w:val="000000" w:themeColor="text1"/>
          <w:sz w:val="22"/>
          <w:szCs w:val="22"/>
        </w:rPr>
        <w:t>646</w:t>
      </w:r>
      <w:r w:rsidR="00C04A86" w:rsidRPr="00ED7848">
        <w:rPr>
          <w:rFonts w:asciiTheme="minorHAnsi" w:hAnsiTheme="minorHAnsi" w:cs="Arial"/>
          <w:color w:val="000000" w:themeColor="text1"/>
          <w:sz w:val="22"/>
          <w:szCs w:val="22"/>
        </w:rPr>
        <w:t>k</w:t>
      </w:r>
      <w:r w:rsidRPr="00ED7848">
        <w:rPr>
          <w:rFonts w:asciiTheme="minorHAnsi" w:hAnsiTheme="minorHAnsi" w:cs="Arial"/>
          <w:color w:val="000000" w:themeColor="text1"/>
          <w:sz w:val="22"/>
          <w:szCs w:val="22"/>
        </w:rPr>
        <w:t xml:space="preserve"> in expected contributions</w:t>
      </w:r>
      <w:r w:rsidRPr="00385D4C">
        <w:rPr>
          <w:rFonts w:asciiTheme="minorHAnsi" w:hAnsiTheme="minorHAnsi" w:cs="Arial"/>
          <w:color w:val="000000" w:themeColor="text1"/>
          <w:sz w:val="22"/>
          <w:szCs w:val="22"/>
        </w:rPr>
        <w:t xml:space="preserve"> to the scheme in 20</w:t>
      </w:r>
      <w:r w:rsidR="00941D1D" w:rsidRPr="00385D4C">
        <w:rPr>
          <w:rFonts w:asciiTheme="minorHAnsi" w:hAnsiTheme="minorHAnsi" w:cs="Arial"/>
          <w:color w:val="000000" w:themeColor="text1"/>
          <w:sz w:val="22"/>
          <w:szCs w:val="22"/>
        </w:rPr>
        <w:t>2</w:t>
      </w:r>
      <w:r w:rsidR="0025199A">
        <w:rPr>
          <w:rFonts w:asciiTheme="minorHAnsi" w:hAnsiTheme="minorHAnsi" w:cs="Arial"/>
          <w:color w:val="000000" w:themeColor="text1"/>
          <w:sz w:val="22"/>
          <w:szCs w:val="22"/>
        </w:rPr>
        <w:t>3</w:t>
      </w:r>
      <w:r w:rsidR="008F2603" w:rsidRPr="00385D4C">
        <w:rPr>
          <w:rFonts w:asciiTheme="minorHAnsi" w:hAnsiTheme="minorHAnsi" w:cs="Arial"/>
          <w:color w:val="000000" w:themeColor="text1"/>
          <w:sz w:val="22"/>
          <w:szCs w:val="22"/>
        </w:rPr>
        <w:t>-</w:t>
      </w:r>
      <w:r w:rsidR="001715ED" w:rsidRPr="00385D4C">
        <w:rPr>
          <w:rFonts w:asciiTheme="minorHAnsi" w:hAnsiTheme="minorHAnsi" w:cs="Arial"/>
          <w:color w:val="000000" w:themeColor="text1"/>
          <w:sz w:val="22"/>
          <w:szCs w:val="22"/>
        </w:rPr>
        <w:t>2</w:t>
      </w:r>
      <w:r w:rsidR="0025199A">
        <w:rPr>
          <w:rFonts w:asciiTheme="minorHAnsi" w:hAnsiTheme="minorHAnsi" w:cs="Arial"/>
          <w:color w:val="000000" w:themeColor="text1"/>
          <w:sz w:val="22"/>
          <w:szCs w:val="22"/>
        </w:rPr>
        <w:t>4</w:t>
      </w:r>
      <w:r w:rsidRPr="00385D4C">
        <w:rPr>
          <w:rFonts w:asciiTheme="minorHAnsi" w:hAnsiTheme="minorHAnsi" w:cs="Arial"/>
          <w:color w:val="000000" w:themeColor="text1"/>
          <w:sz w:val="22"/>
          <w:szCs w:val="22"/>
        </w:rPr>
        <w:t>.</w:t>
      </w:r>
    </w:p>
    <w:p w14:paraId="5921F8D8" w14:textId="77777777" w:rsidR="008917BB" w:rsidRPr="00385D4C" w:rsidRDefault="008917BB" w:rsidP="008917BB">
      <w:pPr>
        <w:widowControl w:val="0"/>
        <w:tabs>
          <w:tab w:val="left" w:pos="567"/>
        </w:tabs>
        <w:spacing w:line="18" w:lineRule="atLeast"/>
        <w:ind w:left="426" w:right="567" w:hanging="426"/>
        <w:jc w:val="both"/>
        <w:rPr>
          <w:rFonts w:asciiTheme="minorHAnsi" w:hAnsiTheme="minorHAnsi" w:cs="Arial"/>
          <w:color w:val="000000" w:themeColor="text1"/>
          <w:sz w:val="22"/>
          <w:szCs w:val="22"/>
        </w:rPr>
      </w:pPr>
    </w:p>
    <w:p w14:paraId="07546D9C" w14:textId="2B3464BA" w:rsidR="008917BB" w:rsidRPr="00385D4C" w:rsidRDefault="00707C0B" w:rsidP="008917BB">
      <w:pPr>
        <w:widowControl w:val="0"/>
        <w:tabs>
          <w:tab w:val="left" w:pos="567"/>
        </w:tabs>
        <w:spacing w:line="18" w:lineRule="atLeast"/>
        <w:ind w:left="426" w:right="567" w:hanging="426"/>
        <w:jc w:val="both"/>
        <w:rPr>
          <w:rFonts w:ascii="Arial" w:hAnsi="Arial" w:cs="Arial"/>
          <w:color w:val="000000" w:themeColor="text1"/>
        </w:rPr>
      </w:pPr>
      <w:r w:rsidRPr="00385D4C">
        <w:rPr>
          <w:rFonts w:asciiTheme="minorHAnsi" w:hAnsiTheme="minorHAnsi" w:cs="Arial"/>
          <w:color w:val="000000" w:themeColor="text1"/>
          <w:sz w:val="22"/>
          <w:szCs w:val="22"/>
        </w:rPr>
        <w:t xml:space="preserve">As at the most recent valuation the </w:t>
      </w:r>
      <w:r w:rsidR="008917BB" w:rsidRPr="00385D4C">
        <w:rPr>
          <w:rFonts w:asciiTheme="minorHAnsi" w:hAnsiTheme="minorHAnsi" w:cs="Arial"/>
          <w:color w:val="000000" w:themeColor="text1"/>
          <w:sz w:val="22"/>
          <w:szCs w:val="22"/>
        </w:rPr>
        <w:t xml:space="preserve">duration of the </w:t>
      </w:r>
      <w:r w:rsidRPr="00385D4C">
        <w:rPr>
          <w:rFonts w:asciiTheme="minorHAnsi" w:hAnsiTheme="minorHAnsi" w:cs="Arial"/>
          <w:color w:val="000000" w:themeColor="text1"/>
          <w:sz w:val="22"/>
          <w:szCs w:val="22"/>
        </w:rPr>
        <w:t>scheme members</w:t>
      </w:r>
      <w:r w:rsidR="008917BB" w:rsidRPr="00385D4C">
        <w:rPr>
          <w:rFonts w:asciiTheme="minorHAnsi" w:hAnsiTheme="minorHAnsi" w:cs="Arial"/>
          <w:color w:val="000000" w:themeColor="text1"/>
          <w:sz w:val="22"/>
          <w:szCs w:val="22"/>
        </w:rPr>
        <w:t xml:space="preserve"> </w:t>
      </w:r>
      <w:r w:rsidRPr="00385D4C">
        <w:rPr>
          <w:rFonts w:asciiTheme="minorHAnsi" w:hAnsiTheme="minorHAnsi" w:cs="Arial"/>
          <w:color w:val="000000" w:themeColor="text1"/>
          <w:sz w:val="22"/>
          <w:szCs w:val="22"/>
        </w:rPr>
        <w:t xml:space="preserve">funded </w:t>
      </w:r>
      <w:r w:rsidRPr="00ED7848">
        <w:rPr>
          <w:rFonts w:asciiTheme="minorHAnsi" w:hAnsiTheme="minorHAnsi" w:cs="Arial"/>
          <w:color w:val="000000" w:themeColor="text1"/>
          <w:sz w:val="22"/>
          <w:szCs w:val="22"/>
        </w:rPr>
        <w:t>liability</w:t>
      </w:r>
      <w:r w:rsidR="008917BB" w:rsidRPr="00ED7848">
        <w:rPr>
          <w:rFonts w:asciiTheme="minorHAnsi" w:hAnsiTheme="minorHAnsi" w:cs="Arial"/>
          <w:color w:val="000000" w:themeColor="text1"/>
          <w:sz w:val="22"/>
          <w:szCs w:val="22"/>
        </w:rPr>
        <w:t xml:space="preserve"> is </w:t>
      </w:r>
      <w:r w:rsidRPr="00ED7848">
        <w:rPr>
          <w:rFonts w:asciiTheme="minorHAnsi" w:hAnsiTheme="minorHAnsi" w:cs="Arial"/>
          <w:color w:val="000000" w:themeColor="text1"/>
          <w:sz w:val="22"/>
          <w:szCs w:val="22"/>
        </w:rPr>
        <w:t>1</w:t>
      </w:r>
      <w:r w:rsidR="00ED7848" w:rsidRPr="00ED7848">
        <w:rPr>
          <w:rFonts w:asciiTheme="minorHAnsi" w:hAnsiTheme="minorHAnsi" w:cs="Arial"/>
          <w:color w:val="000000" w:themeColor="text1"/>
          <w:sz w:val="22"/>
          <w:szCs w:val="22"/>
        </w:rPr>
        <w:t>8</w:t>
      </w:r>
      <w:r w:rsidR="008917BB" w:rsidRPr="00ED7848">
        <w:rPr>
          <w:rFonts w:asciiTheme="minorHAnsi" w:hAnsiTheme="minorHAnsi" w:cs="Arial"/>
          <w:color w:val="000000" w:themeColor="text1"/>
          <w:sz w:val="22"/>
          <w:szCs w:val="22"/>
        </w:rPr>
        <w:t xml:space="preserve"> years</w:t>
      </w:r>
      <w:r w:rsidR="008917BB" w:rsidRPr="00ED7848">
        <w:rPr>
          <w:rFonts w:ascii="Arial" w:hAnsi="Arial" w:cs="Arial"/>
          <w:color w:val="000000" w:themeColor="text1"/>
        </w:rPr>
        <w:t>.</w:t>
      </w:r>
    </w:p>
    <w:p w14:paraId="4CFDA5CE" w14:textId="77777777" w:rsidR="007F601D" w:rsidRPr="00385D4C" w:rsidRDefault="007F601D" w:rsidP="008917BB">
      <w:pPr>
        <w:widowControl w:val="0"/>
        <w:tabs>
          <w:tab w:val="left" w:pos="567"/>
        </w:tabs>
        <w:spacing w:line="18" w:lineRule="atLeast"/>
        <w:ind w:left="426" w:right="567" w:hanging="426"/>
        <w:jc w:val="both"/>
        <w:rPr>
          <w:rFonts w:ascii="Arial" w:hAnsi="Arial" w:cs="Arial"/>
          <w:color w:val="000000" w:themeColor="text1"/>
        </w:rPr>
      </w:pPr>
    </w:p>
    <w:p w14:paraId="483C046D" w14:textId="77777777" w:rsidR="00927FEA" w:rsidRDefault="00927FEA" w:rsidP="00927FEA">
      <w:pPr>
        <w:widowControl w:val="0"/>
        <w:tabs>
          <w:tab w:val="left" w:pos="567"/>
          <w:tab w:val="left" w:pos="7200"/>
          <w:tab w:val="left" w:pos="8460"/>
        </w:tabs>
        <w:rPr>
          <w:rFonts w:asciiTheme="minorHAnsi" w:hAnsiTheme="minorHAnsi" w:cs="Arial"/>
          <w:b/>
          <w:sz w:val="24"/>
          <w:szCs w:val="24"/>
        </w:rPr>
      </w:pPr>
      <w:r>
        <w:rPr>
          <w:rFonts w:asciiTheme="minorHAnsi" w:hAnsiTheme="minorHAnsi" w:cs="Arial"/>
          <w:b/>
          <w:sz w:val="24"/>
          <w:szCs w:val="24"/>
        </w:rPr>
        <w:lastRenderedPageBreak/>
        <w:t>Impact of recent Court Judgements</w:t>
      </w:r>
    </w:p>
    <w:p w14:paraId="41829979" w14:textId="77777777" w:rsidR="00927FEA" w:rsidRDefault="00927FEA" w:rsidP="00927FEA">
      <w:pPr>
        <w:widowControl w:val="0"/>
        <w:tabs>
          <w:tab w:val="left" w:pos="567"/>
          <w:tab w:val="left" w:pos="7200"/>
          <w:tab w:val="left" w:pos="8460"/>
        </w:tabs>
        <w:rPr>
          <w:rFonts w:asciiTheme="minorHAnsi" w:hAnsiTheme="minorHAnsi" w:cs="Arial"/>
          <w:b/>
          <w:sz w:val="24"/>
          <w:szCs w:val="24"/>
        </w:rPr>
      </w:pPr>
    </w:p>
    <w:p w14:paraId="4A46828F" w14:textId="1BAFDEB2" w:rsidR="00927FEA" w:rsidRPr="000D32B9" w:rsidRDefault="00927FEA" w:rsidP="00927FEA">
      <w:pPr>
        <w:widowControl w:val="0"/>
        <w:tabs>
          <w:tab w:val="left" w:pos="567"/>
          <w:tab w:val="left" w:pos="7200"/>
          <w:tab w:val="left" w:pos="8460"/>
        </w:tabs>
        <w:jc w:val="both"/>
        <w:rPr>
          <w:rFonts w:asciiTheme="minorHAnsi" w:hAnsiTheme="minorHAnsi" w:cs="Arial"/>
          <w:b/>
          <w:sz w:val="22"/>
          <w:szCs w:val="22"/>
        </w:rPr>
      </w:pPr>
      <w:r w:rsidRPr="000D32B9">
        <w:rPr>
          <w:rFonts w:asciiTheme="minorHAnsi" w:hAnsiTheme="minorHAnsi" w:cs="Arial"/>
          <w:b/>
          <w:sz w:val="22"/>
          <w:szCs w:val="22"/>
        </w:rPr>
        <w:t>McCloud</w:t>
      </w:r>
      <w:r w:rsidR="00D735B1">
        <w:rPr>
          <w:rFonts w:asciiTheme="minorHAnsi" w:hAnsiTheme="minorHAnsi" w:cs="Arial"/>
          <w:b/>
          <w:sz w:val="22"/>
          <w:szCs w:val="22"/>
        </w:rPr>
        <w:t>/</w:t>
      </w:r>
      <w:proofErr w:type="spellStart"/>
      <w:r w:rsidR="00D735B1">
        <w:rPr>
          <w:rFonts w:asciiTheme="minorHAnsi" w:hAnsiTheme="minorHAnsi" w:cs="Arial"/>
          <w:b/>
          <w:sz w:val="22"/>
          <w:szCs w:val="22"/>
        </w:rPr>
        <w:t>Sargeant</w:t>
      </w:r>
      <w:proofErr w:type="spellEnd"/>
      <w:r w:rsidRPr="000D32B9">
        <w:rPr>
          <w:rFonts w:asciiTheme="minorHAnsi" w:hAnsiTheme="minorHAnsi" w:cs="Arial"/>
          <w:b/>
          <w:sz w:val="22"/>
          <w:szCs w:val="22"/>
        </w:rPr>
        <w:t xml:space="preserve"> </w:t>
      </w:r>
      <w:r w:rsidR="00D735B1">
        <w:rPr>
          <w:rFonts w:asciiTheme="minorHAnsi" w:hAnsiTheme="minorHAnsi" w:cs="Arial"/>
          <w:b/>
          <w:sz w:val="22"/>
          <w:szCs w:val="22"/>
        </w:rPr>
        <w:t>Treat</w:t>
      </w:r>
      <w:r w:rsidRPr="000D32B9">
        <w:rPr>
          <w:rFonts w:asciiTheme="minorHAnsi" w:hAnsiTheme="minorHAnsi" w:cs="Arial"/>
          <w:b/>
          <w:sz w:val="22"/>
          <w:szCs w:val="22"/>
        </w:rPr>
        <w:t xml:space="preserve">ment:  </w:t>
      </w:r>
    </w:p>
    <w:p w14:paraId="0E0B8C5B" w14:textId="77777777" w:rsidR="00927FEA" w:rsidRPr="000D32B9" w:rsidRDefault="00927FEA" w:rsidP="00927FEA">
      <w:pPr>
        <w:autoSpaceDE w:val="0"/>
        <w:autoSpaceDN w:val="0"/>
        <w:adjustRightInd w:val="0"/>
        <w:rPr>
          <w:rFonts w:ascii="Arial" w:hAnsi="Arial" w:cs="Arial"/>
          <w:color w:val="000000"/>
          <w:sz w:val="24"/>
          <w:szCs w:val="24"/>
          <w:lang w:eastAsia="en-GB"/>
        </w:rPr>
      </w:pPr>
    </w:p>
    <w:p w14:paraId="6C1441D1"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 xml:space="preserve">When the LGPS benefit structure was reformed in 2014, transitional protections were applied to certain older members close to normal retirement age. The benefits accrued from 1 April 2014 by these members are subject to an ‘underpin’ which means that they cannot be lower than what they would have received under the previous benefit structure. The underpin ensures that these members do not lose out from the introduction of the new scheme, by effectively giving them the better of the benefits from the old and new schemes. </w:t>
      </w:r>
    </w:p>
    <w:p w14:paraId="602DE90F"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p>
    <w:p w14:paraId="5C52C149"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In December 2018 the Court of Appeal upheld a ruling (“McCloud/</w:t>
      </w:r>
      <w:proofErr w:type="spellStart"/>
      <w:r w:rsidRPr="00BF29BD">
        <w:rPr>
          <w:rFonts w:asciiTheme="minorHAnsi" w:hAnsiTheme="minorHAnsi" w:cs="Arial"/>
          <w:color w:val="000000"/>
          <w:sz w:val="22"/>
          <w:szCs w:val="22"/>
          <w:lang w:eastAsia="en-GB"/>
        </w:rPr>
        <w:t>Sargeant</w:t>
      </w:r>
      <w:proofErr w:type="spellEnd"/>
      <w:r w:rsidRPr="00BF29BD">
        <w:rPr>
          <w:rFonts w:asciiTheme="minorHAnsi" w:hAnsiTheme="minorHAnsi" w:cs="Arial"/>
          <w:color w:val="000000"/>
          <w:sz w:val="22"/>
          <w:szCs w:val="22"/>
          <w:lang w:eastAsia="en-GB"/>
        </w:rPr>
        <w:t xml:space="preserve">”) that similar transitional protections in the Judges’ and Firefighters’ Pension Schemes were unlawful on the grounds of age discrimination. The implications of the ruling are expected to apply to the LGPS (and other public service schemes) as well. The UK Government requested leave to appeal to the Supreme </w:t>
      </w:r>
      <w:proofErr w:type="gramStart"/>
      <w:r w:rsidRPr="00BF29BD">
        <w:rPr>
          <w:rFonts w:asciiTheme="minorHAnsi" w:hAnsiTheme="minorHAnsi" w:cs="Arial"/>
          <w:color w:val="000000"/>
          <w:sz w:val="22"/>
          <w:szCs w:val="22"/>
          <w:lang w:eastAsia="en-GB"/>
        </w:rPr>
        <w:t>Court</w:t>
      </w:r>
      <w:proofErr w:type="gramEnd"/>
      <w:r w:rsidRPr="00BF29BD">
        <w:rPr>
          <w:rFonts w:asciiTheme="minorHAnsi" w:hAnsiTheme="minorHAnsi" w:cs="Arial"/>
          <w:color w:val="000000"/>
          <w:sz w:val="22"/>
          <w:szCs w:val="22"/>
          <w:lang w:eastAsia="en-GB"/>
        </w:rPr>
        <w:t xml:space="preserve"> but this was denied on 27 June 2019. LGPS benefits accrued from 2014 may therefore need to be enhanced so that all members, regardless of age, will benefit from the underpin. Alternatively, restitution may be achieved in a different way, for example by paying compensation. In either case, the clear expectation is that many more members would see an enhanced benefit rather than just those currently subject to these protections. There will therefore be a retrospective increase to members’ benefits, which in turn will give rise to a past service cost for the Fund employers.</w:t>
      </w:r>
    </w:p>
    <w:p w14:paraId="6DCDE961" w14:textId="77777777" w:rsidR="00927FEA" w:rsidRPr="0025199A" w:rsidRDefault="00927FEA" w:rsidP="00927FEA">
      <w:pPr>
        <w:autoSpaceDE w:val="0"/>
        <w:autoSpaceDN w:val="0"/>
        <w:adjustRightInd w:val="0"/>
        <w:jc w:val="both"/>
        <w:rPr>
          <w:rFonts w:asciiTheme="minorHAnsi" w:hAnsiTheme="minorHAnsi" w:cs="Arial"/>
          <w:color w:val="000000"/>
          <w:sz w:val="22"/>
          <w:szCs w:val="22"/>
          <w:highlight w:val="yellow"/>
          <w:lang w:eastAsia="en-GB"/>
        </w:rPr>
      </w:pPr>
      <w:r w:rsidRPr="0025199A">
        <w:rPr>
          <w:rFonts w:asciiTheme="minorHAnsi" w:hAnsiTheme="minorHAnsi" w:cs="Arial"/>
          <w:color w:val="000000"/>
          <w:sz w:val="22"/>
          <w:szCs w:val="22"/>
          <w:highlight w:val="yellow"/>
          <w:lang w:eastAsia="en-GB"/>
        </w:rPr>
        <w:t xml:space="preserve"> </w:t>
      </w:r>
    </w:p>
    <w:p w14:paraId="0F7F229B"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 xml:space="preserve">Quantifying the impact of the judgement at this stage remains very difficult because it will depend on the compensation awarded, members’ future salary increases, length of service and retirement age, and whether (and when) members withdraw from active service. Salary increases in particular can vary significantly from year to year and from member to member depending on factors such as budget restraint, job performance and career progression. The Government Actuary’s Department (GAD) has estimated that the impact for the LGPS as a whole could be to increase active member liabilities by 3.2%, based on a given set of actuarial assumptions. A full description of the data, methodology and assumptions underlying these estimates is given in GAD’s paper, dated 10 June 2019. </w:t>
      </w:r>
    </w:p>
    <w:p w14:paraId="1B5F4B3C"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p>
    <w:p w14:paraId="31D5F5BE" w14:textId="52D058D1"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For the 2018-19 accounts, the Fund’s actuary adjusted GAD’s estimate to better reflect the Leicestershire Pension Fund’s local assumptions, particularly salary increases and withdrawal rates. The revised estimate as it applies to Melton Borough Council is that total liabilities (</w:t>
      </w:r>
      <w:r w:rsidR="00120BFE" w:rsidRPr="00BF29BD">
        <w:rPr>
          <w:rFonts w:asciiTheme="minorHAnsi" w:hAnsiTheme="minorHAnsi" w:cs="Arial"/>
          <w:color w:val="000000"/>
          <w:sz w:val="22"/>
          <w:szCs w:val="22"/>
          <w:lang w:eastAsia="en-GB"/>
        </w:rPr>
        <w:t>for example,</w:t>
      </w:r>
      <w:r w:rsidRPr="00BF29BD">
        <w:rPr>
          <w:rFonts w:asciiTheme="minorHAnsi" w:hAnsiTheme="minorHAnsi" w:cs="Arial"/>
          <w:color w:val="000000"/>
          <w:sz w:val="22"/>
          <w:szCs w:val="22"/>
          <w:lang w:eastAsia="en-GB"/>
        </w:rPr>
        <w:t xml:space="preserve"> the increase in active members’ liabilities expressed in terms of the employer’s total membership) could be 0.71% higher as </w:t>
      </w:r>
      <w:proofErr w:type="gramStart"/>
      <w:r w:rsidRPr="00BF29BD">
        <w:rPr>
          <w:rFonts w:asciiTheme="minorHAnsi" w:hAnsiTheme="minorHAnsi" w:cs="Arial"/>
          <w:color w:val="000000"/>
          <w:sz w:val="22"/>
          <w:szCs w:val="22"/>
          <w:lang w:eastAsia="en-GB"/>
        </w:rPr>
        <w:t>at</w:t>
      </w:r>
      <w:proofErr w:type="gramEnd"/>
      <w:r w:rsidRPr="00BF29BD">
        <w:rPr>
          <w:rFonts w:asciiTheme="minorHAnsi" w:hAnsiTheme="minorHAnsi" w:cs="Arial"/>
          <w:color w:val="000000"/>
          <w:sz w:val="22"/>
          <w:szCs w:val="22"/>
          <w:lang w:eastAsia="en-GB"/>
        </w:rPr>
        <w:t xml:space="preserve"> 31 March 2019, an increase of approximately £409k. </w:t>
      </w:r>
    </w:p>
    <w:p w14:paraId="784155A8" w14:textId="04B3E40E"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These numbers are high level estimates based on scheme level calculations and depend on several key assumptions.  There has been no significant new information for 2019-20</w:t>
      </w:r>
      <w:r w:rsidR="00D735B1" w:rsidRPr="00BF29BD">
        <w:rPr>
          <w:rFonts w:asciiTheme="minorHAnsi" w:hAnsiTheme="minorHAnsi" w:cs="Arial"/>
          <w:color w:val="000000"/>
          <w:sz w:val="22"/>
          <w:szCs w:val="22"/>
          <w:lang w:eastAsia="en-GB"/>
        </w:rPr>
        <w:t>, 2020-21</w:t>
      </w:r>
      <w:r w:rsidR="00BF29BD" w:rsidRPr="00BF29BD">
        <w:rPr>
          <w:rFonts w:asciiTheme="minorHAnsi" w:hAnsiTheme="minorHAnsi" w:cs="Arial"/>
          <w:color w:val="000000"/>
          <w:sz w:val="22"/>
          <w:szCs w:val="22"/>
          <w:lang w:eastAsia="en-GB"/>
        </w:rPr>
        <w:t>, 2021-22</w:t>
      </w:r>
      <w:r w:rsidR="00F2759D" w:rsidRPr="00BF29BD">
        <w:rPr>
          <w:rFonts w:asciiTheme="minorHAnsi" w:hAnsiTheme="minorHAnsi" w:cs="Arial"/>
          <w:color w:val="000000"/>
          <w:sz w:val="22"/>
          <w:szCs w:val="22"/>
          <w:lang w:eastAsia="en-GB"/>
        </w:rPr>
        <w:t xml:space="preserve"> or for 202</w:t>
      </w:r>
      <w:r w:rsidR="00BF29BD" w:rsidRPr="00BF29BD">
        <w:rPr>
          <w:rFonts w:asciiTheme="minorHAnsi" w:hAnsiTheme="minorHAnsi" w:cs="Arial"/>
          <w:color w:val="000000"/>
          <w:sz w:val="22"/>
          <w:szCs w:val="22"/>
          <w:lang w:eastAsia="en-GB"/>
        </w:rPr>
        <w:t>2</w:t>
      </w:r>
      <w:r w:rsidR="00F2759D" w:rsidRPr="00BF29BD">
        <w:rPr>
          <w:rFonts w:asciiTheme="minorHAnsi" w:hAnsiTheme="minorHAnsi" w:cs="Arial"/>
          <w:color w:val="000000"/>
          <w:sz w:val="22"/>
          <w:szCs w:val="22"/>
          <w:lang w:eastAsia="en-GB"/>
        </w:rPr>
        <w:t>-2</w:t>
      </w:r>
      <w:r w:rsidR="00BF29BD" w:rsidRPr="00BF29BD">
        <w:rPr>
          <w:rFonts w:asciiTheme="minorHAnsi" w:hAnsiTheme="minorHAnsi" w:cs="Arial"/>
          <w:color w:val="000000"/>
          <w:sz w:val="22"/>
          <w:szCs w:val="22"/>
          <w:lang w:eastAsia="en-GB"/>
        </w:rPr>
        <w:t>3</w:t>
      </w:r>
      <w:r w:rsidRPr="00BF29BD">
        <w:rPr>
          <w:rFonts w:asciiTheme="minorHAnsi" w:hAnsiTheme="minorHAnsi" w:cs="Arial"/>
          <w:color w:val="000000"/>
          <w:sz w:val="22"/>
          <w:szCs w:val="22"/>
          <w:lang w:eastAsia="en-GB"/>
        </w:rPr>
        <w:t xml:space="preserve"> to justify any further changes and costs to the scheme so the roll-forward position continues to include the estimated McCloud element. </w:t>
      </w:r>
    </w:p>
    <w:p w14:paraId="7D8013DA" w14:textId="77777777" w:rsidR="00927FEA" w:rsidRPr="00BF29BD" w:rsidRDefault="00927FEA" w:rsidP="00927FEA">
      <w:pPr>
        <w:autoSpaceDE w:val="0"/>
        <w:autoSpaceDN w:val="0"/>
        <w:adjustRightInd w:val="0"/>
        <w:jc w:val="both"/>
        <w:rPr>
          <w:rFonts w:asciiTheme="minorHAnsi" w:hAnsiTheme="minorHAnsi" w:cs="Arial"/>
          <w:color w:val="000000"/>
          <w:sz w:val="22"/>
          <w:szCs w:val="22"/>
          <w:lang w:eastAsia="en-GB"/>
        </w:rPr>
      </w:pPr>
    </w:p>
    <w:p w14:paraId="35867BEC" w14:textId="77777777" w:rsidR="00927FEA" w:rsidRPr="00BF29BD" w:rsidRDefault="00927FEA" w:rsidP="00927FEA">
      <w:pPr>
        <w:widowControl w:val="0"/>
        <w:tabs>
          <w:tab w:val="left" w:pos="567"/>
          <w:tab w:val="left" w:pos="7200"/>
          <w:tab w:val="left" w:pos="8460"/>
        </w:tabs>
        <w:jc w:val="both"/>
        <w:rPr>
          <w:rFonts w:asciiTheme="minorHAnsi" w:hAnsiTheme="minorHAnsi" w:cs="Arial"/>
          <w:color w:val="000000"/>
          <w:sz w:val="22"/>
          <w:szCs w:val="22"/>
          <w:lang w:eastAsia="en-GB"/>
        </w:rPr>
      </w:pPr>
      <w:r w:rsidRPr="00BF29BD">
        <w:rPr>
          <w:rFonts w:asciiTheme="minorHAnsi" w:hAnsiTheme="minorHAnsi" w:cs="Arial"/>
          <w:color w:val="000000"/>
          <w:sz w:val="22"/>
          <w:szCs w:val="22"/>
          <w:lang w:eastAsia="en-GB"/>
        </w:rPr>
        <w:t>The impact on employers’ funding arrangements will likely be dampened by the funding arrangements they have in place. However, if the judgement is upheld then there will be unavoidable upward pressure on contributions in future years.</w:t>
      </w:r>
    </w:p>
    <w:p w14:paraId="034CCB9A" w14:textId="77777777" w:rsidR="00927FEA" w:rsidRPr="0025199A" w:rsidRDefault="00927FEA" w:rsidP="00927FEA">
      <w:pPr>
        <w:widowControl w:val="0"/>
        <w:tabs>
          <w:tab w:val="left" w:pos="567"/>
          <w:tab w:val="left" w:pos="7200"/>
          <w:tab w:val="left" w:pos="8460"/>
        </w:tabs>
        <w:jc w:val="both"/>
        <w:rPr>
          <w:rFonts w:asciiTheme="minorHAnsi" w:hAnsiTheme="minorHAnsi" w:cs="Arial"/>
          <w:sz w:val="22"/>
          <w:szCs w:val="22"/>
          <w:highlight w:val="yellow"/>
        </w:rPr>
      </w:pPr>
    </w:p>
    <w:p w14:paraId="342B95A2" w14:textId="77777777" w:rsidR="00927FEA" w:rsidRPr="00C96E4D" w:rsidRDefault="00927FEA" w:rsidP="00927FEA">
      <w:pPr>
        <w:widowControl w:val="0"/>
        <w:tabs>
          <w:tab w:val="left" w:pos="567"/>
          <w:tab w:val="left" w:pos="7200"/>
          <w:tab w:val="left" w:pos="8460"/>
        </w:tabs>
        <w:jc w:val="both"/>
        <w:rPr>
          <w:rFonts w:asciiTheme="minorHAnsi" w:hAnsiTheme="minorHAnsi" w:cs="Arial"/>
          <w:sz w:val="22"/>
          <w:szCs w:val="22"/>
        </w:rPr>
      </w:pPr>
      <w:r w:rsidRPr="00C96E4D">
        <w:rPr>
          <w:rFonts w:asciiTheme="minorHAnsi" w:hAnsiTheme="minorHAnsi" w:cs="Arial"/>
          <w:b/>
          <w:sz w:val="22"/>
          <w:szCs w:val="22"/>
        </w:rPr>
        <w:t>Guaranteed Minimum Pensions:</w:t>
      </w:r>
      <w:r w:rsidRPr="00C96E4D">
        <w:rPr>
          <w:rFonts w:asciiTheme="minorHAnsi" w:hAnsiTheme="minorHAnsi" w:cs="Arial"/>
          <w:sz w:val="22"/>
          <w:szCs w:val="22"/>
        </w:rPr>
        <w:t xml:space="preserve">  </w:t>
      </w:r>
    </w:p>
    <w:p w14:paraId="071834A9" w14:textId="77777777" w:rsidR="00927FEA" w:rsidRPr="00C96E4D" w:rsidRDefault="00927FEA" w:rsidP="00927FEA">
      <w:pPr>
        <w:autoSpaceDE w:val="0"/>
        <w:autoSpaceDN w:val="0"/>
        <w:adjustRightInd w:val="0"/>
        <w:rPr>
          <w:rFonts w:ascii="Arial" w:hAnsi="Arial" w:cs="Arial"/>
          <w:color w:val="000000"/>
          <w:sz w:val="24"/>
          <w:szCs w:val="24"/>
          <w:lang w:eastAsia="en-GB"/>
        </w:rPr>
      </w:pPr>
    </w:p>
    <w:p w14:paraId="46A8E27A" w14:textId="77777777" w:rsidR="00927FEA" w:rsidRPr="00C96E4D" w:rsidRDefault="00927FEA"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 Guaranteed minimum pension (GMP) was accrued by members of the Local Government Pension Scheme (LGPS) between 6 April 1978 and 5 April 1997. The value of GMP is inherently unequal between males and females for a number or reasons, including a higher retirement age for men and GMP accruing at a faster rate for women. However overall equality of benefits was achieved for public service schemes through the interaction between scheme pensions and the State Second Pension. The introduction of the new Single State Pension in April 2016 disrupted this arrangement and brought uncertainty over the ongoing indexation of GMPs, which could lead to inequalities between men and women’s benefits. </w:t>
      </w:r>
    </w:p>
    <w:p w14:paraId="58054D2B" w14:textId="77777777" w:rsidR="00927FEA" w:rsidRPr="00C96E4D" w:rsidRDefault="00927FEA" w:rsidP="00927FEA">
      <w:pPr>
        <w:autoSpaceDE w:val="0"/>
        <w:autoSpaceDN w:val="0"/>
        <w:adjustRightInd w:val="0"/>
        <w:jc w:val="both"/>
        <w:rPr>
          <w:rFonts w:asciiTheme="minorHAnsi" w:hAnsiTheme="minorHAnsi" w:cs="Arial"/>
          <w:color w:val="000000"/>
          <w:sz w:val="22"/>
          <w:szCs w:val="22"/>
          <w:lang w:eastAsia="en-GB"/>
        </w:rPr>
      </w:pPr>
    </w:p>
    <w:p w14:paraId="5E6E4535" w14:textId="77777777" w:rsidR="00927FEA" w:rsidRPr="00C96E4D" w:rsidRDefault="00927FEA"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As an interim solution to avoid this problem, GMP rules were changed so that the responsibility for ensuring GMPs kept pace with inflation passed in full to pension schemes themselves for members reaching state pension age </w:t>
      </w:r>
      <w:r w:rsidRPr="00C96E4D">
        <w:rPr>
          <w:rFonts w:asciiTheme="minorHAnsi" w:hAnsiTheme="minorHAnsi" w:cs="Arial"/>
          <w:color w:val="000000"/>
          <w:sz w:val="22"/>
          <w:szCs w:val="22"/>
          <w:lang w:eastAsia="en-GB"/>
        </w:rPr>
        <w:lastRenderedPageBreak/>
        <w:t>between 6 April 2016 and 5 April 2021. This new responsibility leads to increased costs for schemes (including the LGPS) and hence scheme employers.</w:t>
      </w:r>
    </w:p>
    <w:p w14:paraId="4761F33F" w14:textId="77777777" w:rsidR="00927FEA" w:rsidRPr="00C96E4D" w:rsidRDefault="00927FEA"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 </w:t>
      </w:r>
    </w:p>
    <w:p w14:paraId="55E086D1" w14:textId="77777777" w:rsidR="00553D91" w:rsidRPr="00C96E4D" w:rsidRDefault="00927FEA"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The fund’s actuary has </w:t>
      </w:r>
      <w:r w:rsidR="00A65A72" w:rsidRPr="00C96E4D">
        <w:rPr>
          <w:rFonts w:asciiTheme="minorHAnsi" w:hAnsiTheme="minorHAnsi" w:cs="Arial"/>
          <w:color w:val="000000"/>
          <w:sz w:val="22"/>
          <w:szCs w:val="22"/>
          <w:lang w:eastAsia="en-GB"/>
        </w:rPr>
        <w:t>allowed for the impact of full indexation in the calculation</w:t>
      </w:r>
      <w:r w:rsidR="00553D91" w:rsidRPr="00C96E4D">
        <w:rPr>
          <w:rFonts w:asciiTheme="minorHAnsi" w:hAnsiTheme="minorHAnsi" w:cs="Arial"/>
          <w:color w:val="000000"/>
          <w:sz w:val="22"/>
          <w:szCs w:val="22"/>
          <w:lang w:eastAsia="en-GB"/>
        </w:rPr>
        <w:t>.</w:t>
      </w:r>
    </w:p>
    <w:p w14:paraId="35C5E3BC" w14:textId="77777777" w:rsidR="00553D91" w:rsidRPr="00C96E4D" w:rsidRDefault="00553D91" w:rsidP="00927FEA">
      <w:pPr>
        <w:autoSpaceDE w:val="0"/>
        <w:autoSpaceDN w:val="0"/>
        <w:adjustRightInd w:val="0"/>
        <w:jc w:val="both"/>
        <w:rPr>
          <w:rFonts w:asciiTheme="minorHAnsi" w:hAnsiTheme="minorHAnsi" w:cs="Arial"/>
          <w:color w:val="000000"/>
          <w:sz w:val="22"/>
          <w:szCs w:val="22"/>
          <w:lang w:eastAsia="en-GB"/>
        </w:rPr>
      </w:pPr>
    </w:p>
    <w:p w14:paraId="31EE16BA" w14:textId="5BD3865F" w:rsidR="00927FEA" w:rsidRPr="00C96E4D" w:rsidRDefault="00553D91" w:rsidP="00553D91">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The effect of historical transfers is expected not to have a significant impact on the pension obligations of a typical employer and no allowance has been made for this in the calculation </w:t>
      </w:r>
      <w:proofErr w:type="gramStart"/>
      <w:r w:rsidRPr="00C96E4D">
        <w:rPr>
          <w:rFonts w:asciiTheme="minorHAnsi" w:hAnsiTheme="minorHAnsi" w:cs="Arial"/>
          <w:color w:val="000000"/>
          <w:sz w:val="22"/>
          <w:szCs w:val="22"/>
          <w:lang w:eastAsia="en-GB"/>
        </w:rPr>
        <w:t>at</w:t>
      </w:r>
      <w:proofErr w:type="gramEnd"/>
      <w:r w:rsidRPr="00C96E4D">
        <w:rPr>
          <w:rFonts w:asciiTheme="minorHAnsi" w:hAnsiTheme="minorHAnsi" w:cs="Arial"/>
          <w:color w:val="000000"/>
          <w:sz w:val="22"/>
          <w:szCs w:val="22"/>
          <w:lang w:eastAsia="en-GB"/>
        </w:rPr>
        <w:t xml:space="preserve"> 31 March 202</w:t>
      </w:r>
      <w:r w:rsidR="00C96E4D" w:rsidRPr="00C96E4D">
        <w:rPr>
          <w:rFonts w:asciiTheme="minorHAnsi" w:hAnsiTheme="minorHAnsi" w:cs="Arial"/>
          <w:color w:val="000000"/>
          <w:sz w:val="22"/>
          <w:szCs w:val="22"/>
          <w:lang w:eastAsia="en-GB"/>
        </w:rPr>
        <w:t>3</w:t>
      </w:r>
      <w:r w:rsidRPr="00C96E4D">
        <w:rPr>
          <w:rFonts w:asciiTheme="minorHAnsi" w:hAnsiTheme="minorHAnsi" w:cs="Arial"/>
          <w:color w:val="000000"/>
          <w:sz w:val="22"/>
          <w:szCs w:val="22"/>
          <w:lang w:eastAsia="en-GB"/>
        </w:rPr>
        <w:t>.</w:t>
      </w:r>
    </w:p>
    <w:p w14:paraId="15EA9B50"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p>
    <w:p w14:paraId="64551950" w14:textId="0CD41394" w:rsidR="00E6503B" w:rsidRPr="00C96E4D" w:rsidRDefault="00E6503B" w:rsidP="00927FEA">
      <w:pPr>
        <w:autoSpaceDE w:val="0"/>
        <w:autoSpaceDN w:val="0"/>
        <w:adjustRightInd w:val="0"/>
        <w:jc w:val="both"/>
        <w:rPr>
          <w:rFonts w:asciiTheme="minorHAnsi" w:hAnsiTheme="minorHAnsi" w:cs="Arial"/>
          <w:b/>
          <w:color w:val="000000"/>
          <w:sz w:val="22"/>
          <w:szCs w:val="22"/>
          <w:lang w:eastAsia="en-GB"/>
        </w:rPr>
      </w:pPr>
      <w:r w:rsidRPr="00C96E4D">
        <w:rPr>
          <w:rFonts w:asciiTheme="minorHAnsi" w:hAnsiTheme="minorHAnsi" w:cs="Arial"/>
          <w:b/>
          <w:color w:val="000000"/>
          <w:sz w:val="22"/>
          <w:szCs w:val="22"/>
          <w:lang w:eastAsia="en-GB"/>
        </w:rPr>
        <w:t xml:space="preserve">Goodwin </w:t>
      </w:r>
      <w:r w:rsidR="00553D91" w:rsidRPr="00C96E4D">
        <w:rPr>
          <w:rFonts w:asciiTheme="minorHAnsi" w:hAnsiTheme="minorHAnsi" w:cs="Arial"/>
          <w:b/>
          <w:color w:val="000000"/>
          <w:sz w:val="22"/>
          <w:szCs w:val="22"/>
          <w:lang w:eastAsia="en-GB"/>
        </w:rPr>
        <w:t>Treatment</w:t>
      </w:r>
    </w:p>
    <w:p w14:paraId="2FB8F651"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p>
    <w:p w14:paraId="65CE5C9D"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The Goodwin case concluded on 30 June 2020 that a female member in an opposite sex marriage is treated less favourably than a female in a same sex marriage or civil partnership, and that treatments amounts to direct discrimination on grounds of sexual orientation.  Where schemes contain provisions deemed discriminatory, then those provisions must be dis-applied as being contrary to the non-discrimination rule set out in Section 61 of the Equality Act 2010.</w:t>
      </w:r>
    </w:p>
    <w:p w14:paraId="38C3CF0C"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p>
    <w:p w14:paraId="4AEADB4C"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The Chief Secretary to the Treasury issued a statement on 20 July 2020 that in light of the Goodwin case, amendments would be made to the </w:t>
      </w:r>
      <w:proofErr w:type="spellStart"/>
      <w:r w:rsidRPr="00C96E4D">
        <w:rPr>
          <w:rFonts w:asciiTheme="minorHAnsi" w:hAnsiTheme="minorHAnsi" w:cs="Arial"/>
          <w:color w:val="000000"/>
          <w:sz w:val="22"/>
          <w:szCs w:val="22"/>
          <w:lang w:eastAsia="en-GB"/>
        </w:rPr>
        <w:t>Teachers</w:t>
      </w:r>
      <w:proofErr w:type="spellEnd"/>
      <w:r w:rsidRPr="00C96E4D">
        <w:rPr>
          <w:rFonts w:asciiTheme="minorHAnsi" w:hAnsiTheme="minorHAnsi" w:cs="Arial"/>
          <w:color w:val="000000"/>
          <w:sz w:val="22"/>
          <w:szCs w:val="22"/>
          <w:lang w:eastAsia="en-GB"/>
        </w:rPr>
        <w:t xml:space="preserve"> pension scheme and other public service pension schemes so that “surviving male same-sex and female same-sex spouses and civil partners will, in certain cases, receive benefits equivalent to those received by widows of opposite sex marriages”.</w:t>
      </w:r>
    </w:p>
    <w:p w14:paraId="2EEBC794" w14:textId="77777777" w:rsidR="00E6503B" w:rsidRPr="00C96E4D" w:rsidRDefault="00E6503B" w:rsidP="00927FEA">
      <w:pPr>
        <w:autoSpaceDE w:val="0"/>
        <w:autoSpaceDN w:val="0"/>
        <w:adjustRightInd w:val="0"/>
        <w:jc w:val="both"/>
        <w:rPr>
          <w:rFonts w:asciiTheme="minorHAnsi" w:hAnsiTheme="minorHAnsi" w:cs="Arial"/>
          <w:color w:val="000000"/>
          <w:sz w:val="22"/>
          <w:szCs w:val="22"/>
          <w:lang w:eastAsia="en-GB"/>
        </w:rPr>
      </w:pPr>
    </w:p>
    <w:p w14:paraId="265451DB" w14:textId="3A8470D6" w:rsidR="00E6503B" w:rsidRDefault="005B311E" w:rsidP="00927FEA">
      <w:pPr>
        <w:autoSpaceDE w:val="0"/>
        <w:autoSpaceDN w:val="0"/>
        <w:adjustRightInd w:val="0"/>
        <w:jc w:val="both"/>
        <w:rPr>
          <w:rFonts w:asciiTheme="minorHAnsi" w:hAnsiTheme="minorHAnsi" w:cs="Arial"/>
          <w:color w:val="000000"/>
          <w:sz w:val="22"/>
          <w:szCs w:val="22"/>
          <w:lang w:eastAsia="en-GB"/>
        </w:rPr>
      </w:pPr>
      <w:r w:rsidRPr="00C96E4D">
        <w:rPr>
          <w:rFonts w:asciiTheme="minorHAnsi" w:hAnsiTheme="minorHAnsi" w:cs="Arial"/>
          <w:color w:val="000000"/>
          <w:sz w:val="22"/>
          <w:szCs w:val="22"/>
          <w:lang w:eastAsia="en-GB"/>
        </w:rPr>
        <w:t xml:space="preserve">It is expected that consultations will take place on proposed to </w:t>
      </w:r>
      <w:proofErr w:type="gramStart"/>
      <w:r w:rsidRPr="00C96E4D">
        <w:rPr>
          <w:rFonts w:asciiTheme="minorHAnsi" w:hAnsiTheme="minorHAnsi" w:cs="Arial"/>
          <w:color w:val="000000"/>
          <w:sz w:val="22"/>
          <w:szCs w:val="22"/>
          <w:lang w:eastAsia="en-GB"/>
        </w:rPr>
        <w:t>changes</w:t>
      </w:r>
      <w:proofErr w:type="gramEnd"/>
      <w:r w:rsidRPr="00C96E4D">
        <w:rPr>
          <w:rFonts w:asciiTheme="minorHAnsi" w:hAnsiTheme="minorHAnsi" w:cs="Arial"/>
          <w:color w:val="000000"/>
          <w:sz w:val="22"/>
          <w:szCs w:val="22"/>
          <w:lang w:eastAsia="en-GB"/>
        </w:rPr>
        <w:t xml:space="preserve"> to public service pension schemes which could affect some members benefit entitlement as far back as 5 December 2005.</w:t>
      </w:r>
      <w:r w:rsidR="00F2759D" w:rsidRPr="00C96E4D">
        <w:rPr>
          <w:rFonts w:asciiTheme="minorHAnsi" w:hAnsiTheme="minorHAnsi" w:cs="Arial"/>
          <w:color w:val="000000"/>
          <w:sz w:val="22"/>
          <w:szCs w:val="22"/>
          <w:lang w:eastAsia="en-GB"/>
        </w:rPr>
        <w:t xml:space="preserve">  However, the actuary’s approximate analysis expects a very small impact on the fund and so no adjustments have been made as </w:t>
      </w:r>
      <w:proofErr w:type="gramStart"/>
      <w:r w:rsidR="00F2759D" w:rsidRPr="00C96E4D">
        <w:rPr>
          <w:rFonts w:asciiTheme="minorHAnsi" w:hAnsiTheme="minorHAnsi" w:cs="Arial"/>
          <w:color w:val="000000"/>
          <w:sz w:val="22"/>
          <w:szCs w:val="22"/>
          <w:lang w:eastAsia="en-GB"/>
        </w:rPr>
        <w:t>at</w:t>
      </w:r>
      <w:proofErr w:type="gramEnd"/>
      <w:r w:rsidR="00F2759D" w:rsidRPr="00C96E4D">
        <w:rPr>
          <w:rFonts w:asciiTheme="minorHAnsi" w:hAnsiTheme="minorHAnsi" w:cs="Arial"/>
          <w:color w:val="000000"/>
          <w:sz w:val="22"/>
          <w:szCs w:val="22"/>
          <w:lang w:eastAsia="en-GB"/>
        </w:rPr>
        <w:t xml:space="preserve"> 31 March 202</w:t>
      </w:r>
      <w:r w:rsidR="00C96E4D" w:rsidRPr="00C96E4D">
        <w:rPr>
          <w:rFonts w:asciiTheme="minorHAnsi" w:hAnsiTheme="minorHAnsi" w:cs="Arial"/>
          <w:color w:val="000000"/>
          <w:sz w:val="22"/>
          <w:szCs w:val="22"/>
          <w:lang w:eastAsia="en-GB"/>
        </w:rPr>
        <w:t>3</w:t>
      </w:r>
      <w:r w:rsidR="00F2759D" w:rsidRPr="00C96E4D">
        <w:rPr>
          <w:rFonts w:asciiTheme="minorHAnsi" w:hAnsiTheme="minorHAnsi" w:cs="Arial"/>
          <w:color w:val="000000"/>
          <w:sz w:val="22"/>
          <w:szCs w:val="22"/>
          <w:lang w:eastAsia="en-GB"/>
        </w:rPr>
        <w:t>.</w:t>
      </w:r>
    </w:p>
    <w:p w14:paraId="0BD51747" w14:textId="77777777" w:rsidR="00D74C07" w:rsidRDefault="00D74C07" w:rsidP="001065F8">
      <w:pPr>
        <w:widowControl w:val="0"/>
        <w:tabs>
          <w:tab w:val="left" w:pos="567"/>
          <w:tab w:val="left" w:pos="7200"/>
          <w:tab w:val="left" w:pos="8460"/>
        </w:tabs>
        <w:rPr>
          <w:rFonts w:ascii="Arial" w:hAnsi="Arial" w:cs="Arial"/>
          <w:b/>
        </w:rPr>
      </w:pPr>
    </w:p>
    <w:p w14:paraId="08EAB4AC" w14:textId="6B51A684" w:rsidR="00AC0445" w:rsidRPr="00EF3F49" w:rsidRDefault="00F73571" w:rsidP="007C6C6F">
      <w:pPr>
        <w:pStyle w:val="Heading2"/>
      </w:pPr>
      <w:r>
        <w:t>3</w:t>
      </w:r>
      <w:r w:rsidR="00D3279C">
        <w:t>5</w:t>
      </w:r>
      <w:r w:rsidR="001065F8" w:rsidRPr="00EF3F49">
        <w:tab/>
        <w:t>C</w:t>
      </w:r>
      <w:r w:rsidR="00EF3F49" w:rsidRPr="00EF3F49">
        <w:t>ash Flow Statement – Operating Activities</w:t>
      </w:r>
    </w:p>
    <w:p w14:paraId="2F21CE9A" w14:textId="77777777" w:rsidR="001065F8" w:rsidRDefault="001065F8" w:rsidP="00D14540">
      <w:pPr>
        <w:widowControl w:val="0"/>
        <w:tabs>
          <w:tab w:val="left" w:pos="2520"/>
          <w:tab w:val="left" w:pos="7200"/>
          <w:tab w:val="left" w:pos="8460"/>
        </w:tabs>
        <w:rPr>
          <w:rFonts w:ascii="Arial" w:hAnsi="Arial" w:cs="Arial"/>
          <w:b/>
        </w:rPr>
      </w:pPr>
    </w:p>
    <w:p w14:paraId="3EFFB28D" w14:textId="77777777" w:rsidR="001065F8" w:rsidRDefault="00741FFE" w:rsidP="00D14540">
      <w:pPr>
        <w:widowControl w:val="0"/>
        <w:tabs>
          <w:tab w:val="left" w:pos="2520"/>
          <w:tab w:val="left" w:pos="7200"/>
          <w:tab w:val="left" w:pos="8460"/>
        </w:tabs>
        <w:rPr>
          <w:rFonts w:ascii="Arial" w:hAnsi="Arial" w:cs="Arial"/>
        </w:rPr>
      </w:pPr>
      <w:r w:rsidRPr="00EF3F49">
        <w:rPr>
          <w:rFonts w:asciiTheme="minorHAnsi" w:hAnsiTheme="minorHAnsi" w:cs="Arial"/>
          <w:sz w:val="22"/>
          <w:szCs w:val="22"/>
        </w:rPr>
        <w:t>The cash flows for operating activities include the following items</w:t>
      </w:r>
      <w:r>
        <w:rPr>
          <w:rFonts w:ascii="Arial" w:hAnsi="Arial" w:cs="Arial"/>
        </w:rPr>
        <w:t>:</w:t>
      </w:r>
    </w:p>
    <w:p w14:paraId="7271A56F" w14:textId="77777777" w:rsidR="00741FFE" w:rsidRDefault="00741FFE" w:rsidP="00D14540">
      <w:pPr>
        <w:widowControl w:val="0"/>
        <w:tabs>
          <w:tab w:val="left" w:pos="2520"/>
          <w:tab w:val="left" w:pos="7200"/>
          <w:tab w:val="left" w:pos="8460"/>
        </w:tabs>
        <w:rPr>
          <w:rFonts w:ascii="Arial" w:hAnsi="Arial" w:cs="Arial"/>
        </w:rPr>
      </w:pPr>
    </w:p>
    <w:tbl>
      <w:tblPr>
        <w:tblW w:w="9240" w:type="dxa"/>
        <w:tblInd w:w="93" w:type="dxa"/>
        <w:tblLook w:val="04A0" w:firstRow="1" w:lastRow="0" w:firstColumn="1" w:lastColumn="0" w:noHBand="0" w:noVBand="1"/>
        <w:tblCaption w:val="Cash flow statement operating activites include"/>
        <w:tblDescription w:val="Cash flow statement operating activites include"/>
      </w:tblPr>
      <w:tblGrid>
        <w:gridCol w:w="1680"/>
        <w:gridCol w:w="5840"/>
        <w:gridCol w:w="1720"/>
      </w:tblGrid>
      <w:tr w:rsidR="00EF3F49" w:rsidRPr="00EF3F49" w14:paraId="01F01F80"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95B3D7"/>
            <w:noWrap/>
            <w:vAlign w:val="center"/>
            <w:hideMark/>
          </w:tcPr>
          <w:p w14:paraId="0CE487D7" w14:textId="4F415521" w:rsidR="00EF3F49" w:rsidRPr="00EF3F49" w:rsidRDefault="00EF3F49" w:rsidP="00B52FF6">
            <w:pPr>
              <w:jc w:val="right"/>
              <w:rPr>
                <w:rFonts w:ascii="Calibri" w:hAnsi="Calibri"/>
                <w:color w:val="000000"/>
                <w:lang w:eastAsia="en-GB"/>
              </w:rPr>
            </w:pPr>
            <w:r w:rsidRPr="00EF3F49">
              <w:rPr>
                <w:rFonts w:ascii="Calibri" w:hAnsi="Calibri"/>
                <w:color w:val="000000"/>
                <w:lang w:eastAsia="en-GB"/>
              </w:rPr>
              <w:t>20</w:t>
            </w:r>
            <w:r w:rsidR="00BA7B40">
              <w:rPr>
                <w:rFonts w:ascii="Calibri" w:hAnsi="Calibri"/>
                <w:color w:val="000000"/>
                <w:lang w:eastAsia="en-GB"/>
              </w:rPr>
              <w:t>2</w:t>
            </w:r>
            <w:r w:rsidR="0025199A">
              <w:rPr>
                <w:rFonts w:ascii="Calibri" w:hAnsi="Calibri"/>
                <w:color w:val="000000"/>
                <w:lang w:eastAsia="en-GB"/>
              </w:rPr>
              <w:t>1</w:t>
            </w:r>
            <w:r w:rsidRPr="00EF3F49">
              <w:rPr>
                <w:rFonts w:ascii="Calibri" w:hAnsi="Calibri"/>
                <w:color w:val="000000"/>
                <w:lang w:eastAsia="en-GB"/>
              </w:rPr>
              <w:t>-</w:t>
            </w:r>
            <w:r w:rsidR="00B52FF6">
              <w:rPr>
                <w:rFonts w:ascii="Calibri" w:hAnsi="Calibri"/>
                <w:color w:val="000000"/>
                <w:lang w:eastAsia="en-GB"/>
              </w:rPr>
              <w:t>2</w:t>
            </w:r>
            <w:r w:rsidR="0025199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95B3D7"/>
            <w:noWrap/>
            <w:vAlign w:val="center"/>
            <w:hideMark/>
          </w:tcPr>
          <w:p w14:paraId="363C07F7"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95B3D7"/>
            <w:noWrap/>
            <w:vAlign w:val="center"/>
            <w:hideMark/>
          </w:tcPr>
          <w:p w14:paraId="380A65CC" w14:textId="265DB89C" w:rsidR="00EF3F49" w:rsidRPr="00EF3F49" w:rsidRDefault="00B52FF6" w:rsidP="00B52FF6">
            <w:pPr>
              <w:jc w:val="right"/>
              <w:rPr>
                <w:rFonts w:ascii="Calibri" w:hAnsi="Calibri"/>
                <w:color w:val="000000"/>
                <w:lang w:eastAsia="en-GB"/>
              </w:rPr>
            </w:pPr>
            <w:r>
              <w:rPr>
                <w:rFonts w:ascii="Calibri" w:hAnsi="Calibri"/>
                <w:color w:val="000000"/>
                <w:lang w:eastAsia="en-GB"/>
              </w:rPr>
              <w:t>202</w:t>
            </w:r>
            <w:r w:rsidR="0025199A">
              <w:rPr>
                <w:rFonts w:ascii="Calibri" w:hAnsi="Calibri"/>
                <w:color w:val="000000"/>
                <w:lang w:eastAsia="en-GB"/>
              </w:rPr>
              <w:t>2</w:t>
            </w:r>
            <w:r w:rsidR="00EF3F49" w:rsidRPr="00EF3F49">
              <w:rPr>
                <w:rFonts w:ascii="Calibri" w:hAnsi="Calibri"/>
                <w:color w:val="000000"/>
                <w:lang w:eastAsia="en-GB"/>
              </w:rPr>
              <w:t>-</w:t>
            </w:r>
            <w:r w:rsidR="00941D1D">
              <w:rPr>
                <w:rFonts w:ascii="Calibri" w:hAnsi="Calibri"/>
                <w:color w:val="000000"/>
                <w:lang w:eastAsia="en-GB"/>
              </w:rPr>
              <w:t>2</w:t>
            </w:r>
            <w:r w:rsidR="0025199A">
              <w:rPr>
                <w:rFonts w:ascii="Calibri" w:hAnsi="Calibri"/>
                <w:color w:val="000000"/>
                <w:lang w:eastAsia="en-GB"/>
              </w:rPr>
              <w:t>3</w:t>
            </w:r>
          </w:p>
        </w:tc>
      </w:tr>
      <w:tr w:rsidR="00EF3F49" w:rsidRPr="00EF3F49" w14:paraId="15B0C8EE" w14:textId="77777777" w:rsidTr="00EF3F49">
        <w:trPr>
          <w:trHeight w:val="300"/>
        </w:trPr>
        <w:tc>
          <w:tcPr>
            <w:tcW w:w="1680" w:type="dxa"/>
            <w:tcBorders>
              <w:top w:val="nil"/>
              <w:left w:val="single" w:sz="4" w:space="0" w:color="FFFFFF"/>
              <w:bottom w:val="single" w:sz="4" w:space="0" w:color="FFFFFF"/>
              <w:right w:val="single" w:sz="4" w:space="0" w:color="FFFFFF"/>
            </w:tcBorders>
            <w:shd w:val="clear" w:color="000000" w:fill="95B3D7"/>
            <w:noWrap/>
            <w:vAlign w:val="center"/>
            <w:hideMark/>
          </w:tcPr>
          <w:p w14:paraId="73F5238D"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95B3D7"/>
            <w:noWrap/>
            <w:vAlign w:val="center"/>
            <w:hideMark/>
          </w:tcPr>
          <w:p w14:paraId="1E61BEF4"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95B3D7"/>
            <w:noWrap/>
            <w:vAlign w:val="center"/>
            <w:hideMark/>
          </w:tcPr>
          <w:p w14:paraId="26E7623F"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£’000</w:t>
            </w:r>
          </w:p>
        </w:tc>
      </w:tr>
      <w:tr w:rsidR="00EF3F49" w:rsidRPr="00EF3F49" w14:paraId="4AEDC2BA"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3A191539" w14:textId="1C706932" w:rsidR="00EF3F49" w:rsidRPr="00EF3F49" w:rsidRDefault="00D01EE7" w:rsidP="00B52FF6">
            <w:pPr>
              <w:jc w:val="right"/>
              <w:rPr>
                <w:rFonts w:ascii="Calibri" w:hAnsi="Calibri"/>
                <w:color w:val="000000"/>
                <w:lang w:eastAsia="en-GB"/>
              </w:rPr>
            </w:pPr>
            <w:r>
              <w:rPr>
                <w:rFonts w:ascii="Calibri" w:hAnsi="Calibri"/>
                <w:color w:val="000000"/>
                <w:lang w:eastAsia="en-GB"/>
              </w:rPr>
              <w:t>-</w:t>
            </w:r>
            <w:r w:rsidR="00BA7B40">
              <w:rPr>
                <w:rFonts w:ascii="Calibri" w:hAnsi="Calibri"/>
                <w:color w:val="000000"/>
                <w:lang w:eastAsia="en-GB"/>
              </w:rPr>
              <w:t>2</w:t>
            </w:r>
            <w:r w:rsidR="0025199A">
              <w:rPr>
                <w:rFonts w:ascii="Calibri" w:hAnsi="Calibri"/>
                <w:color w:val="000000"/>
                <w:lang w:eastAsia="en-GB"/>
              </w:rPr>
              <w:t>13</w:t>
            </w:r>
          </w:p>
        </w:tc>
        <w:tc>
          <w:tcPr>
            <w:tcW w:w="5840" w:type="dxa"/>
            <w:tcBorders>
              <w:top w:val="nil"/>
              <w:left w:val="nil"/>
              <w:bottom w:val="single" w:sz="4" w:space="0" w:color="FFFFFF"/>
              <w:right w:val="single" w:sz="4" w:space="0" w:color="FFFFFF"/>
            </w:tcBorders>
            <w:shd w:val="clear" w:color="000000" w:fill="DCE6F1"/>
            <w:noWrap/>
            <w:vAlign w:val="center"/>
            <w:hideMark/>
          </w:tcPr>
          <w:p w14:paraId="6F4FFF79"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Interest Received</w:t>
            </w:r>
          </w:p>
        </w:tc>
        <w:tc>
          <w:tcPr>
            <w:tcW w:w="1720" w:type="dxa"/>
            <w:tcBorders>
              <w:top w:val="nil"/>
              <w:left w:val="nil"/>
              <w:bottom w:val="single" w:sz="4" w:space="0" w:color="FFFFFF"/>
              <w:right w:val="single" w:sz="4" w:space="0" w:color="FFFFFF"/>
            </w:tcBorders>
            <w:shd w:val="clear" w:color="000000" w:fill="DCE6F1"/>
            <w:noWrap/>
            <w:vAlign w:val="center"/>
          </w:tcPr>
          <w:p w14:paraId="6B08C801" w14:textId="0464C647" w:rsidR="00EF3F49" w:rsidRPr="00EF3F49" w:rsidRDefault="005031BB" w:rsidP="00EF3F49">
            <w:pPr>
              <w:jc w:val="right"/>
              <w:rPr>
                <w:rFonts w:ascii="Calibri" w:hAnsi="Calibri"/>
                <w:color w:val="000000"/>
                <w:lang w:eastAsia="en-GB"/>
              </w:rPr>
            </w:pPr>
            <w:r>
              <w:rPr>
                <w:rFonts w:ascii="Calibri" w:hAnsi="Calibri"/>
                <w:color w:val="000000"/>
                <w:lang w:eastAsia="en-GB"/>
              </w:rPr>
              <w:t>-662</w:t>
            </w:r>
          </w:p>
        </w:tc>
      </w:tr>
      <w:tr w:rsidR="00EF3F49" w:rsidRPr="00EF3F49" w14:paraId="193DADFB"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1E5436DC" w14:textId="77777777" w:rsidR="00EF3F49" w:rsidRPr="00EF3F49" w:rsidRDefault="00EF3F49" w:rsidP="00A614E1">
            <w:pPr>
              <w:jc w:val="right"/>
              <w:rPr>
                <w:rFonts w:ascii="Calibri" w:hAnsi="Calibri"/>
                <w:color w:val="000000"/>
                <w:lang w:eastAsia="en-GB"/>
              </w:rPr>
            </w:pPr>
            <w:r w:rsidRPr="00EF3F49">
              <w:rPr>
                <w:rFonts w:ascii="Calibri" w:hAnsi="Calibri"/>
                <w:color w:val="000000"/>
                <w:lang w:eastAsia="en-GB"/>
              </w:rPr>
              <w:t>1,16</w:t>
            </w:r>
            <w:r w:rsidR="00B52FF6">
              <w:rPr>
                <w:rFonts w:ascii="Calibri" w:hAnsi="Calibri"/>
                <w:color w:val="000000"/>
                <w:lang w:eastAsia="en-GB"/>
              </w:rPr>
              <w:t>8</w:t>
            </w:r>
          </w:p>
        </w:tc>
        <w:tc>
          <w:tcPr>
            <w:tcW w:w="5840" w:type="dxa"/>
            <w:tcBorders>
              <w:top w:val="nil"/>
              <w:left w:val="nil"/>
              <w:bottom w:val="single" w:sz="4" w:space="0" w:color="FFFFFF"/>
              <w:right w:val="single" w:sz="4" w:space="0" w:color="FFFFFF"/>
            </w:tcBorders>
            <w:shd w:val="clear" w:color="000000" w:fill="DCE6F1"/>
            <w:noWrap/>
            <w:vAlign w:val="center"/>
            <w:hideMark/>
          </w:tcPr>
          <w:p w14:paraId="1FC94EDF"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Interest Paid</w:t>
            </w:r>
          </w:p>
        </w:tc>
        <w:tc>
          <w:tcPr>
            <w:tcW w:w="1720" w:type="dxa"/>
            <w:tcBorders>
              <w:top w:val="nil"/>
              <w:left w:val="nil"/>
              <w:bottom w:val="single" w:sz="4" w:space="0" w:color="FFFFFF"/>
              <w:right w:val="single" w:sz="4" w:space="0" w:color="FFFFFF"/>
            </w:tcBorders>
            <w:shd w:val="clear" w:color="000000" w:fill="DCE6F1"/>
            <w:noWrap/>
            <w:vAlign w:val="center"/>
          </w:tcPr>
          <w:p w14:paraId="08E3764A" w14:textId="33036E8F" w:rsidR="00EF3F49" w:rsidRPr="00EF3F49" w:rsidRDefault="005031BB" w:rsidP="00DB0381">
            <w:pPr>
              <w:jc w:val="right"/>
              <w:rPr>
                <w:rFonts w:ascii="Calibri" w:hAnsi="Calibri"/>
                <w:color w:val="000000"/>
                <w:lang w:eastAsia="en-GB"/>
              </w:rPr>
            </w:pPr>
            <w:r>
              <w:rPr>
                <w:rFonts w:ascii="Calibri" w:hAnsi="Calibri"/>
                <w:color w:val="000000"/>
                <w:lang w:eastAsia="en-GB"/>
              </w:rPr>
              <w:t>1,168</w:t>
            </w:r>
          </w:p>
        </w:tc>
      </w:tr>
    </w:tbl>
    <w:p w14:paraId="6E483964" w14:textId="77777777" w:rsidR="00EF3F49" w:rsidRDefault="00EF3F49" w:rsidP="00D14540">
      <w:pPr>
        <w:widowControl w:val="0"/>
        <w:tabs>
          <w:tab w:val="left" w:pos="2520"/>
          <w:tab w:val="left" w:pos="7200"/>
          <w:tab w:val="left" w:pos="8460"/>
        </w:tabs>
        <w:rPr>
          <w:rFonts w:ascii="Arial" w:hAnsi="Arial" w:cs="Arial"/>
        </w:rPr>
      </w:pPr>
    </w:p>
    <w:p w14:paraId="63CEAEE8" w14:textId="77777777" w:rsidR="00A77A65" w:rsidRPr="00EF3F49" w:rsidRDefault="00A55FD7" w:rsidP="00A77A65">
      <w:pPr>
        <w:widowControl w:val="0"/>
        <w:tabs>
          <w:tab w:val="left" w:pos="567"/>
          <w:tab w:val="left" w:pos="7200"/>
          <w:tab w:val="left" w:pos="8460"/>
        </w:tabs>
        <w:rPr>
          <w:rFonts w:asciiTheme="minorHAnsi" w:hAnsiTheme="minorHAnsi" w:cs="Arial"/>
          <w:sz w:val="22"/>
          <w:szCs w:val="22"/>
        </w:rPr>
      </w:pPr>
      <w:r w:rsidRPr="00EF3F49">
        <w:rPr>
          <w:rFonts w:asciiTheme="minorHAnsi" w:hAnsiTheme="minorHAnsi" w:cs="Arial"/>
          <w:sz w:val="22"/>
          <w:szCs w:val="22"/>
        </w:rPr>
        <w:t>The surplus/deficit on the provision of services has been adjusted for the following non-cash movements:</w:t>
      </w:r>
    </w:p>
    <w:p w14:paraId="0B18E49C" w14:textId="148C8A97" w:rsidR="00A77A65" w:rsidRDefault="00A77A65" w:rsidP="00A64A60">
      <w:pPr>
        <w:widowControl w:val="0"/>
        <w:tabs>
          <w:tab w:val="left" w:pos="567"/>
          <w:tab w:val="left" w:pos="7200"/>
          <w:tab w:val="left" w:pos="8460"/>
        </w:tabs>
        <w:rPr>
          <w:rFonts w:ascii="Arial" w:hAnsi="Arial" w:cs="Arial"/>
          <w:b/>
        </w:rPr>
      </w:pPr>
    </w:p>
    <w:tbl>
      <w:tblPr>
        <w:tblW w:w="9240" w:type="dxa"/>
        <w:tblInd w:w="93" w:type="dxa"/>
        <w:tblLook w:val="04A0" w:firstRow="1" w:lastRow="0" w:firstColumn="1" w:lastColumn="0" w:noHBand="0" w:noVBand="1"/>
        <w:tblCaption w:val="Cash flow statement operating activities"/>
        <w:tblDescription w:val="Cash flow statement operating activities"/>
      </w:tblPr>
      <w:tblGrid>
        <w:gridCol w:w="1680"/>
        <w:gridCol w:w="5840"/>
        <w:gridCol w:w="1720"/>
      </w:tblGrid>
      <w:tr w:rsidR="00EF3F49" w:rsidRPr="00EF3F49" w14:paraId="5A8B0A2F"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95B3D7"/>
            <w:vAlign w:val="center"/>
            <w:hideMark/>
          </w:tcPr>
          <w:p w14:paraId="5506DE7B" w14:textId="66A551FF" w:rsidR="00EF3F49" w:rsidRPr="00EF3F49" w:rsidRDefault="00EF3F49" w:rsidP="00B52FF6">
            <w:pPr>
              <w:jc w:val="right"/>
              <w:rPr>
                <w:rFonts w:ascii="Calibri" w:hAnsi="Calibri"/>
                <w:color w:val="000000"/>
                <w:lang w:eastAsia="en-GB"/>
              </w:rPr>
            </w:pPr>
            <w:r w:rsidRPr="00EF3F49">
              <w:rPr>
                <w:rFonts w:ascii="Calibri" w:hAnsi="Calibri"/>
                <w:color w:val="000000"/>
                <w:lang w:eastAsia="en-GB"/>
              </w:rPr>
              <w:t>20</w:t>
            </w:r>
            <w:r w:rsidR="00BA7B40">
              <w:rPr>
                <w:rFonts w:ascii="Calibri" w:hAnsi="Calibri"/>
                <w:color w:val="000000"/>
                <w:lang w:eastAsia="en-GB"/>
              </w:rPr>
              <w:t>2</w:t>
            </w:r>
            <w:r w:rsidR="0025199A">
              <w:rPr>
                <w:rFonts w:ascii="Calibri" w:hAnsi="Calibri"/>
                <w:color w:val="000000"/>
                <w:lang w:eastAsia="en-GB"/>
              </w:rPr>
              <w:t>1</w:t>
            </w:r>
            <w:r w:rsidRPr="00EF3F49">
              <w:rPr>
                <w:rFonts w:ascii="Calibri" w:hAnsi="Calibri"/>
                <w:color w:val="000000"/>
                <w:lang w:eastAsia="en-GB"/>
              </w:rPr>
              <w:t>-</w:t>
            </w:r>
            <w:r w:rsidR="00B52FF6">
              <w:rPr>
                <w:rFonts w:ascii="Calibri" w:hAnsi="Calibri"/>
                <w:color w:val="000000"/>
                <w:lang w:eastAsia="en-GB"/>
              </w:rPr>
              <w:t>2</w:t>
            </w:r>
            <w:r w:rsidR="0025199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95B3D7"/>
            <w:vAlign w:val="center"/>
            <w:hideMark/>
          </w:tcPr>
          <w:p w14:paraId="0391FC2A"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95B3D7"/>
            <w:vAlign w:val="center"/>
            <w:hideMark/>
          </w:tcPr>
          <w:p w14:paraId="128384D1" w14:textId="397CA21E" w:rsidR="00EF3F49" w:rsidRPr="00EF3F49" w:rsidRDefault="00B52FF6" w:rsidP="00B52FF6">
            <w:pPr>
              <w:jc w:val="right"/>
              <w:rPr>
                <w:rFonts w:ascii="Calibri" w:hAnsi="Calibri"/>
                <w:color w:val="000000"/>
                <w:lang w:eastAsia="en-GB"/>
              </w:rPr>
            </w:pPr>
            <w:r>
              <w:rPr>
                <w:rFonts w:ascii="Calibri" w:hAnsi="Calibri"/>
                <w:color w:val="000000"/>
                <w:lang w:eastAsia="en-GB"/>
              </w:rPr>
              <w:t>202</w:t>
            </w:r>
            <w:r w:rsidR="0025199A">
              <w:rPr>
                <w:rFonts w:ascii="Calibri" w:hAnsi="Calibri"/>
                <w:color w:val="000000"/>
                <w:lang w:eastAsia="en-GB"/>
              </w:rPr>
              <w:t>2</w:t>
            </w:r>
            <w:r w:rsidR="00EF3F49" w:rsidRPr="00EF3F49">
              <w:rPr>
                <w:rFonts w:ascii="Calibri" w:hAnsi="Calibri"/>
                <w:color w:val="000000"/>
                <w:lang w:eastAsia="en-GB"/>
              </w:rPr>
              <w:t>-</w:t>
            </w:r>
            <w:r w:rsidR="00964C34">
              <w:rPr>
                <w:rFonts w:ascii="Calibri" w:hAnsi="Calibri"/>
                <w:color w:val="000000"/>
                <w:lang w:eastAsia="en-GB"/>
              </w:rPr>
              <w:t>2</w:t>
            </w:r>
            <w:r w:rsidR="0025199A">
              <w:rPr>
                <w:rFonts w:ascii="Calibri" w:hAnsi="Calibri"/>
                <w:color w:val="000000"/>
                <w:lang w:eastAsia="en-GB"/>
              </w:rPr>
              <w:t>3</w:t>
            </w:r>
          </w:p>
        </w:tc>
      </w:tr>
      <w:tr w:rsidR="00EF3F49" w:rsidRPr="00EF3F49" w14:paraId="4B3ECF71" w14:textId="77777777" w:rsidTr="00EF3F49">
        <w:trPr>
          <w:trHeight w:val="300"/>
        </w:trPr>
        <w:tc>
          <w:tcPr>
            <w:tcW w:w="1680" w:type="dxa"/>
            <w:tcBorders>
              <w:top w:val="nil"/>
              <w:left w:val="single" w:sz="4" w:space="0" w:color="FFFFFF"/>
              <w:bottom w:val="single" w:sz="4" w:space="0" w:color="FFFFFF"/>
              <w:right w:val="single" w:sz="4" w:space="0" w:color="FFFFFF"/>
            </w:tcBorders>
            <w:shd w:val="clear" w:color="000000" w:fill="95B3D7"/>
            <w:vAlign w:val="center"/>
            <w:hideMark/>
          </w:tcPr>
          <w:p w14:paraId="2312991F"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95B3D7"/>
            <w:vAlign w:val="center"/>
            <w:hideMark/>
          </w:tcPr>
          <w:p w14:paraId="1B891142"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95B3D7"/>
            <w:vAlign w:val="center"/>
            <w:hideMark/>
          </w:tcPr>
          <w:p w14:paraId="7467C007" w14:textId="77777777" w:rsidR="00EF3F49" w:rsidRPr="00EF3F49" w:rsidRDefault="00EF3F49" w:rsidP="00EF3F49">
            <w:pPr>
              <w:jc w:val="right"/>
              <w:rPr>
                <w:rFonts w:ascii="Calibri" w:hAnsi="Calibri"/>
                <w:color w:val="000000"/>
                <w:lang w:eastAsia="en-GB"/>
              </w:rPr>
            </w:pPr>
            <w:r w:rsidRPr="00EF3F49">
              <w:rPr>
                <w:rFonts w:ascii="Calibri" w:hAnsi="Calibri"/>
                <w:color w:val="000000"/>
                <w:lang w:eastAsia="en-GB"/>
              </w:rPr>
              <w:t>£’000</w:t>
            </w:r>
          </w:p>
        </w:tc>
      </w:tr>
      <w:tr w:rsidR="00EF3F49" w:rsidRPr="00EF3F49" w14:paraId="2444E91F"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43A9087A" w14:textId="407E37D0" w:rsidR="00EF3F49" w:rsidRPr="00EF3F49" w:rsidRDefault="000C68FB" w:rsidP="00B52FF6">
            <w:pPr>
              <w:jc w:val="right"/>
              <w:rPr>
                <w:rFonts w:ascii="Calibri" w:hAnsi="Calibri"/>
                <w:color w:val="000000"/>
                <w:lang w:eastAsia="en-GB"/>
              </w:rPr>
            </w:pPr>
            <w:r>
              <w:rPr>
                <w:rFonts w:ascii="Calibri" w:hAnsi="Calibri"/>
                <w:color w:val="000000"/>
                <w:lang w:eastAsia="en-GB"/>
              </w:rPr>
              <w:t>2,</w:t>
            </w:r>
            <w:r w:rsidR="0025199A">
              <w:rPr>
                <w:rFonts w:ascii="Calibri" w:hAnsi="Calibri"/>
                <w:color w:val="000000"/>
                <w:lang w:eastAsia="en-GB"/>
              </w:rPr>
              <w:t>851</w:t>
            </w:r>
          </w:p>
        </w:tc>
        <w:tc>
          <w:tcPr>
            <w:tcW w:w="5840" w:type="dxa"/>
            <w:tcBorders>
              <w:top w:val="nil"/>
              <w:left w:val="nil"/>
              <w:bottom w:val="single" w:sz="4" w:space="0" w:color="FFFFFF"/>
              <w:right w:val="single" w:sz="4" w:space="0" w:color="FFFFFF"/>
            </w:tcBorders>
            <w:shd w:val="clear" w:color="000000" w:fill="DCE6F1"/>
            <w:vAlign w:val="center"/>
            <w:hideMark/>
          </w:tcPr>
          <w:p w14:paraId="46B715C6"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Depreciation</w:t>
            </w:r>
          </w:p>
        </w:tc>
        <w:tc>
          <w:tcPr>
            <w:tcW w:w="1720" w:type="dxa"/>
            <w:tcBorders>
              <w:top w:val="nil"/>
              <w:left w:val="nil"/>
              <w:bottom w:val="single" w:sz="4" w:space="0" w:color="FFFFFF"/>
              <w:right w:val="single" w:sz="4" w:space="0" w:color="FFFFFF"/>
            </w:tcBorders>
            <w:shd w:val="clear" w:color="000000" w:fill="DCE6F1"/>
            <w:vAlign w:val="center"/>
          </w:tcPr>
          <w:p w14:paraId="78CB2485" w14:textId="208ADC81" w:rsidR="00EF3F49" w:rsidRPr="00EF3F49" w:rsidRDefault="005031BB" w:rsidP="00336728">
            <w:pPr>
              <w:jc w:val="right"/>
              <w:rPr>
                <w:rFonts w:ascii="Calibri" w:hAnsi="Calibri"/>
                <w:color w:val="000000"/>
                <w:lang w:eastAsia="en-GB"/>
              </w:rPr>
            </w:pPr>
            <w:r>
              <w:rPr>
                <w:rFonts w:ascii="Calibri" w:hAnsi="Calibri"/>
                <w:color w:val="000000"/>
                <w:lang w:eastAsia="en-GB"/>
              </w:rPr>
              <w:t>3,069</w:t>
            </w:r>
          </w:p>
        </w:tc>
      </w:tr>
      <w:tr w:rsidR="00EF3F49" w:rsidRPr="00EF3F49" w14:paraId="44D1C531"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02B005D5" w14:textId="5D37F50B" w:rsidR="00EF3F49" w:rsidRPr="00EF3F49" w:rsidRDefault="0025199A" w:rsidP="001715ED">
            <w:pPr>
              <w:jc w:val="right"/>
              <w:rPr>
                <w:rFonts w:ascii="Calibri" w:hAnsi="Calibri"/>
                <w:color w:val="000000"/>
                <w:lang w:eastAsia="en-GB"/>
              </w:rPr>
            </w:pPr>
            <w:r>
              <w:rPr>
                <w:rFonts w:ascii="Calibri" w:hAnsi="Calibri"/>
                <w:color w:val="000000"/>
                <w:lang w:eastAsia="en-GB"/>
              </w:rPr>
              <w:t>-874</w:t>
            </w:r>
          </w:p>
        </w:tc>
        <w:tc>
          <w:tcPr>
            <w:tcW w:w="5840" w:type="dxa"/>
            <w:tcBorders>
              <w:top w:val="nil"/>
              <w:left w:val="nil"/>
              <w:bottom w:val="single" w:sz="4" w:space="0" w:color="FFFFFF"/>
              <w:right w:val="single" w:sz="4" w:space="0" w:color="FFFFFF"/>
            </w:tcBorders>
            <w:shd w:val="clear" w:color="000000" w:fill="DCE6F1"/>
            <w:vAlign w:val="center"/>
            <w:hideMark/>
          </w:tcPr>
          <w:p w14:paraId="35DC7F5E"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Impairment and downward valuations</w:t>
            </w:r>
          </w:p>
        </w:tc>
        <w:tc>
          <w:tcPr>
            <w:tcW w:w="1720" w:type="dxa"/>
            <w:tcBorders>
              <w:top w:val="nil"/>
              <w:left w:val="nil"/>
              <w:bottom w:val="single" w:sz="4" w:space="0" w:color="FFFFFF"/>
              <w:right w:val="single" w:sz="4" w:space="0" w:color="FFFFFF"/>
            </w:tcBorders>
            <w:shd w:val="clear" w:color="000000" w:fill="DCE6F1"/>
            <w:vAlign w:val="center"/>
          </w:tcPr>
          <w:p w14:paraId="670EFB76" w14:textId="054B90A4" w:rsidR="00EF3F49" w:rsidRPr="00EF3F49" w:rsidRDefault="005031BB" w:rsidP="002D5F70">
            <w:pPr>
              <w:jc w:val="right"/>
              <w:rPr>
                <w:rFonts w:ascii="Calibri" w:hAnsi="Calibri"/>
                <w:color w:val="000000"/>
                <w:lang w:eastAsia="en-GB"/>
              </w:rPr>
            </w:pPr>
            <w:r>
              <w:rPr>
                <w:rFonts w:ascii="Calibri" w:hAnsi="Calibri"/>
                <w:color w:val="000000"/>
                <w:lang w:eastAsia="en-GB"/>
              </w:rPr>
              <w:t>-46</w:t>
            </w:r>
            <w:r w:rsidR="00451BC8">
              <w:rPr>
                <w:rFonts w:ascii="Calibri" w:hAnsi="Calibri"/>
                <w:color w:val="000000"/>
                <w:lang w:eastAsia="en-GB"/>
              </w:rPr>
              <w:t>1</w:t>
            </w:r>
          </w:p>
        </w:tc>
      </w:tr>
      <w:tr w:rsidR="00EF3F49" w:rsidRPr="00EF3F49" w14:paraId="22AC8AE4"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3E86D526" w14:textId="25D5E3B5" w:rsidR="00EF3F49" w:rsidRPr="00EF3F49" w:rsidRDefault="0025199A" w:rsidP="001715ED">
            <w:pPr>
              <w:jc w:val="right"/>
              <w:rPr>
                <w:rFonts w:ascii="Calibri" w:hAnsi="Calibri"/>
                <w:color w:val="000000"/>
                <w:lang w:eastAsia="en-GB"/>
              </w:rPr>
            </w:pPr>
            <w:r>
              <w:rPr>
                <w:rFonts w:ascii="Calibri" w:hAnsi="Calibri"/>
                <w:color w:val="000000"/>
                <w:lang w:eastAsia="en-GB"/>
              </w:rPr>
              <w:t>59</w:t>
            </w:r>
          </w:p>
        </w:tc>
        <w:tc>
          <w:tcPr>
            <w:tcW w:w="5840" w:type="dxa"/>
            <w:tcBorders>
              <w:top w:val="nil"/>
              <w:left w:val="nil"/>
              <w:bottom w:val="single" w:sz="4" w:space="0" w:color="FFFFFF"/>
              <w:right w:val="single" w:sz="4" w:space="0" w:color="FFFFFF"/>
            </w:tcBorders>
            <w:shd w:val="clear" w:color="000000" w:fill="DCE6F1"/>
            <w:vAlign w:val="center"/>
            <w:hideMark/>
          </w:tcPr>
          <w:p w14:paraId="55ABDF4E"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Amortisation</w:t>
            </w:r>
          </w:p>
        </w:tc>
        <w:tc>
          <w:tcPr>
            <w:tcW w:w="1720" w:type="dxa"/>
            <w:tcBorders>
              <w:top w:val="nil"/>
              <w:left w:val="nil"/>
              <w:bottom w:val="single" w:sz="4" w:space="0" w:color="FFFFFF"/>
              <w:right w:val="single" w:sz="4" w:space="0" w:color="FFFFFF"/>
            </w:tcBorders>
            <w:shd w:val="clear" w:color="000000" w:fill="DCE6F1"/>
            <w:vAlign w:val="center"/>
          </w:tcPr>
          <w:p w14:paraId="3DA29EA2" w14:textId="5ECE30F3" w:rsidR="00EF3F49" w:rsidRPr="00EF3F49" w:rsidRDefault="005031BB" w:rsidP="00336728">
            <w:pPr>
              <w:jc w:val="right"/>
              <w:rPr>
                <w:rFonts w:ascii="Calibri" w:hAnsi="Calibri"/>
                <w:color w:val="000000"/>
                <w:lang w:eastAsia="en-GB"/>
              </w:rPr>
            </w:pPr>
            <w:r>
              <w:rPr>
                <w:rFonts w:ascii="Calibri" w:hAnsi="Calibri"/>
                <w:color w:val="000000"/>
                <w:lang w:eastAsia="en-GB"/>
              </w:rPr>
              <w:t>72</w:t>
            </w:r>
          </w:p>
        </w:tc>
      </w:tr>
      <w:tr w:rsidR="00EF3F49" w:rsidRPr="00EF3F49" w14:paraId="5DADC52F"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7DAB5117" w14:textId="50B2042E" w:rsidR="00EF3F49" w:rsidRPr="00EF3F49" w:rsidRDefault="0025199A" w:rsidP="00EF3F49">
            <w:pPr>
              <w:jc w:val="right"/>
              <w:rPr>
                <w:rFonts w:ascii="Calibri" w:hAnsi="Calibri"/>
                <w:color w:val="000000"/>
                <w:lang w:eastAsia="en-GB"/>
              </w:rPr>
            </w:pPr>
            <w:r>
              <w:rPr>
                <w:rFonts w:ascii="Calibri" w:hAnsi="Calibri"/>
                <w:color w:val="000000"/>
                <w:lang w:eastAsia="en-GB"/>
              </w:rPr>
              <w:t>1,091</w:t>
            </w:r>
          </w:p>
        </w:tc>
        <w:tc>
          <w:tcPr>
            <w:tcW w:w="5840" w:type="dxa"/>
            <w:tcBorders>
              <w:top w:val="nil"/>
              <w:left w:val="nil"/>
              <w:bottom w:val="single" w:sz="4" w:space="0" w:color="FFFFFF"/>
              <w:right w:val="single" w:sz="4" w:space="0" w:color="FFFFFF"/>
            </w:tcBorders>
            <w:shd w:val="clear" w:color="000000" w:fill="DCE6F1"/>
            <w:vAlign w:val="center"/>
            <w:hideMark/>
          </w:tcPr>
          <w:p w14:paraId="3052D465"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Increase/(decrease) in creditors</w:t>
            </w:r>
          </w:p>
        </w:tc>
        <w:tc>
          <w:tcPr>
            <w:tcW w:w="1720" w:type="dxa"/>
            <w:tcBorders>
              <w:top w:val="nil"/>
              <w:left w:val="nil"/>
              <w:bottom w:val="single" w:sz="4" w:space="0" w:color="FFFFFF"/>
              <w:right w:val="single" w:sz="4" w:space="0" w:color="FFFFFF"/>
            </w:tcBorders>
            <w:shd w:val="clear" w:color="000000" w:fill="DCE6F1"/>
            <w:vAlign w:val="center"/>
          </w:tcPr>
          <w:p w14:paraId="74AAF60A" w14:textId="30590ECD" w:rsidR="00DB0381" w:rsidRPr="00EF3F49" w:rsidRDefault="005031BB" w:rsidP="00835831">
            <w:pPr>
              <w:jc w:val="right"/>
              <w:rPr>
                <w:rFonts w:ascii="Calibri" w:hAnsi="Calibri"/>
                <w:color w:val="000000"/>
                <w:lang w:eastAsia="en-GB"/>
              </w:rPr>
            </w:pPr>
            <w:r>
              <w:rPr>
                <w:rFonts w:ascii="Calibri" w:hAnsi="Calibri"/>
                <w:color w:val="000000"/>
                <w:lang w:eastAsia="en-GB"/>
              </w:rPr>
              <w:t>-4,533</w:t>
            </w:r>
          </w:p>
        </w:tc>
      </w:tr>
      <w:tr w:rsidR="00EF3F49" w:rsidRPr="00EF3F49" w14:paraId="47311C28"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6E72771C" w14:textId="23FC44D7" w:rsidR="00EF3F49" w:rsidRPr="00EF3F49" w:rsidRDefault="0025199A" w:rsidP="00964C34">
            <w:pPr>
              <w:jc w:val="right"/>
              <w:rPr>
                <w:rFonts w:ascii="Calibri" w:hAnsi="Calibri"/>
                <w:color w:val="000000"/>
                <w:lang w:eastAsia="en-GB"/>
              </w:rPr>
            </w:pPr>
            <w:r>
              <w:rPr>
                <w:rFonts w:ascii="Calibri" w:hAnsi="Calibri"/>
                <w:color w:val="000000"/>
                <w:lang w:eastAsia="en-GB"/>
              </w:rPr>
              <w:t>3,951</w:t>
            </w:r>
          </w:p>
        </w:tc>
        <w:tc>
          <w:tcPr>
            <w:tcW w:w="5840" w:type="dxa"/>
            <w:tcBorders>
              <w:top w:val="nil"/>
              <w:left w:val="nil"/>
              <w:bottom w:val="single" w:sz="4" w:space="0" w:color="FFFFFF"/>
              <w:right w:val="single" w:sz="4" w:space="0" w:color="FFFFFF"/>
            </w:tcBorders>
            <w:shd w:val="clear" w:color="000000" w:fill="DCE6F1"/>
            <w:vAlign w:val="center"/>
            <w:hideMark/>
          </w:tcPr>
          <w:p w14:paraId="3850619C"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(Increase)/decrease in debtors</w:t>
            </w:r>
          </w:p>
        </w:tc>
        <w:tc>
          <w:tcPr>
            <w:tcW w:w="1720" w:type="dxa"/>
            <w:tcBorders>
              <w:top w:val="nil"/>
              <w:left w:val="nil"/>
              <w:bottom w:val="single" w:sz="4" w:space="0" w:color="FFFFFF"/>
              <w:right w:val="single" w:sz="4" w:space="0" w:color="FFFFFF"/>
            </w:tcBorders>
            <w:shd w:val="clear" w:color="000000" w:fill="DCE6F1"/>
            <w:vAlign w:val="center"/>
          </w:tcPr>
          <w:p w14:paraId="7EBD81FF" w14:textId="43616A1F" w:rsidR="00EF3F49" w:rsidRPr="00EF3F49" w:rsidRDefault="005031BB" w:rsidP="005065C6">
            <w:pPr>
              <w:jc w:val="right"/>
              <w:rPr>
                <w:rFonts w:ascii="Calibri" w:hAnsi="Calibri"/>
                <w:color w:val="000000"/>
                <w:lang w:eastAsia="en-GB"/>
              </w:rPr>
            </w:pPr>
            <w:r>
              <w:rPr>
                <w:rFonts w:ascii="Calibri" w:hAnsi="Calibri"/>
                <w:color w:val="000000"/>
                <w:lang w:eastAsia="en-GB"/>
              </w:rPr>
              <w:t>-1,560</w:t>
            </w:r>
          </w:p>
        </w:tc>
      </w:tr>
      <w:tr w:rsidR="00EF3F49" w:rsidRPr="00EF3F49" w14:paraId="73170496"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42120292" w14:textId="1295D905" w:rsidR="00EF3F49" w:rsidRPr="00EF3F49" w:rsidRDefault="0025199A" w:rsidP="00EF3F49">
            <w:pPr>
              <w:jc w:val="right"/>
              <w:rPr>
                <w:rFonts w:ascii="Calibri" w:hAnsi="Calibri"/>
                <w:color w:val="000000"/>
                <w:lang w:eastAsia="en-GB"/>
              </w:rPr>
            </w:pPr>
            <w:r>
              <w:rPr>
                <w:rFonts w:ascii="Calibri" w:hAnsi="Calibri"/>
                <w:color w:val="000000"/>
                <w:lang w:eastAsia="en-GB"/>
              </w:rPr>
              <w:t>1,832</w:t>
            </w:r>
          </w:p>
        </w:tc>
        <w:tc>
          <w:tcPr>
            <w:tcW w:w="5840" w:type="dxa"/>
            <w:tcBorders>
              <w:top w:val="nil"/>
              <w:left w:val="nil"/>
              <w:bottom w:val="single" w:sz="4" w:space="0" w:color="FFFFFF"/>
              <w:right w:val="single" w:sz="4" w:space="0" w:color="FFFFFF"/>
            </w:tcBorders>
            <w:shd w:val="clear" w:color="000000" w:fill="DCE6F1"/>
            <w:vAlign w:val="center"/>
            <w:hideMark/>
          </w:tcPr>
          <w:p w14:paraId="47F9854A"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Movement of pension liability</w:t>
            </w:r>
          </w:p>
        </w:tc>
        <w:tc>
          <w:tcPr>
            <w:tcW w:w="1720" w:type="dxa"/>
            <w:tcBorders>
              <w:top w:val="nil"/>
              <w:left w:val="nil"/>
              <w:bottom w:val="single" w:sz="4" w:space="0" w:color="FFFFFF"/>
              <w:right w:val="single" w:sz="4" w:space="0" w:color="FFFFFF"/>
            </w:tcBorders>
            <w:shd w:val="clear" w:color="000000" w:fill="DCE6F1"/>
            <w:vAlign w:val="center"/>
          </w:tcPr>
          <w:p w14:paraId="4A7B3116" w14:textId="572EC2D0" w:rsidR="00EF3F49" w:rsidRPr="00EF3F49" w:rsidRDefault="00E0306A" w:rsidP="00EF3F49">
            <w:pPr>
              <w:jc w:val="right"/>
              <w:rPr>
                <w:rFonts w:ascii="Calibri" w:hAnsi="Calibri"/>
                <w:color w:val="000000"/>
                <w:lang w:eastAsia="en-GB"/>
              </w:rPr>
            </w:pPr>
            <w:r>
              <w:rPr>
                <w:rFonts w:ascii="Calibri" w:hAnsi="Calibri"/>
                <w:color w:val="000000"/>
                <w:lang w:eastAsia="en-GB"/>
              </w:rPr>
              <w:t>1,593</w:t>
            </w:r>
          </w:p>
        </w:tc>
      </w:tr>
      <w:tr w:rsidR="00EF3F49" w:rsidRPr="00EF3F49" w14:paraId="20120DF0" w14:textId="77777777" w:rsidTr="000C68FB">
        <w:trPr>
          <w:trHeight w:val="51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5517E866" w14:textId="65621C50" w:rsidR="00EF3F49" w:rsidRPr="00EF3F49" w:rsidRDefault="0025199A" w:rsidP="00EF3F49">
            <w:pPr>
              <w:jc w:val="right"/>
              <w:rPr>
                <w:rFonts w:ascii="Calibri" w:hAnsi="Calibri"/>
                <w:color w:val="000000"/>
                <w:lang w:eastAsia="en-GB"/>
              </w:rPr>
            </w:pPr>
            <w:r>
              <w:rPr>
                <w:rFonts w:ascii="Calibri" w:hAnsi="Calibri"/>
                <w:color w:val="000000"/>
                <w:lang w:eastAsia="en-GB"/>
              </w:rPr>
              <w:t>613</w:t>
            </w:r>
          </w:p>
        </w:tc>
        <w:tc>
          <w:tcPr>
            <w:tcW w:w="5840" w:type="dxa"/>
            <w:tcBorders>
              <w:top w:val="nil"/>
              <w:left w:val="nil"/>
              <w:bottom w:val="single" w:sz="4" w:space="0" w:color="FFFFFF"/>
              <w:right w:val="single" w:sz="4" w:space="0" w:color="FFFFFF"/>
            </w:tcBorders>
            <w:shd w:val="clear" w:color="000000" w:fill="DCE6F1"/>
            <w:vAlign w:val="center"/>
            <w:hideMark/>
          </w:tcPr>
          <w:p w14:paraId="113B7F47"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Carrying amount of non-current assets and non-current assets held for sale, sold or de-recognised</w:t>
            </w:r>
          </w:p>
        </w:tc>
        <w:tc>
          <w:tcPr>
            <w:tcW w:w="1720" w:type="dxa"/>
            <w:tcBorders>
              <w:top w:val="nil"/>
              <w:left w:val="nil"/>
              <w:bottom w:val="single" w:sz="4" w:space="0" w:color="FFFFFF"/>
              <w:right w:val="single" w:sz="4" w:space="0" w:color="FFFFFF"/>
            </w:tcBorders>
            <w:shd w:val="clear" w:color="000000" w:fill="DCE6F1"/>
            <w:vAlign w:val="center"/>
          </w:tcPr>
          <w:p w14:paraId="328E81B0" w14:textId="7EF59416" w:rsidR="00EF3F49" w:rsidRPr="00EF3F49" w:rsidRDefault="00E0306A" w:rsidP="00FA0B27">
            <w:pPr>
              <w:jc w:val="right"/>
              <w:rPr>
                <w:rFonts w:ascii="Calibri" w:hAnsi="Calibri"/>
                <w:color w:val="000000"/>
                <w:lang w:eastAsia="en-GB"/>
              </w:rPr>
            </w:pPr>
            <w:r>
              <w:rPr>
                <w:rFonts w:ascii="Calibri" w:hAnsi="Calibri"/>
                <w:color w:val="000000"/>
                <w:lang w:eastAsia="en-GB"/>
              </w:rPr>
              <w:t>766</w:t>
            </w:r>
          </w:p>
        </w:tc>
      </w:tr>
      <w:tr w:rsidR="00EF3F49" w:rsidRPr="00EF3F49" w14:paraId="6C829290" w14:textId="77777777" w:rsidTr="000C68FB">
        <w:trPr>
          <w:trHeight w:val="510"/>
        </w:trPr>
        <w:tc>
          <w:tcPr>
            <w:tcW w:w="1680" w:type="dxa"/>
            <w:tcBorders>
              <w:top w:val="nil"/>
              <w:left w:val="single" w:sz="4" w:space="0" w:color="FFFFFF"/>
              <w:bottom w:val="single" w:sz="4" w:space="0" w:color="FFFFFF"/>
              <w:right w:val="single" w:sz="4" w:space="0" w:color="FFFFFF"/>
            </w:tcBorders>
            <w:shd w:val="clear" w:color="000000" w:fill="DCE6F1"/>
            <w:vAlign w:val="center"/>
            <w:hideMark/>
          </w:tcPr>
          <w:p w14:paraId="6FAD7139" w14:textId="53CE2C8E" w:rsidR="00EF3F49" w:rsidRPr="00EF3F49" w:rsidRDefault="0025199A" w:rsidP="001715ED">
            <w:pPr>
              <w:jc w:val="right"/>
              <w:rPr>
                <w:rFonts w:ascii="Calibri" w:hAnsi="Calibri"/>
                <w:color w:val="000000"/>
                <w:lang w:eastAsia="en-GB"/>
              </w:rPr>
            </w:pPr>
            <w:r>
              <w:rPr>
                <w:rFonts w:ascii="Calibri" w:hAnsi="Calibri"/>
                <w:color w:val="000000"/>
                <w:lang w:eastAsia="en-GB"/>
              </w:rPr>
              <w:t>-622</w:t>
            </w:r>
          </w:p>
        </w:tc>
        <w:tc>
          <w:tcPr>
            <w:tcW w:w="5840" w:type="dxa"/>
            <w:tcBorders>
              <w:top w:val="nil"/>
              <w:left w:val="nil"/>
              <w:bottom w:val="single" w:sz="4" w:space="0" w:color="FFFFFF"/>
              <w:right w:val="single" w:sz="4" w:space="0" w:color="FFFFFF"/>
            </w:tcBorders>
            <w:shd w:val="clear" w:color="000000" w:fill="DCE6F1"/>
            <w:vAlign w:val="center"/>
            <w:hideMark/>
          </w:tcPr>
          <w:p w14:paraId="6BDD8B05" w14:textId="77777777" w:rsidR="00EF3F49" w:rsidRPr="00EF3F49" w:rsidRDefault="00EF3F49" w:rsidP="00EF3F49">
            <w:pPr>
              <w:rPr>
                <w:rFonts w:ascii="Calibri" w:hAnsi="Calibri"/>
                <w:color w:val="000000"/>
                <w:lang w:eastAsia="en-GB"/>
              </w:rPr>
            </w:pPr>
            <w:r w:rsidRPr="00EF3F49">
              <w:rPr>
                <w:rFonts w:ascii="Calibri" w:hAnsi="Calibri"/>
                <w:color w:val="000000"/>
                <w:lang w:eastAsia="en-GB"/>
              </w:rPr>
              <w:t>Other non-cash items charged to the net surplus or deficit on the provision of services</w:t>
            </w:r>
          </w:p>
        </w:tc>
        <w:tc>
          <w:tcPr>
            <w:tcW w:w="1720" w:type="dxa"/>
            <w:tcBorders>
              <w:top w:val="nil"/>
              <w:left w:val="nil"/>
              <w:bottom w:val="single" w:sz="4" w:space="0" w:color="FFFFFF"/>
              <w:right w:val="single" w:sz="4" w:space="0" w:color="FFFFFF"/>
            </w:tcBorders>
            <w:shd w:val="clear" w:color="000000" w:fill="DCE6F1"/>
            <w:vAlign w:val="center"/>
          </w:tcPr>
          <w:p w14:paraId="2D2B2DA3" w14:textId="64264A78" w:rsidR="00EF3F49" w:rsidRPr="00EF3F49" w:rsidRDefault="00E0306A" w:rsidP="002D5F70">
            <w:pPr>
              <w:jc w:val="right"/>
              <w:rPr>
                <w:rFonts w:ascii="Calibri" w:hAnsi="Calibri"/>
                <w:color w:val="000000"/>
                <w:lang w:eastAsia="en-GB"/>
              </w:rPr>
            </w:pPr>
            <w:r>
              <w:rPr>
                <w:rFonts w:ascii="Calibri" w:hAnsi="Calibri"/>
                <w:color w:val="000000"/>
                <w:lang w:eastAsia="en-GB"/>
              </w:rPr>
              <w:t>36</w:t>
            </w:r>
            <w:r w:rsidR="00451BC8">
              <w:rPr>
                <w:rFonts w:ascii="Calibri" w:hAnsi="Calibri"/>
                <w:color w:val="000000"/>
                <w:lang w:eastAsia="en-GB"/>
              </w:rPr>
              <w:t>3</w:t>
            </w:r>
          </w:p>
        </w:tc>
      </w:tr>
      <w:tr w:rsidR="00EF3F49" w:rsidRPr="00EF3F49" w14:paraId="5194017D"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B8CCE4"/>
            <w:noWrap/>
            <w:vAlign w:val="center"/>
            <w:hideMark/>
          </w:tcPr>
          <w:p w14:paraId="683DA209" w14:textId="51B0ED9F" w:rsidR="00EF3F49" w:rsidRPr="00EF3F49" w:rsidRDefault="0025199A" w:rsidP="001715ED">
            <w:pPr>
              <w:jc w:val="right"/>
              <w:rPr>
                <w:rFonts w:ascii="Calibri" w:hAnsi="Calibri"/>
                <w:b/>
                <w:bCs/>
                <w:color w:val="000000"/>
                <w:lang w:eastAsia="en-GB"/>
              </w:rPr>
            </w:pPr>
            <w:r>
              <w:rPr>
                <w:rFonts w:ascii="Calibri" w:hAnsi="Calibri"/>
                <w:b/>
                <w:bCs/>
                <w:color w:val="000000"/>
                <w:lang w:eastAsia="en-GB"/>
              </w:rPr>
              <w:t>8,901</w:t>
            </w:r>
          </w:p>
        </w:tc>
        <w:tc>
          <w:tcPr>
            <w:tcW w:w="5840" w:type="dxa"/>
            <w:tcBorders>
              <w:top w:val="nil"/>
              <w:left w:val="nil"/>
              <w:bottom w:val="single" w:sz="4" w:space="0" w:color="FFFFFF"/>
              <w:right w:val="single" w:sz="4" w:space="0" w:color="FFFFFF"/>
            </w:tcBorders>
            <w:shd w:val="clear" w:color="000000" w:fill="B8CCE4"/>
            <w:noWrap/>
            <w:vAlign w:val="center"/>
            <w:hideMark/>
          </w:tcPr>
          <w:p w14:paraId="1F7E19B3" w14:textId="77777777" w:rsidR="00EF3F49" w:rsidRPr="00EF3F49" w:rsidRDefault="00EF3F49" w:rsidP="00EF3F49">
            <w:pPr>
              <w:rPr>
                <w:rFonts w:ascii="Calibri" w:hAnsi="Calibri"/>
                <w:b/>
                <w:bCs/>
                <w:color w:val="000000"/>
                <w:lang w:eastAsia="en-GB"/>
              </w:rPr>
            </w:pPr>
            <w:r w:rsidRPr="00EF3F49">
              <w:rPr>
                <w:rFonts w:ascii="Calibri" w:hAnsi="Calibri"/>
                <w:b/>
                <w:bCs/>
                <w:color w:val="000000"/>
                <w:lang w:eastAsia="en-GB"/>
              </w:rPr>
              <w:t> </w:t>
            </w:r>
          </w:p>
        </w:tc>
        <w:tc>
          <w:tcPr>
            <w:tcW w:w="1720" w:type="dxa"/>
            <w:tcBorders>
              <w:top w:val="nil"/>
              <w:left w:val="nil"/>
              <w:bottom w:val="single" w:sz="4" w:space="0" w:color="FFFFFF"/>
              <w:right w:val="single" w:sz="4" w:space="0" w:color="FFFFFF"/>
            </w:tcBorders>
            <w:shd w:val="clear" w:color="000000" w:fill="B8CCE4"/>
            <w:noWrap/>
            <w:vAlign w:val="center"/>
          </w:tcPr>
          <w:p w14:paraId="43ACA71E" w14:textId="00B92111" w:rsidR="00DB0381" w:rsidRPr="00EF3F49" w:rsidRDefault="00E0306A" w:rsidP="004769BC">
            <w:pPr>
              <w:jc w:val="right"/>
              <w:rPr>
                <w:rFonts w:ascii="Calibri" w:hAnsi="Calibri"/>
                <w:b/>
                <w:bCs/>
                <w:color w:val="000000"/>
                <w:lang w:eastAsia="en-GB"/>
              </w:rPr>
            </w:pPr>
            <w:r>
              <w:rPr>
                <w:rFonts w:ascii="Calibri" w:hAnsi="Calibri"/>
                <w:b/>
                <w:bCs/>
                <w:color w:val="000000"/>
                <w:lang w:eastAsia="en-GB"/>
              </w:rPr>
              <w:t>-691</w:t>
            </w:r>
          </w:p>
        </w:tc>
      </w:tr>
    </w:tbl>
    <w:p w14:paraId="3609FF36" w14:textId="77777777" w:rsidR="000F6B4B" w:rsidRDefault="000F6B4B" w:rsidP="00A64A60">
      <w:pPr>
        <w:widowControl w:val="0"/>
        <w:tabs>
          <w:tab w:val="left" w:pos="567"/>
          <w:tab w:val="left" w:pos="7200"/>
          <w:tab w:val="left" w:pos="8460"/>
        </w:tabs>
        <w:rPr>
          <w:rFonts w:ascii="Arial" w:hAnsi="Arial" w:cs="Arial"/>
          <w:b/>
        </w:rPr>
      </w:pPr>
    </w:p>
    <w:p w14:paraId="38909C8D" w14:textId="77777777" w:rsidR="00A55FD7" w:rsidRPr="00EF3F49" w:rsidRDefault="00E71F2B" w:rsidP="00A64A60">
      <w:pPr>
        <w:widowControl w:val="0"/>
        <w:tabs>
          <w:tab w:val="left" w:pos="567"/>
          <w:tab w:val="left" w:pos="7200"/>
          <w:tab w:val="left" w:pos="8460"/>
        </w:tabs>
        <w:rPr>
          <w:rFonts w:asciiTheme="minorHAnsi" w:hAnsiTheme="minorHAnsi" w:cs="Arial"/>
          <w:sz w:val="22"/>
          <w:szCs w:val="22"/>
        </w:rPr>
      </w:pPr>
      <w:r w:rsidRPr="00EF3F49">
        <w:rPr>
          <w:rFonts w:asciiTheme="minorHAnsi" w:hAnsiTheme="minorHAnsi" w:cs="Arial"/>
          <w:sz w:val="22"/>
          <w:szCs w:val="22"/>
        </w:rPr>
        <w:t xml:space="preserve">The surplus/deficit on the provision of services has been adjusted for the following items that are investing and financing </w:t>
      </w:r>
      <w:proofErr w:type="gramStart"/>
      <w:r w:rsidRPr="00EF3F49">
        <w:rPr>
          <w:rFonts w:asciiTheme="minorHAnsi" w:hAnsiTheme="minorHAnsi" w:cs="Arial"/>
          <w:sz w:val="22"/>
          <w:szCs w:val="22"/>
        </w:rPr>
        <w:t>activities</w:t>
      </w:r>
      <w:proofErr w:type="gramEnd"/>
    </w:p>
    <w:p w14:paraId="1ED29036" w14:textId="77777777" w:rsidR="00A536AA" w:rsidRDefault="00A536AA" w:rsidP="00A64A60">
      <w:pPr>
        <w:widowControl w:val="0"/>
        <w:tabs>
          <w:tab w:val="left" w:pos="567"/>
          <w:tab w:val="left" w:pos="7200"/>
          <w:tab w:val="left" w:pos="8460"/>
        </w:tabs>
        <w:rPr>
          <w:rFonts w:ascii="Arial" w:hAnsi="Arial" w:cs="Arial"/>
        </w:rPr>
      </w:pPr>
    </w:p>
    <w:tbl>
      <w:tblPr>
        <w:tblW w:w="9240" w:type="dxa"/>
        <w:tblInd w:w="93" w:type="dxa"/>
        <w:tblLook w:val="04A0" w:firstRow="1" w:lastRow="0" w:firstColumn="1" w:lastColumn="0" w:noHBand="0" w:noVBand="1"/>
        <w:tblCaption w:val="Cash flow statement operating activities adjustments"/>
        <w:tblDescription w:val="Cash flow statement operating activities adjustments"/>
      </w:tblPr>
      <w:tblGrid>
        <w:gridCol w:w="1680"/>
        <w:gridCol w:w="5840"/>
        <w:gridCol w:w="1720"/>
      </w:tblGrid>
      <w:tr w:rsidR="005E0DFD" w:rsidRPr="005E0DFD" w14:paraId="0FE58B38"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95B3D7"/>
            <w:noWrap/>
            <w:vAlign w:val="center"/>
            <w:hideMark/>
          </w:tcPr>
          <w:p w14:paraId="0EF329EF" w14:textId="339F2E5C" w:rsidR="005E0DFD" w:rsidRPr="005E0DFD" w:rsidRDefault="005E0DFD" w:rsidP="00B52FF6">
            <w:pPr>
              <w:jc w:val="right"/>
              <w:rPr>
                <w:rFonts w:ascii="Calibri" w:hAnsi="Calibri"/>
                <w:color w:val="000000"/>
                <w:lang w:eastAsia="en-GB"/>
              </w:rPr>
            </w:pPr>
            <w:r w:rsidRPr="005E0DFD">
              <w:rPr>
                <w:rFonts w:ascii="Calibri" w:hAnsi="Calibri"/>
                <w:color w:val="000000"/>
                <w:lang w:eastAsia="en-GB"/>
              </w:rPr>
              <w:t>20</w:t>
            </w:r>
            <w:r w:rsidR="00BA7B40">
              <w:rPr>
                <w:rFonts w:ascii="Calibri" w:hAnsi="Calibri"/>
                <w:color w:val="000000"/>
                <w:lang w:eastAsia="en-GB"/>
              </w:rPr>
              <w:t>2</w:t>
            </w:r>
            <w:r w:rsidR="0025199A">
              <w:rPr>
                <w:rFonts w:ascii="Calibri" w:hAnsi="Calibri"/>
                <w:color w:val="000000"/>
                <w:lang w:eastAsia="en-GB"/>
              </w:rPr>
              <w:t>1</w:t>
            </w:r>
            <w:r w:rsidRPr="005E0DFD">
              <w:rPr>
                <w:rFonts w:ascii="Calibri" w:hAnsi="Calibri"/>
                <w:color w:val="000000"/>
                <w:lang w:eastAsia="en-GB"/>
              </w:rPr>
              <w:t>-</w:t>
            </w:r>
            <w:r w:rsidR="00B52FF6">
              <w:rPr>
                <w:rFonts w:ascii="Calibri" w:hAnsi="Calibri"/>
                <w:color w:val="000000"/>
                <w:lang w:eastAsia="en-GB"/>
              </w:rPr>
              <w:t>2</w:t>
            </w:r>
            <w:r w:rsidR="0025199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95B3D7"/>
            <w:noWrap/>
            <w:vAlign w:val="center"/>
            <w:hideMark/>
          </w:tcPr>
          <w:p w14:paraId="219C5FC9"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95B3D7"/>
            <w:noWrap/>
            <w:vAlign w:val="center"/>
            <w:hideMark/>
          </w:tcPr>
          <w:p w14:paraId="07137113" w14:textId="4357285C" w:rsidR="005E0DFD" w:rsidRPr="005E0DFD" w:rsidRDefault="005E0DFD" w:rsidP="00B52FF6">
            <w:pPr>
              <w:jc w:val="right"/>
              <w:rPr>
                <w:rFonts w:ascii="Calibri" w:hAnsi="Calibri"/>
                <w:color w:val="000000"/>
                <w:lang w:eastAsia="en-GB"/>
              </w:rPr>
            </w:pPr>
            <w:r w:rsidRPr="005E0DFD">
              <w:rPr>
                <w:rFonts w:ascii="Calibri" w:hAnsi="Calibri"/>
                <w:color w:val="000000"/>
                <w:lang w:eastAsia="en-GB"/>
              </w:rPr>
              <w:t>20</w:t>
            </w:r>
            <w:r w:rsidR="00B52FF6">
              <w:rPr>
                <w:rFonts w:ascii="Calibri" w:hAnsi="Calibri"/>
                <w:color w:val="000000"/>
                <w:lang w:eastAsia="en-GB"/>
              </w:rPr>
              <w:t>2</w:t>
            </w:r>
            <w:r w:rsidR="0025199A">
              <w:rPr>
                <w:rFonts w:ascii="Calibri" w:hAnsi="Calibri"/>
                <w:color w:val="000000"/>
                <w:lang w:eastAsia="en-GB"/>
              </w:rPr>
              <w:t>2</w:t>
            </w:r>
            <w:r w:rsidRPr="005E0DFD">
              <w:rPr>
                <w:rFonts w:ascii="Calibri" w:hAnsi="Calibri"/>
                <w:color w:val="000000"/>
                <w:lang w:eastAsia="en-GB"/>
              </w:rPr>
              <w:t>-</w:t>
            </w:r>
            <w:r w:rsidR="00964C34">
              <w:rPr>
                <w:rFonts w:ascii="Calibri" w:hAnsi="Calibri"/>
                <w:color w:val="000000"/>
                <w:lang w:eastAsia="en-GB"/>
              </w:rPr>
              <w:t>2</w:t>
            </w:r>
            <w:r w:rsidR="0025199A">
              <w:rPr>
                <w:rFonts w:ascii="Calibri" w:hAnsi="Calibri"/>
                <w:color w:val="000000"/>
                <w:lang w:eastAsia="en-GB"/>
              </w:rPr>
              <w:t>3</w:t>
            </w:r>
          </w:p>
        </w:tc>
      </w:tr>
      <w:tr w:rsidR="005E0DFD" w:rsidRPr="005E0DFD" w14:paraId="0B5D8D27" w14:textId="77777777" w:rsidTr="005E0DFD">
        <w:trPr>
          <w:trHeight w:val="300"/>
        </w:trPr>
        <w:tc>
          <w:tcPr>
            <w:tcW w:w="1680" w:type="dxa"/>
            <w:tcBorders>
              <w:top w:val="nil"/>
              <w:left w:val="single" w:sz="4" w:space="0" w:color="FFFFFF"/>
              <w:bottom w:val="single" w:sz="4" w:space="0" w:color="FFFFFF"/>
              <w:right w:val="single" w:sz="4" w:space="0" w:color="FFFFFF"/>
            </w:tcBorders>
            <w:shd w:val="clear" w:color="000000" w:fill="95B3D7"/>
            <w:noWrap/>
            <w:vAlign w:val="center"/>
            <w:hideMark/>
          </w:tcPr>
          <w:p w14:paraId="741AA85A"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95B3D7"/>
            <w:noWrap/>
            <w:vAlign w:val="center"/>
            <w:hideMark/>
          </w:tcPr>
          <w:p w14:paraId="3DB969B3"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95B3D7"/>
            <w:noWrap/>
            <w:vAlign w:val="center"/>
            <w:hideMark/>
          </w:tcPr>
          <w:p w14:paraId="0D18CC2D"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£’000</w:t>
            </w:r>
          </w:p>
        </w:tc>
      </w:tr>
      <w:tr w:rsidR="00A9085C" w:rsidRPr="005E0DFD" w14:paraId="0658288E" w14:textId="77777777" w:rsidTr="000C68FB">
        <w:trPr>
          <w:trHeight w:val="510"/>
        </w:trPr>
        <w:tc>
          <w:tcPr>
            <w:tcW w:w="1680" w:type="dxa"/>
            <w:tcBorders>
              <w:top w:val="nil"/>
              <w:left w:val="single" w:sz="4" w:space="0" w:color="FFFFFF"/>
              <w:bottom w:val="single" w:sz="4" w:space="0" w:color="FFFFFF"/>
              <w:right w:val="single" w:sz="4" w:space="0" w:color="FFFFFF"/>
            </w:tcBorders>
            <w:shd w:val="clear" w:color="000000" w:fill="DCE6F1"/>
            <w:noWrap/>
            <w:vAlign w:val="center"/>
          </w:tcPr>
          <w:p w14:paraId="4E3656CA" w14:textId="5A2E1182" w:rsidR="00A9085C" w:rsidRPr="005E0DFD" w:rsidRDefault="00A9085C" w:rsidP="00B52FF6">
            <w:pPr>
              <w:jc w:val="right"/>
              <w:rPr>
                <w:rFonts w:ascii="Calibri" w:hAnsi="Calibri"/>
                <w:color w:val="000000"/>
                <w:lang w:eastAsia="en-GB"/>
              </w:rPr>
            </w:pPr>
            <w:r>
              <w:rPr>
                <w:rFonts w:ascii="Calibri" w:hAnsi="Calibri"/>
                <w:color w:val="000000"/>
                <w:lang w:eastAsia="en-GB"/>
              </w:rPr>
              <w:t>-</w:t>
            </w:r>
            <w:r w:rsidR="0025199A">
              <w:rPr>
                <w:rFonts w:ascii="Calibri" w:hAnsi="Calibri"/>
                <w:color w:val="000000"/>
                <w:lang w:eastAsia="en-GB"/>
              </w:rPr>
              <w:t>78</w:t>
            </w:r>
            <w:r>
              <w:rPr>
                <w:rFonts w:ascii="Calibri" w:hAnsi="Calibri"/>
                <w:color w:val="000000"/>
                <w:lang w:eastAsia="en-GB"/>
              </w:rPr>
              <w:t>8</w:t>
            </w:r>
          </w:p>
        </w:tc>
        <w:tc>
          <w:tcPr>
            <w:tcW w:w="5840" w:type="dxa"/>
            <w:tcBorders>
              <w:top w:val="nil"/>
              <w:left w:val="nil"/>
              <w:bottom w:val="single" w:sz="4" w:space="0" w:color="FFFFFF"/>
              <w:right w:val="single" w:sz="4" w:space="0" w:color="FFFFFF"/>
            </w:tcBorders>
            <w:shd w:val="clear" w:color="000000" w:fill="DCE6F1"/>
            <w:vAlign w:val="center"/>
          </w:tcPr>
          <w:p w14:paraId="15AC6372" w14:textId="15524DF5" w:rsidR="00A9085C" w:rsidRPr="005E0DFD" w:rsidRDefault="00A9085C" w:rsidP="005E0DFD">
            <w:pPr>
              <w:rPr>
                <w:rFonts w:ascii="Calibri" w:hAnsi="Calibri"/>
                <w:color w:val="000000"/>
                <w:lang w:eastAsia="en-GB"/>
              </w:rPr>
            </w:pPr>
            <w:r w:rsidRPr="005E0DFD">
              <w:rPr>
                <w:rFonts w:ascii="Calibri" w:hAnsi="Calibri"/>
                <w:color w:val="000000"/>
                <w:lang w:eastAsia="en-GB"/>
              </w:rPr>
              <w:t>Proceeds from the sale of property, plant and equipment, investment property and intangible assets</w:t>
            </w:r>
          </w:p>
        </w:tc>
        <w:tc>
          <w:tcPr>
            <w:tcW w:w="1720" w:type="dxa"/>
            <w:tcBorders>
              <w:top w:val="nil"/>
              <w:left w:val="nil"/>
              <w:bottom w:val="single" w:sz="4" w:space="0" w:color="FFFFFF"/>
              <w:right w:val="single" w:sz="4" w:space="0" w:color="FFFFFF"/>
            </w:tcBorders>
            <w:shd w:val="clear" w:color="000000" w:fill="DCE6F1"/>
            <w:noWrap/>
            <w:vAlign w:val="center"/>
          </w:tcPr>
          <w:p w14:paraId="116FBAA6" w14:textId="321C96B5" w:rsidR="00A9085C" w:rsidRPr="005E0DFD" w:rsidRDefault="00E0306A" w:rsidP="00E026D3">
            <w:pPr>
              <w:jc w:val="right"/>
              <w:rPr>
                <w:rFonts w:ascii="Calibri" w:hAnsi="Calibri"/>
                <w:color w:val="000000"/>
                <w:lang w:eastAsia="en-GB"/>
              </w:rPr>
            </w:pPr>
            <w:r>
              <w:rPr>
                <w:rFonts w:ascii="Calibri" w:hAnsi="Calibri"/>
                <w:color w:val="000000"/>
                <w:lang w:eastAsia="en-GB"/>
              </w:rPr>
              <w:t>-880</w:t>
            </w:r>
          </w:p>
        </w:tc>
      </w:tr>
      <w:tr w:rsidR="005E0DFD" w:rsidRPr="005E0DFD" w14:paraId="03A1E9F2" w14:textId="77777777" w:rsidTr="000C68FB">
        <w:trPr>
          <w:trHeight w:val="51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03F0DB31" w14:textId="659C2E0A" w:rsidR="005E0DFD" w:rsidRPr="005E0DFD" w:rsidRDefault="005E0DFD" w:rsidP="001715ED">
            <w:pPr>
              <w:jc w:val="right"/>
              <w:rPr>
                <w:rFonts w:ascii="Calibri" w:hAnsi="Calibri"/>
                <w:color w:val="000000"/>
                <w:lang w:eastAsia="en-GB"/>
              </w:rPr>
            </w:pPr>
            <w:r w:rsidRPr="005E0DFD">
              <w:rPr>
                <w:rFonts w:ascii="Calibri" w:hAnsi="Calibri"/>
                <w:color w:val="000000"/>
                <w:lang w:eastAsia="en-GB"/>
              </w:rPr>
              <w:t>-</w:t>
            </w:r>
            <w:r w:rsidR="0025199A">
              <w:rPr>
                <w:rFonts w:ascii="Calibri" w:hAnsi="Calibri"/>
                <w:color w:val="000000"/>
                <w:lang w:eastAsia="en-GB"/>
              </w:rPr>
              <w:t>296</w:t>
            </w:r>
          </w:p>
        </w:tc>
        <w:tc>
          <w:tcPr>
            <w:tcW w:w="5840" w:type="dxa"/>
            <w:tcBorders>
              <w:top w:val="nil"/>
              <w:left w:val="nil"/>
              <w:bottom w:val="single" w:sz="4" w:space="0" w:color="FFFFFF"/>
              <w:right w:val="single" w:sz="4" w:space="0" w:color="FFFFFF"/>
            </w:tcBorders>
            <w:shd w:val="clear" w:color="000000" w:fill="DCE6F1"/>
            <w:vAlign w:val="center"/>
            <w:hideMark/>
          </w:tcPr>
          <w:p w14:paraId="4A159076" w14:textId="77777777" w:rsidR="005E0DFD" w:rsidRPr="005E0DFD" w:rsidRDefault="008227D2" w:rsidP="005E0DFD">
            <w:pPr>
              <w:rPr>
                <w:rFonts w:ascii="Calibri" w:hAnsi="Calibri"/>
                <w:color w:val="000000"/>
                <w:lang w:eastAsia="en-GB"/>
              </w:rPr>
            </w:pPr>
            <w:r>
              <w:rPr>
                <w:rFonts w:ascii="Calibri" w:hAnsi="Calibri"/>
                <w:color w:val="000000"/>
                <w:lang w:eastAsia="en-GB"/>
              </w:rPr>
              <w:t>O</w:t>
            </w:r>
            <w:r w:rsidR="005E0DFD" w:rsidRPr="005E0DFD">
              <w:rPr>
                <w:rFonts w:ascii="Calibri" w:hAnsi="Calibri"/>
                <w:color w:val="000000"/>
                <w:lang w:eastAsia="en-GB"/>
              </w:rPr>
              <w:t>ther items for which the cash effects are investing or financing activities</w:t>
            </w:r>
          </w:p>
        </w:tc>
        <w:tc>
          <w:tcPr>
            <w:tcW w:w="1720" w:type="dxa"/>
            <w:tcBorders>
              <w:top w:val="nil"/>
              <w:left w:val="nil"/>
              <w:bottom w:val="single" w:sz="4" w:space="0" w:color="FFFFFF"/>
              <w:right w:val="single" w:sz="4" w:space="0" w:color="FFFFFF"/>
            </w:tcBorders>
            <w:shd w:val="clear" w:color="000000" w:fill="DCE6F1"/>
            <w:noWrap/>
            <w:vAlign w:val="center"/>
          </w:tcPr>
          <w:p w14:paraId="3853D868" w14:textId="3CB2E42B" w:rsidR="005E0DFD" w:rsidRPr="005E0DFD" w:rsidRDefault="00E0306A" w:rsidP="00A9085C">
            <w:pPr>
              <w:jc w:val="right"/>
              <w:rPr>
                <w:rFonts w:ascii="Calibri" w:hAnsi="Calibri"/>
                <w:color w:val="000000"/>
                <w:lang w:eastAsia="en-GB"/>
              </w:rPr>
            </w:pPr>
            <w:r>
              <w:rPr>
                <w:rFonts w:ascii="Calibri" w:hAnsi="Calibri"/>
                <w:color w:val="000000"/>
                <w:lang w:eastAsia="en-GB"/>
              </w:rPr>
              <w:t>-932</w:t>
            </w:r>
          </w:p>
        </w:tc>
      </w:tr>
      <w:tr w:rsidR="005E0DFD" w:rsidRPr="005E0DFD" w14:paraId="348D7505"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B8CCE4"/>
            <w:vAlign w:val="center"/>
            <w:hideMark/>
          </w:tcPr>
          <w:p w14:paraId="7598AC6C" w14:textId="02570A8F" w:rsidR="005E0DFD" w:rsidRPr="005E0DFD" w:rsidRDefault="005E0DFD" w:rsidP="001715ED">
            <w:pPr>
              <w:jc w:val="right"/>
              <w:rPr>
                <w:rFonts w:ascii="Calibri" w:hAnsi="Calibri"/>
                <w:b/>
                <w:bCs/>
                <w:color w:val="000000"/>
                <w:lang w:eastAsia="en-GB"/>
              </w:rPr>
            </w:pPr>
            <w:r w:rsidRPr="005E0DFD">
              <w:rPr>
                <w:rFonts w:ascii="Calibri" w:hAnsi="Calibri"/>
                <w:b/>
                <w:bCs/>
                <w:color w:val="000000"/>
                <w:lang w:eastAsia="en-GB"/>
              </w:rPr>
              <w:t>-</w:t>
            </w:r>
            <w:r w:rsidR="0025199A">
              <w:rPr>
                <w:rFonts w:ascii="Calibri" w:hAnsi="Calibri"/>
                <w:b/>
                <w:bCs/>
                <w:color w:val="000000"/>
                <w:lang w:eastAsia="en-GB"/>
              </w:rPr>
              <w:t>1,084</w:t>
            </w:r>
          </w:p>
        </w:tc>
        <w:tc>
          <w:tcPr>
            <w:tcW w:w="5840" w:type="dxa"/>
            <w:tcBorders>
              <w:top w:val="nil"/>
              <w:left w:val="nil"/>
              <w:bottom w:val="single" w:sz="4" w:space="0" w:color="FFFFFF"/>
              <w:right w:val="single" w:sz="4" w:space="0" w:color="FFFFFF"/>
            </w:tcBorders>
            <w:shd w:val="clear" w:color="000000" w:fill="B8CCE4"/>
            <w:vAlign w:val="center"/>
            <w:hideMark/>
          </w:tcPr>
          <w:p w14:paraId="7D1B9E52" w14:textId="77777777" w:rsidR="005E0DFD" w:rsidRPr="005E0DFD" w:rsidRDefault="005E0DFD" w:rsidP="005E0DFD">
            <w:pPr>
              <w:rPr>
                <w:rFonts w:ascii="Calibri" w:hAnsi="Calibri"/>
                <w:b/>
                <w:bCs/>
                <w:color w:val="000000"/>
                <w:lang w:eastAsia="en-GB"/>
              </w:rPr>
            </w:pPr>
            <w:r w:rsidRPr="005E0DFD">
              <w:rPr>
                <w:rFonts w:ascii="Calibri" w:hAnsi="Calibri"/>
                <w:b/>
                <w:bCs/>
                <w:color w:val="000000"/>
                <w:lang w:eastAsia="en-GB"/>
              </w:rPr>
              <w:t> </w:t>
            </w:r>
          </w:p>
        </w:tc>
        <w:tc>
          <w:tcPr>
            <w:tcW w:w="1720" w:type="dxa"/>
            <w:tcBorders>
              <w:top w:val="nil"/>
              <w:left w:val="nil"/>
              <w:bottom w:val="single" w:sz="4" w:space="0" w:color="FFFFFF"/>
              <w:right w:val="single" w:sz="4" w:space="0" w:color="FFFFFF"/>
            </w:tcBorders>
            <w:shd w:val="clear" w:color="000000" w:fill="B8CCE4"/>
            <w:vAlign w:val="center"/>
          </w:tcPr>
          <w:p w14:paraId="2795AFFE" w14:textId="60FA28F5" w:rsidR="005E0DFD" w:rsidRPr="005E0DFD" w:rsidRDefault="00E0306A" w:rsidP="000A74BA">
            <w:pPr>
              <w:jc w:val="right"/>
              <w:rPr>
                <w:rFonts w:ascii="Calibri" w:hAnsi="Calibri"/>
                <w:b/>
                <w:bCs/>
                <w:color w:val="000000"/>
                <w:lang w:eastAsia="en-GB"/>
              </w:rPr>
            </w:pPr>
            <w:r>
              <w:rPr>
                <w:rFonts w:ascii="Calibri" w:hAnsi="Calibri"/>
                <w:b/>
                <w:bCs/>
                <w:color w:val="000000"/>
                <w:lang w:eastAsia="en-GB"/>
              </w:rPr>
              <w:t>-1,812</w:t>
            </w:r>
          </w:p>
        </w:tc>
      </w:tr>
    </w:tbl>
    <w:p w14:paraId="31CF212D" w14:textId="1EEF9980" w:rsidR="00581D3D" w:rsidRDefault="00581D3D" w:rsidP="00A64A60">
      <w:pPr>
        <w:widowControl w:val="0"/>
        <w:tabs>
          <w:tab w:val="left" w:pos="567"/>
          <w:tab w:val="left" w:pos="7200"/>
          <w:tab w:val="left" w:pos="8460"/>
        </w:tabs>
        <w:rPr>
          <w:rFonts w:asciiTheme="minorHAnsi" w:hAnsiTheme="minorHAnsi" w:cs="Arial"/>
          <w:b/>
          <w:sz w:val="28"/>
          <w:szCs w:val="28"/>
        </w:rPr>
      </w:pPr>
    </w:p>
    <w:p w14:paraId="72388573" w14:textId="3B5FA235" w:rsidR="00FC1CB4" w:rsidRPr="005E0DFD" w:rsidRDefault="005E0DFD" w:rsidP="007C6C6F">
      <w:pPr>
        <w:pStyle w:val="Heading2"/>
      </w:pPr>
      <w:r w:rsidRPr="005E0DFD">
        <w:t>3</w:t>
      </w:r>
      <w:r w:rsidR="00D3279C">
        <w:t>6</w:t>
      </w:r>
      <w:r w:rsidR="00FC1CB4" w:rsidRPr="005E0DFD">
        <w:tab/>
        <w:t>C</w:t>
      </w:r>
      <w:r w:rsidRPr="005E0DFD">
        <w:t>ash Flow Statement – Investing Activities</w:t>
      </w:r>
    </w:p>
    <w:p w14:paraId="7D647F44" w14:textId="77777777" w:rsidR="00AC0445" w:rsidRDefault="00AC0445" w:rsidP="00D14540">
      <w:pPr>
        <w:widowControl w:val="0"/>
        <w:tabs>
          <w:tab w:val="left" w:pos="2520"/>
          <w:tab w:val="left" w:pos="7200"/>
          <w:tab w:val="left" w:pos="8460"/>
        </w:tabs>
        <w:rPr>
          <w:rFonts w:ascii="Arial" w:hAnsi="Arial" w:cs="Arial"/>
        </w:rPr>
      </w:pPr>
    </w:p>
    <w:tbl>
      <w:tblPr>
        <w:tblW w:w="9240" w:type="dxa"/>
        <w:tblInd w:w="93" w:type="dxa"/>
        <w:tblLook w:val="04A0" w:firstRow="1" w:lastRow="0" w:firstColumn="1" w:lastColumn="0" w:noHBand="0" w:noVBand="1"/>
        <w:tblCaption w:val="Cash flow statement Investing Activities"/>
        <w:tblDescription w:val="Cash flow statement Investing Activities"/>
      </w:tblPr>
      <w:tblGrid>
        <w:gridCol w:w="1680"/>
        <w:gridCol w:w="5840"/>
        <w:gridCol w:w="1720"/>
      </w:tblGrid>
      <w:tr w:rsidR="005E0DFD" w:rsidRPr="005E0DFD" w14:paraId="4A50D9FB"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95B3D7"/>
            <w:noWrap/>
            <w:vAlign w:val="center"/>
            <w:hideMark/>
          </w:tcPr>
          <w:p w14:paraId="13734286" w14:textId="0FFAA8CF" w:rsidR="004769BC" w:rsidRPr="005E0DFD" w:rsidRDefault="005E0DFD" w:rsidP="00B52FF6">
            <w:pPr>
              <w:jc w:val="right"/>
              <w:rPr>
                <w:rFonts w:ascii="Calibri" w:hAnsi="Calibri"/>
                <w:color w:val="000000"/>
                <w:lang w:eastAsia="en-GB"/>
              </w:rPr>
            </w:pPr>
            <w:r w:rsidRPr="005E0DFD">
              <w:rPr>
                <w:rFonts w:ascii="Calibri" w:hAnsi="Calibri"/>
                <w:color w:val="000000"/>
                <w:lang w:eastAsia="en-GB"/>
              </w:rPr>
              <w:t>20</w:t>
            </w:r>
            <w:r w:rsidR="00BA7B40">
              <w:rPr>
                <w:rFonts w:ascii="Calibri" w:hAnsi="Calibri"/>
                <w:color w:val="000000"/>
                <w:lang w:eastAsia="en-GB"/>
              </w:rPr>
              <w:t>2</w:t>
            </w:r>
            <w:r w:rsidR="0025199A">
              <w:rPr>
                <w:rFonts w:ascii="Calibri" w:hAnsi="Calibri"/>
                <w:color w:val="000000"/>
                <w:lang w:eastAsia="en-GB"/>
              </w:rPr>
              <w:t>1</w:t>
            </w:r>
            <w:r w:rsidRPr="005E0DFD">
              <w:rPr>
                <w:rFonts w:ascii="Calibri" w:hAnsi="Calibri"/>
                <w:color w:val="000000"/>
                <w:lang w:eastAsia="en-GB"/>
              </w:rPr>
              <w:t>-</w:t>
            </w:r>
            <w:r w:rsidR="00B52FF6">
              <w:rPr>
                <w:rFonts w:ascii="Calibri" w:hAnsi="Calibri"/>
                <w:color w:val="000000"/>
                <w:lang w:eastAsia="en-GB"/>
              </w:rPr>
              <w:t>2</w:t>
            </w:r>
            <w:r w:rsidR="0025199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95B3D7"/>
            <w:noWrap/>
            <w:vAlign w:val="center"/>
            <w:hideMark/>
          </w:tcPr>
          <w:p w14:paraId="47CBDB08"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95B3D7"/>
            <w:noWrap/>
            <w:vAlign w:val="center"/>
            <w:hideMark/>
          </w:tcPr>
          <w:p w14:paraId="729E9F44" w14:textId="054462F7" w:rsidR="005E0DFD" w:rsidRPr="005E0DFD" w:rsidRDefault="005E0DFD" w:rsidP="00B52FF6">
            <w:pPr>
              <w:jc w:val="right"/>
              <w:rPr>
                <w:rFonts w:ascii="Calibri" w:hAnsi="Calibri"/>
                <w:color w:val="000000"/>
                <w:lang w:eastAsia="en-GB"/>
              </w:rPr>
            </w:pPr>
            <w:r w:rsidRPr="005E0DFD">
              <w:rPr>
                <w:rFonts w:ascii="Calibri" w:hAnsi="Calibri"/>
                <w:color w:val="000000"/>
                <w:lang w:eastAsia="en-GB"/>
              </w:rPr>
              <w:t>20</w:t>
            </w:r>
            <w:r w:rsidR="00B52FF6">
              <w:rPr>
                <w:rFonts w:ascii="Calibri" w:hAnsi="Calibri"/>
                <w:color w:val="000000"/>
                <w:lang w:eastAsia="en-GB"/>
              </w:rPr>
              <w:t>2</w:t>
            </w:r>
            <w:r w:rsidR="0025199A">
              <w:rPr>
                <w:rFonts w:ascii="Calibri" w:hAnsi="Calibri"/>
                <w:color w:val="000000"/>
                <w:lang w:eastAsia="en-GB"/>
              </w:rPr>
              <w:t>2</w:t>
            </w:r>
            <w:r w:rsidRPr="005E0DFD">
              <w:rPr>
                <w:rFonts w:ascii="Calibri" w:hAnsi="Calibri"/>
                <w:color w:val="000000"/>
                <w:lang w:eastAsia="en-GB"/>
              </w:rPr>
              <w:t>-</w:t>
            </w:r>
            <w:r w:rsidR="00964C34">
              <w:rPr>
                <w:rFonts w:ascii="Calibri" w:hAnsi="Calibri"/>
                <w:color w:val="000000"/>
                <w:lang w:eastAsia="en-GB"/>
              </w:rPr>
              <w:t>2</w:t>
            </w:r>
            <w:r w:rsidR="0025199A">
              <w:rPr>
                <w:rFonts w:ascii="Calibri" w:hAnsi="Calibri"/>
                <w:color w:val="000000"/>
                <w:lang w:eastAsia="en-GB"/>
              </w:rPr>
              <w:t>3</w:t>
            </w:r>
          </w:p>
        </w:tc>
      </w:tr>
      <w:tr w:rsidR="005E0DFD" w:rsidRPr="005E0DFD" w14:paraId="1D7701A3" w14:textId="77777777" w:rsidTr="005E0DFD">
        <w:trPr>
          <w:trHeight w:val="300"/>
        </w:trPr>
        <w:tc>
          <w:tcPr>
            <w:tcW w:w="1680" w:type="dxa"/>
            <w:tcBorders>
              <w:top w:val="nil"/>
              <w:left w:val="single" w:sz="4" w:space="0" w:color="FFFFFF"/>
              <w:bottom w:val="single" w:sz="4" w:space="0" w:color="FFFFFF"/>
              <w:right w:val="single" w:sz="4" w:space="0" w:color="FFFFFF"/>
            </w:tcBorders>
            <w:shd w:val="clear" w:color="000000" w:fill="95B3D7"/>
            <w:noWrap/>
            <w:vAlign w:val="center"/>
            <w:hideMark/>
          </w:tcPr>
          <w:p w14:paraId="1AC749C7"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95B3D7"/>
            <w:noWrap/>
            <w:vAlign w:val="center"/>
            <w:hideMark/>
          </w:tcPr>
          <w:p w14:paraId="6A6617BB"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95B3D7"/>
            <w:noWrap/>
            <w:vAlign w:val="center"/>
            <w:hideMark/>
          </w:tcPr>
          <w:p w14:paraId="69A942DD" w14:textId="77777777" w:rsidR="005E0DFD" w:rsidRPr="005E0DFD" w:rsidRDefault="005E0DFD" w:rsidP="005E0DFD">
            <w:pPr>
              <w:jc w:val="right"/>
              <w:rPr>
                <w:rFonts w:ascii="Calibri" w:hAnsi="Calibri"/>
                <w:color w:val="000000"/>
                <w:lang w:eastAsia="en-GB"/>
              </w:rPr>
            </w:pPr>
            <w:r w:rsidRPr="005E0DFD">
              <w:rPr>
                <w:rFonts w:ascii="Calibri" w:hAnsi="Calibri"/>
                <w:color w:val="000000"/>
                <w:lang w:eastAsia="en-GB"/>
              </w:rPr>
              <w:t>£’000</w:t>
            </w:r>
          </w:p>
        </w:tc>
      </w:tr>
      <w:tr w:rsidR="005E0DFD" w:rsidRPr="005E0DFD" w14:paraId="39E90035" w14:textId="77777777" w:rsidTr="00964C34">
        <w:trPr>
          <w:trHeight w:val="51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79868C86" w14:textId="6E105AC1" w:rsidR="005E0DFD" w:rsidRPr="005E0DFD" w:rsidRDefault="005E0DFD" w:rsidP="00964C34">
            <w:pPr>
              <w:jc w:val="right"/>
              <w:rPr>
                <w:rFonts w:ascii="Calibri" w:hAnsi="Calibri"/>
                <w:color w:val="000000"/>
                <w:lang w:eastAsia="en-GB"/>
              </w:rPr>
            </w:pPr>
            <w:r w:rsidRPr="005E0DFD">
              <w:rPr>
                <w:rFonts w:ascii="Calibri" w:hAnsi="Calibri"/>
                <w:color w:val="000000"/>
                <w:lang w:eastAsia="en-GB"/>
              </w:rPr>
              <w:t>-</w:t>
            </w:r>
            <w:r w:rsidR="00BA7B40">
              <w:rPr>
                <w:rFonts w:ascii="Calibri" w:hAnsi="Calibri"/>
                <w:color w:val="000000"/>
                <w:lang w:eastAsia="en-GB"/>
              </w:rPr>
              <w:t>2,</w:t>
            </w:r>
            <w:r w:rsidR="0025199A">
              <w:rPr>
                <w:rFonts w:ascii="Calibri" w:hAnsi="Calibri"/>
                <w:color w:val="000000"/>
                <w:lang w:eastAsia="en-GB"/>
              </w:rPr>
              <w:t>422</w:t>
            </w:r>
          </w:p>
        </w:tc>
        <w:tc>
          <w:tcPr>
            <w:tcW w:w="5840" w:type="dxa"/>
            <w:tcBorders>
              <w:top w:val="nil"/>
              <w:left w:val="nil"/>
              <w:bottom w:val="single" w:sz="4" w:space="0" w:color="FFFFFF"/>
              <w:right w:val="single" w:sz="4" w:space="0" w:color="FFFFFF"/>
            </w:tcBorders>
            <w:shd w:val="clear" w:color="000000" w:fill="DCE6F1"/>
            <w:vAlign w:val="center"/>
            <w:hideMark/>
          </w:tcPr>
          <w:p w14:paraId="39C9E75E" w14:textId="7F0A9C40" w:rsidR="005E0DFD" w:rsidRPr="005E0DFD" w:rsidRDefault="005E0DFD" w:rsidP="005E0DFD">
            <w:pPr>
              <w:rPr>
                <w:rFonts w:ascii="Calibri" w:hAnsi="Calibri"/>
                <w:color w:val="000000"/>
                <w:lang w:eastAsia="en-GB"/>
              </w:rPr>
            </w:pPr>
            <w:r w:rsidRPr="005E0DFD">
              <w:rPr>
                <w:rFonts w:ascii="Calibri" w:hAnsi="Calibri"/>
                <w:color w:val="000000"/>
                <w:lang w:eastAsia="en-GB"/>
              </w:rPr>
              <w:t xml:space="preserve">Purchase of Property, Plant </w:t>
            </w:r>
            <w:r w:rsidR="00704A70">
              <w:rPr>
                <w:rFonts w:ascii="Calibri" w:hAnsi="Calibri"/>
                <w:color w:val="000000"/>
                <w:lang w:eastAsia="en-GB"/>
              </w:rPr>
              <w:t>and</w:t>
            </w:r>
            <w:r w:rsidRPr="005E0DFD">
              <w:rPr>
                <w:rFonts w:ascii="Calibri" w:hAnsi="Calibri"/>
                <w:color w:val="000000"/>
                <w:lang w:eastAsia="en-GB"/>
              </w:rPr>
              <w:t xml:space="preserve"> Equipment, investment property and intangible assets</w:t>
            </w:r>
          </w:p>
        </w:tc>
        <w:tc>
          <w:tcPr>
            <w:tcW w:w="1720" w:type="dxa"/>
            <w:tcBorders>
              <w:top w:val="nil"/>
              <w:left w:val="nil"/>
              <w:bottom w:val="single" w:sz="4" w:space="0" w:color="FFFFFF"/>
              <w:right w:val="single" w:sz="4" w:space="0" w:color="FFFFFF"/>
            </w:tcBorders>
            <w:shd w:val="clear" w:color="000000" w:fill="DCE6F1"/>
            <w:noWrap/>
            <w:vAlign w:val="center"/>
          </w:tcPr>
          <w:p w14:paraId="11BDD033" w14:textId="577902A9" w:rsidR="0088651C" w:rsidRPr="005E0DFD" w:rsidRDefault="00E0306A" w:rsidP="00964C34">
            <w:pPr>
              <w:jc w:val="right"/>
              <w:rPr>
                <w:rFonts w:ascii="Calibri" w:hAnsi="Calibri"/>
                <w:color w:val="000000"/>
                <w:lang w:eastAsia="en-GB"/>
              </w:rPr>
            </w:pPr>
            <w:r>
              <w:rPr>
                <w:rFonts w:ascii="Calibri" w:hAnsi="Calibri"/>
                <w:color w:val="000000"/>
                <w:lang w:eastAsia="en-GB"/>
              </w:rPr>
              <w:t>-3,661</w:t>
            </w:r>
          </w:p>
        </w:tc>
      </w:tr>
      <w:tr w:rsidR="002870F5" w:rsidRPr="005E0DFD" w14:paraId="1261DAB4" w14:textId="77777777" w:rsidTr="003738A6">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tcPr>
          <w:p w14:paraId="3AB9B643" w14:textId="39177CE4" w:rsidR="002870F5" w:rsidRPr="005E0DFD" w:rsidRDefault="004769BC" w:rsidP="005E0DFD">
            <w:pPr>
              <w:jc w:val="right"/>
              <w:rPr>
                <w:rFonts w:ascii="Calibri" w:hAnsi="Calibri"/>
                <w:color w:val="000000"/>
                <w:lang w:eastAsia="en-GB"/>
              </w:rPr>
            </w:pPr>
            <w:r>
              <w:rPr>
                <w:rFonts w:ascii="Calibri" w:hAnsi="Calibri"/>
                <w:color w:val="000000"/>
                <w:lang w:eastAsia="en-GB"/>
              </w:rPr>
              <w:t>-</w:t>
            </w:r>
            <w:r w:rsidR="0025199A">
              <w:rPr>
                <w:rFonts w:ascii="Calibri" w:hAnsi="Calibri"/>
                <w:color w:val="000000"/>
                <w:lang w:eastAsia="en-GB"/>
              </w:rPr>
              <w:t>20</w:t>
            </w:r>
            <w:r w:rsidR="00B52FF6">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DCE6F1"/>
            <w:noWrap/>
            <w:vAlign w:val="center"/>
          </w:tcPr>
          <w:p w14:paraId="01920D59" w14:textId="77777777" w:rsidR="002870F5" w:rsidRPr="005E0DFD" w:rsidRDefault="002870F5" w:rsidP="005E0DFD">
            <w:pPr>
              <w:rPr>
                <w:rFonts w:ascii="Calibri" w:hAnsi="Calibri"/>
                <w:color w:val="000000"/>
                <w:lang w:eastAsia="en-GB"/>
              </w:rPr>
            </w:pPr>
            <w:r>
              <w:rPr>
                <w:rFonts w:ascii="Calibri" w:hAnsi="Calibri"/>
                <w:color w:val="000000"/>
                <w:lang w:eastAsia="en-GB"/>
              </w:rPr>
              <w:t xml:space="preserve">Purchase of short term and </w:t>
            </w:r>
            <w:proofErr w:type="gramStart"/>
            <w:r>
              <w:rPr>
                <w:rFonts w:ascii="Calibri" w:hAnsi="Calibri"/>
                <w:color w:val="000000"/>
                <w:lang w:eastAsia="en-GB"/>
              </w:rPr>
              <w:t>long term</w:t>
            </w:r>
            <w:proofErr w:type="gramEnd"/>
            <w:r>
              <w:rPr>
                <w:rFonts w:ascii="Calibri" w:hAnsi="Calibri"/>
                <w:color w:val="000000"/>
                <w:lang w:eastAsia="en-GB"/>
              </w:rPr>
              <w:t xml:space="preserve"> investments</w:t>
            </w:r>
          </w:p>
        </w:tc>
        <w:tc>
          <w:tcPr>
            <w:tcW w:w="1720" w:type="dxa"/>
            <w:tcBorders>
              <w:top w:val="nil"/>
              <w:left w:val="nil"/>
              <w:bottom w:val="single" w:sz="4" w:space="0" w:color="FFFFFF"/>
              <w:right w:val="single" w:sz="4" w:space="0" w:color="FFFFFF"/>
            </w:tcBorders>
            <w:shd w:val="clear" w:color="000000" w:fill="DCE6F1"/>
            <w:noWrap/>
            <w:vAlign w:val="center"/>
          </w:tcPr>
          <w:p w14:paraId="5B16BD1D" w14:textId="40234C6C" w:rsidR="002870F5" w:rsidRDefault="00E0306A" w:rsidP="005E0DFD">
            <w:pPr>
              <w:jc w:val="right"/>
              <w:rPr>
                <w:rFonts w:ascii="Calibri" w:hAnsi="Calibri"/>
                <w:color w:val="000000"/>
                <w:lang w:eastAsia="en-GB"/>
              </w:rPr>
            </w:pPr>
            <w:r>
              <w:rPr>
                <w:rFonts w:ascii="Calibri" w:hAnsi="Calibri"/>
                <w:color w:val="000000"/>
                <w:lang w:eastAsia="en-GB"/>
              </w:rPr>
              <w:t>-15,500</w:t>
            </w:r>
          </w:p>
        </w:tc>
      </w:tr>
      <w:tr w:rsidR="00E0306A" w:rsidRPr="005E0DFD" w14:paraId="359A2E1F" w14:textId="77777777" w:rsidTr="003738A6">
        <w:trPr>
          <w:trHeight w:val="510"/>
        </w:trPr>
        <w:tc>
          <w:tcPr>
            <w:tcW w:w="1680" w:type="dxa"/>
            <w:tcBorders>
              <w:top w:val="nil"/>
              <w:left w:val="single" w:sz="4" w:space="0" w:color="FFFFFF"/>
              <w:bottom w:val="single" w:sz="4" w:space="0" w:color="FFFFFF"/>
              <w:right w:val="single" w:sz="4" w:space="0" w:color="FFFFFF"/>
            </w:tcBorders>
            <w:shd w:val="clear" w:color="000000" w:fill="DCE6F1"/>
            <w:noWrap/>
            <w:vAlign w:val="center"/>
          </w:tcPr>
          <w:p w14:paraId="756998A7" w14:textId="405860F7" w:rsidR="00E0306A" w:rsidRDefault="00E0306A" w:rsidP="005E0DFD">
            <w:pPr>
              <w:jc w:val="right"/>
              <w:rPr>
                <w:rFonts w:ascii="Calibri" w:hAnsi="Calibri"/>
                <w:color w:val="000000"/>
                <w:lang w:eastAsia="en-GB"/>
              </w:rPr>
            </w:pPr>
            <w:r>
              <w:rPr>
                <w:rFonts w:ascii="Calibri" w:hAnsi="Calibri"/>
                <w:color w:val="000000"/>
                <w:lang w:eastAsia="en-GB"/>
              </w:rPr>
              <w:t>0</w:t>
            </w:r>
          </w:p>
        </w:tc>
        <w:tc>
          <w:tcPr>
            <w:tcW w:w="5840" w:type="dxa"/>
            <w:tcBorders>
              <w:top w:val="nil"/>
              <w:left w:val="nil"/>
              <w:bottom w:val="single" w:sz="4" w:space="0" w:color="FFFFFF"/>
              <w:right w:val="single" w:sz="4" w:space="0" w:color="FFFFFF"/>
            </w:tcBorders>
            <w:shd w:val="clear" w:color="000000" w:fill="DCE6F1"/>
            <w:vAlign w:val="center"/>
          </w:tcPr>
          <w:p w14:paraId="6F123055" w14:textId="4D216B9A" w:rsidR="00E0306A" w:rsidRPr="005E0DFD" w:rsidRDefault="00E0306A" w:rsidP="005E0DFD">
            <w:pPr>
              <w:rPr>
                <w:rFonts w:ascii="Calibri" w:hAnsi="Calibri"/>
                <w:color w:val="000000"/>
                <w:lang w:eastAsia="en-GB"/>
              </w:rPr>
            </w:pPr>
            <w:r>
              <w:rPr>
                <w:rFonts w:ascii="Calibri" w:hAnsi="Calibri"/>
                <w:color w:val="000000"/>
                <w:lang w:eastAsia="en-GB"/>
              </w:rPr>
              <w:t>Other payments for investing activities</w:t>
            </w:r>
          </w:p>
        </w:tc>
        <w:tc>
          <w:tcPr>
            <w:tcW w:w="1720" w:type="dxa"/>
            <w:tcBorders>
              <w:top w:val="nil"/>
              <w:left w:val="nil"/>
              <w:bottom w:val="single" w:sz="4" w:space="0" w:color="FFFFFF"/>
              <w:right w:val="single" w:sz="4" w:space="0" w:color="FFFFFF"/>
            </w:tcBorders>
            <w:shd w:val="clear" w:color="000000" w:fill="DCE6F1"/>
            <w:noWrap/>
            <w:vAlign w:val="center"/>
          </w:tcPr>
          <w:p w14:paraId="27D51BD9" w14:textId="35D2254F" w:rsidR="00E0306A" w:rsidRDefault="00E0306A" w:rsidP="002870F5">
            <w:pPr>
              <w:jc w:val="right"/>
              <w:rPr>
                <w:rFonts w:ascii="Calibri" w:hAnsi="Calibri"/>
                <w:color w:val="000000"/>
                <w:lang w:eastAsia="en-GB"/>
              </w:rPr>
            </w:pPr>
            <w:r>
              <w:rPr>
                <w:rFonts w:ascii="Calibri" w:hAnsi="Calibri"/>
                <w:color w:val="000000"/>
                <w:lang w:eastAsia="en-GB"/>
              </w:rPr>
              <w:t>-111</w:t>
            </w:r>
          </w:p>
        </w:tc>
      </w:tr>
      <w:tr w:rsidR="005E0DFD" w:rsidRPr="005E0DFD" w14:paraId="742900DA" w14:textId="77777777" w:rsidTr="003738A6">
        <w:trPr>
          <w:trHeight w:val="51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24D6EA2E" w14:textId="17F946C8" w:rsidR="005E0DFD" w:rsidRPr="005E0DFD" w:rsidRDefault="0025199A" w:rsidP="005E0DFD">
            <w:pPr>
              <w:jc w:val="right"/>
              <w:rPr>
                <w:rFonts w:ascii="Calibri" w:hAnsi="Calibri"/>
                <w:color w:val="000000"/>
                <w:lang w:eastAsia="en-GB"/>
              </w:rPr>
            </w:pPr>
            <w:r>
              <w:rPr>
                <w:rFonts w:ascii="Calibri" w:hAnsi="Calibri"/>
                <w:color w:val="000000"/>
                <w:lang w:eastAsia="en-GB"/>
              </w:rPr>
              <w:t>765</w:t>
            </w:r>
          </w:p>
        </w:tc>
        <w:tc>
          <w:tcPr>
            <w:tcW w:w="5840" w:type="dxa"/>
            <w:tcBorders>
              <w:top w:val="nil"/>
              <w:left w:val="nil"/>
              <w:bottom w:val="single" w:sz="4" w:space="0" w:color="FFFFFF"/>
              <w:right w:val="single" w:sz="4" w:space="0" w:color="FFFFFF"/>
            </w:tcBorders>
            <w:shd w:val="clear" w:color="000000" w:fill="DCE6F1"/>
            <w:vAlign w:val="center"/>
            <w:hideMark/>
          </w:tcPr>
          <w:p w14:paraId="63E2AFEA" w14:textId="45040D79" w:rsidR="005E0DFD" w:rsidRPr="005E0DFD" w:rsidRDefault="005E0DFD" w:rsidP="005E0DFD">
            <w:pPr>
              <w:rPr>
                <w:rFonts w:ascii="Calibri" w:hAnsi="Calibri"/>
                <w:color w:val="000000"/>
                <w:lang w:eastAsia="en-GB"/>
              </w:rPr>
            </w:pPr>
            <w:r w:rsidRPr="005E0DFD">
              <w:rPr>
                <w:rFonts w:ascii="Calibri" w:hAnsi="Calibri"/>
                <w:color w:val="000000"/>
                <w:lang w:eastAsia="en-GB"/>
              </w:rPr>
              <w:t xml:space="preserve">Proceeds from the sale of property, plant </w:t>
            </w:r>
            <w:r w:rsidR="00704A70">
              <w:rPr>
                <w:rFonts w:ascii="Calibri" w:hAnsi="Calibri"/>
                <w:color w:val="000000"/>
                <w:lang w:eastAsia="en-GB"/>
              </w:rPr>
              <w:t>and</w:t>
            </w:r>
            <w:r w:rsidRPr="005E0DFD">
              <w:rPr>
                <w:rFonts w:ascii="Calibri" w:hAnsi="Calibri"/>
                <w:color w:val="000000"/>
                <w:lang w:eastAsia="en-GB"/>
              </w:rPr>
              <w:t xml:space="preserve"> equipment, investment property and intangible assets</w:t>
            </w:r>
          </w:p>
        </w:tc>
        <w:tc>
          <w:tcPr>
            <w:tcW w:w="1720" w:type="dxa"/>
            <w:tcBorders>
              <w:top w:val="nil"/>
              <w:left w:val="nil"/>
              <w:bottom w:val="single" w:sz="4" w:space="0" w:color="FFFFFF"/>
              <w:right w:val="single" w:sz="4" w:space="0" w:color="FFFFFF"/>
            </w:tcBorders>
            <w:shd w:val="clear" w:color="000000" w:fill="DCE6F1"/>
            <w:noWrap/>
            <w:vAlign w:val="center"/>
          </w:tcPr>
          <w:p w14:paraId="0A838F9C" w14:textId="277B39A9" w:rsidR="002870F5" w:rsidRPr="005E0DFD" w:rsidRDefault="00E0306A" w:rsidP="002870F5">
            <w:pPr>
              <w:jc w:val="right"/>
              <w:rPr>
                <w:rFonts w:ascii="Calibri" w:hAnsi="Calibri"/>
                <w:color w:val="000000"/>
                <w:lang w:eastAsia="en-GB"/>
              </w:rPr>
            </w:pPr>
            <w:r>
              <w:rPr>
                <w:rFonts w:ascii="Calibri" w:hAnsi="Calibri"/>
                <w:color w:val="000000"/>
                <w:lang w:eastAsia="en-GB"/>
              </w:rPr>
              <w:t>85</w:t>
            </w:r>
            <w:r w:rsidR="00451BC8">
              <w:rPr>
                <w:rFonts w:ascii="Calibri" w:hAnsi="Calibri"/>
                <w:color w:val="000000"/>
                <w:lang w:eastAsia="en-GB"/>
              </w:rPr>
              <w:t>8</w:t>
            </w:r>
          </w:p>
        </w:tc>
      </w:tr>
      <w:tr w:rsidR="004769BC" w:rsidRPr="005E0DFD" w14:paraId="2F399782" w14:textId="77777777" w:rsidTr="003738A6">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tcPr>
          <w:p w14:paraId="64129957" w14:textId="65E1EC1D" w:rsidR="004769BC" w:rsidRDefault="00BA7B40" w:rsidP="005E0DFD">
            <w:pPr>
              <w:jc w:val="right"/>
              <w:rPr>
                <w:rFonts w:ascii="Calibri" w:hAnsi="Calibri"/>
                <w:color w:val="000000"/>
                <w:lang w:eastAsia="en-GB"/>
              </w:rPr>
            </w:pPr>
            <w:r>
              <w:rPr>
                <w:rFonts w:ascii="Calibri" w:hAnsi="Calibri"/>
                <w:color w:val="000000"/>
                <w:lang w:eastAsia="en-GB"/>
              </w:rPr>
              <w:t>1</w:t>
            </w:r>
            <w:r w:rsidR="0025199A">
              <w:rPr>
                <w:rFonts w:ascii="Calibri" w:hAnsi="Calibri"/>
                <w:color w:val="000000"/>
                <w:lang w:eastAsia="en-GB"/>
              </w:rPr>
              <w:t>7</w:t>
            </w:r>
            <w:r w:rsidR="004769BC">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DCE6F1"/>
            <w:noWrap/>
            <w:vAlign w:val="center"/>
          </w:tcPr>
          <w:p w14:paraId="3891790B" w14:textId="77777777" w:rsidR="004769BC" w:rsidRPr="005E0DFD" w:rsidRDefault="00FC6FC9" w:rsidP="00FC6FC9">
            <w:pPr>
              <w:rPr>
                <w:rFonts w:ascii="Calibri" w:hAnsi="Calibri"/>
                <w:color w:val="000000"/>
                <w:lang w:eastAsia="en-GB"/>
              </w:rPr>
            </w:pPr>
            <w:r>
              <w:rPr>
                <w:rFonts w:ascii="Calibri" w:hAnsi="Calibri"/>
                <w:color w:val="000000"/>
                <w:lang w:eastAsia="en-GB"/>
              </w:rPr>
              <w:t xml:space="preserve">Proceeds from </w:t>
            </w:r>
            <w:proofErr w:type="gramStart"/>
            <w:r>
              <w:rPr>
                <w:rFonts w:ascii="Calibri" w:hAnsi="Calibri"/>
                <w:color w:val="000000"/>
                <w:lang w:eastAsia="en-GB"/>
              </w:rPr>
              <w:t>short and long term</w:t>
            </w:r>
            <w:proofErr w:type="gramEnd"/>
            <w:r>
              <w:rPr>
                <w:rFonts w:ascii="Calibri" w:hAnsi="Calibri"/>
                <w:color w:val="000000"/>
                <w:lang w:eastAsia="en-GB"/>
              </w:rPr>
              <w:t xml:space="preserve"> investments</w:t>
            </w:r>
          </w:p>
        </w:tc>
        <w:tc>
          <w:tcPr>
            <w:tcW w:w="1720" w:type="dxa"/>
            <w:tcBorders>
              <w:top w:val="nil"/>
              <w:left w:val="nil"/>
              <w:bottom w:val="single" w:sz="4" w:space="0" w:color="FFFFFF"/>
              <w:right w:val="single" w:sz="4" w:space="0" w:color="FFFFFF"/>
            </w:tcBorders>
            <w:shd w:val="clear" w:color="000000" w:fill="DCE6F1"/>
            <w:noWrap/>
            <w:vAlign w:val="center"/>
          </w:tcPr>
          <w:p w14:paraId="3FDD7E0D" w14:textId="484A797B" w:rsidR="004769BC" w:rsidRDefault="00E0306A" w:rsidP="005E0DFD">
            <w:pPr>
              <w:jc w:val="right"/>
              <w:rPr>
                <w:rFonts w:ascii="Calibri" w:hAnsi="Calibri"/>
                <w:color w:val="000000"/>
                <w:lang w:eastAsia="en-GB"/>
              </w:rPr>
            </w:pPr>
            <w:r>
              <w:rPr>
                <w:rFonts w:ascii="Calibri" w:hAnsi="Calibri"/>
                <w:color w:val="000000"/>
                <w:lang w:eastAsia="en-GB"/>
              </w:rPr>
              <w:t>20,000</w:t>
            </w:r>
          </w:p>
        </w:tc>
      </w:tr>
      <w:tr w:rsidR="005E0DFD" w:rsidRPr="005E0DFD" w14:paraId="27C46C9E" w14:textId="77777777" w:rsidTr="003738A6">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4F762773" w14:textId="0FEBE5BE" w:rsidR="005E0DFD" w:rsidRPr="005E0DFD" w:rsidRDefault="0025199A" w:rsidP="005E0DFD">
            <w:pPr>
              <w:jc w:val="right"/>
              <w:rPr>
                <w:rFonts w:ascii="Calibri" w:hAnsi="Calibri"/>
                <w:color w:val="000000"/>
                <w:lang w:eastAsia="en-GB"/>
              </w:rPr>
            </w:pPr>
            <w:r>
              <w:rPr>
                <w:rFonts w:ascii="Calibri" w:hAnsi="Calibri"/>
                <w:color w:val="000000"/>
                <w:lang w:eastAsia="en-GB"/>
              </w:rPr>
              <w:t>380</w:t>
            </w:r>
          </w:p>
        </w:tc>
        <w:tc>
          <w:tcPr>
            <w:tcW w:w="5840" w:type="dxa"/>
            <w:tcBorders>
              <w:top w:val="nil"/>
              <w:left w:val="nil"/>
              <w:bottom w:val="single" w:sz="4" w:space="0" w:color="FFFFFF"/>
              <w:right w:val="single" w:sz="4" w:space="0" w:color="FFFFFF"/>
            </w:tcBorders>
            <w:shd w:val="clear" w:color="000000" w:fill="DCE6F1"/>
            <w:noWrap/>
            <w:vAlign w:val="center"/>
            <w:hideMark/>
          </w:tcPr>
          <w:p w14:paraId="02D43CB9" w14:textId="77777777" w:rsidR="005E0DFD" w:rsidRPr="005E0DFD" w:rsidRDefault="005E0DFD" w:rsidP="005E0DFD">
            <w:pPr>
              <w:rPr>
                <w:rFonts w:ascii="Calibri" w:hAnsi="Calibri"/>
                <w:color w:val="000000"/>
                <w:lang w:eastAsia="en-GB"/>
              </w:rPr>
            </w:pPr>
            <w:r w:rsidRPr="005E0DFD">
              <w:rPr>
                <w:rFonts w:ascii="Calibri" w:hAnsi="Calibri"/>
                <w:color w:val="000000"/>
                <w:lang w:eastAsia="en-GB"/>
              </w:rPr>
              <w:t>Other receipts from investing activities</w:t>
            </w:r>
          </w:p>
        </w:tc>
        <w:tc>
          <w:tcPr>
            <w:tcW w:w="1720" w:type="dxa"/>
            <w:tcBorders>
              <w:top w:val="nil"/>
              <w:left w:val="nil"/>
              <w:bottom w:val="single" w:sz="4" w:space="0" w:color="FFFFFF"/>
              <w:right w:val="single" w:sz="4" w:space="0" w:color="FFFFFF"/>
            </w:tcBorders>
            <w:shd w:val="clear" w:color="000000" w:fill="DCE6F1"/>
            <w:noWrap/>
            <w:vAlign w:val="center"/>
          </w:tcPr>
          <w:p w14:paraId="232A45CC" w14:textId="2ACFF30F" w:rsidR="005E0DFD" w:rsidRPr="005E0DFD" w:rsidRDefault="00E0306A" w:rsidP="005E0DFD">
            <w:pPr>
              <w:jc w:val="right"/>
              <w:rPr>
                <w:rFonts w:ascii="Calibri" w:hAnsi="Calibri"/>
                <w:color w:val="000000"/>
                <w:lang w:eastAsia="en-GB"/>
              </w:rPr>
            </w:pPr>
            <w:r>
              <w:rPr>
                <w:rFonts w:ascii="Calibri" w:hAnsi="Calibri"/>
                <w:color w:val="000000"/>
                <w:lang w:eastAsia="en-GB"/>
              </w:rPr>
              <w:t>586</w:t>
            </w:r>
          </w:p>
        </w:tc>
      </w:tr>
      <w:tr w:rsidR="005E0DFD" w:rsidRPr="005E0DFD" w14:paraId="5570DDE4" w14:textId="77777777" w:rsidTr="003738A6">
        <w:trPr>
          <w:trHeight w:val="300"/>
        </w:trPr>
        <w:tc>
          <w:tcPr>
            <w:tcW w:w="1680" w:type="dxa"/>
            <w:tcBorders>
              <w:top w:val="nil"/>
              <w:left w:val="single" w:sz="4" w:space="0" w:color="FFFFFF"/>
              <w:bottom w:val="single" w:sz="4" w:space="0" w:color="FFFFFF"/>
              <w:right w:val="single" w:sz="4" w:space="0" w:color="FFFFFF"/>
            </w:tcBorders>
            <w:shd w:val="clear" w:color="000000" w:fill="B8CCE4"/>
            <w:noWrap/>
            <w:vAlign w:val="center"/>
            <w:hideMark/>
          </w:tcPr>
          <w:p w14:paraId="3587BB25" w14:textId="7B09791D" w:rsidR="005E0DFD" w:rsidRPr="005E0DFD" w:rsidRDefault="00B52FF6" w:rsidP="00710553">
            <w:pPr>
              <w:jc w:val="right"/>
              <w:rPr>
                <w:rFonts w:ascii="Calibri" w:hAnsi="Calibri"/>
                <w:b/>
                <w:bCs/>
                <w:color w:val="000000"/>
                <w:lang w:eastAsia="en-GB"/>
              </w:rPr>
            </w:pPr>
            <w:r>
              <w:rPr>
                <w:rFonts w:ascii="Calibri" w:hAnsi="Calibri"/>
                <w:b/>
                <w:bCs/>
                <w:color w:val="000000"/>
                <w:lang w:eastAsia="en-GB"/>
              </w:rPr>
              <w:t>-</w:t>
            </w:r>
            <w:r w:rsidR="00BA7B40">
              <w:rPr>
                <w:rFonts w:ascii="Calibri" w:hAnsi="Calibri"/>
                <w:b/>
                <w:bCs/>
                <w:color w:val="000000"/>
                <w:lang w:eastAsia="en-GB"/>
              </w:rPr>
              <w:t>4,</w:t>
            </w:r>
            <w:r w:rsidR="0025199A">
              <w:rPr>
                <w:rFonts w:ascii="Calibri" w:hAnsi="Calibri"/>
                <w:b/>
                <w:bCs/>
                <w:color w:val="000000"/>
                <w:lang w:eastAsia="en-GB"/>
              </w:rPr>
              <w:t>277</w:t>
            </w:r>
          </w:p>
        </w:tc>
        <w:tc>
          <w:tcPr>
            <w:tcW w:w="5840" w:type="dxa"/>
            <w:tcBorders>
              <w:top w:val="nil"/>
              <w:left w:val="nil"/>
              <w:bottom w:val="single" w:sz="4" w:space="0" w:color="FFFFFF"/>
              <w:right w:val="single" w:sz="4" w:space="0" w:color="FFFFFF"/>
            </w:tcBorders>
            <w:shd w:val="clear" w:color="000000" w:fill="B8CCE4"/>
            <w:noWrap/>
            <w:vAlign w:val="center"/>
            <w:hideMark/>
          </w:tcPr>
          <w:p w14:paraId="33235ACD" w14:textId="77777777" w:rsidR="005E0DFD" w:rsidRPr="005E0DFD" w:rsidRDefault="005E0DFD" w:rsidP="005E0DFD">
            <w:pPr>
              <w:rPr>
                <w:rFonts w:ascii="Calibri" w:hAnsi="Calibri"/>
                <w:b/>
                <w:bCs/>
                <w:color w:val="000000"/>
                <w:lang w:eastAsia="en-GB"/>
              </w:rPr>
            </w:pPr>
            <w:r w:rsidRPr="005E0DFD">
              <w:rPr>
                <w:rFonts w:ascii="Calibri" w:hAnsi="Calibri"/>
                <w:b/>
                <w:bCs/>
                <w:color w:val="000000"/>
                <w:lang w:eastAsia="en-GB"/>
              </w:rPr>
              <w:t>Net cash-flows from investing activities</w:t>
            </w:r>
          </w:p>
        </w:tc>
        <w:tc>
          <w:tcPr>
            <w:tcW w:w="1720" w:type="dxa"/>
            <w:tcBorders>
              <w:top w:val="nil"/>
              <w:left w:val="nil"/>
              <w:bottom w:val="single" w:sz="4" w:space="0" w:color="FFFFFF"/>
              <w:right w:val="single" w:sz="4" w:space="0" w:color="FFFFFF"/>
            </w:tcBorders>
            <w:shd w:val="clear" w:color="000000" w:fill="B8CCE4"/>
            <w:noWrap/>
            <w:vAlign w:val="center"/>
          </w:tcPr>
          <w:p w14:paraId="6E5F3493" w14:textId="1E3B3A3A" w:rsidR="005E0DFD" w:rsidRPr="005E0DFD" w:rsidRDefault="00E0306A" w:rsidP="00710553">
            <w:pPr>
              <w:jc w:val="right"/>
              <w:rPr>
                <w:rFonts w:ascii="Calibri" w:hAnsi="Calibri"/>
                <w:b/>
                <w:bCs/>
                <w:color w:val="000000"/>
                <w:lang w:eastAsia="en-GB"/>
              </w:rPr>
            </w:pPr>
            <w:r>
              <w:rPr>
                <w:rFonts w:ascii="Calibri" w:hAnsi="Calibri"/>
                <w:b/>
                <w:bCs/>
                <w:color w:val="000000"/>
                <w:lang w:eastAsia="en-GB"/>
              </w:rPr>
              <w:t>2,17</w:t>
            </w:r>
            <w:r w:rsidR="00451BC8">
              <w:rPr>
                <w:rFonts w:ascii="Calibri" w:hAnsi="Calibri"/>
                <w:b/>
                <w:bCs/>
                <w:color w:val="000000"/>
                <w:lang w:eastAsia="en-GB"/>
              </w:rPr>
              <w:t>2</w:t>
            </w:r>
          </w:p>
        </w:tc>
      </w:tr>
    </w:tbl>
    <w:p w14:paraId="44BE4695" w14:textId="77777777" w:rsidR="00D74C07" w:rsidRDefault="00D74C07" w:rsidP="00A64A60">
      <w:pPr>
        <w:widowControl w:val="0"/>
        <w:tabs>
          <w:tab w:val="left" w:pos="709"/>
          <w:tab w:val="left" w:pos="7200"/>
          <w:tab w:val="left" w:pos="8460"/>
        </w:tabs>
        <w:ind w:left="567" w:hanging="567"/>
        <w:rPr>
          <w:rStyle w:val="PageNumber"/>
          <w:rFonts w:ascii="Arial" w:hAnsi="Arial" w:cs="Arial"/>
          <w:b/>
        </w:rPr>
      </w:pPr>
    </w:p>
    <w:p w14:paraId="52A69885" w14:textId="3858656F" w:rsidR="00A24D48" w:rsidRPr="00B921B9" w:rsidRDefault="00B921B9" w:rsidP="007C6C6F">
      <w:pPr>
        <w:pStyle w:val="Heading2"/>
      </w:pPr>
      <w:r w:rsidRPr="00B921B9">
        <w:t>3</w:t>
      </w:r>
      <w:r w:rsidR="00D3279C">
        <w:t>7</w:t>
      </w:r>
      <w:r w:rsidR="00A64A60" w:rsidRPr="00B921B9">
        <w:t xml:space="preserve"> </w:t>
      </w:r>
      <w:r w:rsidR="00A64A60" w:rsidRPr="00B921B9">
        <w:tab/>
      </w:r>
      <w:r w:rsidR="00A24D48" w:rsidRPr="00B921B9">
        <w:t>C</w:t>
      </w:r>
      <w:r w:rsidRPr="00B921B9">
        <w:t>ash Flow Statement – Financing Activities</w:t>
      </w:r>
    </w:p>
    <w:p w14:paraId="5C3610B7" w14:textId="77777777" w:rsidR="00A24D48" w:rsidRDefault="00A24D48" w:rsidP="00A24D48">
      <w:pPr>
        <w:widowControl w:val="0"/>
        <w:tabs>
          <w:tab w:val="left" w:pos="2520"/>
          <w:tab w:val="left" w:pos="7200"/>
          <w:tab w:val="left" w:pos="8460"/>
        </w:tabs>
        <w:rPr>
          <w:rFonts w:ascii="Arial" w:hAnsi="Arial" w:cs="Arial"/>
          <w:b/>
        </w:rPr>
      </w:pPr>
    </w:p>
    <w:tbl>
      <w:tblPr>
        <w:tblW w:w="9240" w:type="dxa"/>
        <w:tblInd w:w="93" w:type="dxa"/>
        <w:tblLook w:val="04A0" w:firstRow="1" w:lastRow="0" w:firstColumn="1" w:lastColumn="0" w:noHBand="0" w:noVBand="1"/>
        <w:tblCaption w:val="Cashflow statement financing activities"/>
        <w:tblDescription w:val="Cashflow statement financing activities"/>
      </w:tblPr>
      <w:tblGrid>
        <w:gridCol w:w="1680"/>
        <w:gridCol w:w="5840"/>
        <w:gridCol w:w="1720"/>
      </w:tblGrid>
      <w:tr w:rsidR="00B921B9" w:rsidRPr="00B921B9" w14:paraId="345473E7" w14:textId="77777777" w:rsidTr="00CD3384">
        <w:trPr>
          <w:cantSplit/>
          <w:trHeight w:val="300"/>
          <w:tblHeader/>
        </w:trPr>
        <w:tc>
          <w:tcPr>
            <w:tcW w:w="1680" w:type="dxa"/>
            <w:tcBorders>
              <w:top w:val="single" w:sz="4" w:space="0" w:color="FFFFFF"/>
              <w:left w:val="single" w:sz="4" w:space="0" w:color="FFFFFF"/>
              <w:bottom w:val="single" w:sz="4" w:space="0" w:color="FFFFFF"/>
              <w:right w:val="single" w:sz="4" w:space="0" w:color="FFFFFF"/>
            </w:tcBorders>
            <w:shd w:val="clear" w:color="000000" w:fill="95B3D7"/>
            <w:noWrap/>
            <w:vAlign w:val="center"/>
            <w:hideMark/>
          </w:tcPr>
          <w:p w14:paraId="212C13A0" w14:textId="14930350" w:rsidR="00B921B9" w:rsidRPr="00B921B9" w:rsidRDefault="00B921B9" w:rsidP="00B52FF6">
            <w:pPr>
              <w:jc w:val="right"/>
              <w:rPr>
                <w:rFonts w:ascii="Calibri" w:hAnsi="Calibri"/>
                <w:color w:val="000000"/>
                <w:lang w:eastAsia="en-GB"/>
              </w:rPr>
            </w:pPr>
            <w:r w:rsidRPr="00B921B9">
              <w:rPr>
                <w:rFonts w:ascii="Calibri" w:hAnsi="Calibri"/>
                <w:color w:val="000000"/>
                <w:lang w:eastAsia="en-GB"/>
              </w:rPr>
              <w:t>20</w:t>
            </w:r>
            <w:r w:rsidR="00BA7B40">
              <w:rPr>
                <w:rFonts w:ascii="Calibri" w:hAnsi="Calibri"/>
                <w:color w:val="000000"/>
                <w:lang w:eastAsia="en-GB"/>
              </w:rPr>
              <w:t>2</w:t>
            </w:r>
            <w:r w:rsidR="0025199A">
              <w:rPr>
                <w:rFonts w:ascii="Calibri" w:hAnsi="Calibri"/>
                <w:color w:val="000000"/>
                <w:lang w:eastAsia="en-GB"/>
              </w:rPr>
              <w:t>1</w:t>
            </w:r>
            <w:r w:rsidRPr="00B921B9">
              <w:rPr>
                <w:rFonts w:ascii="Calibri" w:hAnsi="Calibri"/>
                <w:color w:val="000000"/>
                <w:lang w:eastAsia="en-GB"/>
              </w:rPr>
              <w:t>-</w:t>
            </w:r>
            <w:r w:rsidR="00B52FF6">
              <w:rPr>
                <w:rFonts w:ascii="Calibri" w:hAnsi="Calibri"/>
                <w:color w:val="000000"/>
                <w:lang w:eastAsia="en-GB"/>
              </w:rPr>
              <w:t>2</w:t>
            </w:r>
            <w:r w:rsidR="0025199A">
              <w:rPr>
                <w:rFonts w:ascii="Calibri" w:hAnsi="Calibri"/>
                <w:color w:val="000000"/>
                <w:lang w:eastAsia="en-GB"/>
              </w:rPr>
              <w:t>2</w:t>
            </w:r>
          </w:p>
        </w:tc>
        <w:tc>
          <w:tcPr>
            <w:tcW w:w="5840" w:type="dxa"/>
            <w:tcBorders>
              <w:top w:val="single" w:sz="4" w:space="0" w:color="FFFFFF"/>
              <w:left w:val="nil"/>
              <w:bottom w:val="nil"/>
              <w:right w:val="single" w:sz="4" w:space="0" w:color="FFFFFF"/>
            </w:tcBorders>
            <w:shd w:val="clear" w:color="000000" w:fill="95B3D7"/>
            <w:noWrap/>
            <w:vAlign w:val="center"/>
            <w:hideMark/>
          </w:tcPr>
          <w:p w14:paraId="32F99E1E" w14:textId="77777777" w:rsidR="00B921B9" w:rsidRPr="00B921B9" w:rsidRDefault="00B921B9" w:rsidP="00B921B9">
            <w:pPr>
              <w:jc w:val="right"/>
              <w:rPr>
                <w:rFonts w:ascii="Calibri" w:hAnsi="Calibri"/>
                <w:color w:val="000000"/>
                <w:lang w:eastAsia="en-GB"/>
              </w:rPr>
            </w:pPr>
            <w:r w:rsidRPr="00B921B9">
              <w:rPr>
                <w:rFonts w:ascii="Calibri" w:hAnsi="Calibri"/>
                <w:color w:val="000000"/>
                <w:lang w:eastAsia="en-GB"/>
              </w:rPr>
              <w:t> </w:t>
            </w:r>
          </w:p>
        </w:tc>
        <w:tc>
          <w:tcPr>
            <w:tcW w:w="1720" w:type="dxa"/>
            <w:tcBorders>
              <w:top w:val="single" w:sz="4" w:space="0" w:color="FFFFFF"/>
              <w:left w:val="nil"/>
              <w:bottom w:val="single" w:sz="4" w:space="0" w:color="FFFFFF"/>
              <w:right w:val="single" w:sz="4" w:space="0" w:color="FFFFFF"/>
            </w:tcBorders>
            <w:shd w:val="clear" w:color="000000" w:fill="95B3D7"/>
            <w:noWrap/>
            <w:vAlign w:val="center"/>
            <w:hideMark/>
          </w:tcPr>
          <w:p w14:paraId="2D33B932" w14:textId="18E99AAE" w:rsidR="00B921B9" w:rsidRPr="00B921B9" w:rsidRDefault="00B921B9" w:rsidP="00B52FF6">
            <w:pPr>
              <w:jc w:val="right"/>
              <w:rPr>
                <w:rFonts w:ascii="Calibri" w:hAnsi="Calibri"/>
                <w:color w:val="000000"/>
                <w:lang w:eastAsia="en-GB"/>
              </w:rPr>
            </w:pPr>
            <w:r w:rsidRPr="00B921B9">
              <w:rPr>
                <w:rFonts w:ascii="Calibri" w:hAnsi="Calibri"/>
                <w:color w:val="000000"/>
                <w:lang w:eastAsia="en-GB"/>
              </w:rPr>
              <w:t>20</w:t>
            </w:r>
            <w:r w:rsidR="00B52FF6">
              <w:rPr>
                <w:rFonts w:ascii="Calibri" w:hAnsi="Calibri"/>
                <w:color w:val="000000"/>
                <w:lang w:eastAsia="en-GB"/>
              </w:rPr>
              <w:t>2</w:t>
            </w:r>
            <w:r w:rsidR="0025199A">
              <w:rPr>
                <w:rFonts w:ascii="Calibri" w:hAnsi="Calibri"/>
                <w:color w:val="000000"/>
                <w:lang w:eastAsia="en-GB"/>
              </w:rPr>
              <w:t>2</w:t>
            </w:r>
            <w:r w:rsidRPr="00B921B9">
              <w:rPr>
                <w:rFonts w:ascii="Calibri" w:hAnsi="Calibri"/>
                <w:color w:val="000000"/>
                <w:lang w:eastAsia="en-GB"/>
              </w:rPr>
              <w:t>-</w:t>
            </w:r>
            <w:r w:rsidR="00964C34">
              <w:rPr>
                <w:rFonts w:ascii="Calibri" w:hAnsi="Calibri"/>
                <w:color w:val="000000"/>
                <w:lang w:eastAsia="en-GB"/>
              </w:rPr>
              <w:t>2</w:t>
            </w:r>
            <w:r w:rsidR="0025199A">
              <w:rPr>
                <w:rFonts w:ascii="Calibri" w:hAnsi="Calibri"/>
                <w:color w:val="000000"/>
                <w:lang w:eastAsia="en-GB"/>
              </w:rPr>
              <w:t>3</w:t>
            </w:r>
          </w:p>
        </w:tc>
      </w:tr>
      <w:tr w:rsidR="00B921B9" w:rsidRPr="00B921B9" w14:paraId="6A3CFEE6" w14:textId="77777777" w:rsidTr="00B921B9">
        <w:trPr>
          <w:trHeight w:val="300"/>
        </w:trPr>
        <w:tc>
          <w:tcPr>
            <w:tcW w:w="1680" w:type="dxa"/>
            <w:tcBorders>
              <w:top w:val="nil"/>
              <w:left w:val="single" w:sz="4" w:space="0" w:color="FFFFFF"/>
              <w:bottom w:val="single" w:sz="4" w:space="0" w:color="FFFFFF"/>
              <w:right w:val="single" w:sz="4" w:space="0" w:color="FFFFFF"/>
            </w:tcBorders>
            <w:shd w:val="clear" w:color="000000" w:fill="95B3D7"/>
            <w:noWrap/>
            <w:vAlign w:val="center"/>
            <w:hideMark/>
          </w:tcPr>
          <w:p w14:paraId="26EF3C5C" w14:textId="77777777" w:rsidR="00B921B9" w:rsidRPr="00B921B9" w:rsidRDefault="00B921B9" w:rsidP="00B921B9">
            <w:pPr>
              <w:jc w:val="right"/>
              <w:rPr>
                <w:rFonts w:ascii="Calibri" w:hAnsi="Calibri"/>
                <w:color w:val="000000"/>
                <w:lang w:eastAsia="en-GB"/>
              </w:rPr>
            </w:pPr>
            <w:r w:rsidRPr="00B921B9">
              <w:rPr>
                <w:rFonts w:ascii="Calibri" w:hAnsi="Calibri"/>
                <w:color w:val="000000"/>
                <w:lang w:eastAsia="en-GB"/>
              </w:rPr>
              <w:t>£’000</w:t>
            </w:r>
          </w:p>
        </w:tc>
        <w:tc>
          <w:tcPr>
            <w:tcW w:w="5840" w:type="dxa"/>
            <w:tcBorders>
              <w:top w:val="nil"/>
              <w:left w:val="nil"/>
              <w:bottom w:val="single" w:sz="4" w:space="0" w:color="FFFFFF"/>
              <w:right w:val="single" w:sz="4" w:space="0" w:color="FFFFFF"/>
            </w:tcBorders>
            <w:shd w:val="clear" w:color="000000" w:fill="95B3D7"/>
            <w:noWrap/>
            <w:vAlign w:val="center"/>
            <w:hideMark/>
          </w:tcPr>
          <w:p w14:paraId="42EB6E49" w14:textId="77777777" w:rsidR="00B921B9" w:rsidRPr="00B921B9" w:rsidRDefault="00B921B9" w:rsidP="00B921B9">
            <w:pPr>
              <w:jc w:val="right"/>
              <w:rPr>
                <w:rFonts w:ascii="Calibri" w:hAnsi="Calibri"/>
                <w:color w:val="000000"/>
                <w:lang w:eastAsia="en-GB"/>
              </w:rPr>
            </w:pPr>
            <w:r w:rsidRPr="00B921B9">
              <w:rPr>
                <w:rFonts w:ascii="Calibri" w:hAnsi="Calibri"/>
                <w:color w:val="000000"/>
                <w:lang w:eastAsia="en-GB"/>
              </w:rPr>
              <w:t> </w:t>
            </w:r>
          </w:p>
        </w:tc>
        <w:tc>
          <w:tcPr>
            <w:tcW w:w="1720" w:type="dxa"/>
            <w:tcBorders>
              <w:top w:val="nil"/>
              <w:left w:val="nil"/>
              <w:bottom w:val="single" w:sz="4" w:space="0" w:color="FFFFFF"/>
              <w:right w:val="single" w:sz="4" w:space="0" w:color="FFFFFF"/>
            </w:tcBorders>
            <w:shd w:val="clear" w:color="000000" w:fill="95B3D7"/>
            <w:noWrap/>
            <w:vAlign w:val="center"/>
            <w:hideMark/>
          </w:tcPr>
          <w:p w14:paraId="5CF2D0B1" w14:textId="77777777" w:rsidR="00B921B9" w:rsidRPr="00B921B9" w:rsidRDefault="00B921B9" w:rsidP="00B921B9">
            <w:pPr>
              <w:jc w:val="right"/>
              <w:rPr>
                <w:rFonts w:ascii="Calibri" w:hAnsi="Calibri"/>
                <w:color w:val="000000"/>
                <w:lang w:eastAsia="en-GB"/>
              </w:rPr>
            </w:pPr>
            <w:r w:rsidRPr="00B921B9">
              <w:rPr>
                <w:rFonts w:ascii="Calibri" w:hAnsi="Calibri"/>
                <w:color w:val="000000"/>
                <w:lang w:eastAsia="en-GB"/>
              </w:rPr>
              <w:t>£’000</w:t>
            </w:r>
          </w:p>
        </w:tc>
      </w:tr>
      <w:tr w:rsidR="00B921B9" w:rsidRPr="00B921B9" w14:paraId="479DD89B"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hideMark/>
          </w:tcPr>
          <w:p w14:paraId="0B4D12C7" w14:textId="7F52852C" w:rsidR="00B921B9" w:rsidRPr="00B921B9" w:rsidRDefault="00B921B9" w:rsidP="00964C34">
            <w:pPr>
              <w:jc w:val="right"/>
              <w:rPr>
                <w:rFonts w:ascii="Calibri" w:hAnsi="Calibri"/>
                <w:color w:val="000000"/>
                <w:lang w:eastAsia="en-GB"/>
              </w:rPr>
            </w:pPr>
            <w:r w:rsidRPr="00B921B9">
              <w:rPr>
                <w:rFonts w:ascii="Calibri" w:hAnsi="Calibri"/>
                <w:color w:val="000000"/>
                <w:lang w:eastAsia="en-GB"/>
              </w:rPr>
              <w:t>-</w:t>
            </w:r>
            <w:r w:rsidR="0025199A">
              <w:rPr>
                <w:rFonts w:ascii="Calibri" w:hAnsi="Calibri"/>
                <w:color w:val="000000"/>
                <w:lang w:eastAsia="en-GB"/>
              </w:rPr>
              <w:t>1,213</w:t>
            </w:r>
          </w:p>
        </w:tc>
        <w:tc>
          <w:tcPr>
            <w:tcW w:w="5840" w:type="dxa"/>
            <w:tcBorders>
              <w:top w:val="nil"/>
              <w:left w:val="nil"/>
              <w:bottom w:val="single" w:sz="4" w:space="0" w:color="FFFFFF"/>
              <w:right w:val="single" w:sz="4" w:space="0" w:color="FFFFFF"/>
            </w:tcBorders>
            <w:shd w:val="clear" w:color="000000" w:fill="DCE6F1"/>
            <w:vAlign w:val="center"/>
            <w:hideMark/>
          </w:tcPr>
          <w:p w14:paraId="26D60415" w14:textId="77777777" w:rsidR="00B921B9" w:rsidRPr="00B921B9" w:rsidRDefault="00B921B9" w:rsidP="00B921B9">
            <w:pPr>
              <w:rPr>
                <w:rFonts w:ascii="Calibri" w:hAnsi="Calibri"/>
                <w:color w:val="000000"/>
                <w:lang w:eastAsia="en-GB"/>
              </w:rPr>
            </w:pPr>
            <w:r w:rsidRPr="00B921B9">
              <w:rPr>
                <w:rFonts w:ascii="Calibri" w:hAnsi="Calibri"/>
                <w:color w:val="000000"/>
                <w:lang w:eastAsia="en-GB"/>
              </w:rPr>
              <w:t xml:space="preserve">Repayments of </w:t>
            </w:r>
            <w:proofErr w:type="gramStart"/>
            <w:r w:rsidRPr="00B921B9">
              <w:rPr>
                <w:rFonts w:ascii="Calibri" w:hAnsi="Calibri"/>
                <w:color w:val="000000"/>
                <w:lang w:eastAsia="en-GB"/>
              </w:rPr>
              <w:t>short and long term</w:t>
            </w:r>
            <w:proofErr w:type="gramEnd"/>
            <w:r w:rsidRPr="00B921B9">
              <w:rPr>
                <w:rFonts w:ascii="Calibri" w:hAnsi="Calibri"/>
                <w:color w:val="000000"/>
                <w:lang w:eastAsia="en-GB"/>
              </w:rPr>
              <w:t xml:space="preserve"> borrowing</w:t>
            </w:r>
          </w:p>
        </w:tc>
        <w:tc>
          <w:tcPr>
            <w:tcW w:w="1720" w:type="dxa"/>
            <w:tcBorders>
              <w:top w:val="nil"/>
              <w:left w:val="nil"/>
              <w:bottom w:val="single" w:sz="4" w:space="0" w:color="FFFFFF"/>
              <w:right w:val="single" w:sz="4" w:space="0" w:color="FFFFFF"/>
            </w:tcBorders>
            <w:shd w:val="clear" w:color="000000" w:fill="DCE6F1"/>
            <w:noWrap/>
            <w:vAlign w:val="center"/>
          </w:tcPr>
          <w:p w14:paraId="7B675E69" w14:textId="70237A16" w:rsidR="00B921B9" w:rsidRPr="00B921B9" w:rsidRDefault="00E0306A" w:rsidP="00B921B9">
            <w:pPr>
              <w:jc w:val="right"/>
              <w:rPr>
                <w:rFonts w:ascii="Calibri" w:hAnsi="Calibri"/>
                <w:color w:val="000000"/>
                <w:lang w:eastAsia="en-GB"/>
              </w:rPr>
            </w:pPr>
            <w:r>
              <w:rPr>
                <w:rFonts w:ascii="Calibri" w:hAnsi="Calibri"/>
                <w:color w:val="000000"/>
                <w:lang w:eastAsia="en-GB"/>
              </w:rPr>
              <w:t>-11</w:t>
            </w:r>
          </w:p>
        </w:tc>
      </w:tr>
      <w:tr w:rsidR="002870F5" w:rsidRPr="00B921B9" w14:paraId="138ADA98"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DCE6F1"/>
            <w:noWrap/>
            <w:vAlign w:val="center"/>
          </w:tcPr>
          <w:p w14:paraId="0D8B92E5" w14:textId="4559B95A" w:rsidR="002870F5" w:rsidRPr="00B921B9" w:rsidRDefault="0025199A" w:rsidP="00B52FF6">
            <w:pPr>
              <w:jc w:val="right"/>
              <w:rPr>
                <w:rFonts w:ascii="Calibri" w:hAnsi="Calibri"/>
                <w:color w:val="000000"/>
                <w:lang w:eastAsia="en-GB"/>
              </w:rPr>
            </w:pPr>
            <w:r>
              <w:rPr>
                <w:rFonts w:ascii="Calibri" w:hAnsi="Calibri"/>
                <w:color w:val="000000"/>
                <w:lang w:eastAsia="en-GB"/>
              </w:rPr>
              <w:t>360</w:t>
            </w:r>
          </w:p>
        </w:tc>
        <w:tc>
          <w:tcPr>
            <w:tcW w:w="5840" w:type="dxa"/>
            <w:tcBorders>
              <w:top w:val="nil"/>
              <w:left w:val="nil"/>
              <w:bottom w:val="single" w:sz="4" w:space="0" w:color="FFFFFF"/>
              <w:right w:val="single" w:sz="4" w:space="0" w:color="FFFFFF"/>
            </w:tcBorders>
            <w:shd w:val="clear" w:color="000000" w:fill="DCE6F1"/>
            <w:vAlign w:val="center"/>
          </w:tcPr>
          <w:p w14:paraId="3E8F13D6" w14:textId="77777777" w:rsidR="002870F5" w:rsidRPr="00B921B9" w:rsidRDefault="002870F5" w:rsidP="00B921B9">
            <w:pPr>
              <w:rPr>
                <w:rFonts w:ascii="Calibri" w:hAnsi="Calibri"/>
                <w:color w:val="000000"/>
                <w:lang w:eastAsia="en-GB"/>
              </w:rPr>
            </w:pPr>
            <w:r>
              <w:rPr>
                <w:rFonts w:ascii="Calibri" w:hAnsi="Calibri"/>
                <w:color w:val="000000"/>
                <w:lang w:eastAsia="en-GB"/>
              </w:rPr>
              <w:t>Other payments for financing activities</w:t>
            </w:r>
          </w:p>
        </w:tc>
        <w:tc>
          <w:tcPr>
            <w:tcW w:w="1720" w:type="dxa"/>
            <w:tcBorders>
              <w:top w:val="nil"/>
              <w:left w:val="nil"/>
              <w:bottom w:val="single" w:sz="4" w:space="0" w:color="FFFFFF"/>
              <w:right w:val="single" w:sz="4" w:space="0" w:color="FFFFFF"/>
            </w:tcBorders>
            <w:shd w:val="clear" w:color="000000" w:fill="DCE6F1"/>
            <w:noWrap/>
            <w:vAlign w:val="center"/>
          </w:tcPr>
          <w:p w14:paraId="11F8DEDF" w14:textId="6F567B2B" w:rsidR="002870F5" w:rsidRDefault="00E0306A" w:rsidP="00B921B9">
            <w:pPr>
              <w:jc w:val="right"/>
              <w:rPr>
                <w:rFonts w:ascii="Calibri" w:hAnsi="Calibri"/>
                <w:color w:val="000000"/>
                <w:lang w:eastAsia="en-GB"/>
              </w:rPr>
            </w:pPr>
            <w:r>
              <w:rPr>
                <w:rFonts w:ascii="Calibri" w:hAnsi="Calibri"/>
                <w:color w:val="000000"/>
                <w:lang w:eastAsia="en-GB"/>
              </w:rPr>
              <w:t>-141</w:t>
            </w:r>
          </w:p>
        </w:tc>
      </w:tr>
      <w:tr w:rsidR="00B921B9" w:rsidRPr="00B921B9" w14:paraId="1325319B" w14:textId="77777777" w:rsidTr="000C68FB">
        <w:trPr>
          <w:trHeight w:val="300"/>
        </w:trPr>
        <w:tc>
          <w:tcPr>
            <w:tcW w:w="1680" w:type="dxa"/>
            <w:tcBorders>
              <w:top w:val="nil"/>
              <w:left w:val="single" w:sz="4" w:space="0" w:color="FFFFFF"/>
              <w:bottom w:val="single" w:sz="4" w:space="0" w:color="FFFFFF"/>
              <w:right w:val="single" w:sz="4" w:space="0" w:color="FFFFFF"/>
            </w:tcBorders>
            <w:shd w:val="clear" w:color="000000" w:fill="B8CCE4"/>
            <w:noWrap/>
            <w:vAlign w:val="center"/>
            <w:hideMark/>
          </w:tcPr>
          <w:p w14:paraId="50F0BAEE" w14:textId="1FDF3BE0" w:rsidR="00B921B9" w:rsidRPr="00B921B9" w:rsidRDefault="00BA7B40" w:rsidP="000C68FB">
            <w:pPr>
              <w:jc w:val="right"/>
              <w:rPr>
                <w:rFonts w:ascii="Calibri" w:hAnsi="Calibri"/>
                <w:b/>
                <w:bCs/>
                <w:color w:val="000000"/>
                <w:lang w:eastAsia="en-GB"/>
              </w:rPr>
            </w:pPr>
            <w:r>
              <w:rPr>
                <w:rFonts w:ascii="Calibri" w:hAnsi="Calibri"/>
                <w:b/>
                <w:bCs/>
                <w:color w:val="000000"/>
                <w:lang w:eastAsia="en-GB"/>
              </w:rPr>
              <w:t>-</w:t>
            </w:r>
            <w:r w:rsidR="0025199A">
              <w:rPr>
                <w:rFonts w:ascii="Calibri" w:hAnsi="Calibri"/>
                <w:b/>
                <w:bCs/>
                <w:color w:val="000000"/>
                <w:lang w:eastAsia="en-GB"/>
              </w:rPr>
              <w:t>853</w:t>
            </w:r>
          </w:p>
        </w:tc>
        <w:tc>
          <w:tcPr>
            <w:tcW w:w="5840" w:type="dxa"/>
            <w:tcBorders>
              <w:top w:val="nil"/>
              <w:left w:val="nil"/>
              <w:bottom w:val="single" w:sz="4" w:space="0" w:color="FFFFFF"/>
              <w:right w:val="single" w:sz="4" w:space="0" w:color="FFFFFF"/>
            </w:tcBorders>
            <w:shd w:val="clear" w:color="000000" w:fill="B8CCE4"/>
            <w:noWrap/>
            <w:vAlign w:val="center"/>
            <w:hideMark/>
          </w:tcPr>
          <w:p w14:paraId="3E4021C4" w14:textId="77777777" w:rsidR="00B921B9" w:rsidRPr="00B921B9" w:rsidRDefault="00B921B9" w:rsidP="00B921B9">
            <w:pPr>
              <w:rPr>
                <w:rFonts w:ascii="Calibri" w:hAnsi="Calibri"/>
                <w:b/>
                <w:bCs/>
                <w:color w:val="000000"/>
                <w:lang w:eastAsia="en-GB"/>
              </w:rPr>
            </w:pPr>
            <w:r w:rsidRPr="00B921B9">
              <w:rPr>
                <w:rFonts w:ascii="Calibri" w:hAnsi="Calibri"/>
                <w:b/>
                <w:bCs/>
                <w:color w:val="000000"/>
                <w:lang w:eastAsia="en-GB"/>
              </w:rPr>
              <w:t>Net cash-flows from financing activities</w:t>
            </w:r>
          </w:p>
        </w:tc>
        <w:tc>
          <w:tcPr>
            <w:tcW w:w="1720" w:type="dxa"/>
            <w:tcBorders>
              <w:top w:val="nil"/>
              <w:left w:val="nil"/>
              <w:bottom w:val="single" w:sz="4" w:space="0" w:color="FFFFFF"/>
              <w:right w:val="single" w:sz="4" w:space="0" w:color="FFFFFF"/>
            </w:tcBorders>
            <w:shd w:val="clear" w:color="000000" w:fill="B8CCE4"/>
            <w:noWrap/>
            <w:vAlign w:val="center"/>
          </w:tcPr>
          <w:p w14:paraId="3D5C25DC" w14:textId="16283533" w:rsidR="00B921B9" w:rsidRPr="00B921B9" w:rsidRDefault="00E0306A" w:rsidP="00B921B9">
            <w:pPr>
              <w:jc w:val="right"/>
              <w:rPr>
                <w:rFonts w:ascii="Calibri" w:hAnsi="Calibri"/>
                <w:b/>
                <w:bCs/>
                <w:color w:val="000000"/>
                <w:lang w:eastAsia="en-GB"/>
              </w:rPr>
            </w:pPr>
            <w:r>
              <w:rPr>
                <w:rFonts w:ascii="Calibri" w:hAnsi="Calibri"/>
                <w:b/>
                <w:bCs/>
                <w:color w:val="000000"/>
                <w:lang w:eastAsia="en-GB"/>
              </w:rPr>
              <w:t>-152</w:t>
            </w:r>
          </w:p>
        </w:tc>
      </w:tr>
    </w:tbl>
    <w:p w14:paraId="14ECC221" w14:textId="77777777" w:rsidR="00B921B9" w:rsidRDefault="00B921B9" w:rsidP="004B7E57">
      <w:pPr>
        <w:pStyle w:val="Title"/>
        <w:rPr>
          <w:rFonts w:ascii="Arial" w:hAnsi="Arial" w:cs="Arial"/>
        </w:rPr>
      </w:pPr>
    </w:p>
    <w:p w14:paraId="59E03604" w14:textId="59326ED7" w:rsidR="001715ED" w:rsidRDefault="00F76E8F" w:rsidP="007C6C6F">
      <w:pPr>
        <w:pStyle w:val="Heading2"/>
      </w:pPr>
      <w:r>
        <w:t>3</w:t>
      </w:r>
      <w:r w:rsidR="00D3279C">
        <w:t>8</w:t>
      </w:r>
      <w:r w:rsidR="001715ED">
        <w:tab/>
        <w:t xml:space="preserve">Reconciliation of Liabilities Arising from Financing Activities </w:t>
      </w:r>
    </w:p>
    <w:p w14:paraId="098522FB" w14:textId="77777777" w:rsidR="001715ED" w:rsidRDefault="001715ED" w:rsidP="00B921B9">
      <w:pPr>
        <w:pStyle w:val="Title"/>
        <w:rPr>
          <w:rFonts w:cs="Arial"/>
          <w:szCs w:val="28"/>
        </w:rPr>
      </w:pPr>
    </w:p>
    <w:tbl>
      <w:tblPr>
        <w:tblW w:w="10331" w:type="dxa"/>
        <w:tblInd w:w="93" w:type="dxa"/>
        <w:tblLook w:val="04A0" w:firstRow="1" w:lastRow="0" w:firstColumn="1" w:lastColumn="0" w:noHBand="0" w:noVBand="1"/>
        <w:tblCaption w:val="Reconciliation of Liabilities arising from financing activities"/>
        <w:tblDescription w:val="Reconciliation of Liabilities arising from financing activities 2022-2023"/>
      </w:tblPr>
      <w:tblGrid>
        <w:gridCol w:w="3984"/>
        <w:gridCol w:w="1236"/>
        <w:gridCol w:w="1174"/>
        <w:gridCol w:w="1276"/>
        <w:gridCol w:w="12"/>
        <w:gridCol w:w="1289"/>
        <w:gridCol w:w="1360"/>
      </w:tblGrid>
      <w:tr w:rsidR="001679F1" w:rsidRPr="00BE1531" w14:paraId="6EF6CD05" w14:textId="77777777" w:rsidTr="001679F1">
        <w:trPr>
          <w:cantSplit/>
          <w:trHeight w:val="600"/>
          <w:tblHeader/>
        </w:trPr>
        <w:tc>
          <w:tcPr>
            <w:tcW w:w="3984" w:type="dxa"/>
            <w:tcBorders>
              <w:top w:val="single" w:sz="4" w:space="0" w:color="FFFFFF"/>
              <w:left w:val="single" w:sz="4" w:space="0" w:color="FFFFFF"/>
              <w:bottom w:val="nil"/>
              <w:right w:val="single" w:sz="4" w:space="0" w:color="FFFFFF"/>
            </w:tcBorders>
            <w:shd w:val="clear" w:color="auto" w:fill="95B3D7" w:themeFill="accent1" w:themeFillTint="99"/>
            <w:noWrap/>
            <w:vAlign w:val="bottom"/>
            <w:hideMark/>
          </w:tcPr>
          <w:p w14:paraId="539B9D65" w14:textId="77777777" w:rsidR="001679F1" w:rsidRPr="00835831" w:rsidRDefault="001679F1" w:rsidP="00BE1531">
            <w:pPr>
              <w:rPr>
                <w:rFonts w:ascii="Calibri" w:hAnsi="Calibri"/>
                <w:color w:val="000000"/>
                <w:lang w:eastAsia="en-GB"/>
              </w:rPr>
            </w:pPr>
            <w:r w:rsidRPr="00835831">
              <w:rPr>
                <w:rFonts w:ascii="Calibri" w:hAnsi="Calibri"/>
                <w:color w:val="000000"/>
                <w:lang w:eastAsia="en-GB"/>
              </w:rPr>
              <w:t> </w:t>
            </w:r>
          </w:p>
        </w:tc>
        <w:tc>
          <w:tcPr>
            <w:tcW w:w="1236" w:type="dxa"/>
            <w:tcBorders>
              <w:top w:val="single" w:sz="4" w:space="0" w:color="FFFFFF"/>
              <w:left w:val="nil"/>
              <w:bottom w:val="single" w:sz="4" w:space="0" w:color="FFFFFF"/>
              <w:right w:val="single" w:sz="4" w:space="0" w:color="FFFFFF"/>
            </w:tcBorders>
            <w:shd w:val="clear" w:color="auto" w:fill="95B3D7" w:themeFill="accent1" w:themeFillTint="99"/>
            <w:noWrap/>
            <w:vAlign w:val="center"/>
            <w:hideMark/>
          </w:tcPr>
          <w:p w14:paraId="13F21DF6" w14:textId="3745DE28" w:rsidR="001679F1" w:rsidRPr="00835831" w:rsidRDefault="001679F1" w:rsidP="00B52FF6">
            <w:pPr>
              <w:jc w:val="right"/>
              <w:rPr>
                <w:rFonts w:ascii="Calibri" w:hAnsi="Calibri"/>
                <w:color w:val="000000"/>
                <w:lang w:eastAsia="en-GB"/>
              </w:rPr>
            </w:pPr>
            <w:r w:rsidRPr="00835831">
              <w:rPr>
                <w:rFonts w:ascii="Calibri" w:hAnsi="Calibri"/>
                <w:color w:val="000000"/>
                <w:lang w:eastAsia="en-GB"/>
              </w:rPr>
              <w:t>1 April 20</w:t>
            </w:r>
            <w:r>
              <w:rPr>
                <w:rFonts w:ascii="Calibri" w:hAnsi="Calibri"/>
                <w:color w:val="000000"/>
                <w:lang w:eastAsia="en-GB"/>
              </w:rPr>
              <w:t>2</w:t>
            </w:r>
            <w:r w:rsidR="0025199A">
              <w:rPr>
                <w:rFonts w:ascii="Calibri" w:hAnsi="Calibri"/>
                <w:color w:val="000000"/>
                <w:lang w:eastAsia="en-GB"/>
              </w:rPr>
              <w:t>2</w:t>
            </w:r>
          </w:p>
        </w:tc>
        <w:tc>
          <w:tcPr>
            <w:tcW w:w="1174" w:type="dxa"/>
            <w:tcBorders>
              <w:top w:val="single" w:sz="4" w:space="0" w:color="FFFFFF"/>
              <w:left w:val="nil"/>
              <w:bottom w:val="single" w:sz="4" w:space="0" w:color="FFFFFF"/>
              <w:right w:val="single" w:sz="4" w:space="0" w:color="FFFFFF" w:themeColor="background1"/>
            </w:tcBorders>
            <w:shd w:val="clear" w:color="auto" w:fill="95B3D7" w:themeFill="accent1" w:themeFillTint="99"/>
            <w:vAlign w:val="bottom"/>
            <w:hideMark/>
          </w:tcPr>
          <w:p w14:paraId="4A7419EB" w14:textId="77777777" w:rsidR="001679F1" w:rsidRPr="00835831" w:rsidRDefault="001679F1" w:rsidP="00BE1531">
            <w:pPr>
              <w:jc w:val="right"/>
              <w:rPr>
                <w:rFonts w:ascii="Calibri" w:hAnsi="Calibri"/>
                <w:color w:val="000000"/>
                <w:lang w:eastAsia="en-GB"/>
              </w:rPr>
            </w:pPr>
            <w:r w:rsidRPr="00835831">
              <w:rPr>
                <w:rFonts w:ascii="Calibri" w:hAnsi="Calibri"/>
                <w:color w:val="000000"/>
                <w:lang w:eastAsia="en-GB"/>
              </w:rPr>
              <w:t>Financing cash flows</w:t>
            </w:r>
          </w:p>
        </w:tc>
        <w:tc>
          <w:tcPr>
            <w:tcW w:w="1288" w:type="dxa"/>
            <w:gridSpan w:val="2"/>
            <w:tcBorders>
              <w:top w:val="single" w:sz="4" w:space="0" w:color="FFFFFF" w:themeColor="background1"/>
              <w:left w:val="single" w:sz="4" w:space="0" w:color="FFFFFF" w:themeColor="background1"/>
              <w:bottom w:val="single" w:sz="4" w:space="0" w:color="FFFFFF" w:themeColor="background1"/>
            </w:tcBorders>
            <w:shd w:val="clear" w:color="auto" w:fill="95B3D7" w:themeFill="accent1" w:themeFillTint="99"/>
            <w:noWrap/>
            <w:vAlign w:val="center"/>
            <w:hideMark/>
          </w:tcPr>
          <w:p w14:paraId="4F899C54" w14:textId="4BE367E6" w:rsidR="001679F1" w:rsidRPr="00835831" w:rsidRDefault="001679F1" w:rsidP="001679F1">
            <w:pPr>
              <w:jc w:val="right"/>
              <w:rPr>
                <w:rFonts w:ascii="Calibri" w:hAnsi="Calibri"/>
                <w:color w:val="000000"/>
                <w:lang w:eastAsia="en-GB"/>
              </w:rPr>
            </w:pPr>
            <w:r>
              <w:rPr>
                <w:rFonts w:ascii="Calibri" w:hAnsi="Calibri"/>
                <w:color w:val="000000"/>
                <w:lang w:eastAsia="en-GB"/>
              </w:rPr>
              <w:t>.</w:t>
            </w:r>
          </w:p>
        </w:tc>
        <w:tc>
          <w:tcPr>
            <w:tcW w:w="1289" w:type="dxa"/>
            <w:tcBorders>
              <w:top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63132502" w14:textId="681D1EA3" w:rsidR="001679F1" w:rsidRPr="00835831" w:rsidRDefault="001679F1" w:rsidP="00BE1531">
            <w:pPr>
              <w:jc w:val="center"/>
              <w:rPr>
                <w:rFonts w:ascii="Calibri" w:hAnsi="Calibri"/>
                <w:color w:val="000000"/>
                <w:lang w:eastAsia="en-GB"/>
              </w:rPr>
            </w:pPr>
            <w:r>
              <w:rPr>
                <w:rFonts w:ascii="Calibri" w:hAnsi="Calibri"/>
                <w:color w:val="000000"/>
                <w:lang w:eastAsia="en-GB"/>
              </w:rPr>
              <w:t>Non-Cash changes</w:t>
            </w:r>
          </w:p>
        </w:tc>
        <w:tc>
          <w:tcPr>
            <w:tcW w:w="1360" w:type="dxa"/>
            <w:tcBorders>
              <w:top w:val="single" w:sz="4" w:space="0" w:color="FFFFFF"/>
              <w:left w:val="single" w:sz="4" w:space="0" w:color="FFFFFF" w:themeColor="background1"/>
              <w:bottom w:val="single" w:sz="4" w:space="0" w:color="FFFFFF"/>
              <w:right w:val="single" w:sz="4" w:space="0" w:color="FFFFFF"/>
            </w:tcBorders>
            <w:shd w:val="clear" w:color="auto" w:fill="95B3D7" w:themeFill="accent1" w:themeFillTint="99"/>
            <w:noWrap/>
            <w:vAlign w:val="center"/>
            <w:hideMark/>
          </w:tcPr>
          <w:p w14:paraId="707FB95B" w14:textId="5ABC090F" w:rsidR="001679F1" w:rsidRPr="00835831" w:rsidRDefault="001679F1" w:rsidP="00B52FF6">
            <w:pPr>
              <w:jc w:val="right"/>
              <w:rPr>
                <w:rFonts w:ascii="Calibri" w:hAnsi="Calibri"/>
                <w:color w:val="000000"/>
                <w:lang w:eastAsia="en-GB"/>
              </w:rPr>
            </w:pPr>
            <w:r w:rsidRPr="00835831">
              <w:rPr>
                <w:rFonts w:ascii="Calibri" w:hAnsi="Calibri"/>
                <w:color w:val="000000"/>
                <w:lang w:eastAsia="en-GB"/>
              </w:rPr>
              <w:t>31 March 20</w:t>
            </w:r>
            <w:r>
              <w:rPr>
                <w:rFonts w:ascii="Calibri" w:hAnsi="Calibri"/>
                <w:color w:val="000000"/>
                <w:lang w:eastAsia="en-GB"/>
              </w:rPr>
              <w:t>2</w:t>
            </w:r>
            <w:r w:rsidR="0025199A">
              <w:rPr>
                <w:rFonts w:ascii="Calibri" w:hAnsi="Calibri"/>
                <w:color w:val="000000"/>
                <w:lang w:eastAsia="en-GB"/>
              </w:rPr>
              <w:t>3</w:t>
            </w:r>
          </w:p>
        </w:tc>
      </w:tr>
      <w:tr w:rsidR="00BE1531" w:rsidRPr="00BE1531" w14:paraId="45B84892" w14:textId="77777777" w:rsidTr="001679F1">
        <w:trPr>
          <w:trHeight w:val="600"/>
        </w:trPr>
        <w:tc>
          <w:tcPr>
            <w:tcW w:w="3984" w:type="dxa"/>
            <w:tcBorders>
              <w:top w:val="nil"/>
              <w:left w:val="single" w:sz="4" w:space="0" w:color="FFFFFF"/>
              <w:bottom w:val="nil"/>
              <w:right w:val="single" w:sz="4" w:space="0" w:color="FFFFFF"/>
            </w:tcBorders>
            <w:shd w:val="clear" w:color="auto" w:fill="95B3D7" w:themeFill="accent1" w:themeFillTint="99"/>
            <w:noWrap/>
            <w:vAlign w:val="bottom"/>
            <w:hideMark/>
          </w:tcPr>
          <w:p w14:paraId="0D24277D" w14:textId="77777777" w:rsidR="00BE1531" w:rsidRPr="00835831" w:rsidRDefault="00BE1531" w:rsidP="00BE1531">
            <w:pPr>
              <w:rPr>
                <w:rFonts w:ascii="Calibri" w:hAnsi="Calibri"/>
                <w:color w:val="000000"/>
                <w:lang w:eastAsia="en-GB"/>
              </w:rPr>
            </w:pPr>
            <w:r w:rsidRPr="00835831">
              <w:rPr>
                <w:rFonts w:ascii="Calibri" w:hAnsi="Calibri"/>
                <w:color w:val="000000"/>
                <w:lang w:eastAsia="en-GB"/>
              </w:rPr>
              <w:t> </w:t>
            </w:r>
          </w:p>
        </w:tc>
        <w:tc>
          <w:tcPr>
            <w:tcW w:w="1236" w:type="dxa"/>
            <w:tcBorders>
              <w:top w:val="nil"/>
              <w:left w:val="nil"/>
              <w:bottom w:val="single" w:sz="4" w:space="0" w:color="FFFFFF"/>
              <w:right w:val="single" w:sz="4" w:space="0" w:color="FFFFFF"/>
            </w:tcBorders>
            <w:shd w:val="clear" w:color="auto" w:fill="95B3D7" w:themeFill="accent1" w:themeFillTint="99"/>
            <w:noWrap/>
            <w:vAlign w:val="bottom"/>
            <w:hideMark/>
          </w:tcPr>
          <w:p w14:paraId="3F0BA4D3"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 </w:t>
            </w:r>
          </w:p>
        </w:tc>
        <w:tc>
          <w:tcPr>
            <w:tcW w:w="1174" w:type="dxa"/>
            <w:tcBorders>
              <w:top w:val="nil"/>
              <w:left w:val="nil"/>
              <w:bottom w:val="single" w:sz="4" w:space="0" w:color="FFFFFF"/>
              <w:right w:val="single" w:sz="4" w:space="0" w:color="FFFFFF"/>
            </w:tcBorders>
            <w:shd w:val="clear" w:color="auto" w:fill="95B3D7" w:themeFill="accent1" w:themeFillTint="99"/>
            <w:noWrap/>
            <w:vAlign w:val="bottom"/>
            <w:hideMark/>
          </w:tcPr>
          <w:p w14:paraId="3CBF1841"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 </w:t>
            </w:r>
          </w:p>
        </w:tc>
        <w:tc>
          <w:tcPr>
            <w:tcW w:w="1276" w:type="dxa"/>
            <w:tcBorders>
              <w:top w:val="single" w:sz="4" w:space="0" w:color="FFFFFF" w:themeColor="background1"/>
              <w:left w:val="nil"/>
              <w:bottom w:val="single" w:sz="4" w:space="0" w:color="FFFFFF"/>
              <w:right w:val="single" w:sz="4" w:space="0" w:color="FFFFFF"/>
            </w:tcBorders>
            <w:shd w:val="clear" w:color="auto" w:fill="95B3D7" w:themeFill="accent1" w:themeFillTint="99"/>
            <w:noWrap/>
            <w:vAlign w:val="center"/>
            <w:hideMark/>
          </w:tcPr>
          <w:p w14:paraId="0A125B25"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Acquisition</w:t>
            </w:r>
          </w:p>
        </w:tc>
        <w:tc>
          <w:tcPr>
            <w:tcW w:w="1301" w:type="dxa"/>
            <w:gridSpan w:val="2"/>
            <w:tcBorders>
              <w:top w:val="single" w:sz="4" w:space="0" w:color="FFFFFF" w:themeColor="background1"/>
              <w:left w:val="nil"/>
              <w:bottom w:val="nil"/>
              <w:right w:val="nil"/>
            </w:tcBorders>
            <w:shd w:val="clear" w:color="auto" w:fill="95B3D7" w:themeFill="accent1" w:themeFillTint="99"/>
            <w:vAlign w:val="bottom"/>
            <w:hideMark/>
          </w:tcPr>
          <w:p w14:paraId="7D3F52A2"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Other non-cash changes</w:t>
            </w:r>
          </w:p>
        </w:tc>
        <w:tc>
          <w:tcPr>
            <w:tcW w:w="1360" w:type="dxa"/>
            <w:tcBorders>
              <w:top w:val="nil"/>
              <w:left w:val="single" w:sz="4" w:space="0" w:color="FFFFFF"/>
              <w:bottom w:val="single" w:sz="4" w:space="0" w:color="FFFFFF"/>
              <w:right w:val="single" w:sz="4" w:space="0" w:color="FFFFFF"/>
            </w:tcBorders>
            <w:shd w:val="clear" w:color="auto" w:fill="95B3D7" w:themeFill="accent1" w:themeFillTint="99"/>
            <w:noWrap/>
            <w:vAlign w:val="bottom"/>
            <w:hideMark/>
          </w:tcPr>
          <w:p w14:paraId="015219E6"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 </w:t>
            </w:r>
          </w:p>
        </w:tc>
      </w:tr>
      <w:tr w:rsidR="00BE1531" w:rsidRPr="00BE1531" w14:paraId="6BE8E3FB" w14:textId="77777777" w:rsidTr="001679F1">
        <w:trPr>
          <w:trHeight w:val="300"/>
        </w:trPr>
        <w:tc>
          <w:tcPr>
            <w:tcW w:w="3984" w:type="dxa"/>
            <w:tcBorders>
              <w:top w:val="nil"/>
              <w:left w:val="single" w:sz="4" w:space="0" w:color="FFFFFF"/>
              <w:bottom w:val="single" w:sz="4" w:space="0" w:color="FFFFFF"/>
              <w:right w:val="single" w:sz="4" w:space="0" w:color="FFFFFF"/>
            </w:tcBorders>
            <w:shd w:val="clear" w:color="auto" w:fill="95B3D7" w:themeFill="accent1" w:themeFillTint="99"/>
            <w:noWrap/>
            <w:vAlign w:val="bottom"/>
            <w:hideMark/>
          </w:tcPr>
          <w:p w14:paraId="49C4F5D6" w14:textId="77777777" w:rsidR="00BE1531" w:rsidRPr="00835831" w:rsidRDefault="00BE1531" w:rsidP="00BE1531">
            <w:pPr>
              <w:rPr>
                <w:rFonts w:ascii="Calibri" w:hAnsi="Calibri"/>
                <w:color w:val="000000"/>
                <w:lang w:eastAsia="en-GB"/>
              </w:rPr>
            </w:pPr>
            <w:r w:rsidRPr="00835831">
              <w:rPr>
                <w:rFonts w:ascii="Calibri" w:hAnsi="Calibri"/>
                <w:color w:val="000000"/>
                <w:lang w:eastAsia="en-GB"/>
              </w:rPr>
              <w:t> </w:t>
            </w:r>
          </w:p>
        </w:tc>
        <w:tc>
          <w:tcPr>
            <w:tcW w:w="1236" w:type="dxa"/>
            <w:tcBorders>
              <w:top w:val="nil"/>
              <w:left w:val="nil"/>
              <w:bottom w:val="single" w:sz="4" w:space="0" w:color="FFFFFF"/>
              <w:right w:val="single" w:sz="4" w:space="0" w:color="FFFFFF"/>
            </w:tcBorders>
            <w:shd w:val="clear" w:color="auto" w:fill="95B3D7" w:themeFill="accent1" w:themeFillTint="99"/>
            <w:noWrap/>
            <w:vAlign w:val="bottom"/>
            <w:hideMark/>
          </w:tcPr>
          <w:p w14:paraId="2417EE28"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£'000</w:t>
            </w:r>
          </w:p>
        </w:tc>
        <w:tc>
          <w:tcPr>
            <w:tcW w:w="1174" w:type="dxa"/>
            <w:tcBorders>
              <w:top w:val="nil"/>
              <w:left w:val="nil"/>
              <w:bottom w:val="single" w:sz="4" w:space="0" w:color="FFFFFF"/>
              <w:right w:val="single" w:sz="4" w:space="0" w:color="FFFFFF"/>
            </w:tcBorders>
            <w:shd w:val="clear" w:color="auto" w:fill="95B3D7" w:themeFill="accent1" w:themeFillTint="99"/>
            <w:noWrap/>
            <w:vAlign w:val="bottom"/>
            <w:hideMark/>
          </w:tcPr>
          <w:p w14:paraId="45183F16"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£'000</w:t>
            </w:r>
          </w:p>
        </w:tc>
        <w:tc>
          <w:tcPr>
            <w:tcW w:w="1276" w:type="dxa"/>
            <w:tcBorders>
              <w:top w:val="nil"/>
              <w:left w:val="nil"/>
              <w:bottom w:val="single" w:sz="4" w:space="0" w:color="FFFFFF"/>
              <w:right w:val="single" w:sz="4" w:space="0" w:color="FFFFFF"/>
            </w:tcBorders>
            <w:shd w:val="clear" w:color="auto" w:fill="95B3D7" w:themeFill="accent1" w:themeFillTint="99"/>
            <w:noWrap/>
            <w:vAlign w:val="bottom"/>
            <w:hideMark/>
          </w:tcPr>
          <w:p w14:paraId="4E38FE91"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£'000</w:t>
            </w:r>
          </w:p>
        </w:tc>
        <w:tc>
          <w:tcPr>
            <w:tcW w:w="1301" w:type="dxa"/>
            <w:gridSpan w:val="2"/>
            <w:tcBorders>
              <w:top w:val="single" w:sz="4" w:space="0" w:color="FFFFFF"/>
              <w:left w:val="nil"/>
              <w:bottom w:val="single" w:sz="4" w:space="0" w:color="FFFFFF"/>
              <w:right w:val="single" w:sz="4" w:space="0" w:color="FFFFFF"/>
            </w:tcBorders>
            <w:shd w:val="clear" w:color="auto" w:fill="95B3D7" w:themeFill="accent1" w:themeFillTint="99"/>
            <w:noWrap/>
            <w:vAlign w:val="bottom"/>
            <w:hideMark/>
          </w:tcPr>
          <w:p w14:paraId="7B8AD6C4"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£'000</w:t>
            </w:r>
          </w:p>
        </w:tc>
        <w:tc>
          <w:tcPr>
            <w:tcW w:w="1360" w:type="dxa"/>
            <w:tcBorders>
              <w:top w:val="nil"/>
              <w:left w:val="nil"/>
              <w:bottom w:val="single" w:sz="4" w:space="0" w:color="FFFFFF"/>
              <w:right w:val="single" w:sz="4" w:space="0" w:color="FFFFFF"/>
            </w:tcBorders>
            <w:shd w:val="clear" w:color="auto" w:fill="95B3D7" w:themeFill="accent1" w:themeFillTint="99"/>
            <w:noWrap/>
            <w:vAlign w:val="bottom"/>
            <w:hideMark/>
          </w:tcPr>
          <w:p w14:paraId="185E1218" w14:textId="77777777" w:rsidR="00BE1531" w:rsidRPr="00835831" w:rsidRDefault="00BE1531" w:rsidP="00BE1531">
            <w:pPr>
              <w:jc w:val="right"/>
              <w:rPr>
                <w:rFonts w:ascii="Calibri" w:hAnsi="Calibri"/>
                <w:color w:val="000000"/>
                <w:lang w:eastAsia="en-GB"/>
              </w:rPr>
            </w:pPr>
            <w:r w:rsidRPr="00835831">
              <w:rPr>
                <w:rFonts w:ascii="Calibri" w:hAnsi="Calibri"/>
                <w:color w:val="000000"/>
                <w:lang w:eastAsia="en-GB"/>
              </w:rPr>
              <w:t>£'000</w:t>
            </w:r>
          </w:p>
        </w:tc>
      </w:tr>
      <w:tr w:rsidR="00BE1531" w:rsidRPr="00BE1531" w14:paraId="6BA4F99A" w14:textId="77777777" w:rsidTr="001679F1">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607EF60A" w14:textId="77777777" w:rsidR="00BE1531" w:rsidRPr="00835831" w:rsidRDefault="00BE1531" w:rsidP="00BE1531">
            <w:pPr>
              <w:rPr>
                <w:rFonts w:ascii="Calibri" w:hAnsi="Calibri"/>
                <w:color w:val="000000"/>
                <w:lang w:eastAsia="en-GB"/>
              </w:rPr>
            </w:pPr>
            <w:r w:rsidRPr="00835831">
              <w:rPr>
                <w:rFonts w:ascii="Calibri" w:hAnsi="Calibri"/>
                <w:color w:val="000000"/>
                <w:lang w:eastAsia="en-GB"/>
              </w:rPr>
              <w:t>Long-term borrowings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tcPr>
          <w:p w14:paraId="01B1C02B" w14:textId="1F8D98C8" w:rsidR="00BE1531" w:rsidRPr="00835831" w:rsidRDefault="00E0306A" w:rsidP="006F23A0">
            <w:pPr>
              <w:jc w:val="right"/>
              <w:rPr>
                <w:rFonts w:ascii="Calibri" w:hAnsi="Calibri"/>
                <w:color w:val="000000"/>
                <w:lang w:eastAsia="en-GB"/>
              </w:rPr>
            </w:pPr>
            <w:r>
              <w:rPr>
                <w:rFonts w:ascii="Calibri" w:hAnsi="Calibri"/>
                <w:color w:val="000000"/>
                <w:lang w:eastAsia="en-GB"/>
              </w:rPr>
              <w:t>0</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tcPr>
          <w:p w14:paraId="1B25DFA1" w14:textId="04BDB77C" w:rsidR="00BE1531" w:rsidRPr="00835831" w:rsidRDefault="00E0306A" w:rsidP="006F23A0">
            <w:pPr>
              <w:jc w:val="right"/>
              <w:rPr>
                <w:rFonts w:ascii="Calibri" w:hAnsi="Calibri"/>
                <w:color w:val="000000"/>
                <w:lang w:eastAsia="en-GB"/>
              </w:rPr>
            </w:pPr>
            <w:r>
              <w:rPr>
                <w:rFonts w:ascii="Calibri" w:hAnsi="Calibri"/>
                <w:color w:val="000000"/>
                <w:lang w:eastAsia="en-GB"/>
              </w:rPr>
              <w:t>0</w:t>
            </w:r>
          </w:p>
        </w:tc>
        <w:tc>
          <w:tcPr>
            <w:tcW w:w="1276" w:type="dxa"/>
            <w:tcBorders>
              <w:top w:val="nil"/>
              <w:left w:val="nil"/>
              <w:bottom w:val="single" w:sz="4" w:space="0" w:color="FFFFFF"/>
              <w:right w:val="single" w:sz="4" w:space="0" w:color="FFFFFF"/>
            </w:tcBorders>
            <w:shd w:val="clear" w:color="auto" w:fill="DBE5F1" w:themeFill="accent1" w:themeFillTint="33"/>
            <w:noWrap/>
            <w:vAlign w:val="bottom"/>
          </w:tcPr>
          <w:p w14:paraId="1700EB33" w14:textId="7D34B1EA"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01" w:type="dxa"/>
            <w:gridSpan w:val="2"/>
            <w:tcBorders>
              <w:top w:val="nil"/>
              <w:left w:val="nil"/>
              <w:bottom w:val="single" w:sz="4" w:space="0" w:color="FFFFFF"/>
              <w:right w:val="single" w:sz="4" w:space="0" w:color="FFFFFF"/>
            </w:tcBorders>
            <w:shd w:val="clear" w:color="auto" w:fill="DBE5F1" w:themeFill="accent1" w:themeFillTint="33"/>
            <w:noWrap/>
            <w:vAlign w:val="bottom"/>
          </w:tcPr>
          <w:p w14:paraId="194BC77D" w14:textId="699A4A1D"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tcPr>
          <w:p w14:paraId="0B30D696" w14:textId="001A1C56" w:rsidR="00BE1531" w:rsidRPr="00835831" w:rsidRDefault="00E0306A" w:rsidP="006F23A0">
            <w:pPr>
              <w:jc w:val="right"/>
              <w:rPr>
                <w:rFonts w:ascii="Calibri" w:hAnsi="Calibri"/>
                <w:color w:val="000000"/>
                <w:lang w:eastAsia="en-GB"/>
              </w:rPr>
            </w:pPr>
            <w:r>
              <w:rPr>
                <w:rFonts w:ascii="Calibri" w:hAnsi="Calibri"/>
                <w:color w:val="000000"/>
                <w:lang w:eastAsia="en-GB"/>
              </w:rPr>
              <w:t>0</w:t>
            </w:r>
          </w:p>
        </w:tc>
      </w:tr>
      <w:tr w:rsidR="00BE1531" w:rsidRPr="00BE1531" w14:paraId="246E00D5" w14:textId="77777777" w:rsidTr="001679F1">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3308833B" w14:textId="77777777" w:rsidR="00BE1531" w:rsidRPr="00835831" w:rsidRDefault="00BE1531" w:rsidP="00BE1531">
            <w:pPr>
              <w:rPr>
                <w:rFonts w:ascii="Calibri" w:hAnsi="Calibri"/>
                <w:color w:val="000000"/>
                <w:lang w:eastAsia="en-GB"/>
              </w:rPr>
            </w:pPr>
            <w:r w:rsidRPr="00835831">
              <w:rPr>
                <w:rFonts w:ascii="Calibri" w:hAnsi="Calibri"/>
                <w:color w:val="000000"/>
                <w:lang w:eastAsia="en-GB"/>
              </w:rPr>
              <w:t>Short-term borrowings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tcPr>
          <w:p w14:paraId="689F32B1" w14:textId="253E88E2" w:rsidR="00BE1531" w:rsidRPr="00835831" w:rsidRDefault="00E0306A" w:rsidP="006F23A0">
            <w:pPr>
              <w:jc w:val="right"/>
              <w:rPr>
                <w:rFonts w:ascii="Calibri" w:hAnsi="Calibri"/>
                <w:color w:val="000000"/>
                <w:lang w:eastAsia="en-GB"/>
              </w:rPr>
            </w:pPr>
            <w:r>
              <w:rPr>
                <w:rFonts w:ascii="Calibri" w:hAnsi="Calibri"/>
                <w:color w:val="000000"/>
                <w:lang w:eastAsia="en-GB"/>
              </w:rPr>
              <w:t>-1,213</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tcPr>
          <w:p w14:paraId="3E689C59" w14:textId="5C9B64F3" w:rsidR="00BE1531" w:rsidRPr="00835831" w:rsidRDefault="00E0306A" w:rsidP="006F23A0">
            <w:pPr>
              <w:jc w:val="right"/>
              <w:rPr>
                <w:rFonts w:ascii="Calibri" w:hAnsi="Calibri"/>
                <w:color w:val="000000"/>
                <w:lang w:eastAsia="en-GB"/>
              </w:rPr>
            </w:pPr>
            <w:r>
              <w:rPr>
                <w:rFonts w:ascii="Calibri" w:hAnsi="Calibri"/>
                <w:color w:val="000000"/>
                <w:lang w:eastAsia="en-GB"/>
              </w:rPr>
              <w:t>1,202</w:t>
            </w:r>
          </w:p>
        </w:tc>
        <w:tc>
          <w:tcPr>
            <w:tcW w:w="1276" w:type="dxa"/>
            <w:tcBorders>
              <w:top w:val="nil"/>
              <w:left w:val="nil"/>
              <w:bottom w:val="single" w:sz="4" w:space="0" w:color="FFFFFF"/>
              <w:right w:val="single" w:sz="4" w:space="0" w:color="FFFFFF"/>
            </w:tcBorders>
            <w:shd w:val="clear" w:color="auto" w:fill="DBE5F1" w:themeFill="accent1" w:themeFillTint="33"/>
            <w:noWrap/>
            <w:vAlign w:val="bottom"/>
          </w:tcPr>
          <w:p w14:paraId="4E42D953" w14:textId="507C9F75"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01" w:type="dxa"/>
            <w:gridSpan w:val="2"/>
            <w:tcBorders>
              <w:top w:val="nil"/>
              <w:left w:val="nil"/>
              <w:bottom w:val="single" w:sz="4" w:space="0" w:color="FFFFFF"/>
              <w:right w:val="single" w:sz="4" w:space="0" w:color="FFFFFF"/>
            </w:tcBorders>
            <w:shd w:val="clear" w:color="auto" w:fill="DBE5F1" w:themeFill="accent1" w:themeFillTint="33"/>
            <w:noWrap/>
            <w:vAlign w:val="bottom"/>
          </w:tcPr>
          <w:p w14:paraId="75981A91" w14:textId="57FE3BE5"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tcPr>
          <w:p w14:paraId="67402F93" w14:textId="511DD250" w:rsidR="00BE1531" w:rsidRPr="00835831" w:rsidRDefault="00E0306A" w:rsidP="006F23A0">
            <w:pPr>
              <w:jc w:val="right"/>
              <w:rPr>
                <w:rFonts w:ascii="Calibri" w:hAnsi="Calibri"/>
                <w:color w:val="000000"/>
                <w:lang w:eastAsia="en-GB"/>
              </w:rPr>
            </w:pPr>
            <w:r>
              <w:rPr>
                <w:rFonts w:ascii="Calibri" w:hAnsi="Calibri"/>
                <w:color w:val="000000"/>
                <w:lang w:eastAsia="en-GB"/>
              </w:rPr>
              <w:t>-11</w:t>
            </w:r>
          </w:p>
        </w:tc>
      </w:tr>
      <w:tr w:rsidR="00BE1531" w:rsidRPr="00BE1531" w14:paraId="14A39351" w14:textId="77777777" w:rsidTr="001679F1">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2B22AA78" w14:textId="77777777" w:rsidR="00BE1531" w:rsidRPr="00835831" w:rsidRDefault="00BE1531" w:rsidP="00BE1531">
            <w:pPr>
              <w:rPr>
                <w:rFonts w:ascii="Calibri" w:hAnsi="Calibri"/>
                <w:color w:val="000000"/>
                <w:lang w:eastAsia="en-GB"/>
              </w:rPr>
            </w:pPr>
            <w:r w:rsidRPr="00835831">
              <w:rPr>
                <w:rFonts w:ascii="Calibri" w:hAnsi="Calibri"/>
                <w:color w:val="000000"/>
                <w:lang w:eastAsia="en-GB"/>
              </w:rPr>
              <w:t>Lease Liabilities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tcPr>
          <w:p w14:paraId="6BF2952F" w14:textId="6277C68A" w:rsidR="00BE1531" w:rsidRPr="00835831" w:rsidRDefault="00E0306A" w:rsidP="006F23A0">
            <w:pPr>
              <w:jc w:val="right"/>
              <w:rPr>
                <w:rFonts w:ascii="Calibri" w:hAnsi="Calibri"/>
                <w:color w:val="000000"/>
                <w:lang w:eastAsia="en-GB"/>
              </w:rPr>
            </w:pPr>
            <w:r>
              <w:rPr>
                <w:rFonts w:ascii="Calibri" w:hAnsi="Calibri"/>
                <w:color w:val="000000"/>
                <w:lang w:eastAsia="en-GB"/>
              </w:rPr>
              <w:t>360</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tcPr>
          <w:p w14:paraId="545212E0" w14:textId="42F4E866" w:rsidR="00BE1531" w:rsidRPr="00835831" w:rsidRDefault="00686314" w:rsidP="004A169B">
            <w:pPr>
              <w:jc w:val="right"/>
              <w:rPr>
                <w:rFonts w:ascii="Calibri" w:hAnsi="Calibri"/>
                <w:color w:val="000000"/>
                <w:lang w:eastAsia="en-GB"/>
              </w:rPr>
            </w:pPr>
            <w:r>
              <w:rPr>
                <w:rFonts w:ascii="Calibri" w:hAnsi="Calibri"/>
                <w:color w:val="000000"/>
                <w:lang w:eastAsia="en-GB"/>
              </w:rPr>
              <w:t>-501</w:t>
            </w:r>
          </w:p>
        </w:tc>
        <w:tc>
          <w:tcPr>
            <w:tcW w:w="1276" w:type="dxa"/>
            <w:tcBorders>
              <w:top w:val="nil"/>
              <w:left w:val="nil"/>
              <w:bottom w:val="single" w:sz="4" w:space="0" w:color="FFFFFF"/>
              <w:right w:val="single" w:sz="4" w:space="0" w:color="FFFFFF"/>
            </w:tcBorders>
            <w:shd w:val="clear" w:color="auto" w:fill="DBE5F1" w:themeFill="accent1" w:themeFillTint="33"/>
            <w:noWrap/>
            <w:vAlign w:val="bottom"/>
          </w:tcPr>
          <w:p w14:paraId="6BAAFD4E" w14:textId="097D96AB"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01" w:type="dxa"/>
            <w:gridSpan w:val="2"/>
            <w:tcBorders>
              <w:top w:val="nil"/>
              <w:left w:val="nil"/>
              <w:bottom w:val="single" w:sz="4" w:space="0" w:color="FFFFFF"/>
              <w:right w:val="single" w:sz="4" w:space="0" w:color="FFFFFF"/>
            </w:tcBorders>
            <w:shd w:val="clear" w:color="auto" w:fill="DBE5F1" w:themeFill="accent1" w:themeFillTint="33"/>
            <w:noWrap/>
            <w:vAlign w:val="bottom"/>
          </w:tcPr>
          <w:p w14:paraId="19C482B0" w14:textId="3209CB9B" w:rsidR="00BE1531" w:rsidRPr="00835831" w:rsidRDefault="00E0306A" w:rsidP="003A77F0">
            <w:pPr>
              <w:jc w:val="right"/>
              <w:rPr>
                <w:rFonts w:ascii="Calibri" w:hAnsi="Calibri"/>
                <w:color w:val="000000"/>
                <w:lang w:eastAsia="en-GB"/>
              </w:rPr>
            </w:pPr>
            <w:r>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tcPr>
          <w:p w14:paraId="22D65C67" w14:textId="6A3550B5" w:rsidR="00BE1531" w:rsidRPr="00835831" w:rsidRDefault="00686314" w:rsidP="006F23A0">
            <w:pPr>
              <w:jc w:val="right"/>
              <w:rPr>
                <w:rFonts w:ascii="Calibri" w:hAnsi="Calibri"/>
                <w:color w:val="000000"/>
                <w:lang w:eastAsia="en-GB"/>
              </w:rPr>
            </w:pPr>
            <w:r>
              <w:rPr>
                <w:rFonts w:ascii="Calibri" w:hAnsi="Calibri"/>
                <w:color w:val="000000"/>
                <w:lang w:eastAsia="en-GB"/>
              </w:rPr>
              <w:t>-141</w:t>
            </w:r>
          </w:p>
        </w:tc>
      </w:tr>
      <w:tr w:rsidR="00BE1531" w:rsidRPr="00BE1531" w14:paraId="70906BA7" w14:textId="77777777" w:rsidTr="001679F1">
        <w:trPr>
          <w:trHeight w:val="300"/>
        </w:trPr>
        <w:tc>
          <w:tcPr>
            <w:tcW w:w="3984" w:type="dxa"/>
            <w:tcBorders>
              <w:top w:val="nil"/>
              <w:left w:val="single" w:sz="4" w:space="0" w:color="FFFFFF"/>
              <w:bottom w:val="single" w:sz="4" w:space="0" w:color="FFFFFF"/>
              <w:right w:val="single" w:sz="4" w:space="0" w:color="FFFFFF"/>
            </w:tcBorders>
            <w:shd w:val="clear" w:color="auto" w:fill="B8CCE4" w:themeFill="accent1" w:themeFillTint="66"/>
            <w:noWrap/>
            <w:vAlign w:val="bottom"/>
            <w:hideMark/>
          </w:tcPr>
          <w:p w14:paraId="6257513B" w14:textId="77777777" w:rsidR="00BE1531" w:rsidRPr="00835831" w:rsidRDefault="00BE1531" w:rsidP="00BE1531">
            <w:pPr>
              <w:rPr>
                <w:rFonts w:ascii="Calibri" w:hAnsi="Calibri"/>
                <w:b/>
                <w:color w:val="000000"/>
                <w:lang w:eastAsia="en-GB"/>
              </w:rPr>
            </w:pPr>
            <w:r w:rsidRPr="00835831">
              <w:rPr>
                <w:rFonts w:ascii="Calibri" w:hAnsi="Calibri"/>
                <w:b/>
                <w:color w:val="000000"/>
                <w:lang w:eastAsia="en-GB"/>
              </w:rPr>
              <w:t>Total Liabilities from Financing Activities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tcPr>
          <w:p w14:paraId="4AD43739" w14:textId="711925C2" w:rsidR="00BE1531" w:rsidRPr="00835831" w:rsidRDefault="00E0306A" w:rsidP="006F23A0">
            <w:pPr>
              <w:jc w:val="right"/>
              <w:rPr>
                <w:rFonts w:ascii="Calibri" w:hAnsi="Calibri"/>
                <w:color w:val="000000"/>
                <w:lang w:eastAsia="en-GB"/>
              </w:rPr>
            </w:pPr>
            <w:r>
              <w:rPr>
                <w:rFonts w:ascii="Calibri" w:hAnsi="Calibri"/>
                <w:color w:val="000000"/>
                <w:lang w:eastAsia="en-GB"/>
              </w:rPr>
              <w:t>-853</w:t>
            </w:r>
          </w:p>
        </w:tc>
        <w:tc>
          <w:tcPr>
            <w:tcW w:w="1174" w:type="dxa"/>
            <w:tcBorders>
              <w:top w:val="nil"/>
              <w:left w:val="nil"/>
              <w:bottom w:val="single" w:sz="4" w:space="0" w:color="FFFFFF"/>
              <w:right w:val="single" w:sz="4" w:space="0" w:color="FFFFFF"/>
            </w:tcBorders>
            <w:shd w:val="clear" w:color="auto" w:fill="B8CCE4" w:themeFill="accent1" w:themeFillTint="66"/>
            <w:noWrap/>
            <w:vAlign w:val="bottom"/>
          </w:tcPr>
          <w:p w14:paraId="4A576A09" w14:textId="1BB710FD" w:rsidR="00BE1531" w:rsidRPr="00835831" w:rsidRDefault="00686314" w:rsidP="00835831">
            <w:pPr>
              <w:jc w:val="right"/>
              <w:rPr>
                <w:rFonts w:ascii="Calibri" w:hAnsi="Calibri"/>
                <w:color w:val="000000"/>
                <w:lang w:eastAsia="en-GB"/>
              </w:rPr>
            </w:pPr>
            <w:r>
              <w:rPr>
                <w:rFonts w:ascii="Calibri" w:hAnsi="Calibri"/>
                <w:color w:val="000000"/>
                <w:lang w:eastAsia="en-GB"/>
              </w:rPr>
              <w:t>701</w:t>
            </w:r>
          </w:p>
        </w:tc>
        <w:tc>
          <w:tcPr>
            <w:tcW w:w="1276" w:type="dxa"/>
            <w:tcBorders>
              <w:top w:val="nil"/>
              <w:left w:val="nil"/>
              <w:bottom w:val="single" w:sz="4" w:space="0" w:color="FFFFFF"/>
              <w:right w:val="single" w:sz="4" w:space="0" w:color="FFFFFF"/>
            </w:tcBorders>
            <w:shd w:val="clear" w:color="auto" w:fill="B8CCE4" w:themeFill="accent1" w:themeFillTint="66"/>
            <w:noWrap/>
            <w:vAlign w:val="bottom"/>
          </w:tcPr>
          <w:p w14:paraId="168BBD6E" w14:textId="1A661762" w:rsidR="00BE1531" w:rsidRPr="00835831" w:rsidRDefault="00686314" w:rsidP="003A77F0">
            <w:pPr>
              <w:jc w:val="right"/>
              <w:rPr>
                <w:rFonts w:ascii="Calibri" w:hAnsi="Calibri"/>
                <w:color w:val="000000"/>
                <w:lang w:eastAsia="en-GB"/>
              </w:rPr>
            </w:pPr>
            <w:r>
              <w:rPr>
                <w:rFonts w:ascii="Calibri" w:hAnsi="Calibri"/>
                <w:color w:val="000000"/>
                <w:lang w:eastAsia="en-GB"/>
              </w:rPr>
              <w:t>0</w:t>
            </w:r>
          </w:p>
        </w:tc>
        <w:tc>
          <w:tcPr>
            <w:tcW w:w="1301" w:type="dxa"/>
            <w:gridSpan w:val="2"/>
            <w:tcBorders>
              <w:top w:val="nil"/>
              <w:left w:val="nil"/>
              <w:bottom w:val="single" w:sz="4" w:space="0" w:color="FFFFFF"/>
              <w:right w:val="single" w:sz="4" w:space="0" w:color="FFFFFF"/>
            </w:tcBorders>
            <w:shd w:val="clear" w:color="auto" w:fill="B8CCE4" w:themeFill="accent1" w:themeFillTint="66"/>
            <w:noWrap/>
            <w:vAlign w:val="bottom"/>
          </w:tcPr>
          <w:p w14:paraId="09EED67E" w14:textId="599BC618" w:rsidR="00BE1531" w:rsidRPr="00835831" w:rsidRDefault="00686314" w:rsidP="003A77F0">
            <w:pPr>
              <w:jc w:val="right"/>
              <w:rPr>
                <w:rFonts w:ascii="Calibri" w:hAnsi="Calibri"/>
                <w:color w:val="000000"/>
                <w:lang w:eastAsia="en-GB"/>
              </w:rPr>
            </w:pPr>
            <w:r>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tcPr>
          <w:p w14:paraId="2AA755B9" w14:textId="63AE8D95" w:rsidR="00BE1531" w:rsidRPr="00835831" w:rsidRDefault="00686314" w:rsidP="006F23A0">
            <w:pPr>
              <w:jc w:val="right"/>
              <w:rPr>
                <w:rFonts w:ascii="Calibri" w:hAnsi="Calibri"/>
                <w:color w:val="000000"/>
                <w:lang w:eastAsia="en-GB"/>
              </w:rPr>
            </w:pPr>
            <w:r>
              <w:rPr>
                <w:rFonts w:ascii="Calibri" w:hAnsi="Calibri"/>
                <w:color w:val="000000"/>
                <w:lang w:eastAsia="en-GB"/>
              </w:rPr>
              <w:t>-152</w:t>
            </w:r>
          </w:p>
        </w:tc>
      </w:tr>
    </w:tbl>
    <w:p w14:paraId="2CE1900B" w14:textId="3D9C7258" w:rsidR="005C34FA" w:rsidRDefault="005C34FA" w:rsidP="00B921B9">
      <w:pPr>
        <w:pStyle w:val="Title"/>
        <w:rPr>
          <w:rFonts w:cs="Arial"/>
          <w:szCs w:val="28"/>
        </w:rPr>
      </w:pPr>
    </w:p>
    <w:p w14:paraId="35DB698B" w14:textId="3D6CCF97" w:rsidR="001B4D9E" w:rsidRDefault="001B4D9E" w:rsidP="00B921B9">
      <w:pPr>
        <w:pStyle w:val="Title"/>
        <w:rPr>
          <w:rFonts w:cs="Arial"/>
          <w:szCs w:val="28"/>
        </w:rPr>
      </w:pPr>
    </w:p>
    <w:p w14:paraId="1264A262" w14:textId="77777777" w:rsidR="001B4D9E" w:rsidRDefault="001B4D9E" w:rsidP="00B921B9">
      <w:pPr>
        <w:pStyle w:val="Title"/>
        <w:rPr>
          <w:rFonts w:cs="Arial"/>
          <w:szCs w:val="28"/>
        </w:rPr>
      </w:pPr>
    </w:p>
    <w:tbl>
      <w:tblPr>
        <w:tblW w:w="10331" w:type="dxa"/>
        <w:tblInd w:w="93" w:type="dxa"/>
        <w:tblLook w:val="04A0" w:firstRow="1" w:lastRow="0" w:firstColumn="1" w:lastColumn="0" w:noHBand="0" w:noVBand="1"/>
        <w:tblCaption w:val="Reconciliation of Liabilities arising from financing activities"/>
        <w:tblDescription w:val="Reconciliation of Liabilities arising from financing activities 2021-2022"/>
      </w:tblPr>
      <w:tblGrid>
        <w:gridCol w:w="3984"/>
        <w:gridCol w:w="1236"/>
        <w:gridCol w:w="1174"/>
        <w:gridCol w:w="1134"/>
        <w:gridCol w:w="1443"/>
        <w:gridCol w:w="1360"/>
      </w:tblGrid>
      <w:tr w:rsidR="00373B1A" w:rsidRPr="00BE1531" w14:paraId="0385F134" w14:textId="77777777" w:rsidTr="00373B1A">
        <w:trPr>
          <w:cantSplit/>
          <w:trHeight w:val="600"/>
          <w:tblHeader/>
        </w:trPr>
        <w:tc>
          <w:tcPr>
            <w:tcW w:w="3984" w:type="dxa"/>
            <w:tcBorders>
              <w:top w:val="single" w:sz="4" w:space="0" w:color="FFFFFF"/>
              <w:left w:val="single" w:sz="4" w:space="0" w:color="FFFFFF"/>
              <w:bottom w:val="nil"/>
              <w:right w:val="single" w:sz="4" w:space="0" w:color="FFFFFF"/>
            </w:tcBorders>
            <w:shd w:val="clear" w:color="auto" w:fill="95B3D7" w:themeFill="accent1" w:themeFillTint="99"/>
            <w:noWrap/>
            <w:vAlign w:val="bottom"/>
            <w:hideMark/>
          </w:tcPr>
          <w:p w14:paraId="282F88F1" w14:textId="77777777" w:rsidR="00373B1A" w:rsidRPr="00835831" w:rsidRDefault="00373B1A" w:rsidP="00B137D8">
            <w:pPr>
              <w:rPr>
                <w:rFonts w:ascii="Calibri" w:hAnsi="Calibri"/>
                <w:color w:val="000000"/>
                <w:lang w:eastAsia="en-GB"/>
              </w:rPr>
            </w:pPr>
            <w:r w:rsidRPr="00835831">
              <w:rPr>
                <w:rFonts w:ascii="Calibri" w:hAnsi="Calibri"/>
                <w:color w:val="000000"/>
                <w:lang w:eastAsia="en-GB"/>
              </w:rPr>
              <w:lastRenderedPageBreak/>
              <w:t> </w:t>
            </w:r>
          </w:p>
        </w:tc>
        <w:tc>
          <w:tcPr>
            <w:tcW w:w="1236" w:type="dxa"/>
            <w:tcBorders>
              <w:top w:val="single" w:sz="4" w:space="0" w:color="FFFFFF"/>
              <w:left w:val="nil"/>
              <w:bottom w:val="single" w:sz="4" w:space="0" w:color="FFFFFF"/>
              <w:right w:val="single" w:sz="4" w:space="0" w:color="FFFFFF"/>
            </w:tcBorders>
            <w:shd w:val="clear" w:color="auto" w:fill="95B3D7" w:themeFill="accent1" w:themeFillTint="99"/>
            <w:noWrap/>
            <w:vAlign w:val="center"/>
            <w:hideMark/>
          </w:tcPr>
          <w:p w14:paraId="42A55AE5" w14:textId="78E1DCE4" w:rsidR="00373B1A" w:rsidRPr="00835831" w:rsidRDefault="00373B1A" w:rsidP="00B52FF6">
            <w:pPr>
              <w:jc w:val="right"/>
              <w:rPr>
                <w:rFonts w:ascii="Calibri" w:hAnsi="Calibri"/>
                <w:color w:val="000000"/>
                <w:lang w:eastAsia="en-GB"/>
              </w:rPr>
            </w:pPr>
            <w:r w:rsidRPr="00835831">
              <w:rPr>
                <w:rFonts w:ascii="Calibri" w:hAnsi="Calibri"/>
                <w:color w:val="000000"/>
                <w:lang w:eastAsia="en-GB"/>
              </w:rPr>
              <w:t>1 April 20</w:t>
            </w:r>
            <w:r w:rsidR="00BA7B40">
              <w:rPr>
                <w:rFonts w:ascii="Calibri" w:hAnsi="Calibri"/>
                <w:color w:val="000000"/>
                <w:lang w:eastAsia="en-GB"/>
              </w:rPr>
              <w:t>2</w:t>
            </w:r>
            <w:r w:rsidR="0025199A">
              <w:rPr>
                <w:rFonts w:ascii="Calibri" w:hAnsi="Calibri"/>
                <w:color w:val="000000"/>
                <w:lang w:eastAsia="en-GB"/>
              </w:rPr>
              <w:t>1</w:t>
            </w:r>
          </w:p>
        </w:tc>
        <w:tc>
          <w:tcPr>
            <w:tcW w:w="1174" w:type="dxa"/>
            <w:tcBorders>
              <w:top w:val="single" w:sz="4" w:space="0" w:color="FFFFFF"/>
              <w:left w:val="nil"/>
              <w:bottom w:val="single" w:sz="4" w:space="0" w:color="FFFFFF"/>
              <w:right w:val="single" w:sz="4" w:space="0" w:color="FFFFFF" w:themeColor="background1"/>
            </w:tcBorders>
            <w:shd w:val="clear" w:color="auto" w:fill="95B3D7" w:themeFill="accent1" w:themeFillTint="99"/>
            <w:vAlign w:val="bottom"/>
            <w:hideMark/>
          </w:tcPr>
          <w:p w14:paraId="5C9CD8C2" w14:textId="77777777" w:rsidR="00373B1A" w:rsidRPr="00835831" w:rsidRDefault="00373B1A" w:rsidP="00B137D8">
            <w:pPr>
              <w:jc w:val="right"/>
              <w:rPr>
                <w:rFonts w:ascii="Calibri" w:hAnsi="Calibri"/>
                <w:color w:val="000000"/>
                <w:lang w:eastAsia="en-GB"/>
              </w:rPr>
            </w:pPr>
            <w:r w:rsidRPr="00835831">
              <w:rPr>
                <w:rFonts w:ascii="Calibri" w:hAnsi="Calibri"/>
                <w:color w:val="000000"/>
                <w:lang w:eastAsia="en-GB"/>
              </w:rPr>
              <w:t>Financing cash flows</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95B3D7" w:themeFill="accent1" w:themeFillTint="99"/>
            <w:noWrap/>
            <w:vAlign w:val="center"/>
            <w:hideMark/>
          </w:tcPr>
          <w:p w14:paraId="433D6ED5" w14:textId="6E15C90E" w:rsidR="00373B1A" w:rsidRPr="00835831" w:rsidRDefault="001679F1" w:rsidP="001679F1">
            <w:pPr>
              <w:jc w:val="right"/>
              <w:rPr>
                <w:rFonts w:ascii="Calibri" w:hAnsi="Calibri"/>
                <w:color w:val="000000"/>
                <w:lang w:eastAsia="en-GB"/>
              </w:rPr>
            </w:pPr>
            <w:r>
              <w:rPr>
                <w:rFonts w:ascii="Calibri" w:hAnsi="Calibri"/>
                <w:color w:val="000000"/>
                <w:lang w:eastAsia="en-GB"/>
              </w:rPr>
              <w:t>.</w:t>
            </w:r>
          </w:p>
        </w:tc>
        <w:tc>
          <w:tcPr>
            <w:tcW w:w="1443" w:type="dxa"/>
            <w:tcBorders>
              <w:top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vAlign w:val="center"/>
          </w:tcPr>
          <w:p w14:paraId="083474F4" w14:textId="053FE47A" w:rsidR="00373B1A" w:rsidRPr="00835831" w:rsidRDefault="001679F1" w:rsidP="00B137D8">
            <w:pPr>
              <w:jc w:val="center"/>
              <w:rPr>
                <w:rFonts w:ascii="Calibri" w:hAnsi="Calibri"/>
                <w:color w:val="000000"/>
                <w:lang w:eastAsia="en-GB"/>
              </w:rPr>
            </w:pPr>
            <w:r>
              <w:rPr>
                <w:rFonts w:ascii="Calibri" w:hAnsi="Calibri"/>
                <w:color w:val="000000"/>
                <w:lang w:eastAsia="en-GB"/>
              </w:rPr>
              <w:t>Non-Cash changes</w:t>
            </w:r>
          </w:p>
        </w:tc>
        <w:tc>
          <w:tcPr>
            <w:tcW w:w="1360" w:type="dxa"/>
            <w:tcBorders>
              <w:top w:val="single" w:sz="4" w:space="0" w:color="FFFFFF"/>
              <w:left w:val="single" w:sz="4" w:space="0" w:color="FFFFFF" w:themeColor="background1"/>
              <w:bottom w:val="single" w:sz="4" w:space="0" w:color="FFFFFF"/>
              <w:right w:val="single" w:sz="4" w:space="0" w:color="FFFFFF"/>
            </w:tcBorders>
            <w:shd w:val="clear" w:color="auto" w:fill="95B3D7" w:themeFill="accent1" w:themeFillTint="99"/>
            <w:noWrap/>
            <w:vAlign w:val="center"/>
            <w:hideMark/>
          </w:tcPr>
          <w:p w14:paraId="5F776C63" w14:textId="46D8F0B9" w:rsidR="00373B1A" w:rsidRPr="00835831" w:rsidRDefault="00373B1A" w:rsidP="00B52FF6">
            <w:pPr>
              <w:jc w:val="right"/>
              <w:rPr>
                <w:rFonts w:ascii="Calibri" w:hAnsi="Calibri"/>
                <w:color w:val="000000"/>
                <w:lang w:eastAsia="en-GB"/>
              </w:rPr>
            </w:pPr>
            <w:r w:rsidRPr="00835831">
              <w:rPr>
                <w:rFonts w:ascii="Calibri" w:hAnsi="Calibri"/>
                <w:color w:val="000000"/>
                <w:lang w:eastAsia="en-GB"/>
              </w:rPr>
              <w:t>31 March 20</w:t>
            </w:r>
            <w:r>
              <w:rPr>
                <w:rFonts w:ascii="Calibri" w:hAnsi="Calibri"/>
                <w:color w:val="000000"/>
                <w:lang w:eastAsia="en-GB"/>
              </w:rPr>
              <w:t>2</w:t>
            </w:r>
            <w:r w:rsidR="0025199A">
              <w:rPr>
                <w:rFonts w:ascii="Calibri" w:hAnsi="Calibri"/>
                <w:color w:val="000000"/>
                <w:lang w:eastAsia="en-GB"/>
              </w:rPr>
              <w:t>2</w:t>
            </w:r>
          </w:p>
        </w:tc>
      </w:tr>
      <w:tr w:rsidR="00BE1531" w:rsidRPr="00BE1531" w14:paraId="67630387" w14:textId="77777777" w:rsidTr="00373B1A">
        <w:trPr>
          <w:trHeight w:val="600"/>
        </w:trPr>
        <w:tc>
          <w:tcPr>
            <w:tcW w:w="3984" w:type="dxa"/>
            <w:tcBorders>
              <w:top w:val="nil"/>
              <w:left w:val="single" w:sz="4" w:space="0" w:color="FFFFFF"/>
              <w:bottom w:val="nil"/>
              <w:right w:val="single" w:sz="4" w:space="0" w:color="FFFFFF"/>
            </w:tcBorders>
            <w:shd w:val="clear" w:color="auto" w:fill="95B3D7" w:themeFill="accent1" w:themeFillTint="99"/>
            <w:noWrap/>
            <w:vAlign w:val="bottom"/>
            <w:hideMark/>
          </w:tcPr>
          <w:p w14:paraId="44830632" w14:textId="77777777" w:rsidR="00BE1531" w:rsidRPr="00835831" w:rsidRDefault="00BE1531" w:rsidP="00B137D8">
            <w:pPr>
              <w:rPr>
                <w:rFonts w:ascii="Calibri" w:hAnsi="Calibri"/>
                <w:color w:val="000000"/>
                <w:lang w:eastAsia="en-GB"/>
              </w:rPr>
            </w:pPr>
            <w:r w:rsidRPr="00835831">
              <w:rPr>
                <w:rFonts w:ascii="Calibri" w:hAnsi="Calibri"/>
                <w:color w:val="000000"/>
                <w:lang w:eastAsia="en-GB"/>
              </w:rPr>
              <w:t> </w:t>
            </w:r>
          </w:p>
        </w:tc>
        <w:tc>
          <w:tcPr>
            <w:tcW w:w="1236" w:type="dxa"/>
            <w:tcBorders>
              <w:top w:val="nil"/>
              <w:left w:val="nil"/>
              <w:bottom w:val="single" w:sz="4" w:space="0" w:color="FFFFFF"/>
              <w:right w:val="single" w:sz="4" w:space="0" w:color="FFFFFF"/>
            </w:tcBorders>
            <w:shd w:val="clear" w:color="auto" w:fill="95B3D7" w:themeFill="accent1" w:themeFillTint="99"/>
            <w:noWrap/>
            <w:vAlign w:val="bottom"/>
            <w:hideMark/>
          </w:tcPr>
          <w:p w14:paraId="71918FBE"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 </w:t>
            </w:r>
          </w:p>
        </w:tc>
        <w:tc>
          <w:tcPr>
            <w:tcW w:w="1174" w:type="dxa"/>
            <w:tcBorders>
              <w:top w:val="nil"/>
              <w:left w:val="nil"/>
              <w:bottom w:val="single" w:sz="4" w:space="0" w:color="FFFFFF"/>
              <w:right w:val="single" w:sz="4" w:space="0" w:color="FFFFFF"/>
            </w:tcBorders>
            <w:shd w:val="clear" w:color="auto" w:fill="95B3D7" w:themeFill="accent1" w:themeFillTint="99"/>
            <w:noWrap/>
            <w:vAlign w:val="bottom"/>
            <w:hideMark/>
          </w:tcPr>
          <w:p w14:paraId="78445538"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 </w:t>
            </w:r>
          </w:p>
        </w:tc>
        <w:tc>
          <w:tcPr>
            <w:tcW w:w="1134" w:type="dxa"/>
            <w:tcBorders>
              <w:top w:val="single" w:sz="4" w:space="0" w:color="FFFFFF" w:themeColor="background1"/>
              <w:left w:val="nil"/>
              <w:bottom w:val="single" w:sz="4" w:space="0" w:color="FFFFFF"/>
              <w:right w:val="single" w:sz="4" w:space="0" w:color="FFFFFF"/>
            </w:tcBorders>
            <w:shd w:val="clear" w:color="auto" w:fill="95B3D7" w:themeFill="accent1" w:themeFillTint="99"/>
            <w:noWrap/>
            <w:vAlign w:val="center"/>
            <w:hideMark/>
          </w:tcPr>
          <w:p w14:paraId="70864671"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Acquisition</w:t>
            </w:r>
          </w:p>
        </w:tc>
        <w:tc>
          <w:tcPr>
            <w:tcW w:w="1443" w:type="dxa"/>
            <w:tcBorders>
              <w:top w:val="single" w:sz="4" w:space="0" w:color="FFFFFF" w:themeColor="background1"/>
              <w:left w:val="nil"/>
              <w:bottom w:val="nil"/>
              <w:right w:val="nil"/>
            </w:tcBorders>
            <w:shd w:val="clear" w:color="auto" w:fill="95B3D7" w:themeFill="accent1" w:themeFillTint="99"/>
            <w:vAlign w:val="bottom"/>
            <w:hideMark/>
          </w:tcPr>
          <w:p w14:paraId="6A495C0D"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Other non-cash changes</w:t>
            </w:r>
          </w:p>
        </w:tc>
        <w:tc>
          <w:tcPr>
            <w:tcW w:w="1360" w:type="dxa"/>
            <w:tcBorders>
              <w:top w:val="nil"/>
              <w:left w:val="single" w:sz="4" w:space="0" w:color="FFFFFF"/>
              <w:bottom w:val="single" w:sz="4" w:space="0" w:color="FFFFFF"/>
              <w:right w:val="single" w:sz="4" w:space="0" w:color="FFFFFF"/>
            </w:tcBorders>
            <w:shd w:val="clear" w:color="auto" w:fill="95B3D7" w:themeFill="accent1" w:themeFillTint="99"/>
            <w:noWrap/>
            <w:vAlign w:val="bottom"/>
            <w:hideMark/>
          </w:tcPr>
          <w:p w14:paraId="1B5D5A6F"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 </w:t>
            </w:r>
          </w:p>
        </w:tc>
      </w:tr>
      <w:tr w:rsidR="00BE1531" w:rsidRPr="00BE1531" w14:paraId="697D7379" w14:textId="77777777" w:rsidTr="00373B1A">
        <w:trPr>
          <w:trHeight w:val="300"/>
        </w:trPr>
        <w:tc>
          <w:tcPr>
            <w:tcW w:w="3984" w:type="dxa"/>
            <w:tcBorders>
              <w:top w:val="nil"/>
              <w:left w:val="single" w:sz="4" w:space="0" w:color="FFFFFF"/>
              <w:bottom w:val="single" w:sz="4" w:space="0" w:color="FFFFFF"/>
              <w:right w:val="single" w:sz="4" w:space="0" w:color="FFFFFF"/>
            </w:tcBorders>
            <w:shd w:val="clear" w:color="auto" w:fill="95B3D7" w:themeFill="accent1" w:themeFillTint="99"/>
            <w:noWrap/>
            <w:vAlign w:val="bottom"/>
            <w:hideMark/>
          </w:tcPr>
          <w:p w14:paraId="5C8B3C84" w14:textId="77777777" w:rsidR="00BE1531" w:rsidRPr="00835831" w:rsidRDefault="00BE1531" w:rsidP="00B137D8">
            <w:pPr>
              <w:rPr>
                <w:rFonts w:ascii="Calibri" w:hAnsi="Calibri"/>
                <w:color w:val="000000"/>
                <w:lang w:eastAsia="en-GB"/>
              </w:rPr>
            </w:pPr>
            <w:r w:rsidRPr="00835831">
              <w:rPr>
                <w:rFonts w:ascii="Calibri" w:hAnsi="Calibri"/>
                <w:color w:val="000000"/>
                <w:lang w:eastAsia="en-GB"/>
              </w:rPr>
              <w:t> </w:t>
            </w:r>
          </w:p>
        </w:tc>
        <w:tc>
          <w:tcPr>
            <w:tcW w:w="1236" w:type="dxa"/>
            <w:tcBorders>
              <w:top w:val="nil"/>
              <w:left w:val="nil"/>
              <w:bottom w:val="single" w:sz="4" w:space="0" w:color="FFFFFF"/>
              <w:right w:val="single" w:sz="4" w:space="0" w:color="FFFFFF"/>
            </w:tcBorders>
            <w:shd w:val="clear" w:color="auto" w:fill="95B3D7" w:themeFill="accent1" w:themeFillTint="99"/>
            <w:noWrap/>
            <w:vAlign w:val="bottom"/>
            <w:hideMark/>
          </w:tcPr>
          <w:p w14:paraId="649D7210"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£'000</w:t>
            </w:r>
          </w:p>
        </w:tc>
        <w:tc>
          <w:tcPr>
            <w:tcW w:w="1174" w:type="dxa"/>
            <w:tcBorders>
              <w:top w:val="nil"/>
              <w:left w:val="nil"/>
              <w:bottom w:val="single" w:sz="4" w:space="0" w:color="FFFFFF"/>
              <w:right w:val="single" w:sz="4" w:space="0" w:color="FFFFFF"/>
            </w:tcBorders>
            <w:shd w:val="clear" w:color="auto" w:fill="95B3D7" w:themeFill="accent1" w:themeFillTint="99"/>
            <w:noWrap/>
            <w:vAlign w:val="bottom"/>
            <w:hideMark/>
          </w:tcPr>
          <w:p w14:paraId="072DAF0D"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£'000</w:t>
            </w:r>
          </w:p>
        </w:tc>
        <w:tc>
          <w:tcPr>
            <w:tcW w:w="1134" w:type="dxa"/>
            <w:tcBorders>
              <w:top w:val="nil"/>
              <w:left w:val="nil"/>
              <w:bottom w:val="single" w:sz="4" w:space="0" w:color="FFFFFF"/>
              <w:right w:val="single" w:sz="4" w:space="0" w:color="FFFFFF"/>
            </w:tcBorders>
            <w:shd w:val="clear" w:color="auto" w:fill="95B3D7" w:themeFill="accent1" w:themeFillTint="99"/>
            <w:noWrap/>
            <w:vAlign w:val="bottom"/>
            <w:hideMark/>
          </w:tcPr>
          <w:p w14:paraId="7EA13406"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£'000</w:t>
            </w:r>
          </w:p>
        </w:tc>
        <w:tc>
          <w:tcPr>
            <w:tcW w:w="1443" w:type="dxa"/>
            <w:tcBorders>
              <w:top w:val="single" w:sz="4" w:space="0" w:color="FFFFFF"/>
              <w:left w:val="nil"/>
              <w:bottom w:val="single" w:sz="4" w:space="0" w:color="FFFFFF"/>
              <w:right w:val="single" w:sz="4" w:space="0" w:color="FFFFFF"/>
            </w:tcBorders>
            <w:shd w:val="clear" w:color="auto" w:fill="95B3D7" w:themeFill="accent1" w:themeFillTint="99"/>
            <w:noWrap/>
            <w:vAlign w:val="bottom"/>
            <w:hideMark/>
          </w:tcPr>
          <w:p w14:paraId="0955D420"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£'000</w:t>
            </w:r>
          </w:p>
        </w:tc>
        <w:tc>
          <w:tcPr>
            <w:tcW w:w="1360" w:type="dxa"/>
            <w:tcBorders>
              <w:top w:val="nil"/>
              <w:left w:val="nil"/>
              <w:bottom w:val="single" w:sz="4" w:space="0" w:color="FFFFFF"/>
              <w:right w:val="single" w:sz="4" w:space="0" w:color="FFFFFF"/>
            </w:tcBorders>
            <w:shd w:val="clear" w:color="auto" w:fill="95B3D7" w:themeFill="accent1" w:themeFillTint="99"/>
            <w:noWrap/>
            <w:vAlign w:val="bottom"/>
            <w:hideMark/>
          </w:tcPr>
          <w:p w14:paraId="3CB79289" w14:textId="77777777" w:rsidR="00BE1531" w:rsidRPr="00835831" w:rsidRDefault="00BE1531" w:rsidP="00B137D8">
            <w:pPr>
              <w:jc w:val="right"/>
              <w:rPr>
                <w:rFonts w:ascii="Calibri" w:hAnsi="Calibri"/>
                <w:color w:val="000000"/>
                <w:lang w:eastAsia="en-GB"/>
              </w:rPr>
            </w:pPr>
            <w:r w:rsidRPr="00835831">
              <w:rPr>
                <w:rFonts w:ascii="Calibri" w:hAnsi="Calibri"/>
                <w:color w:val="000000"/>
                <w:lang w:eastAsia="en-GB"/>
              </w:rPr>
              <w:t>£'000</w:t>
            </w:r>
          </w:p>
        </w:tc>
      </w:tr>
      <w:tr w:rsidR="00BE1531" w:rsidRPr="00BE1531" w14:paraId="48DD1221" w14:textId="77777777" w:rsidTr="00373B1A">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0CC3E3C5" w14:textId="77777777" w:rsidR="00BE1531" w:rsidRPr="00835831" w:rsidRDefault="00BE1531" w:rsidP="00B137D8">
            <w:pPr>
              <w:rPr>
                <w:rFonts w:ascii="Calibri" w:hAnsi="Calibri"/>
                <w:color w:val="000000"/>
                <w:lang w:eastAsia="en-GB"/>
              </w:rPr>
            </w:pPr>
            <w:r w:rsidRPr="00835831">
              <w:rPr>
                <w:rFonts w:ascii="Calibri" w:hAnsi="Calibri"/>
                <w:color w:val="000000"/>
                <w:lang w:eastAsia="en-GB"/>
              </w:rPr>
              <w:t>Long-term borrowings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hideMark/>
          </w:tcPr>
          <w:p w14:paraId="5205A4E1" w14:textId="77777777" w:rsidR="00BE1531" w:rsidRPr="00835831" w:rsidRDefault="003A77F0" w:rsidP="006F23A0">
            <w:pPr>
              <w:jc w:val="right"/>
              <w:rPr>
                <w:rFonts w:ascii="Calibri" w:hAnsi="Calibri"/>
                <w:color w:val="000000"/>
                <w:lang w:eastAsia="en-GB"/>
              </w:rPr>
            </w:pPr>
            <w:r w:rsidRPr="00835831">
              <w:rPr>
                <w:rFonts w:ascii="Calibri" w:hAnsi="Calibri"/>
                <w:color w:val="000000"/>
                <w:lang w:eastAsia="en-GB"/>
              </w:rPr>
              <w:t>0</w:t>
            </w:r>
            <w:r w:rsidR="00BE1531" w:rsidRPr="00835831">
              <w:rPr>
                <w:rFonts w:ascii="Calibri" w:hAnsi="Calibri"/>
                <w:color w:val="000000"/>
                <w:lang w:eastAsia="en-GB"/>
              </w:rPr>
              <w:t> </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hideMark/>
          </w:tcPr>
          <w:p w14:paraId="3D931AF0" w14:textId="77777777" w:rsidR="00BE1531" w:rsidRPr="00835831" w:rsidRDefault="003A77F0" w:rsidP="006F23A0">
            <w:pPr>
              <w:jc w:val="right"/>
              <w:rPr>
                <w:rFonts w:ascii="Calibri" w:hAnsi="Calibri"/>
                <w:color w:val="000000"/>
                <w:lang w:eastAsia="en-GB"/>
              </w:rPr>
            </w:pPr>
            <w:r w:rsidRPr="00835831">
              <w:rPr>
                <w:rFonts w:ascii="Calibri" w:hAnsi="Calibri"/>
                <w:color w:val="000000"/>
                <w:lang w:eastAsia="en-GB"/>
              </w:rPr>
              <w:t>0</w:t>
            </w:r>
          </w:p>
        </w:tc>
        <w:tc>
          <w:tcPr>
            <w:tcW w:w="1134" w:type="dxa"/>
            <w:tcBorders>
              <w:top w:val="nil"/>
              <w:left w:val="nil"/>
              <w:bottom w:val="single" w:sz="4" w:space="0" w:color="FFFFFF"/>
              <w:right w:val="single" w:sz="4" w:space="0" w:color="FFFFFF"/>
            </w:tcBorders>
            <w:shd w:val="clear" w:color="auto" w:fill="DBE5F1" w:themeFill="accent1" w:themeFillTint="33"/>
            <w:noWrap/>
            <w:vAlign w:val="bottom"/>
            <w:hideMark/>
          </w:tcPr>
          <w:p w14:paraId="4F7D42CD" w14:textId="77777777" w:rsidR="00BE1531" w:rsidRPr="00835831" w:rsidRDefault="003A77F0" w:rsidP="003A77F0">
            <w:pPr>
              <w:jc w:val="right"/>
              <w:rPr>
                <w:rFonts w:ascii="Calibri" w:hAnsi="Calibri"/>
                <w:color w:val="000000"/>
                <w:lang w:eastAsia="en-GB"/>
              </w:rPr>
            </w:pPr>
            <w:r w:rsidRPr="00835831">
              <w:rPr>
                <w:rFonts w:ascii="Calibri" w:hAnsi="Calibri"/>
                <w:color w:val="000000"/>
                <w:lang w:eastAsia="en-GB"/>
              </w:rPr>
              <w:t>0</w:t>
            </w:r>
          </w:p>
        </w:tc>
        <w:tc>
          <w:tcPr>
            <w:tcW w:w="1443" w:type="dxa"/>
            <w:tcBorders>
              <w:top w:val="nil"/>
              <w:left w:val="nil"/>
              <w:bottom w:val="single" w:sz="4" w:space="0" w:color="FFFFFF"/>
              <w:right w:val="single" w:sz="4" w:space="0" w:color="FFFFFF"/>
            </w:tcBorders>
            <w:shd w:val="clear" w:color="auto" w:fill="DBE5F1" w:themeFill="accent1" w:themeFillTint="33"/>
            <w:noWrap/>
            <w:vAlign w:val="bottom"/>
            <w:hideMark/>
          </w:tcPr>
          <w:p w14:paraId="1378959B" w14:textId="77777777" w:rsidR="00BE1531" w:rsidRPr="00835831" w:rsidRDefault="003A77F0" w:rsidP="003A77F0">
            <w:pPr>
              <w:jc w:val="right"/>
              <w:rPr>
                <w:rFonts w:ascii="Calibri" w:hAnsi="Calibri"/>
                <w:color w:val="000000"/>
                <w:lang w:eastAsia="en-GB"/>
              </w:rPr>
            </w:pPr>
            <w:r w:rsidRPr="00835831">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hideMark/>
          </w:tcPr>
          <w:p w14:paraId="14101AB3" w14:textId="77777777" w:rsidR="00BE1531" w:rsidRPr="00835831" w:rsidRDefault="003A77F0" w:rsidP="006F23A0">
            <w:pPr>
              <w:jc w:val="right"/>
              <w:rPr>
                <w:rFonts w:ascii="Calibri" w:hAnsi="Calibri"/>
                <w:color w:val="000000"/>
                <w:lang w:eastAsia="en-GB"/>
              </w:rPr>
            </w:pPr>
            <w:r w:rsidRPr="00835831">
              <w:rPr>
                <w:rFonts w:ascii="Calibri" w:hAnsi="Calibri"/>
                <w:color w:val="000000"/>
                <w:lang w:eastAsia="en-GB"/>
              </w:rPr>
              <w:t>0</w:t>
            </w:r>
            <w:r w:rsidR="00BE1531" w:rsidRPr="00835831">
              <w:rPr>
                <w:rFonts w:ascii="Calibri" w:hAnsi="Calibri"/>
                <w:color w:val="000000"/>
                <w:lang w:eastAsia="en-GB"/>
              </w:rPr>
              <w:t> </w:t>
            </w:r>
          </w:p>
        </w:tc>
      </w:tr>
      <w:tr w:rsidR="00BE1531" w:rsidRPr="00BE1531" w14:paraId="3BCA032C" w14:textId="77777777" w:rsidTr="00373B1A">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640D524E" w14:textId="77777777" w:rsidR="00BE1531" w:rsidRPr="00835831" w:rsidRDefault="00BE1531" w:rsidP="00B137D8">
            <w:pPr>
              <w:rPr>
                <w:rFonts w:ascii="Calibri" w:hAnsi="Calibri"/>
                <w:color w:val="000000"/>
                <w:lang w:eastAsia="en-GB"/>
              </w:rPr>
            </w:pPr>
            <w:r w:rsidRPr="00835831">
              <w:rPr>
                <w:rFonts w:ascii="Calibri" w:hAnsi="Calibri"/>
                <w:color w:val="000000"/>
                <w:lang w:eastAsia="en-GB"/>
              </w:rPr>
              <w:t>Short-term borrowings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hideMark/>
          </w:tcPr>
          <w:p w14:paraId="6E1B5DC3" w14:textId="77777777" w:rsidR="00BE1531" w:rsidRPr="00835831" w:rsidRDefault="00B52FF6" w:rsidP="00964C34">
            <w:pPr>
              <w:jc w:val="right"/>
              <w:rPr>
                <w:rFonts w:ascii="Calibri" w:hAnsi="Calibri"/>
                <w:color w:val="000000"/>
                <w:lang w:eastAsia="en-GB"/>
              </w:rPr>
            </w:pPr>
            <w:r>
              <w:rPr>
                <w:rFonts w:ascii="Calibri" w:hAnsi="Calibri"/>
                <w:color w:val="000000"/>
                <w:lang w:eastAsia="en-GB"/>
              </w:rPr>
              <w:t>-51</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hideMark/>
          </w:tcPr>
          <w:p w14:paraId="2AE90378" w14:textId="468599A9" w:rsidR="00BE1531" w:rsidRPr="00835831" w:rsidRDefault="0025199A" w:rsidP="00B52FF6">
            <w:pPr>
              <w:jc w:val="right"/>
              <w:rPr>
                <w:rFonts w:ascii="Calibri" w:hAnsi="Calibri"/>
                <w:color w:val="000000"/>
                <w:lang w:eastAsia="en-GB"/>
              </w:rPr>
            </w:pPr>
            <w:r>
              <w:rPr>
                <w:rFonts w:ascii="Calibri" w:hAnsi="Calibri"/>
                <w:color w:val="000000"/>
                <w:lang w:eastAsia="en-GB"/>
              </w:rPr>
              <w:t>-1,162</w:t>
            </w:r>
          </w:p>
        </w:tc>
        <w:tc>
          <w:tcPr>
            <w:tcW w:w="1134" w:type="dxa"/>
            <w:tcBorders>
              <w:top w:val="nil"/>
              <w:left w:val="nil"/>
              <w:bottom w:val="single" w:sz="4" w:space="0" w:color="FFFFFF"/>
              <w:right w:val="single" w:sz="4" w:space="0" w:color="FFFFFF"/>
            </w:tcBorders>
            <w:shd w:val="clear" w:color="auto" w:fill="DBE5F1" w:themeFill="accent1" w:themeFillTint="33"/>
            <w:noWrap/>
            <w:vAlign w:val="bottom"/>
            <w:hideMark/>
          </w:tcPr>
          <w:p w14:paraId="4836CF5C" w14:textId="77777777" w:rsidR="00BE1531" w:rsidRPr="00835831" w:rsidRDefault="003A77F0" w:rsidP="003A77F0">
            <w:pPr>
              <w:jc w:val="right"/>
              <w:rPr>
                <w:rFonts w:ascii="Calibri" w:hAnsi="Calibri"/>
                <w:color w:val="000000"/>
                <w:lang w:eastAsia="en-GB"/>
              </w:rPr>
            </w:pPr>
            <w:r w:rsidRPr="00835831">
              <w:rPr>
                <w:rFonts w:ascii="Calibri" w:hAnsi="Calibri"/>
                <w:color w:val="000000"/>
                <w:lang w:eastAsia="en-GB"/>
              </w:rPr>
              <w:t>0</w:t>
            </w:r>
          </w:p>
        </w:tc>
        <w:tc>
          <w:tcPr>
            <w:tcW w:w="1443" w:type="dxa"/>
            <w:tcBorders>
              <w:top w:val="nil"/>
              <w:left w:val="nil"/>
              <w:bottom w:val="single" w:sz="4" w:space="0" w:color="FFFFFF"/>
              <w:right w:val="single" w:sz="4" w:space="0" w:color="FFFFFF"/>
            </w:tcBorders>
            <w:shd w:val="clear" w:color="auto" w:fill="DBE5F1" w:themeFill="accent1" w:themeFillTint="33"/>
            <w:noWrap/>
            <w:vAlign w:val="bottom"/>
            <w:hideMark/>
          </w:tcPr>
          <w:p w14:paraId="79BDE22C" w14:textId="77777777" w:rsidR="00BE1531" w:rsidRPr="00835831" w:rsidRDefault="003A77F0" w:rsidP="003A77F0">
            <w:pPr>
              <w:jc w:val="right"/>
              <w:rPr>
                <w:rFonts w:ascii="Calibri" w:hAnsi="Calibri"/>
                <w:color w:val="000000"/>
                <w:lang w:eastAsia="en-GB"/>
              </w:rPr>
            </w:pPr>
            <w:r w:rsidRPr="00835831">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hideMark/>
          </w:tcPr>
          <w:p w14:paraId="049AA574" w14:textId="12A6B995" w:rsidR="00BE1531" w:rsidRPr="00835831" w:rsidRDefault="00964C34" w:rsidP="00B52FF6">
            <w:pPr>
              <w:jc w:val="right"/>
              <w:rPr>
                <w:rFonts w:ascii="Calibri" w:hAnsi="Calibri"/>
                <w:color w:val="000000"/>
                <w:lang w:eastAsia="en-GB"/>
              </w:rPr>
            </w:pPr>
            <w:r>
              <w:rPr>
                <w:rFonts w:ascii="Calibri" w:hAnsi="Calibri"/>
                <w:color w:val="000000"/>
                <w:lang w:eastAsia="en-GB"/>
              </w:rPr>
              <w:t>-</w:t>
            </w:r>
            <w:r w:rsidR="0025199A">
              <w:rPr>
                <w:rFonts w:ascii="Calibri" w:hAnsi="Calibri"/>
                <w:color w:val="000000"/>
                <w:lang w:eastAsia="en-GB"/>
              </w:rPr>
              <w:t>1,213</w:t>
            </w:r>
          </w:p>
        </w:tc>
      </w:tr>
      <w:tr w:rsidR="00BE1531" w:rsidRPr="00BE1531" w14:paraId="39BC67E8" w14:textId="77777777" w:rsidTr="00373B1A">
        <w:trPr>
          <w:trHeight w:val="300"/>
        </w:trPr>
        <w:tc>
          <w:tcPr>
            <w:tcW w:w="3984" w:type="dxa"/>
            <w:tcBorders>
              <w:top w:val="nil"/>
              <w:left w:val="single" w:sz="4" w:space="0" w:color="FFFFFF"/>
              <w:bottom w:val="single" w:sz="4" w:space="0" w:color="FFFFFF"/>
              <w:right w:val="single" w:sz="4" w:space="0" w:color="FFFFFF"/>
            </w:tcBorders>
            <w:shd w:val="clear" w:color="auto" w:fill="DBE5F1" w:themeFill="accent1" w:themeFillTint="33"/>
            <w:noWrap/>
            <w:vAlign w:val="bottom"/>
            <w:hideMark/>
          </w:tcPr>
          <w:p w14:paraId="4FE87305" w14:textId="77777777" w:rsidR="00BE1531" w:rsidRPr="00835831" w:rsidRDefault="00BE1531" w:rsidP="00B137D8">
            <w:pPr>
              <w:rPr>
                <w:rFonts w:ascii="Calibri" w:hAnsi="Calibri"/>
                <w:color w:val="000000"/>
                <w:lang w:eastAsia="en-GB"/>
              </w:rPr>
            </w:pPr>
            <w:r w:rsidRPr="00835831">
              <w:rPr>
                <w:rFonts w:ascii="Calibri" w:hAnsi="Calibri"/>
                <w:color w:val="000000"/>
                <w:lang w:eastAsia="en-GB"/>
              </w:rPr>
              <w:t>Lease Liabilities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hideMark/>
          </w:tcPr>
          <w:p w14:paraId="23915DF6" w14:textId="49C11F5E" w:rsidR="00BE1531" w:rsidRPr="00835831" w:rsidRDefault="0025199A" w:rsidP="006F23A0">
            <w:pPr>
              <w:jc w:val="right"/>
              <w:rPr>
                <w:rFonts w:ascii="Calibri" w:hAnsi="Calibri"/>
                <w:color w:val="000000"/>
                <w:lang w:eastAsia="en-GB"/>
              </w:rPr>
            </w:pPr>
            <w:r>
              <w:rPr>
                <w:rFonts w:ascii="Calibri" w:hAnsi="Calibri"/>
                <w:color w:val="000000"/>
                <w:lang w:eastAsia="en-GB"/>
              </w:rPr>
              <w:t>-244</w:t>
            </w:r>
          </w:p>
        </w:tc>
        <w:tc>
          <w:tcPr>
            <w:tcW w:w="1174" w:type="dxa"/>
            <w:tcBorders>
              <w:top w:val="nil"/>
              <w:left w:val="nil"/>
              <w:bottom w:val="single" w:sz="4" w:space="0" w:color="FFFFFF"/>
              <w:right w:val="single" w:sz="4" w:space="0" w:color="FFFFFF"/>
            </w:tcBorders>
            <w:shd w:val="clear" w:color="auto" w:fill="DBE5F1" w:themeFill="accent1" w:themeFillTint="33"/>
            <w:noWrap/>
            <w:vAlign w:val="bottom"/>
            <w:hideMark/>
          </w:tcPr>
          <w:p w14:paraId="1ACE635D" w14:textId="4D680B12" w:rsidR="00BE1531" w:rsidRPr="00835831" w:rsidRDefault="0025199A" w:rsidP="00835831">
            <w:pPr>
              <w:jc w:val="right"/>
              <w:rPr>
                <w:rFonts w:ascii="Calibri" w:hAnsi="Calibri"/>
                <w:color w:val="000000"/>
                <w:lang w:eastAsia="en-GB"/>
              </w:rPr>
            </w:pPr>
            <w:r>
              <w:rPr>
                <w:rFonts w:ascii="Calibri" w:hAnsi="Calibri"/>
                <w:color w:val="000000"/>
                <w:lang w:eastAsia="en-GB"/>
              </w:rPr>
              <w:t>604</w:t>
            </w:r>
          </w:p>
        </w:tc>
        <w:tc>
          <w:tcPr>
            <w:tcW w:w="1134" w:type="dxa"/>
            <w:tcBorders>
              <w:top w:val="nil"/>
              <w:left w:val="nil"/>
              <w:bottom w:val="single" w:sz="4" w:space="0" w:color="FFFFFF"/>
              <w:right w:val="single" w:sz="4" w:space="0" w:color="FFFFFF"/>
            </w:tcBorders>
            <w:shd w:val="clear" w:color="auto" w:fill="DBE5F1" w:themeFill="accent1" w:themeFillTint="33"/>
            <w:noWrap/>
            <w:vAlign w:val="bottom"/>
            <w:hideMark/>
          </w:tcPr>
          <w:p w14:paraId="7AC694B7" w14:textId="77777777" w:rsidR="00BE1531" w:rsidRPr="00835831" w:rsidRDefault="003A77F0" w:rsidP="003A77F0">
            <w:pPr>
              <w:jc w:val="right"/>
              <w:rPr>
                <w:rFonts w:ascii="Calibri" w:hAnsi="Calibri"/>
                <w:color w:val="000000"/>
                <w:lang w:eastAsia="en-GB"/>
              </w:rPr>
            </w:pPr>
            <w:r w:rsidRPr="00835831">
              <w:rPr>
                <w:rFonts w:ascii="Calibri" w:hAnsi="Calibri"/>
                <w:color w:val="000000"/>
                <w:lang w:eastAsia="en-GB"/>
              </w:rPr>
              <w:t>0</w:t>
            </w:r>
          </w:p>
        </w:tc>
        <w:tc>
          <w:tcPr>
            <w:tcW w:w="1443" w:type="dxa"/>
            <w:tcBorders>
              <w:top w:val="nil"/>
              <w:left w:val="nil"/>
              <w:bottom w:val="single" w:sz="4" w:space="0" w:color="FFFFFF"/>
              <w:right w:val="single" w:sz="4" w:space="0" w:color="FFFFFF"/>
            </w:tcBorders>
            <w:shd w:val="clear" w:color="auto" w:fill="DBE5F1" w:themeFill="accent1" w:themeFillTint="33"/>
            <w:noWrap/>
            <w:vAlign w:val="bottom"/>
            <w:hideMark/>
          </w:tcPr>
          <w:p w14:paraId="2F441795" w14:textId="77777777" w:rsidR="00BE1531" w:rsidRPr="00835831" w:rsidRDefault="00BB7007" w:rsidP="003A77F0">
            <w:pPr>
              <w:jc w:val="right"/>
              <w:rPr>
                <w:rFonts w:ascii="Calibri" w:hAnsi="Calibri"/>
                <w:color w:val="000000"/>
                <w:lang w:eastAsia="en-GB"/>
              </w:rPr>
            </w:pPr>
            <w:r w:rsidRPr="00835831">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hideMark/>
          </w:tcPr>
          <w:p w14:paraId="62498692" w14:textId="0CB228F6" w:rsidR="00BE1531" w:rsidRPr="00835831" w:rsidRDefault="00BE1531" w:rsidP="00835831">
            <w:pPr>
              <w:jc w:val="right"/>
              <w:rPr>
                <w:rFonts w:ascii="Calibri" w:hAnsi="Calibri"/>
                <w:color w:val="000000"/>
                <w:lang w:eastAsia="en-GB"/>
              </w:rPr>
            </w:pPr>
            <w:r w:rsidRPr="00835831">
              <w:rPr>
                <w:rFonts w:ascii="Calibri" w:hAnsi="Calibri"/>
                <w:color w:val="000000"/>
                <w:lang w:eastAsia="en-GB"/>
              </w:rPr>
              <w:t> </w:t>
            </w:r>
            <w:r w:rsidR="0025199A">
              <w:rPr>
                <w:rFonts w:ascii="Calibri" w:hAnsi="Calibri"/>
                <w:color w:val="000000"/>
                <w:lang w:eastAsia="en-GB"/>
              </w:rPr>
              <w:t>360</w:t>
            </w:r>
          </w:p>
        </w:tc>
      </w:tr>
      <w:tr w:rsidR="00BE1531" w:rsidRPr="00BE1531" w14:paraId="410342A5" w14:textId="77777777" w:rsidTr="00373B1A">
        <w:trPr>
          <w:trHeight w:val="300"/>
        </w:trPr>
        <w:tc>
          <w:tcPr>
            <w:tcW w:w="3984" w:type="dxa"/>
            <w:tcBorders>
              <w:top w:val="nil"/>
              <w:left w:val="single" w:sz="4" w:space="0" w:color="FFFFFF"/>
              <w:bottom w:val="single" w:sz="4" w:space="0" w:color="FFFFFF"/>
              <w:right w:val="single" w:sz="4" w:space="0" w:color="FFFFFF"/>
            </w:tcBorders>
            <w:shd w:val="clear" w:color="auto" w:fill="B8CCE4" w:themeFill="accent1" w:themeFillTint="66"/>
            <w:noWrap/>
            <w:vAlign w:val="bottom"/>
            <w:hideMark/>
          </w:tcPr>
          <w:p w14:paraId="0BEAF318" w14:textId="77777777" w:rsidR="00BE1531" w:rsidRPr="00835831" w:rsidRDefault="00BE1531" w:rsidP="00B137D8">
            <w:pPr>
              <w:rPr>
                <w:rFonts w:ascii="Calibri" w:hAnsi="Calibri"/>
                <w:b/>
                <w:color w:val="000000"/>
                <w:lang w:eastAsia="en-GB"/>
              </w:rPr>
            </w:pPr>
            <w:r w:rsidRPr="00835831">
              <w:rPr>
                <w:rFonts w:ascii="Calibri" w:hAnsi="Calibri"/>
                <w:b/>
                <w:color w:val="000000"/>
                <w:lang w:eastAsia="en-GB"/>
              </w:rPr>
              <w:t>Total Liabilities from Financing Activities</w:t>
            </w:r>
          </w:p>
        </w:tc>
        <w:tc>
          <w:tcPr>
            <w:tcW w:w="1236" w:type="dxa"/>
            <w:tcBorders>
              <w:top w:val="nil"/>
              <w:left w:val="nil"/>
              <w:bottom w:val="single" w:sz="4" w:space="0" w:color="FFFFFF"/>
              <w:right w:val="single" w:sz="4" w:space="0" w:color="FFFFFF"/>
            </w:tcBorders>
            <w:shd w:val="clear" w:color="auto" w:fill="B8CCE4" w:themeFill="accent1" w:themeFillTint="66"/>
            <w:noWrap/>
            <w:vAlign w:val="bottom"/>
            <w:hideMark/>
          </w:tcPr>
          <w:p w14:paraId="4F7CA1F4" w14:textId="48F7C3E0" w:rsidR="00BE1531" w:rsidRPr="00835831" w:rsidRDefault="00BE1531" w:rsidP="006F23A0">
            <w:pPr>
              <w:jc w:val="right"/>
              <w:rPr>
                <w:rFonts w:ascii="Calibri" w:hAnsi="Calibri"/>
                <w:color w:val="000000"/>
                <w:lang w:eastAsia="en-GB"/>
              </w:rPr>
            </w:pPr>
            <w:r w:rsidRPr="00835831">
              <w:rPr>
                <w:rFonts w:ascii="Calibri" w:hAnsi="Calibri"/>
                <w:color w:val="000000"/>
                <w:lang w:eastAsia="en-GB"/>
              </w:rPr>
              <w:t> </w:t>
            </w:r>
            <w:r w:rsidR="0025199A">
              <w:rPr>
                <w:rFonts w:ascii="Calibri" w:hAnsi="Calibri"/>
                <w:color w:val="000000"/>
                <w:lang w:eastAsia="en-GB"/>
              </w:rPr>
              <w:t>-295</w:t>
            </w:r>
          </w:p>
        </w:tc>
        <w:tc>
          <w:tcPr>
            <w:tcW w:w="1174" w:type="dxa"/>
            <w:tcBorders>
              <w:top w:val="nil"/>
              <w:left w:val="nil"/>
              <w:bottom w:val="single" w:sz="4" w:space="0" w:color="FFFFFF"/>
              <w:right w:val="single" w:sz="4" w:space="0" w:color="FFFFFF"/>
            </w:tcBorders>
            <w:shd w:val="clear" w:color="auto" w:fill="B8CCE4" w:themeFill="accent1" w:themeFillTint="66"/>
            <w:noWrap/>
            <w:vAlign w:val="bottom"/>
            <w:hideMark/>
          </w:tcPr>
          <w:p w14:paraId="7B5DFD5B" w14:textId="47CBD0C8" w:rsidR="00BE1531" w:rsidRPr="00835831" w:rsidRDefault="00BA7B40" w:rsidP="00835831">
            <w:pPr>
              <w:jc w:val="right"/>
              <w:rPr>
                <w:rFonts w:ascii="Calibri" w:hAnsi="Calibri"/>
                <w:color w:val="000000"/>
                <w:lang w:eastAsia="en-GB"/>
              </w:rPr>
            </w:pPr>
            <w:r>
              <w:rPr>
                <w:rFonts w:ascii="Calibri" w:hAnsi="Calibri"/>
                <w:color w:val="000000"/>
                <w:lang w:eastAsia="en-GB"/>
              </w:rPr>
              <w:t>-</w:t>
            </w:r>
            <w:r w:rsidR="0025199A">
              <w:rPr>
                <w:rFonts w:ascii="Calibri" w:hAnsi="Calibri"/>
                <w:color w:val="000000"/>
                <w:lang w:eastAsia="en-GB"/>
              </w:rPr>
              <w:t>558</w:t>
            </w:r>
          </w:p>
        </w:tc>
        <w:tc>
          <w:tcPr>
            <w:tcW w:w="1134" w:type="dxa"/>
            <w:tcBorders>
              <w:top w:val="nil"/>
              <w:left w:val="nil"/>
              <w:bottom w:val="single" w:sz="4" w:space="0" w:color="FFFFFF"/>
              <w:right w:val="single" w:sz="4" w:space="0" w:color="FFFFFF"/>
            </w:tcBorders>
            <w:shd w:val="clear" w:color="auto" w:fill="B8CCE4" w:themeFill="accent1" w:themeFillTint="66"/>
            <w:noWrap/>
            <w:vAlign w:val="bottom"/>
            <w:hideMark/>
          </w:tcPr>
          <w:p w14:paraId="5FCD8597" w14:textId="77777777" w:rsidR="00BE1531" w:rsidRPr="00835831" w:rsidRDefault="00BB7007" w:rsidP="003A77F0">
            <w:pPr>
              <w:jc w:val="right"/>
              <w:rPr>
                <w:rFonts w:ascii="Calibri" w:hAnsi="Calibri"/>
                <w:color w:val="000000"/>
                <w:lang w:eastAsia="en-GB"/>
              </w:rPr>
            </w:pPr>
            <w:r w:rsidRPr="00835831">
              <w:rPr>
                <w:rFonts w:ascii="Calibri" w:hAnsi="Calibri"/>
                <w:color w:val="000000"/>
                <w:lang w:eastAsia="en-GB"/>
              </w:rPr>
              <w:t>0</w:t>
            </w:r>
          </w:p>
        </w:tc>
        <w:tc>
          <w:tcPr>
            <w:tcW w:w="1443" w:type="dxa"/>
            <w:tcBorders>
              <w:top w:val="nil"/>
              <w:left w:val="nil"/>
              <w:bottom w:val="single" w:sz="4" w:space="0" w:color="FFFFFF"/>
              <w:right w:val="single" w:sz="4" w:space="0" w:color="FFFFFF"/>
            </w:tcBorders>
            <w:shd w:val="clear" w:color="auto" w:fill="B8CCE4" w:themeFill="accent1" w:themeFillTint="66"/>
            <w:noWrap/>
            <w:vAlign w:val="bottom"/>
            <w:hideMark/>
          </w:tcPr>
          <w:p w14:paraId="6A8AE3AB" w14:textId="77777777" w:rsidR="00BE1531" w:rsidRPr="00835831" w:rsidRDefault="00BB7007" w:rsidP="003A77F0">
            <w:pPr>
              <w:jc w:val="right"/>
              <w:rPr>
                <w:rFonts w:ascii="Calibri" w:hAnsi="Calibri"/>
                <w:color w:val="000000"/>
                <w:lang w:eastAsia="en-GB"/>
              </w:rPr>
            </w:pPr>
            <w:r w:rsidRPr="00835831">
              <w:rPr>
                <w:rFonts w:ascii="Calibri" w:hAnsi="Calibri"/>
                <w:color w:val="000000"/>
                <w:lang w:eastAsia="en-GB"/>
              </w:rPr>
              <w:t>0</w:t>
            </w:r>
          </w:p>
        </w:tc>
        <w:tc>
          <w:tcPr>
            <w:tcW w:w="1360" w:type="dxa"/>
            <w:tcBorders>
              <w:top w:val="nil"/>
              <w:left w:val="nil"/>
              <w:bottom w:val="single" w:sz="4" w:space="0" w:color="FFFFFF"/>
              <w:right w:val="single" w:sz="4" w:space="0" w:color="FFFFFF"/>
            </w:tcBorders>
            <w:shd w:val="clear" w:color="auto" w:fill="B8CCE4" w:themeFill="accent1" w:themeFillTint="66"/>
            <w:noWrap/>
            <w:vAlign w:val="bottom"/>
            <w:hideMark/>
          </w:tcPr>
          <w:p w14:paraId="6D4D13F3" w14:textId="17544672" w:rsidR="00BE1531" w:rsidRPr="00835831" w:rsidRDefault="00BA7B40" w:rsidP="00835831">
            <w:pPr>
              <w:jc w:val="right"/>
              <w:rPr>
                <w:rFonts w:ascii="Calibri" w:hAnsi="Calibri"/>
                <w:color w:val="000000"/>
                <w:lang w:eastAsia="en-GB"/>
              </w:rPr>
            </w:pPr>
            <w:r>
              <w:rPr>
                <w:rFonts w:ascii="Calibri" w:hAnsi="Calibri"/>
                <w:color w:val="000000"/>
                <w:lang w:eastAsia="en-GB"/>
              </w:rPr>
              <w:t>-</w:t>
            </w:r>
            <w:r w:rsidR="0025199A">
              <w:rPr>
                <w:rFonts w:ascii="Calibri" w:hAnsi="Calibri"/>
                <w:color w:val="000000"/>
                <w:lang w:eastAsia="en-GB"/>
              </w:rPr>
              <w:t>853</w:t>
            </w:r>
          </w:p>
        </w:tc>
      </w:tr>
    </w:tbl>
    <w:p w14:paraId="3607E1AF" w14:textId="77777777" w:rsidR="006E325D" w:rsidRDefault="006E325D" w:rsidP="00B921B9">
      <w:pPr>
        <w:pStyle w:val="Title"/>
        <w:rPr>
          <w:rFonts w:cs="Arial"/>
          <w:szCs w:val="28"/>
        </w:rPr>
      </w:pPr>
    </w:p>
    <w:p w14:paraId="3BE94EF8" w14:textId="75FCE86F" w:rsidR="004B7E57" w:rsidRPr="00B921B9" w:rsidRDefault="007C6C6F" w:rsidP="007C6C6F">
      <w:pPr>
        <w:pStyle w:val="Heading2"/>
      </w:pPr>
      <w:r>
        <w:t>39</w:t>
      </w:r>
      <w:r>
        <w:tab/>
        <w:t>Accounting Policies</w:t>
      </w:r>
    </w:p>
    <w:p w14:paraId="00874CC0" w14:textId="77777777" w:rsidR="00B921B9" w:rsidRDefault="00B921B9" w:rsidP="00B921B9">
      <w:pPr>
        <w:pStyle w:val="Title"/>
        <w:rPr>
          <w:rFonts w:ascii="Arial" w:hAnsi="Arial" w:cs="Arial"/>
        </w:rPr>
      </w:pPr>
    </w:p>
    <w:p w14:paraId="61980E41" w14:textId="77777777" w:rsidR="00DB0B40" w:rsidRPr="004D15C5" w:rsidRDefault="00DB0B40" w:rsidP="00C76AD3">
      <w:pPr>
        <w:pStyle w:val="ListParagraph"/>
        <w:widowControl w:val="0"/>
        <w:numPr>
          <w:ilvl w:val="0"/>
          <w:numId w:val="42"/>
        </w:numPr>
        <w:ind w:hanging="720"/>
        <w:jc w:val="both"/>
        <w:rPr>
          <w:rFonts w:asciiTheme="minorHAnsi" w:hAnsiTheme="minorHAnsi" w:cs="Arial"/>
          <w:b/>
          <w:sz w:val="24"/>
          <w:szCs w:val="24"/>
        </w:rPr>
      </w:pPr>
      <w:r w:rsidRPr="004D15C5">
        <w:rPr>
          <w:rFonts w:asciiTheme="minorHAnsi" w:hAnsiTheme="minorHAnsi" w:cs="Arial"/>
          <w:b/>
          <w:sz w:val="24"/>
          <w:szCs w:val="24"/>
        </w:rPr>
        <w:t>Basis of Preparation</w:t>
      </w:r>
    </w:p>
    <w:p w14:paraId="2167CFC6" w14:textId="77777777" w:rsidR="00DB0B40" w:rsidRPr="00DB0B40" w:rsidRDefault="00DB0B40" w:rsidP="00DB0B40">
      <w:pPr>
        <w:pStyle w:val="ListParagraph"/>
        <w:widowControl w:val="0"/>
        <w:jc w:val="both"/>
        <w:rPr>
          <w:rFonts w:asciiTheme="minorHAnsi" w:hAnsiTheme="minorHAnsi" w:cs="Arial"/>
          <w:b/>
          <w:sz w:val="24"/>
          <w:szCs w:val="24"/>
        </w:rPr>
      </w:pPr>
    </w:p>
    <w:p w14:paraId="269A9D0C" w14:textId="77777777" w:rsidR="004B7E57" w:rsidRPr="00B921B9" w:rsidRDefault="004B7E57" w:rsidP="00A84005">
      <w:pPr>
        <w:widowControl w:val="0"/>
        <w:jc w:val="both"/>
        <w:rPr>
          <w:rFonts w:asciiTheme="minorHAnsi" w:hAnsiTheme="minorHAnsi" w:cs="Arial"/>
          <w:sz w:val="22"/>
          <w:szCs w:val="22"/>
        </w:rPr>
      </w:pPr>
      <w:r w:rsidRPr="00B921B9">
        <w:rPr>
          <w:rFonts w:asciiTheme="minorHAnsi" w:hAnsiTheme="minorHAnsi" w:cs="Arial"/>
          <w:sz w:val="22"/>
          <w:szCs w:val="22"/>
        </w:rPr>
        <w:t>The Statement of Accounts has been prepared with reference to:</w:t>
      </w:r>
    </w:p>
    <w:p w14:paraId="14879F17" w14:textId="77777777" w:rsidR="004B7E57" w:rsidRPr="00B921B9" w:rsidRDefault="004B7E57" w:rsidP="00A84005">
      <w:pPr>
        <w:widowControl w:val="0"/>
        <w:jc w:val="both"/>
        <w:rPr>
          <w:rFonts w:asciiTheme="minorHAnsi" w:hAnsiTheme="minorHAnsi" w:cs="Arial"/>
          <w:sz w:val="22"/>
          <w:szCs w:val="22"/>
        </w:rPr>
      </w:pPr>
    </w:p>
    <w:p w14:paraId="31EF0501" w14:textId="77777777" w:rsidR="004B7E57" w:rsidRPr="00B921B9" w:rsidRDefault="004B7E57" w:rsidP="00C76AD3">
      <w:pPr>
        <w:widowControl w:val="0"/>
        <w:numPr>
          <w:ilvl w:val="0"/>
          <w:numId w:val="18"/>
        </w:numPr>
        <w:spacing w:after="120"/>
        <w:ind w:left="709" w:hanging="283"/>
        <w:jc w:val="both"/>
        <w:rPr>
          <w:rFonts w:asciiTheme="minorHAnsi" w:hAnsiTheme="minorHAnsi" w:cs="Arial"/>
          <w:sz w:val="22"/>
          <w:szCs w:val="22"/>
        </w:rPr>
      </w:pPr>
      <w:r w:rsidRPr="00B921B9">
        <w:rPr>
          <w:rFonts w:asciiTheme="minorHAnsi" w:hAnsiTheme="minorHAnsi" w:cs="Arial"/>
          <w:sz w:val="22"/>
          <w:szCs w:val="22"/>
        </w:rPr>
        <w:t xml:space="preserve">The objective of providing information about the financial position, performance and cash flows in a way that meets the ‘common needs of most </w:t>
      </w:r>
      <w:proofErr w:type="gramStart"/>
      <w:r w:rsidRPr="00B921B9">
        <w:rPr>
          <w:rFonts w:asciiTheme="minorHAnsi" w:hAnsiTheme="minorHAnsi" w:cs="Arial"/>
          <w:sz w:val="22"/>
          <w:szCs w:val="22"/>
        </w:rPr>
        <w:t>users’</w:t>
      </w:r>
      <w:proofErr w:type="gramEnd"/>
      <w:r w:rsidRPr="00B921B9">
        <w:rPr>
          <w:rFonts w:asciiTheme="minorHAnsi" w:hAnsiTheme="minorHAnsi" w:cs="Arial"/>
          <w:sz w:val="22"/>
          <w:szCs w:val="22"/>
        </w:rPr>
        <w:t>.</w:t>
      </w:r>
    </w:p>
    <w:p w14:paraId="399FD46D" w14:textId="77777777" w:rsidR="004B7E57" w:rsidRPr="00B921B9" w:rsidRDefault="004B7E57" w:rsidP="00C76AD3">
      <w:pPr>
        <w:widowControl w:val="0"/>
        <w:numPr>
          <w:ilvl w:val="0"/>
          <w:numId w:val="18"/>
        </w:numPr>
        <w:spacing w:after="120"/>
        <w:ind w:left="709" w:hanging="283"/>
        <w:jc w:val="both"/>
        <w:rPr>
          <w:rFonts w:asciiTheme="minorHAnsi" w:hAnsiTheme="minorHAnsi" w:cs="Arial"/>
          <w:sz w:val="22"/>
          <w:szCs w:val="22"/>
        </w:rPr>
      </w:pPr>
      <w:r w:rsidRPr="00B921B9">
        <w:rPr>
          <w:rFonts w:asciiTheme="minorHAnsi" w:hAnsiTheme="minorHAnsi" w:cs="Arial"/>
          <w:sz w:val="22"/>
          <w:szCs w:val="22"/>
        </w:rPr>
        <w:t>The objective of showing the results of the stewardship and accountability of elected members and management of the resources entrusted to them.</w:t>
      </w:r>
    </w:p>
    <w:p w14:paraId="43A52400" w14:textId="77777777" w:rsidR="004B7E57" w:rsidRPr="00B921B9" w:rsidRDefault="004B7E57" w:rsidP="00A84005">
      <w:pPr>
        <w:widowControl w:val="0"/>
        <w:jc w:val="both"/>
        <w:rPr>
          <w:rFonts w:asciiTheme="minorHAnsi" w:hAnsiTheme="minorHAnsi" w:cs="Arial"/>
          <w:sz w:val="22"/>
          <w:szCs w:val="22"/>
        </w:rPr>
      </w:pPr>
      <w:r w:rsidRPr="00B921B9">
        <w:rPr>
          <w:rFonts w:asciiTheme="minorHAnsi" w:hAnsiTheme="minorHAnsi" w:cs="Arial"/>
          <w:sz w:val="22"/>
          <w:szCs w:val="22"/>
        </w:rPr>
        <w:t>The following underlying assumption:</w:t>
      </w:r>
    </w:p>
    <w:p w14:paraId="3162FC00" w14:textId="77777777" w:rsidR="004B7E57" w:rsidRPr="00B921B9" w:rsidRDefault="004B7E57" w:rsidP="00A84005">
      <w:pPr>
        <w:widowControl w:val="0"/>
        <w:jc w:val="both"/>
        <w:rPr>
          <w:rFonts w:asciiTheme="minorHAnsi" w:hAnsiTheme="minorHAnsi" w:cs="Arial"/>
          <w:sz w:val="22"/>
          <w:szCs w:val="22"/>
        </w:rPr>
      </w:pPr>
    </w:p>
    <w:p w14:paraId="3D6A6A56" w14:textId="77777777" w:rsidR="004B7E57" w:rsidRPr="00E63B61" w:rsidRDefault="004B7E57" w:rsidP="00DB0B40">
      <w:pPr>
        <w:widowControl w:val="0"/>
        <w:jc w:val="both"/>
        <w:rPr>
          <w:rFonts w:asciiTheme="minorHAnsi" w:hAnsiTheme="minorHAnsi" w:cs="Arial"/>
          <w:sz w:val="22"/>
          <w:szCs w:val="22"/>
          <w:u w:val="single"/>
        </w:rPr>
      </w:pPr>
      <w:r w:rsidRPr="00E63B61">
        <w:rPr>
          <w:rFonts w:asciiTheme="minorHAnsi" w:hAnsiTheme="minorHAnsi" w:cs="Arial"/>
          <w:sz w:val="22"/>
          <w:szCs w:val="22"/>
          <w:u w:val="single"/>
        </w:rPr>
        <w:t>Going concern basis</w:t>
      </w:r>
      <w:r w:rsidR="00DB0B40" w:rsidRPr="00E63B61">
        <w:rPr>
          <w:rFonts w:asciiTheme="minorHAnsi" w:hAnsiTheme="minorHAnsi" w:cs="Arial"/>
          <w:sz w:val="22"/>
          <w:szCs w:val="22"/>
          <w:u w:val="single"/>
        </w:rPr>
        <w:t>:</w:t>
      </w:r>
    </w:p>
    <w:p w14:paraId="367E3305" w14:textId="77777777" w:rsidR="004B7E57" w:rsidRPr="00BA7B40" w:rsidRDefault="004B7E57" w:rsidP="004B7E57">
      <w:pPr>
        <w:widowControl w:val="0"/>
        <w:ind w:left="-11"/>
        <w:jc w:val="both"/>
        <w:rPr>
          <w:rFonts w:asciiTheme="minorHAnsi" w:hAnsiTheme="minorHAnsi" w:cs="Arial"/>
          <w:sz w:val="22"/>
          <w:szCs w:val="22"/>
          <w:highlight w:val="yellow"/>
          <w:u w:val="single"/>
        </w:rPr>
      </w:pPr>
    </w:p>
    <w:p w14:paraId="22780F20" w14:textId="26FD8286" w:rsidR="00DB0B40" w:rsidRPr="006C3C6B" w:rsidRDefault="00DB0B40" w:rsidP="00DB0B40">
      <w:pPr>
        <w:jc w:val="both"/>
        <w:rPr>
          <w:rFonts w:asciiTheme="minorHAnsi" w:hAnsiTheme="minorHAnsi" w:cstheme="minorHAnsi"/>
          <w:sz w:val="22"/>
          <w:szCs w:val="22"/>
        </w:rPr>
      </w:pPr>
      <w:r w:rsidRPr="006C3C6B">
        <w:rPr>
          <w:rFonts w:asciiTheme="minorHAnsi" w:hAnsiTheme="minorHAnsi" w:cstheme="minorHAnsi"/>
          <w:sz w:val="22"/>
          <w:szCs w:val="22"/>
        </w:rPr>
        <w:t xml:space="preserve">The concept of a going concern assumes that the functions of the Council will continue in operational existence for the foreseeable future. The provisions in the Code (Code </w:t>
      </w:r>
      <w:proofErr w:type="gramStart"/>
      <w:r w:rsidRPr="006C3C6B">
        <w:rPr>
          <w:rFonts w:asciiTheme="minorHAnsi" w:hAnsiTheme="minorHAnsi" w:cstheme="minorHAnsi"/>
          <w:sz w:val="22"/>
          <w:szCs w:val="22"/>
        </w:rPr>
        <w:t>Of</w:t>
      </w:r>
      <w:proofErr w:type="gramEnd"/>
      <w:r w:rsidRPr="006C3C6B">
        <w:rPr>
          <w:rFonts w:asciiTheme="minorHAnsi" w:hAnsiTheme="minorHAnsi" w:cstheme="minorHAnsi"/>
          <w:sz w:val="22"/>
          <w:szCs w:val="22"/>
        </w:rPr>
        <w:t xml:space="preserve"> Practice On Local Authority Accounting In The United Kingdom 20</w:t>
      </w:r>
      <w:r w:rsidR="00B52FF6" w:rsidRPr="006C3C6B">
        <w:rPr>
          <w:rFonts w:asciiTheme="minorHAnsi" w:hAnsiTheme="minorHAnsi" w:cstheme="minorHAnsi"/>
          <w:sz w:val="22"/>
          <w:szCs w:val="22"/>
        </w:rPr>
        <w:t>2</w:t>
      </w:r>
      <w:r w:rsidR="0025199A" w:rsidRPr="006C3C6B">
        <w:rPr>
          <w:rFonts w:asciiTheme="minorHAnsi" w:hAnsiTheme="minorHAnsi" w:cstheme="minorHAnsi"/>
          <w:sz w:val="22"/>
          <w:szCs w:val="22"/>
        </w:rPr>
        <w:t>2</w:t>
      </w:r>
      <w:r w:rsidR="004D15C5" w:rsidRPr="006C3C6B">
        <w:rPr>
          <w:rFonts w:asciiTheme="minorHAnsi" w:hAnsiTheme="minorHAnsi" w:cstheme="minorHAnsi"/>
          <w:sz w:val="22"/>
          <w:szCs w:val="22"/>
        </w:rPr>
        <w:t>-</w:t>
      </w:r>
      <w:r w:rsidR="00B52FF6" w:rsidRPr="006C3C6B">
        <w:rPr>
          <w:rFonts w:asciiTheme="minorHAnsi" w:hAnsiTheme="minorHAnsi" w:cstheme="minorHAnsi"/>
          <w:sz w:val="22"/>
          <w:szCs w:val="22"/>
        </w:rPr>
        <w:t>2</w:t>
      </w:r>
      <w:r w:rsidR="0025199A" w:rsidRPr="006C3C6B">
        <w:rPr>
          <w:rFonts w:asciiTheme="minorHAnsi" w:hAnsiTheme="minorHAnsi" w:cstheme="minorHAnsi"/>
          <w:sz w:val="22"/>
          <w:szCs w:val="22"/>
        </w:rPr>
        <w:t>3</w:t>
      </w:r>
      <w:r w:rsidRPr="006C3C6B">
        <w:rPr>
          <w:rFonts w:asciiTheme="minorHAnsi" w:hAnsiTheme="minorHAnsi" w:cstheme="minorHAnsi"/>
          <w:sz w:val="22"/>
          <w:szCs w:val="22"/>
        </w:rPr>
        <w:t xml:space="preserve">) in respect of going concern reporting requirements reflect the economic and statutory environment in which the Council operates.   As a result of this, it would not therefore be appropriate for the financial statements to be provided on anything other than a going concern basis.  </w:t>
      </w:r>
    </w:p>
    <w:p w14:paraId="72E8FCF6" w14:textId="36C9547F" w:rsidR="00DB0B40" w:rsidRPr="0025199A" w:rsidRDefault="00DB0B40" w:rsidP="00DB0B40">
      <w:pPr>
        <w:jc w:val="both"/>
        <w:rPr>
          <w:rFonts w:asciiTheme="minorHAnsi" w:hAnsiTheme="minorHAnsi" w:cstheme="minorHAnsi"/>
          <w:sz w:val="22"/>
          <w:szCs w:val="22"/>
          <w:highlight w:val="yellow"/>
        </w:rPr>
      </w:pPr>
    </w:p>
    <w:p w14:paraId="41B60ADF" w14:textId="2AA8FFC8" w:rsidR="00274A22" w:rsidRPr="00AB0FBC" w:rsidRDefault="00274A22" w:rsidP="00274A22">
      <w:pPr>
        <w:pStyle w:val="MBCParagraphLevel1"/>
        <w:numPr>
          <w:ilvl w:val="0"/>
          <w:numId w:val="0"/>
        </w:numPr>
        <w:jc w:val="both"/>
        <w:rPr>
          <w:rFonts w:asciiTheme="minorHAnsi" w:hAnsiTheme="minorHAnsi" w:cstheme="minorHAnsi"/>
          <w:sz w:val="22"/>
          <w:szCs w:val="22"/>
        </w:rPr>
      </w:pPr>
      <w:r w:rsidRPr="00AB0FBC">
        <w:rPr>
          <w:rFonts w:asciiTheme="minorHAnsi" w:hAnsiTheme="minorHAnsi" w:cstheme="minorHAnsi"/>
          <w:sz w:val="22"/>
          <w:szCs w:val="22"/>
        </w:rPr>
        <w:t xml:space="preserve">The current economic climate continues to prove challenging for the Council in terms of financial management and is currently in a period of great uncertainty due to </w:t>
      </w:r>
      <w:r w:rsidR="00451BC8">
        <w:rPr>
          <w:rFonts w:asciiTheme="minorHAnsi" w:hAnsiTheme="minorHAnsi" w:cstheme="minorHAnsi"/>
          <w:sz w:val="22"/>
          <w:szCs w:val="22"/>
        </w:rPr>
        <w:t>non-delivery of the</w:t>
      </w:r>
      <w:r w:rsidRPr="00AB0FBC">
        <w:rPr>
          <w:rFonts w:asciiTheme="minorHAnsi" w:hAnsiTheme="minorHAnsi" w:cstheme="minorHAnsi"/>
          <w:sz w:val="22"/>
          <w:szCs w:val="22"/>
        </w:rPr>
        <w:t xml:space="preserve"> </w:t>
      </w:r>
      <w:proofErr w:type="gramStart"/>
      <w:r w:rsidRPr="00AB0FBC">
        <w:rPr>
          <w:rFonts w:asciiTheme="minorHAnsi" w:hAnsiTheme="minorHAnsi" w:cstheme="minorHAnsi"/>
          <w:sz w:val="22"/>
          <w:szCs w:val="22"/>
        </w:rPr>
        <w:t>long promised</w:t>
      </w:r>
      <w:proofErr w:type="gramEnd"/>
      <w:r w:rsidRPr="00AB0FBC">
        <w:rPr>
          <w:rFonts w:asciiTheme="minorHAnsi" w:hAnsiTheme="minorHAnsi" w:cstheme="minorHAnsi"/>
          <w:sz w:val="22"/>
          <w:szCs w:val="22"/>
        </w:rPr>
        <w:t xml:space="preserve"> funding review and ongoing impacts of the cost of living and inflationary increases.  </w:t>
      </w:r>
      <w:proofErr w:type="gramStart"/>
      <w:r>
        <w:rPr>
          <w:rFonts w:asciiTheme="minorHAnsi" w:hAnsiTheme="minorHAnsi" w:cstheme="minorHAnsi"/>
          <w:sz w:val="22"/>
          <w:szCs w:val="22"/>
        </w:rPr>
        <w:t>T</w:t>
      </w:r>
      <w:r w:rsidRPr="00AB0FBC">
        <w:rPr>
          <w:rFonts w:asciiTheme="minorHAnsi" w:hAnsiTheme="minorHAnsi" w:cstheme="minorHAnsi"/>
          <w:sz w:val="22"/>
          <w:szCs w:val="22"/>
        </w:rPr>
        <w:t>aking into account</w:t>
      </w:r>
      <w:proofErr w:type="gramEnd"/>
      <w:r w:rsidRPr="00AB0FBC">
        <w:rPr>
          <w:rFonts w:asciiTheme="minorHAnsi" w:hAnsiTheme="minorHAnsi" w:cstheme="minorHAnsi"/>
          <w:sz w:val="22"/>
          <w:szCs w:val="22"/>
        </w:rPr>
        <w:t xml:space="preserve"> the in-year pressures the close monitoring of the budget and proactive action taken as a result has resulted in a better position overall for general expenses with an increase to the corporate priorities reserve over that forecast</w:t>
      </w:r>
      <w:r>
        <w:rPr>
          <w:rFonts w:asciiTheme="minorHAnsi" w:hAnsiTheme="minorHAnsi" w:cstheme="minorHAnsi"/>
          <w:sz w:val="22"/>
          <w:szCs w:val="22"/>
        </w:rPr>
        <w:t xml:space="preserve">. For Special Expenses Melton Mowbray the position remains challenging with a forecast overspend being realised which has reduced the Special Expenses Reserve further over the original budget. With the need to consider future cemetery provision this makes the position on this fund extremely challenging. </w:t>
      </w:r>
    </w:p>
    <w:p w14:paraId="7FCBF57F" w14:textId="04CBDE9A" w:rsid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The Council’s medium term financial strategy approved in February 2023 when the budget for 202</w:t>
      </w:r>
      <w:r w:rsidR="00451BC8">
        <w:rPr>
          <w:rFonts w:asciiTheme="minorHAnsi" w:hAnsiTheme="minorHAnsi" w:cstheme="minorHAnsi"/>
          <w:sz w:val="22"/>
          <w:szCs w:val="22"/>
        </w:rPr>
        <w:t>3</w:t>
      </w:r>
      <w:r w:rsidRPr="00274A22">
        <w:rPr>
          <w:rFonts w:asciiTheme="minorHAnsi" w:hAnsiTheme="minorHAnsi" w:cstheme="minorHAnsi"/>
          <w:sz w:val="22"/>
          <w:szCs w:val="22"/>
        </w:rPr>
        <w:t>-24 was approved provides forward forecasts for the next 3 financial year</w:t>
      </w:r>
      <w:r w:rsidR="00451BC8">
        <w:rPr>
          <w:rFonts w:asciiTheme="minorHAnsi" w:hAnsiTheme="minorHAnsi" w:cstheme="minorHAnsi"/>
          <w:sz w:val="22"/>
          <w:szCs w:val="22"/>
        </w:rPr>
        <w:t>s</w:t>
      </w:r>
      <w:r w:rsidRPr="00274A22">
        <w:rPr>
          <w:rFonts w:asciiTheme="minorHAnsi" w:hAnsiTheme="minorHAnsi" w:cstheme="minorHAnsi"/>
          <w:sz w:val="22"/>
          <w:szCs w:val="22"/>
        </w:rPr>
        <w:t xml:space="preserve">. These indicate potential deficits in later years as a result of inflationary pressures, demand and service changes. There is also considerable uncertainty regarding the nature and level of government funding in the future for local authorities and the risk of changes to the business rates retention formula which could see significant sums of retained business rates being lost. The increase to the general fund reserves over that forecast helps provide more resilience but the position remains challenging. </w:t>
      </w:r>
    </w:p>
    <w:p w14:paraId="18DD1F66" w14:textId="77777777" w:rsidR="00274A22" w:rsidRPr="00274A22" w:rsidRDefault="00274A22" w:rsidP="00274A22">
      <w:pPr>
        <w:jc w:val="both"/>
        <w:rPr>
          <w:rFonts w:asciiTheme="minorHAnsi" w:hAnsiTheme="minorHAnsi" w:cstheme="minorHAnsi"/>
          <w:sz w:val="22"/>
          <w:szCs w:val="22"/>
        </w:rPr>
      </w:pPr>
    </w:p>
    <w:p w14:paraId="4E96019F" w14:textId="2F195FDB" w:rsid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In recent years, the council has successfully managed any potential deficits in its budget through the development and utilisation of a Financial Sustainability Plan, which has set out a range of options for efficiencies, savings or additional income. This has facilitated the stability of the council’s reserves. In view of the projected budget deficit for 2023</w:t>
      </w:r>
      <w:r w:rsidR="00451BC8">
        <w:rPr>
          <w:rFonts w:asciiTheme="minorHAnsi" w:hAnsiTheme="minorHAnsi" w:cstheme="minorHAnsi"/>
          <w:sz w:val="22"/>
          <w:szCs w:val="22"/>
        </w:rPr>
        <w:t>-</w:t>
      </w:r>
      <w:r w:rsidRPr="00274A22">
        <w:rPr>
          <w:rFonts w:asciiTheme="minorHAnsi" w:hAnsiTheme="minorHAnsi" w:cstheme="minorHAnsi"/>
          <w:sz w:val="22"/>
          <w:szCs w:val="22"/>
        </w:rPr>
        <w:t xml:space="preserve">24, it is proposed to continue development of options and ideas within the Financial Sustainability </w:t>
      </w:r>
      <w:r w:rsidRPr="00274A22">
        <w:rPr>
          <w:rFonts w:asciiTheme="minorHAnsi" w:hAnsiTheme="minorHAnsi" w:cstheme="minorHAnsi"/>
          <w:sz w:val="22"/>
          <w:szCs w:val="22"/>
        </w:rPr>
        <w:lastRenderedPageBreak/>
        <w:t xml:space="preserve">Programme, such that they can be brought forward in-year, enabling the deficit, and subsequent draw on reserves to be reduced from the current projection. </w:t>
      </w:r>
    </w:p>
    <w:p w14:paraId="02147781" w14:textId="77777777" w:rsidR="00274A22" w:rsidRPr="00274A22" w:rsidRDefault="00274A22" w:rsidP="00274A22">
      <w:pPr>
        <w:jc w:val="both"/>
        <w:rPr>
          <w:rFonts w:asciiTheme="minorHAnsi" w:hAnsiTheme="minorHAnsi" w:cstheme="minorHAnsi"/>
          <w:sz w:val="22"/>
          <w:szCs w:val="22"/>
        </w:rPr>
      </w:pPr>
    </w:p>
    <w:p w14:paraId="6BC90D98" w14:textId="58BC5562" w:rsid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Capital remains low although the asset development programme is aimed at addressing this. The Council’s minimum reserve - the Working Balance has previously been increased to £850k and the budget proposals for 2023</w:t>
      </w:r>
      <w:r w:rsidR="00451BC8">
        <w:rPr>
          <w:rFonts w:asciiTheme="minorHAnsi" w:hAnsiTheme="minorHAnsi" w:cstheme="minorHAnsi"/>
          <w:sz w:val="22"/>
          <w:szCs w:val="22"/>
        </w:rPr>
        <w:t>-</w:t>
      </w:r>
      <w:r w:rsidRPr="00274A22">
        <w:rPr>
          <w:rFonts w:asciiTheme="minorHAnsi" w:hAnsiTheme="minorHAnsi" w:cstheme="minorHAnsi"/>
          <w:sz w:val="22"/>
          <w:szCs w:val="22"/>
        </w:rPr>
        <w:t>24 include provision for this to increase further to the £1m level recommended by the LGA following their review of the council’s financial sustainability.</w:t>
      </w:r>
    </w:p>
    <w:p w14:paraId="3ED626E6" w14:textId="77777777" w:rsidR="00274A22" w:rsidRPr="00274A22" w:rsidRDefault="00274A22" w:rsidP="00274A22">
      <w:pPr>
        <w:jc w:val="both"/>
        <w:rPr>
          <w:rFonts w:asciiTheme="minorHAnsi" w:hAnsiTheme="minorHAnsi" w:cstheme="minorHAnsi"/>
          <w:sz w:val="22"/>
          <w:szCs w:val="22"/>
        </w:rPr>
      </w:pPr>
    </w:p>
    <w:p w14:paraId="1B1B8272" w14:textId="4C24650C" w:rsid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There are a number of financial pressures and uncertainties which could affect the estimates particularly in future years and collectively these indicate significant financial pressure</w:t>
      </w:r>
      <w:r w:rsidR="00451BC8">
        <w:rPr>
          <w:rFonts w:asciiTheme="minorHAnsi" w:hAnsiTheme="minorHAnsi" w:cstheme="minorHAnsi"/>
          <w:sz w:val="22"/>
          <w:szCs w:val="22"/>
        </w:rPr>
        <w:t>s</w:t>
      </w:r>
      <w:r w:rsidRPr="00274A22">
        <w:rPr>
          <w:rFonts w:asciiTheme="minorHAnsi" w:hAnsiTheme="minorHAnsi" w:cstheme="minorHAnsi"/>
          <w:sz w:val="22"/>
          <w:szCs w:val="22"/>
        </w:rPr>
        <w:t xml:space="preserve"> on the council’s resources. The forward projections have been subjected to sensitivity analysis in light of the potential risks associated with particular items and assumptions. These do indicate potential wide fluctuations in any year which could see the likely surpluses/deficits being substantially different to those expected. This emphasises both the high level and impact of the risks that face the Council’s finances in the future. In recognition of the significance of these risks, there is a risk contained within the Council’s corporate risk register relating to finance. As a corporate risk an action plan is in place and is actively managed, linked to the Financial Sustainability Plan.</w:t>
      </w:r>
    </w:p>
    <w:p w14:paraId="4C4A8E70" w14:textId="77777777" w:rsidR="00274A22" w:rsidRPr="00274A22" w:rsidRDefault="00274A22" w:rsidP="00274A22">
      <w:pPr>
        <w:jc w:val="both"/>
        <w:rPr>
          <w:rFonts w:asciiTheme="minorHAnsi" w:hAnsiTheme="minorHAnsi" w:cstheme="minorHAnsi"/>
          <w:sz w:val="22"/>
          <w:szCs w:val="22"/>
        </w:rPr>
      </w:pPr>
    </w:p>
    <w:p w14:paraId="09681D91" w14:textId="0EDF9019" w:rsid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With regard to the impact on capital, the Council has a modest programme in respect of the general fund and the HRA did have large underspends</w:t>
      </w:r>
      <w:r w:rsidR="00451BC8">
        <w:rPr>
          <w:rFonts w:asciiTheme="minorHAnsi" w:hAnsiTheme="minorHAnsi" w:cstheme="minorHAnsi"/>
          <w:sz w:val="22"/>
          <w:szCs w:val="22"/>
        </w:rPr>
        <w:t>,</w:t>
      </w:r>
      <w:r w:rsidRPr="00274A22">
        <w:rPr>
          <w:rFonts w:asciiTheme="minorHAnsi" w:hAnsiTheme="minorHAnsi" w:cstheme="minorHAnsi"/>
          <w:sz w:val="22"/>
          <w:szCs w:val="22"/>
        </w:rPr>
        <w:t xml:space="preserve"> but this was mainly due to the delay</w:t>
      </w:r>
      <w:r w:rsidR="00451BC8">
        <w:rPr>
          <w:rFonts w:asciiTheme="minorHAnsi" w:hAnsiTheme="minorHAnsi" w:cstheme="minorHAnsi"/>
          <w:sz w:val="22"/>
          <w:szCs w:val="22"/>
        </w:rPr>
        <w:t xml:space="preserve">ed on the </w:t>
      </w:r>
      <w:r w:rsidRPr="00274A22">
        <w:rPr>
          <w:rFonts w:asciiTheme="minorHAnsi" w:hAnsiTheme="minorHAnsi" w:cstheme="minorHAnsi"/>
          <w:sz w:val="22"/>
          <w:szCs w:val="22"/>
        </w:rPr>
        <w:t>affordable housing new build scheme a</w:t>
      </w:r>
      <w:r w:rsidR="00451BC8">
        <w:rPr>
          <w:rFonts w:asciiTheme="minorHAnsi" w:hAnsiTheme="minorHAnsi" w:cstheme="minorHAnsi"/>
          <w:sz w:val="22"/>
          <w:szCs w:val="22"/>
        </w:rPr>
        <w:t>s</w:t>
      </w:r>
      <w:r w:rsidRPr="00274A22">
        <w:rPr>
          <w:rFonts w:asciiTheme="minorHAnsi" w:hAnsiTheme="minorHAnsi" w:cstheme="minorHAnsi"/>
          <w:sz w:val="22"/>
          <w:szCs w:val="22"/>
        </w:rPr>
        <w:t xml:space="preserve"> the majority of works linked to decent homes standard in the HRA business plan were delivered.  Funding has been carried forward into 2023</w:t>
      </w:r>
      <w:r w:rsidR="00451BC8">
        <w:rPr>
          <w:rFonts w:asciiTheme="minorHAnsi" w:hAnsiTheme="minorHAnsi" w:cstheme="minorHAnsi"/>
          <w:sz w:val="22"/>
          <w:szCs w:val="22"/>
        </w:rPr>
        <w:t>-</w:t>
      </w:r>
      <w:r w:rsidRPr="00274A22">
        <w:rPr>
          <w:rFonts w:asciiTheme="minorHAnsi" w:hAnsiTheme="minorHAnsi" w:cstheme="minorHAnsi"/>
          <w:sz w:val="22"/>
          <w:szCs w:val="22"/>
        </w:rPr>
        <w:t>24 to complete any ongoing schemes.</w:t>
      </w:r>
    </w:p>
    <w:p w14:paraId="41A05E90" w14:textId="77777777" w:rsidR="00274A22" w:rsidRPr="00274A22" w:rsidRDefault="00274A22" w:rsidP="00274A22">
      <w:pPr>
        <w:jc w:val="both"/>
        <w:rPr>
          <w:rFonts w:asciiTheme="minorHAnsi" w:hAnsiTheme="minorHAnsi" w:cstheme="minorHAnsi"/>
          <w:sz w:val="22"/>
          <w:szCs w:val="22"/>
        </w:rPr>
      </w:pPr>
    </w:p>
    <w:p w14:paraId="7A430875" w14:textId="77777777" w:rsidR="00274A22" w:rsidRPr="00274A22" w:rsidRDefault="00274A22" w:rsidP="00274A22">
      <w:pPr>
        <w:jc w:val="both"/>
        <w:rPr>
          <w:rFonts w:asciiTheme="minorHAnsi" w:hAnsiTheme="minorHAnsi" w:cstheme="minorHAnsi"/>
          <w:sz w:val="22"/>
          <w:szCs w:val="22"/>
        </w:rPr>
      </w:pPr>
      <w:r w:rsidRPr="00274A22">
        <w:rPr>
          <w:rFonts w:asciiTheme="minorHAnsi" w:hAnsiTheme="minorHAnsi" w:cstheme="minorHAnsi"/>
          <w:sz w:val="22"/>
          <w:szCs w:val="22"/>
        </w:rPr>
        <w:t xml:space="preserve">The mitigating factor underpinning the going concern assessment is that the authority continues to have available general fund balances above the current recommended minimum working balance. At the end of 2023-24 it is budgeted to be £2.278m which is £1.278m above the minimum level </w:t>
      </w:r>
      <w:proofErr w:type="gramStart"/>
      <w:r w:rsidRPr="00274A22">
        <w:rPr>
          <w:rFonts w:asciiTheme="minorHAnsi" w:hAnsiTheme="minorHAnsi" w:cstheme="minorHAnsi"/>
          <w:sz w:val="22"/>
          <w:szCs w:val="22"/>
        </w:rPr>
        <w:t>taking into account</w:t>
      </w:r>
      <w:proofErr w:type="gramEnd"/>
      <w:r w:rsidRPr="00274A22">
        <w:rPr>
          <w:rFonts w:asciiTheme="minorHAnsi" w:hAnsiTheme="minorHAnsi" w:cstheme="minorHAnsi"/>
          <w:sz w:val="22"/>
          <w:szCs w:val="22"/>
        </w:rPr>
        <w:t xml:space="preserve"> the balance on the Corporate Priorities Reserve, Regeneration and Innovation Reserve and Working Balance. Additionally, the Council’s cash flow forecasts anticipate that cash balances will remain in a positive position for at least 12 months following approval of these financials statements and do not forecast a need to borrow.  The Council has undertaken cash flow modelling through to May 2024 which demonstrates the Council’s ability to work within its Capital Financing Requirement and Cash management framework, with sufficient cash balances forecast at the end of the period.  We are therefore confident that the going concern basis of accounting will continue to be applicable for a period of 12 months from the date of approval of these financial statements.</w:t>
      </w:r>
    </w:p>
    <w:p w14:paraId="1BB8E5CE" w14:textId="77777777" w:rsidR="008E5925" w:rsidRPr="00B921B9" w:rsidRDefault="008E5925" w:rsidP="008E5925">
      <w:pPr>
        <w:widowControl w:val="0"/>
        <w:ind w:left="-11"/>
        <w:jc w:val="both"/>
        <w:rPr>
          <w:rFonts w:asciiTheme="minorHAnsi" w:hAnsiTheme="minorHAnsi" w:cs="Arial"/>
          <w:sz w:val="22"/>
          <w:szCs w:val="22"/>
          <w:u w:val="single"/>
        </w:rPr>
      </w:pPr>
    </w:p>
    <w:p w14:paraId="1F54BD9F" w14:textId="5DEEDACD" w:rsidR="008E5925" w:rsidRPr="00B921B9" w:rsidRDefault="008E5925" w:rsidP="008E5925">
      <w:pPr>
        <w:widowControl w:val="0"/>
        <w:tabs>
          <w:tab w:val="left" w:pos="1350"/>
        </w:tabs>
        <w:jc w:val="both"/>
        <w:rPr>
          <w:rFonts w:asciiTheme="minorHAnsi" w:hAnsiTheme="minorHAnsi" w:cs="Arial"/>
          <w:sz w:val="22"/>
          <w:szCs w:val="22"/>
        </w:rPr>
      </w:pPr>
      <w:r w:rsidRPr="00B921B9">
        <w:rPr>
          <w:rFonts w:asciiTheme="minorHAnsi" w:hAnsiTheme="minorHAnsi" w:cs="Arial"/>
          <w:sz w:val="22"/>
          <w:szCs w:val="22"/>
        </w:rPr>
        <w:t>The Statement of Accounts summarises the Council’s transactions for the 20</w:t>
      </w:r>
      <w:r>
        <w:rPr>
          <w:rFonts w:asciiTheme="minorHAnsi" w:hAnsiTheme="minorHAnsi" w:cs="Arial"/>
          <w:sz w:val="22"/>
          <w:szCs w:val="22"/>
        </w:rPr>
        <w:t>2</w:t>
      </w:r>
      <w:r w:rsidR="0025199A">
        <w:rPr>
          <w:rFonts w:asciiTheme="minorHAnsi" w:hAnsiTheme="minorHAnsi" w:cs="Arial"/>
          <w:sz w:val="22"/>
          <w:szCs w:val="22"/>
        </w:rPr>
        <w:t>2</w:t>
      </w:r>
      <w:r w:rsidRPr="00B921B9">
        <w:rPr>
          <w:rFonts w:asciiTheme="minorHAnsi" w:hAnsiTheme="minorHAnsi" w:cs="Arial"/>
          <w:sz w:val="22"/>
          <w:szCs w:val="22"/>
        </w:rPr>
        <w:t>-</w:t>
      </w:r>
      <w:r>
        <w:rPr>
          <w:rFonts w:asciiTheme="minorHAnsi" w:hAnsiTheme="minorHAnsi" w:cs="Arial"/>
          <w:sz w:val="22"/>
          <w:szCs w:val="22"/>
        </w:rPr>
        <w:t>2</w:t>
      </w:r>
      <w:r w:rsidR="0025199A">
        <w:rPr>
          <w:rFonts w:asciiTheme="minorHAnsi" w:hAnsiTheme="minorHAnsi" w:cs="Arial"/>
          <w:sz w:val="22"/>
          <w:szCs w:val="22"/>
        </w:rPr>
        <w:t>3</w:t>
      </w:r>
      <w:r w:rsidRPr="00B921B9">
        <w:rPr>
          <w:rFonts w:asciiTheme="minorHAnsi" w:hAnsiTheme="minorHAnsi" w:cs="Arial"/>
          <w:sz w:val="22"/>
          <w:szCs w:val="22"/>
        </w:rPr>
        <w:t xml:space="preserve"> financial year and its position at the year end of 31 March 20</w:t>
      </w:r>
      <w:r>
        <w:rPr>
          <w:rFonts w:asciiTheme="minorHAnsi" w:hAnsiTheme="minorHAnsi" w:cs="Arial"/>
          <w:sz w:val="22"/>
          <w:szCs w:val="22"/>
        </w:rPr>
        <w:t>2</w:t>
      </w:r>
      <w:r w:rsidR="0025199A">
        <w:rPr>
          <w:rFonts w:asciiTheme="minorHAnsi" w:hAnsiTheme="minorHAnsi" w:cs="Arial"/>
          <w:sz w:val="22"/>
          <w:szCs w:val="22"/>
        </w:rPr>
        <w:t>3</w:t>
      </w:r>
      <w:r w:rsidRPr="00B921B9">
        <w:rPr>
          <w:rFonts w:asciiTheme="minorHAnsi" w:hAnsiTheme="minorHAnsi" w:cs="Arial"/>
          <w:sz w:val="22"/>
          <w:szCs w:val="22"/>
        </w:rPr>
        <w:t>.  The Council is required to prepare an annual Statement of Accounts by the Accounts and Audit Regulations 2015, which, those regulations require to be prepared in accordance with proper accounting practices.  These practices primarily comprise the Code of Practice on Local Authority Accounting in the United Kingdom 20</w:t>
      </w:r>
      <w:r>
        <w:rPr>
          <w:rFonts w:asciiTheme="minorHAnsi" w:hAnsiTheme="minorHAnsi" w:cs="Arial"/>
          <w:sz w:val="22"/>
          <w:szCs w:val="22"/>
        </w:rPr>
        <w:t>2</w:t>
      </w:r>
      <w:r w:rsidR="0025199A">
        <w:rPr>
          <w:rFonts w:asciiTheme="minorHAnsi" w:hAnsiTheme="minorHAnsi" w:cs="Arial"/>
          <w:sz w:val="22"/>
          <w:szCs w:val="22"/>
        </w:rPr>
        <w:t>2</w:t>
      </w:r>
      <w:r>
        <w:rPr>
          <w:rFonts w:asciiTheme="minorHAnsi" w:hAnsiTheme="minorHAnsi" w:cs="Arial"/>
          <w:sz w:val="22"/>
          <w:szCs w:val="22"/>
        </w:rPr>
        <w:t>-2</w:t>
      </w:r>
      <w:r w:rsidR="0025199A">
        <w:rPr>
          <w:rFonts w:asciiTheme="minorHAnsi" w:hAnsiTheme="minorHAnsi" w:cs="Arial"/>
          <w:sz w:val="22"/>
          <w:szCs w:val="22"/>
        </w:rPr>
        <w:t>3</w:t>
      </w:r>
      <w:r>
        <w:rPr>
          <w:rFonts w:asciiTheme="minorHAnsi" w:hAnsiTheme="minorHAnsi" w:cs="Arial"/>
          <w:sz w:val="22"/>
          <w:szCs w:val="22"/>
        </w:rPr>
        <w:t>,</w:t>
      </w:r>
      <w:r w:rsidRPr="00B921B9">
        <w:rPr>
          <w:rFonts w:asciiTheme="minorHAnsi" w:hAnsiTheme="minorHAnsi" w:cs="Arial"/>
          <w:sz w:val="22"/>
          <w:szCs w:val="22"/>
        </w:rPr>
        <w:t xml:space="preserve"> supported by International Financial Reporting Standards (IFRS).</w:t>
      </w:r>
    </w:p>
    <w:p w14:paraId="10FB2F91" w14:textId="77777777" w:rsidR="008E5925" w:rsidRPr="00B921B9" w:rsidRDefault="008E5925" w:rsidP="008E5925">
      <w:pPr>
        <w:widowControl w:val="0"/>
        <w:tabs>
          <w:tab w:val="left" w:pos="1350"/>
        </w:tabs>
        <w:jc w:val="both"/>
        <w:rPr>
          <w:rFonts w:asciiTheme="minorHAnsi" w:hAnsiTheme="minorHAnsi" w:cs="Arial"/>
          <w:sz w:val="22"/>
          <w:szCs w:val="22"/>
        </w:rPr>
      </w:pPr>
    </w:p>
    <w:p w14:paraId="0F5C8700" w14:textId="0AA89F66" w:rsidR="008E5925" w:rsidRPr="00B921B9" w:rsidRDefault="008E5925" w:rsidP="008E5925">
      <w:pPr>
        <w:widowControl w:val="0"/>
        <w:tabs>
          <w:tab w:val="left" w:pos="1350"/>
        </w:tabs>
        <w:jc w:val="both"/>
        <w:rPr>
          <w:rFonts w:asciiTheme="minorHAnsi" w:hAnsiTheme="minorHAnsi" w:cs="Arial"/>
          <w:sz w:val="22"/>
          <w:szCs w:val="22"/>
        </w:rPr>
      </w:pPr>
      <w:r w:rsidRPr="00B921B9">
        <w:rPr>
          <w:rFonts w:asciiTheme="minorHAnsi" w:hAnsiTheme="minorHAnsi" w:cs="Arial"/>
          <w:sz w:val="22"/>
          <w:szCs w:val="22"/>
        </w:rPr>
        <w:t xml:space="preserve">The accounting convention adopted is principally historical cost, modified by the revaluation of certain categories of non-current assets </w:t>
      </w:r>
      <w:r w:rsidR="00120BFE">
        <w:rPr>
          <w:rFonts w:asciiTheme="minorHAnsi" w:hAnsiTheme="minorHAnsi" w:cs="Arial"/>
          <w:sz w:val="22"/>
          <w:szCs w:val="22"/>
        </w:rPr>
        <w:t>for example,</w:t>
      </w:r>
      <w:r w:rsidRPr="00B921B9">
        <w:rPr>
          <w:rFonts w:asciiTheme="minorHAnsi" w:hAnsiTheme="minorHAnsi" w:cs="Arial"/>
          <w:sz w:val="22"/>
          <w:szCs w:val="22"/>
        </w:rPr>
        <w:t xml:space="preserve"> community assets, assets held for sale and certain elements of land and buildings where an appropriate valuation method is selected to best reflect the realisable value of the asset, and financial instruments.</w:t>
      </w:r>
    </w:p>
    <w:p w14:paraId="112EF909" w14:textId="77777777" w:rsidR="004D15C5" w:rsidRDefault="004B7E57" w:rsidP="00DB0B40">
      <w:pPr>
        <w:widowControl w:val="0"/>
        <w:jc w:val="both"/>
        <w:rPr>
          <w:rFonts w:asciiTheme="minorHAnsi" w:hAnsiTheme="minorHAnsi" w:cs="Arial"/>
          <w:sz w:val="22"/>
          <w:szCs w:val="22"/>
        </w:rPr>
      </w:pPr>
      <w:r w:rsidRPr="00B921B9">
        <w:rPr>
          <w:rFonts w:asciiTheme="minorHAnsi" w:hAnsiTheme="minorHAnsi" w:cs="Arial"/>
          <w:sz w:val="22"/>
          <w:szCs w:val="22"/>
        </w:rPr>
        <w:tab/>
      </w:r>
    </w:p>
    <w:p w14:paraId="52148E08" w14:textId="77777777" w:rsidR="00DB0B40" w:rsidRPr="00B921B9" w:rsidRDefault="00DB0B40" w:rsidP="00DB0B40">
      <w:pPr>
        <w:widowControl w:val="0"/>
        <w:jc w:val="both"/>
        <w:rPr>
          <w:rFonts w:asciiTheme="minorHAnsi" w:hAnsiTheme="minorHAnsi" w:cs="Arial"/>
          <w:sz w:val="22"/>
          <w:szCs w:val="22"/>
        </w:rPr>
      </w:pPr>
      <w:r w:rsidRPr="00B921B9">
        <w:rPr>
          <w:rFonts w:asciiTheme="minorHAnsi" w:hAnsiTheme="minorHAnsi" w:cs="Arial"/>
          <w:sz w:val="22"/>
          <w:szCs w:val="22"/>
        </w:rPr>
        <w:t xml:space="preserve">The following qualitative characteristics: </w:t>
      </w:r>
    </w:p>
    <w:p w14:paraId="1C360EB2" w14:textId="77777777" w:rsidR="006E325D" w:rsidRPr="00B921B9" w:rsidRDefault="006E325D" w:rsidP="00DB0B40">
      <w:pPr>
        <w:widowControl w:val="0"/>
        <w:jc w:val="both"/>
        <w:rPr>
          <w:rFonts w:asciiTheme="minorHAnsi" w:hAnsiTheme="minorHAnsi" w:cs="Arial"/>
          <w:sz w:val="22"/>
          <w:szCs w:val="22"/>
        </w:rPr>
      </w:pPr>
    </w:p>
    <w:p w14:paraId="195544E9" w14:textId="77777777" w:rsidR="00DB0B40" w:rsidRPr="00B921B9" w:rsidRDefault="00DB0B40" w:rsidP="00C76AD3">
      <w:pPr>
        <w:widowControl w:val="0"/>
        <w:numPr>
          <w:ilvl w:val="0"/>
          <w:numId w:val="19"/>
        </w:numPr>
        <w:ind w:left="0" w:firstLine="425"/>
        <w:jc w:val="both"/>
        <w:rPr>
          <w:rFonts w:asciiTheme="minorHAnsi" w:hAnsiTheme="minorHAnsi" w:cs="Arial"/>
          <w:sz w:val="22"/>
          <w:szCs w:val="22"/>
        </w:rPr>
      </w:pPr>
      <w:r w:rsidRPr="00B921B9">
        <w:rPr>
          <w:rFonts w:asciiTheme="minorHAnsi" w:hAnsiTheme="minorHAnsi" w:cs="Arial"/>
          <w:sz w:val="22"/>
          <w:szCs w:val="22"/>
        </w:rPr>
        <w:t>Understand</w:t>
      </w:r>
      <w:r>
        <w:rPr>
          <w:rFonts w:asciiTheme="minorHAnsi" w:hAnsiTheme="minorHAnsi" w:cs="Arial"/>
          <w:sz w:val="22"/>
          <w:szCs w:val="22"/>
        </w:rPr>
        <w:t>a</w:t>
      </w:r>
      <w:r w:rsidRPr="00B921B9">
        <w:rPr>
          <w:rFonts w:asciiTheme="minorHAnsi" w:hAnsiTheme="minorHAnsi" w:cs="Arial"/>
          <w:sz w:val="22"/>
          <w:szCs w:val="22"/>
        </w:rPr>
        <w:t>bility</w:t>
      </w:r>
    </w:p>
    <w:p w14:paraId="77415DA8" w14:textId="77777777" w:rsidR="00DB0B40" w:rsidRPr="00B921B9" w:rsidRDefault="00DB0B40" w:rsidP="00C76AD3">
      <w:pPr>
        <w:widowControl w:val="0"/>
        <w:numPr>
          <w:ilvl w:val="0"/>
          <w:numId w:val="19"/>
        </w:numPr>
        <w:ind w:left="0" w:firstLine="425"/>
        <w:jc w:val="both"/>
        <w:rPr>
          <w:rFonts w:asciiTheme="minorHAnsi" w:hAnsiTheme="minorHAnsi" w:cs="Arial"/>
          <w:sz w:val="22"/>
          <w:szCs w:val="22"/>
        </w:rPr>
      </w:pPr>
      <w:r w:rsidRPr="00B921B9">
        <w:rPr>
          <w:rFonts w:asciiTheme="minorHAnsi" w:hAnsiTheme="minorHAnsi" w:cs="Arial"/>
          <w:sz w:val="22"/>
          <w:szCs w:val="22"/>
        </w:rPr>
        <w:t>Relevance</w:t>
      </w:r>
    </w:p>
    <w:p w14:paraId="21B2ED05" w14:textId="77777777" w:rsidR="00DB0B40" w:rsidRPr="00B921B9" w:rsidRDefault="00DB0B40" w:rsidP="00C76AD3">
      <w:pPr>
        <w:widowControl w:val="0"/>
        <w:numPr>
          <w:ilvl w:val="0"/>
          <w:numId w:val="19"/>
        </w:numPr>
        <w:ind w:left="0" w:firstLine="425"/>
        <w:jc w:val="both"/>
        <w:rPr>
          <w:rFonts w:asciiTheme="minorHAnsi" w:hAnsiTheme="minorHAnsi" w:cs="Arial"/>
          <w:sz w:val="22"/>
          <w:szCs w:val="22"/>
        </w:rPr>
      </w:pPr>
      <w:r w:rsidRPr="00B921B9">
        <w:rPr>
          <w:rFonts w:asciiTheme="minorHAnsi" w:hAnsiTheme="minorHAnsi" w:cs="Arial"/>
          <w:sz w:val="22"/>
          <w:szCs w:val="22"/>
        </w:rPr>
        <w:t>Materiality</w:t>
      </w:r>
    </w:p>
    <w:p w14:paraId="683B9D60" w14:textId="77777777" w:rsidR="00DB0B40" w:rsidRPr="00B921B9" w:rsidRDefault="00DB0B40" w:rsidP="00C76AD3">
      <w:pPr>
        <w:widowControl w:val="0"/>
        <w:numPr>
          <w:ilvl w:val="0"/>
          <w:numId w:val="19"/>
        </w:numPr>
        <w:ind w:left="0" w:firstLine="425"/>
        <w:jc w:val="both"/>
        <w:rPr>
          <w:rFonts w:asciiTheme="minorHAnsi" w:hAnsiTheme="minorHAnsi" w:cs="Arial"/>
          <w:sz w:val="22"/>
          <w:szCs w:val="22"/>
        </w:rPr>
      </w:pPr>
      <w:r w:rsidRPr="00B921B9">
        <w:rPr>
          <w:rFonts w:asciiTheme="minorHAnsi" w:hAnsiTheme="minorHAnsi" w:cs="Arial"/>
          <w:sz w:val="22"/>
          <w:szCs w:val="22"/>
        </w:rPr>
        <w:t>Reliability</w:t>
      </w:r>
    </w:p>
    <w:p w14:paraId="52114D6E" w14:textId="77777777" w:rsidR="00DB0B40" w:rsidRDefault="00DB0B40" w:rsidP="00C76AD3">
      <w:pPr>
        <w:widowControl w:val="0"/>
        <w:numPr>
          <w:ilvl w:val="0"/>
          <w:numId w:val="19"/>
        </w:numPr>
        <w:ind w:left="0" w:firstLine="425"/>
        <w:jc w:val="both"/>
        <w:rPr>
          <w:rFonts w:asciiTheme="minorHAnsi" w:hAnsiTheme="minorHAnsi" w:cs="Arial"/>
          <w:sz w:val="22"/>
          <w:szCs w:val="22"/>
        </w:rPr>
      </w:pPr>
      <w:r w:rsidRPr="00B921B9">
        <w:rPr>
          <w:rFonts w:asciiTheme="minorHAnsi" w:hAnsiTheme="minorHAnsi" w:cs="Arial"/>
          <w:sz w:val="22"/>
          <w:szCs w:val="22"/>
        </w:rPr>
        <w:t>Comparability</w:t>
      </w:r>
    </w:p>
    <w:p w14:paraId="7CD461D4" w14:textId="77777777" w:rsidR="004D15C5" w:rsidRPr="00B921B9" w:rsidRDefault="004D15C5" w:rsidP="004D15C5">
      <w:pPr>
        <w:widowControl w:val="0"/>
        <w:ind w:left="425"/>
        <w:jc w:val="both"/>
        <w:rPr>
          <w:rFonts w:asciiTheme="minorHAnsi" w:hAnsiTheme="minorHAnsi" w:cs="Arial"/>
          <w:sz w:val="22"/>
          <w:szCs w:val="22"/>
        </w:rPr>
      </w:pPr>
    </w:p>
    <w:p w14:paraId="7AB9FF4B" w14:textId="77777777" w:rsidR="00DB0B40" w:rsidRDefault="00DB0B40" w:rsidP="00DB0B40">
      <w:pPr>
        <w:widowControl w:val="0"/>
        <w:spacing w:after="120"/>
        <w:jc w:val="both"/>
        <w:rPr>
          <w:rFonts w:asciiTheme="minorHAnsi" w:hAnsiTheme="minorHAnsi" w:cs="Arial"/>
          <w:sz w:val="22"/>
          <w:szCs w:val="22"/>
        </w:rPr>
      </w:pPr>
      <w:r w:rsidRPr="00B921B9">
        <w:rPr>
          <w:rFonts w:asciiTheme="minorHAnsi" w:hAnsiTheme="minorHAnsi" w:cs="Arial"/>
          <w:sz w:val="22"/>
          <w:szCs w:val="22"/>
        </w:rPr>
        <w:t>The accounting policies have been applied consistently.</w:t>
      </w:r>
    </w:p>
    <w:p w14:paraId="32126189" w14:textId="77777777" w:rsidR="0061492C" w:rsidRDefault="0061492C" w:rsidP="00DB0B40">
      <w:pPr>
        <w:widowControl w:val="0"/>
        <w:spacing w:after="120"/>
        <w:jc w:val="both"/>
        <w:rPr>
          <w:rFonts w:asciiTheme="minorHAnsi" w:hAnsiTheme="minorHAnsi" w:cs="Arial"/>
          <w:sz w:val="22"/>
          <w:szCs w:val="22"/>
        </w:rPr>
      </w:pPr>
    </w:p>
    <w:p w14:paraId="7891812E" w14:textId="77777777" w:rsidR="004B7E57" w:rsidRDefault="004B7E57" w:rsidP="00C76AD3">
      <w:pPr>
        <w:pStyle w:val="ListParagraph"/>
        <w:widowControl w:val="0"/>
        <w:numPr>
          <w:ilvl w:val="0"/>
          <w:numId w:val="42"/>
        </w:numPr>
        <w:tabs>
          <w:tab w:val="left" w:pos="1350"/>
        </w:tabs>
        <w:ind w:left="426" w:hanging="426"/>
        <w:jc w:val="both"/>
        <w:rPr>
          <w:rFonts w:asciiTheme="minorHAnsi" w:hAnsiTheme="minorHAnsi" w:cs="Arial"/>
          <w:b/>
          <w:sz w:val="24"/>
          <w:szCs w:val="24"/>
        </w:rPr>
      </w:pPr>
      <w:r w:rsidRPr="004D15C5">
        <w:rPr>
          <w:rFonts w:asciiTheme="minorHAnsi" w:hAnsiTheme="minorHAnsi" w:cs="Arial"/>
          <w:b/>
          <w:sz w:val="24"/>
          <w:szCs w:val="24"/>
        </w:rPr>
        <w:lastRenderedPageBreak/>
        <w:t>Accruals of Income and Expenditure</w:t>
      </w:r>
    </w:p>
    <w:p w14:paraId="27A50729" w14:textId="77777777" w:rsidR="0061492C" w:rsidRPr="004D15C5" w:rsidRDefault="0061492C" w:rsidP="0061492C">
      <w:pPr>
        <w:pStyle w:val="ListParagraph"/>
        <w:widowControl w:val="0"/>
        <w:tabs>
          <w:tab w:val="left" w:pos="1350"/>
        </w:tabs>
        <w:ind w:left="426"/>
        <w:jc w:val="both"/>
        <w:rPr>
          <w:rFonts w:asciiTheme="minorHAnsi" w:hAnsiTheme="minorHAnsi" w:cs="Arial"/>
          <w:b/>
          <w:sz w:val="24"/>
          <w:szCs w:val="24"/>
        </w:rPr>
      </w:pPr>
    </w:p>
    <w:p w14:paraId="37DA4111" w14:textId="77777777" w:rsidR="004B7E57" w:rsidRPr="00B921B9"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Activity is accounted for in the year that it takes place, not simply when cash payments are made or received. In particular:</w:t>
      </w:r>
    </w:p>
    <w:p w14:paraId="4AFF0171" w14:textId="77777777" w:rsidR="004B7E57" w:rsidRPr="00B921B9" w:rsidRDefault="004B7E57" w:rsidP="00C76AD3">
      <w:pPr>
        <w:widowControl w:val="0"/>
        <w:numPr>
          <w:ilvl w:val="1"/>
          <w:numId w:val="42"/>
        </w:numPr>
        <w:tabs>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 xml:space="preserve">Revenue from </w:t>
      </w:r>
      <w:r w:rsidR="00CE6364">
        <w:rPr>
          <w:rFonts w:asciiTheme="minorHAnsi" w:hAnsiTheme="minorHAnsi" w:cs="Arial"/>
          <w:sz w:val="22"/>
          <w:szCs w:val="22"/>
        </w:rPr>
        <w:t>contracts with service recipients, whether for services or the provision of goods, is recognised when (or as) the goods or services are transferr</w:t>
      </w:r>
      <w:r w:rsidR="00A31DA2">
        <w:rPr>
          <w:rFonts w:asciiTheme="minorHAnsi" w:hAnsiTheme="minorHAnsi" w:cs="Arial"/>
          <w:sz w:val="22"/>
          <w:szCs w:val="22"/>
        </w:rPr>
        <w:t>ed to the service recipient in a</w:t>
      </w:r>
      <w:r w:rsidR="00CE6364">
        <w:rPr>
          <w:rFonts w:asciiTheme="minorHAnsi" w:hAnsiTheme="minorHAnsi" w:cs="Arial"/>
          <w:sz w:val="22"/>
          <w:szCs w:val="22"/>
        </w:rPr>
        <w:t>ccordance with the performance obligations in the contract.</w:t>
      </w:r>
    </w:p>
    <w:p w14:paraId="33E7304E" w14:textId="77777777" w:rsidR="004B7E57" w:rsidRPr="00B921B9" w:rsidRDefault="004B7E57" w:rsidP="00C76AD3">
      <w:pPr>
        <w:widowControl w:val="0"/>
        <w:numPr>
          <w:ilvl w:val="1"/>
          <w:numId w:val="42"/>
        </w:numPr>
        <w:tabs>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Supplies are recorded as expenditure when they are consumed – where there is a gap between the date supplies are received and their consumption; they are carried as inventories on the Balance Sheet. An exception to this principle relates to energy supplies and similar quarterly payments which are charged at the date of meter reading rather than apportioned between financial years.  This policy is consistently applied each year and therefore does not have a material effect on the year’s accounts.</w:t>
      </w:r>
    </w:p>
    <w:p w14:paraId="4734FB86" w14:textId="77777777" w:rsidR="004B7E57" w:rsidRPr="00B921B9" w:rsidRDefault="004B7E57" w:rsidP="00C76AD3">
      <w:pPr>
        <w:widowControl w:val="0"/>
        <w:numPr>
          <w:ilvl w:val="1"/>
          <w:numId w:val="42"/>
        </w:numPr>
        <w:tabs>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Expenses in relation to services received (including services provided by employees) are recorded as expenditure when the services are received rather than when payments are made.</w:t>
      </w:r>
    </w:p>
    <w:p w14:paraId="56A21FB1" w14:textId="77777777" w:rsidR="004B7E57" w:rsidRPr="00B921B9" w:rsidRDefault="004B7E57" w:rsidP="00C76AD3">
      <w:pPr>
        <w:widowControl w:val="0"/>
        <w:numPr>
          <w:ilvl w:val="1"/>
          <w:numId w:val="42"/>
        </w:numPr>
        <w:tabs>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Interest receivable on investments and payable on borrowings is accounted for respectively as income and expenditure on the basis of the effective interest rate for the relevant financial instrument rather than the cash flows fixed or determined by the contract.</w:t>
      </w:r>
      <w:r w:rsidRPr="00B921B9">
        <w:rPr>
          <w:rFonts w:asciiTheme="minorHAnsi" w:hAnsiTheme="minorHAnsi" w:cs="Arial"/>
          <w:b/>
          <w:sz w:val="22"/>
          <w:szCs w:val="22"/>
        </w:rPr>
        <w:tab/>
      </w:r>
    </w:p>
    <w:p w14:paraId="24A6A53D" w14:textId="77777777" w:rsidR="004B7E57" w:rsidRPr="00B921B9" w:rsidRDefault="004B7E57" w:rsidP="00C76AD3">
      <w:pPr>
        <w:widowControl w:val="0"/>
        <w:numPr>
          <w:ilvl w:val="1"/>
          <w:numId w:val="42"/>
        </w:numPr>
        <w:tabs>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w:t>
      </w:r>
    </w:p>
    <w:p w14:paraId="281DEA21" w14:textId="77777777" w:rsidR="004B7E57" w:rsidRPr="00B921B9" w:rsidRDefault="004B7E57" w:rsidP="00C76AD3">
      <w:pPr>
        <w:widowControl w:val="0"/>
        <w:numPr>
          <w:ilvl w:val="0"/>
          <w:numId w:val="42"/>
        </w:numPr>
        <w:tabs>
          <w:tab w:val="left" w:pos="1350"/>
        </w:tabs>
        <w:spacing w:after="120"/>
        <w:ind w:left="426" w:hanging="426"/>
        <w:jc w:val="both"/>
        <w:rPr>
          <w:rFonts w:asciiTheme="minorHAnsi" w:hAnsiTheme="minorHAnsi" w:cs="Arial"/>
          <w:b/>
          <w:sz w:val="24"/>
          <w:szCs w:val="24"/>
        </w:rPr>
      </w:pPr>
      <w:r w:rsidRPr="00B921B9">
        <w:rPr>
          <w:rFonts w:asciiTheme="minorHAnsi" w:hAnsiTheme="minorHAnsi" w:cs="Arial"/>
          <w:b/>
          <w:sz w:val="24"/>
          <w:szCs w:val="24"/>
        </w:rPr>
        <w:t>Exceptional Items</w:t>
      </w:r>
    </w:p>
    <w:p w14:paraId="1EABCD15" w14:textId="77777777" w:rsidR="004B7E57" w:rsidRPr="00B921B9"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When items of income and expenditure are material, their nature and amount is disclosed separately, on the face of the Comprehensive Income and Expenditure Statement and in the notes to the accounts, depending on how significant the items are to an understanding of the Council’s financial performance.   </w:t>
      </w:r>
    </w:p>
    <w:p w14:paraId="3FE750FB" w14:textId="77777777" w:rsidR="004B7E57" w:rsidRPr="00B921B9" w:rsidRDefault="004B7E57" w:rsidP="00C76AD3">
      <w:pPr>
        <w:widowControl w:val="0"/>
        <w:numPr>
          <w:ilvl w:val="0"/>
          <w:numId w:val="42"/>
        </w:numPr>
        <w:tabs>
          <w:tab w:val="left" w:pos="1350"/>
        </w:tabs>
        <w:spacing w:after="120"/>
        <w:ind w:left="426" w:hanging="426"/>
        <w:jc w:val="both"/>
        <w:rPr>
          <w:rFonts w:asciiTheme="minorHAnsi" w:hAnsiTheme="minorHAnsi" w:cs="Arial"/>
          <w:b/>
          <w:sz w:val="24"/>
          <w:szCs w:val="24"/>
        </w:rPr>
      </w:pPr>
      <w:r w:rsidRPr="00B921B9">
        <w:rPr>
          <w:rFonts w:asciiTheme="minorHAnsi" w:hAnsiTheme="minorHAnsi" w:cs="Arial"/>
          <w:b/>
          <w:sz w:val="24"/>
          <w:szCs w:val="24"/>
        </w:rPr>
        <w:t>Prior Period Adjustments, Changes in Accounting Policies and Estimates and Errors</w:t>
      </w:r>
    </w:p>
    <w:p w14:paraId="281A896C" w14:textId="1A951DE6" w:rsidR="004B7E57" w:rsidRPr="00B921B9"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Prior period adjustments may arise as a result of a change in accounting policies or to correct a material error. Changes in accounting estimates are accounted for prospectively, </w:t>
      </w:r>
      <w:r w:rsidR="00120BFE">
        <w:rPr>
          <w:rFonts w:asciiTheme="minorHAnsi" w:hAnsiTheme="minorHAnsi" w:cs="Arial"/>
          <w:sz w:val="22"/>
          <w:szCs w:val="22"/>
        </w:rPr>
        <w:t>for example,</w:t>
      </w:r>
      <w:r w:rsidRPr="00B921B9">
        <w:rPr>
          <w:rFonts w:asciiTheme="minorHAnsi" w:hAnsiTheme="minorHAnsi" w:cs="Arial"/>
          <w:sz w:val="22"/>
          <w:szCs w:val="22"/>
        </w:rPr>
        <w:t xml:space="preserve"> in the current and future years affected by the change and do not give rise to a prior period adjustment.</w:t>
      </w:r>
    </w:p>
    <w:p w14:paraId="1D16BEB7" w14:textId="77777777" w:rsidR="004B7E57"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made, it is applied retrospectively (unless stated otherwise) by adjusting opening balances and comparative amounts for the prior period as if the new policy had always been applied. </w:t>
      </w:r>
    </w:p>
    <w:p w14:paraId="0C9F3B17" w14:textId="77777777" w:rsidR="00E047D6" w:rsidRDefault="00E047D6" w:rsidP="00A84005">
      <w:pPr>
        <w:widowControl w:val="0"/>
        <w:tabs>
          <w:tab w:val="left" w:pos="1350"/>
        </w:tabs>
        <w:spacing w:after="120"/>
        <w:jc w:val="both"/>
        <w:rPr>
          <w:rFonts w:asciiTheme="minorHAnsi" w:hAnsiTheme="minorHAnsi" w:cs="Arial"/>
          <w:sz w:val="22"/>
          <w:szCs w:val="22"/>
        </w:rPr>
      </w:pPr>
      <w:r>
        <w:rPr>
          <w:rFonts w:asciiTheme="minorHAnsi" w:hAnsiTheme="minorHAnsi" w:cs="Arial"/>
          <w:sz w:val="22"/>
          <w:szCs w:val="22"/>
        </w:rPr>
        <w:t>Material errors discovered in prior periods are corrected retrospectively by amending opening balances and comparative amounts for the prior period.</w:t>
      </w:r>
    </w:p>
    <w:p w14:paraId="53AA9534" w14:textId="77777777" w:rsidR="009B71F0" w:rsidRDefault="009B71F0" w:rsidP="009B71F0">
      <w:pPr>
        <w:pStyle w:val="BodyTextIndent2"/>
        <w:spacing w:line="228" w:lineRule="auto"/>
        <w:ind w:left="426" w:hanging="426"/>
        <w:jc w:val="both"/>
        <w:rPr>
          <w:rFonts w:asciiTheme="minorHAnsi" w:hAnsiTheme="minorHAnsi" w:cs="Arial"/>
          <w:b/>
          <w:sz w:val="24"/>
          <w:szCs w:val="24"/>
        </w:rPr>
      </w:pPr>
      <w:r>
        <w:rPr>
          <w:rFonts w:asciiTheme="minorHAnsi" w:hAnsiTheme="minorHAnsi" w:cs="Arial"/>
          <w:b/>
          <w:sz w:val="24"/>
          <w:szCs w:val="24"/>
        </w:rPr>
        <w:t>e</w:t>
      </w:r>
      <w:r w:rsidRPr="00CD7719">
        <w:rPr>
          <w:rFonts w:asciiTheme="minorHAnsi" w:hAnsiTheme="minorHAnsi" w:cs="Arial"/>
          <w:b/>
          <w:sz w:val="24"/>
          <w:szCs w:val="24"/>
        </w:rPr>
        <w:t>)</w:t>
      </w:r>
      <w:r w:rsidRPr="00CD7719">
        <w:rPr>
          <w:rFonts w:asciiTheme="minorHAnsi" w:hAnsiTheme="minorHAnsi" w:cs="Arial"/>
          <w:b/>
          <w:sz w:val="24"/>
          <w:szCs w:val="24"/>
        </w:rPr>
        <w:tab/>
      </w:r>
      <w:r>
        <w:rPr>
          <w:rFonts w:asciiTheme="minorHAnsi" w:hAnsiTheme="minorHAnsi" w:cs="Arial"/>
          <w:b/>
          <w:sz w:val="24"/>
          <w:szCs w:val="24"/>
        </w:rPr>
        <w:t>Council Tax and Non-Domestic Rates</w:t>
      </w:r>
    </w:p>
    <w:p w14:paraId="522AE067" w14:textId="77777777" w:rsidR="009B71F0" w:rsidRDefault="009B71F0" w:rsidP="009B71F0">
      <w:pPr>
        <w:pStyle w:val="BodyTextIndent2"/>
        <w:spacing w:line="228" w:lineRule="auto"/>
        <w:ind w:left="426" w:hanging="426"/>
        <w:jc w:val="both"/>
        <w:rPr>
          <w:rFonts w:asciiTheme="minorHAnsi" w:hAnsiTheme="minorHAnsi" w:cs="Arial"/>
          <w:b/>
          <w:sz w:val="24"/>
          <w:szCs w:val="24"/>
        </w:rPr>
      </w:pPr>
    </w:p>
    <w:p w14:paraId="51EFBA91" w14:textId="6C8E3D8A" w:rsidR="009B71F0" w:rsidRDefault="009B71F0" w:rsidP="009B71F0">
      <w:pPr>
        <w:pStyle w:val="BodyTextIndent2"/>
        <w:spacing w:line="228" w:lineRule="auto"/>
        <w:ind w:left="0" w:firstLine="0"/>
        <w:jc w:val="both"/>
        <w:rPr>
          <w:rFonts w:asciiTheme="minorHAnsi" w:hAnsiTheme="minorHAnsi" w:cs="Arial"/>
          <w:sz w:val="22"/>
          <w:szCs w:val="22"/>
        </w:rPr>
      </w:pPr>
      <w:r>
        <w:rPr>
          <w:rFonts w:asciiTheme="minorHAnsi" w:hAnsiTheme="minorHAnsi" w:cs="Arial"/>
          <w:sz w:val="22"/>
          <w:szCs w:val="22"/>
        </w:rPr>
        <w:t xml:space="preserve">Billing authorities act as agents, collecting council tax and non-domestic rates (NDR) on behalf of the major preceptors (including government for NDR) and, as principals, collecting council tax and NDR for themselves.  Billing authorities are required by statute to maintain a separate fund, </w:t>
      </w:r>
      <w:proofErr w:type="spellStart"/>
      <w:proofErr w:type="gramStart"/>
      <w:r>
        <w:rPr>
          <w:rFonts w:asciiTheme="minorHAnsi" w:hAnsiTheme="minorHAnsi" w:cs="Arial"/>
          <w:sz w:val="22"/>
          <w:szCs w:val="22"/>
        </w:rPr>
        <w:t>ie</w:t>
      </w:r>
      <w:proofErr w:type="spellEnd"/>
      <w:proofErr w:type="gramEnd"/>
      <w:r>
        <w:rPr>
          <w:rFonts w:asciiTheme="minorHAnsi" w:hAnsiTheme="minorHAnsi" w:cs="Arial"/>
          <w:sz w:val="22"/>
          <w:szCs w:val="22"/>
        </w:rPr>
        <w:t xml:space="preserve"> the Collection Fund, for the collection and distribution of amounts due in respect of council tax and NDR.  Under the legislative framework for the Collection Fund, billing authorities, major preceptors and central government share proportionately the risks and rewards that the amount of council tax and NDR collected could be less or more than predicted.</w:t>
      </w:r>
    </w:p>
    <w:p w14:paraId="09E75E3D" w14:textId="1B14E332" w:rsidR="00B81AD5" w:rsidRDefault="00B81AD5" w:rsidP="009B71F0">
      <w:pPr>
        <w:pStyle w:val="BodyTextIndent2"/>
        <w:spacing w:line="228" w:lineRule="auto"/>
        <w:ind w:left="0" w:firstLine="0"/>
        <w:jc w:val="both"/>
        <w:rPr>
          <w:rFonts w:asciiTheme="minorHAnsi" w:hAnsiTheme="minorHAnsi" w:cs="Arial"/>
          <w:sz w:val="22"/>
          <w:szCs w:val="22"/>
        </w:rPr>
      </w:pPr>
    </w:p>
    <w:p w14:paraId="2EBDB870" w14:textId="77777777" w:rsidR="004B7E57" w:rsidRPr="009B71F0" w:rsidRDefault="009B71F0" w:rsidP="00C76AD3">
      <w:pPr>
        <w:pStyle w:val="ListParagraph"/>
        <w:widowControl w:val="0"/>
        <w:numPr>
          <w:ilvl w:val="0"/>
          <w:numId w:val="41"/>
        </w:numPr>
        <w:spacing w:line="216" w:lineRule="auto"/>
        <w:jc w:val="both"/>
        <w:rPr>
          <w:rFonts w:asciiTheme="minorHAnsi" w:hAnsiTheme="minorHAnsi" w:cs="Arial"/>
          <w:b/>
          <w:sz w:val="24"/>
          <w:szCs w:val="24"/>
        </w:rPr>
      </w:pPr>
      <w:r w:rsidRPr="009B71F0">
        <w:rPr>
          <w:rFonts w:asciiTheme="minorHAnsi" w:hAnsiTheme="minorHAnsi" w:cs="Arial"/>
          <w:b/>
          <w:sz w:val="24"/>
          <w:szCs w:val="24"/>
        </w:rPr>
        <w:t>C</w:t>
      </w:r>
      <w:r w:rsidR="004B7E57" w:rsidRPr="009B71F0">
        <w:rPr>
          <w:rFonts w:asciiTheme="minorHAnsi" w:hAnsiTheme="minorHAnsi" w:cs="Arial"/>
          <w:b/>
          <w:sz w:val="24"/>
          <w:szCs w:val="24"/>
        </w:rPr>
        <w:t>harges to Revenue for Non-Current Assets</w:t>
      </w:r>
    </w:p>
    <w:p w14:paraId="3F5978BB" w14:textId="77777777" w:rsidR="004B7E57" w:rsidRPr="00B921B9" w:rsidRDefault="004B7E57" w:rsidP="004B7E57">
      <w:pPr>
        <w:widowControl w:val="0"/>
        <w:spacing w:line="216" w:lineRule="auto"/>
        <w:ind w:left="426" w:hanging="426"/>
        <w:jc w:val="both"/>
        <w:rPr>
          <w:rFonts w:asciiTheme="minorHAnsi" w:hAnsiTheme="minorHAnsi" w:cs="Arial"/>
          <w:w w:val="110"/>
          <w:sz w:val="22"/>
          <w:szCs w:val="22"/>
        </w:rPr>
      </w:pPr>
    </w:p>
    <w:p w14:paraId="667961D1" w14:textId="77777777" w:rsidR="004B7E57" w:rsidRPr="00B921B9" w:rsidRDefault="004B7E57" w:rsidP="00A84005">
      <w:pPr>
        <w:widowControl w:val="0"/>
        <w:spacing w:after="60" w:line="216" w:lineRule="auto"/>
        <w:jc w:val="both"/>
        <w:rPr>
          <w:rFonts w:asciiTheme="minorHAnsi" w:hAnsiTheme="minorHAnsi" w:cs="Arial"/>
          <w:sz w:val="22"/>
          <w:szCs w:val="22"/>
        </w:rPr>
      </w:pPr>
      <w:r w:rsidRPr="00B921B9">
        <w:rPr>
          <w:rFonts w:asciiTheme="minorHAnsi" w:hAnsiTheme="minorHAnsi" w:cs="Arial"/>
          <w:sz w:val="22"/>
          <w:szCs w:val="22"/>
        </w:rPr>
        <w:t>Services, support services and trading accounts are debited with the following amounts to record the cost of holding non-current assets during the year:</w:t>
      </w:r>
    </w:p>
    <w:p w14:paraId="59AA7E7E" w14:textId="77777777" w:rsidR="004B7E57" w:rsidRPr="00B921B9" w:rsidRDefault="004B7E57" w:rsidP="00C76AD3">
      <w:pPr>
        <w:widowControl w:val="0"/>
        <w:numPr>
          <w:ilvl w:val="0"/>
          <w:numId w:val="8"/>
        </w:numPr>
        <w:tabs>
          <w:tab w:val="clear" w:pos="1145"/>
          <w:tab w:val="num" w:pos="709"/>
        </w:tabs>
        <w:spacing w:after="60" w:line="228" w:lineRule="auto"/>
        <w:ind w:left="0" w:firstLine="426"/>
        <w:jc w:val="both"/>
        <w:rPr>
          <w:rFonts w:asciiTheme="minorHAnsi" w:hAnsiTheme="minorHAnsi" w:cs="Arial"/>
          <w:sz w:val="22"/>
          <w:szCs w:val="22"/>
        </w:rPr>
      </w:pPr>
      <w:r w:rsidRPr="00B921B9">
        <w:rPr>
          <w:rFonts w:asciiTheme="minorHAnsi" w:hAnsiTheme="minorHAnsi" w:cs="Arial"/>
          <w:sz w:val="22"/>
          <w:szCs w:val="22"/>
        </w:rPr>
        <w:t>Depreciation attributable to the assets used by the relevant service.</w:t>
      </w:r>
    </w:p>
    <w:p w14:paraId="7CC3935E" w14:textId="77777777" w:rsidR="004B7E57" w:rsidRPr="00B921B9" w:rsidRDefault="004B7E57" w:rsidP="00C76AD3">
      <w:pPr>
        <w:widowControl w:val="0"/>
        <w:numPr>
          <w:ilvl w:val="0"/>
          <w:numId w:val="8"/>
        </w:numPr>
        <w:tabs>
          <w:tab w:val="clear" w:pos="1145"/>
          <w:tab w:val="num" w:pos="709"/>
        </w:tabs>
        <w:spacing w:after="60" w:line="228" w:lineRule="auto"/>
        <w:ind w:left="709" w:hanging="283"/>
        <w:jc w:val="both"/>
        <w:rPr>
          <w:rFonts w:asciiTheme="minorHAnsi" w:hAnsiTheme="minorHAnsi" w:cs="Arial"/>
          <w:sz w:val="22"/>
          <w:szCs w:val="22"/>
        </w:rPr>
      </w:pPr>
      <w:r w:rsidRPr="00B921B9">
        <w:rPr>
          <w:rFonts w:asciiTheme="minorHAnsi" w:hAnsiTheme="minorHAnsi" w:cs="Arial"/>
          <w:sz w:val="22"/>
          <w:szCs w:val="22"/>
        </w:rPr>
        <w:lastRenderedPageBreak/>
        <w:t>Revaluation and impairment losses on assets used by the service where there are no accumulated gains in the Revaluation Reserve against which the losses can be written off.</w:t>
      </w:r>
    </w:p>
    <w:p w14:paraId="75F9770E" w14:textId="77777777" w:rsidR="004B7E57" w:rsidRPr="00B921B9" w:rsidRDefault="004B7E57" w:rsidP="00C76AD3">
      <w:pPr>
        <w:widowControl w:val="0"/>
        <w:numPr>
          <w:ilvl w:val="0"/>
          <w:numId w:val="8"/>
        </w:numPr>
        <w:tabs>
          <w:tab w:val="clear" w:pos="1145"/>
          <w:tab w:val="num" w:pos="709"/>
        </w:tabs>
        <w:spacing w:after="60" w:line="228" w:lineRule="auto"/>
        <w:ind w:left="0" w:firstLine="426"/>
        <w:jc w:val="both"/>
        <w:rPr>
          <w:rFonts w:asciiTheme="minorHAnsi" w:hAnsiTheme="minorHAnsi" w:cs="Arial"/>
          <w:sz w:val="22"/>
          <w:szCs w:val="22"/>
        </w:rPr>
      </w:pPr>
      <w:r w:rsidRPr="00B921B9">
        <w:rPr>
          <w:rFonts w:asciiTheme="minorHAnsi" w:hAnsiTheme="minorHAnsi" w:cs="Arial"/>
          <w:sz w:val="22"/>
          <w:szCs w:val="22"/>
        </w:rPr>
        <w:t>Amortisation of intangible assets attributable to the service.</w:t>
      </w:r>
    </w:p>
    <w:p w14:paraId="7E59424D" w14:textId="77777777" w:rsidR="004B7E57"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The Council is not required to raise council tax to fund depreciation, revaluation and impairment losses or amortisation. However, it is required to make an annual contribution from revenue towards the reduction in its overall borrowing requirement (equal to an amount calculated on a prudent basis determined by the Council in accordance with statutory guidance). Depreciation, revaluation and impairment losses and amortisations are therefore replaced by the contribution in the General Fund Balance (MRP), by way of an adjusting transaction with the Capital Adjustment Account in the Movement in Reserves Statement for the difference between the two.</w:t>
      </w:r>
    </w:p>
    <w:p w14:paraId="7067F729" w14:textId="77777777" w:rsidR="004B7E57" w:rsidRPr="00B921B9" w:rsidRDefault="004B7E57" w:rsidP="00C76AD3">
      <w:pPr>
        <w:pStyle w:val="ListParagraph"/>
        <w:widowControl w:val="0"/>
        <w:numPr>
          <w:ilvl w:val="0"/>
          <w:numId w:val="41"/>
        </w:numPr>
        <w:tabs>
          <w:tab w:val="left" w:pos="1350"/>
        </w:tabs>
        <w:spacing w:after="120"/>
        <w:jc w:val="both"/>
        <w:rPr>
          <w:rFonts w:asciiTheme="minorHAnsi" w:hAnsiTheme="minorHAnsi" w:cs="Arial"/>
          <w:b/>
          <w:sz w:val="24"/>
          <w:szCs w:val="24"/>
        </w:rPr>
      </w:pPr>
      <w:r w:rsidRPr="00B921B9">
        <w:rPr>
          <w:rFonts w:asciiTheme="minorHAnsi" w:hAnsiTheme="minorHAnsi" w:cs="Arial"/>
          <w:b/>
          <w:sz w:val="24"/>
          <w:szCs w:val="24"/>
        </w:rPr>
        <w:t>Employee Benefits</w:t>
      </w:r>
    </w:p>
    <w:p w14:paraId="5F81CA24" w14:textId="77777777" w:rsidR="004B7E57" w:rsidRPr="00B921B9" w:rsidRDefault="004B7E57" w:rsidP="00A84005">
      <w:pPr>
        <w:widowControl w:val="0"/>
        <w:tabs>
          <w:tab w:val="left" w:pos="1350"/>
        </w:tabs>
        <w:spacing w:after="120"/>
        <w:jc w:val="both"/>
        <w:rPr>
          <w:rFonts w:asciiTheme="minorHAnsi" w:hAnsiTheme="minorHAnsi" w:cs="Arial"/>
          <w:b/>
          <w:sz w:val="22"/>
          <w:szCs w:val="22"/>
        </w:rPr>
      </w:pPr>
      <w:r w:rsidRPr="00B921B9">
        <w:rPr>
          <w:rFonts w:asciiTheme="minorHAnsi" w:hAnsiTheme="minorHAnsi" w:cs="Arial"/>
          <w:b/>
          <w:sz w:val="22"/>
          <w:szCs w:val="22"/>
        </w:rPr>
        <w:t>Benefits Payable during Employment</w:t>
      </w:r>
    </w:p>
    <w:p w14:paraId="1134B6CD" w14:textId="714A52B3" w:rsidR="004B7E57" w:rsidRPr="00B921B9" w:rsidRDefault="004B7E57" w:rsidP="00A84005">
      <w:pPr>
        <w:widowControl w:val="0"/>
        <w:tabs>
          <w:tab w:val="left" w:pos="1350"/>
        </w:tabs>
        <w:spacing w:after="120"/>
        <w:jc w:val="both"/>
        <w:rPr>
          <w:rFonts w:asciiTheme="minorHAnsi" w:hAnsiTheme="minorHAnsi" w:cs="Arial"/>
          <w:sz w:val="22"/>
          <w:szCs w:val="22"/>
        </w:rPr>
      </w:pPr>
      <w:r w:rsidRPr="00B921B9">
        <w:rPr>
          <w:rFonts w:asciiTheme="minorHAnsi" w:hAnsiTheme="minorHAnsi" w:cs="Arial"/>
          <w:sz w:val="22"/>
          <w:szCs w:val="22"/>
        </w:rPr>
        <w:t>Short-term employee benefits are those due to be settled wholly within 12 months of the year-end. They include such benefits as</w:t>
      </w:r>
      <w:r w:rsidR="00E047D6">
        <w:rPr>
          <w:rFonts w:asciiTheme="minorHAnsi" w:hAnsiTheme="minorHAnsi" w:cs="Arial"/>
          <w:sz w:val="22"/>
          <w:szCs w:val="22"/>
        </w:rPr>
        <w:t xml:space="preserve"> wages </w:t>
      </w:r>
      <w:r w:rsidR="00704A70">
        <w:rPr>
          <w:rFonts w:asciiTheme="minorHAnsi" w:hAnsiTheme="minorHAnsi" w:cs="Arial"/>
          <w:sz w:val="22"/>
          <w:szCs w:val="22"/>
        </w:rPr>
        <w:t>and</w:t>
      </w:r>
      <w:r w:rsidRPr="00B921B9">
        <w:rPr>
          <w:rFonts w:asciiTheme="minorHAnsi" w:hAnsiTheme="minorHAnsi" w:cs="Arial"/>
          <w:sz w:val="22"/>
          <w:szCs w:val="22"/>
        </w:rPr>
        <w:t xml:space="preserve"> salaries, paid annual leave and paid sick leave for current employees and are recognised as an expense for services in the year in which employees render service to the Council. An accrual is made for the cost of holiday entitlements (or any form of leave, </w:t>
      </w:r>
      <w:proofErr w:type="gramStart"/>
      <w:r w:rsidRPr="00B921B9">
        <w:rPr>
          <w:rFonts w:asciiTheme="minorHAnsi" w:hAnsiTheme="minorHAnsi" w:cs="Arial"/>
          <w:sz w:val="22"/>
          <w:szCs w:val="22"/>
        </w:rPr>
        <w:t>e.g.</w:t>
      </w:r>
      <w:proofErr w:type="gramEnd"/>
      <w:r w:rsidRPr="00B921B9">
        <w:rPr>
          <w:rFonts w:asciiTheme="minorHAnsi" w:hAnsiTheme="minorHAnsi" w:cs="Arial"/>
          <w:sz w:val="22"/>
          <w:szCs w:val="22"/>
        </w:rPr>
        <w:t xml:space="preserve"> time off in lieu) earned by employees but not taken before the year-end which employees can carry forward into the next financial year. The accrual is made at the salary rates applicable in the following accounting year, being the period in which the employee takes the benefit. The accrual is charged to Surplus or Deficit on the Provision of Services, but then reversed out through the Movement in Reserves Statement via the Accumulated Absences Account so that holiday </w:t>
      </w:r>
      <w:r w:rsidR="00964C34">
        <w:rPr>
          <w:rFonts w:asciiTheme="minorHAnsi" w:hAnsiTheme="minorHAnsi" w:cs="Arial"/>
          <w:sz w:val="22"/>
          <w:szCs w:val="22"/>
        </w:rPr>
        <w:t>entitlements</w:t>
      </w:r>
      <w:r w:rsidRPr="00B921B9">
        <w:rPr>
          <w:rFonts w:asciiTheme="minorHAnsi" w:hAnsiTheme="minorHAnsi" w:cs="Arial"/>
          <w:sz w:val="22"/>
          <w:szCs w:val="22"/>
        </w:rPr>
        <w:t xml:space="preserve"> are charged to revenue in the financial year in which the holiday absence occurs. </w:t>
      </w:r>
    </w:p>
    <w:p w14:paraId="2E558348" w14:textId="77777777" w:rsidR="004B7E57" w:rsidRPr="00F73571" w:rsidRDefault="004B7E57" w:rsidP="00C76AD3">
      <w:pPr>
        <w:pStyle w:val="ListParagraph"/>
        <w:widowControl w:val="0"/>
        <w:numPr>
          <w:ilvl w:val="0"/>
          <w:numId w:val="41"/>
        </w:numPr>
        <w:tabs>
          <w:tab w:val="left" w:pos="426"/>
        </w:tabs>
        <w:spacing w:after="120"/>
        <w:jc w:val="both"/>
        <w:rPr>
          <w:rFonts w:asciiTheme="minorHAnsi" w:hAnsiTheme="minorHAnsi" w:cs="Arial"/>
          <w:b/>
          <w:sz w:val="24"/>
          <w:szCs w:val="24"/>
        </w:rPr>
      </w:pPr>
      <w:r w:rsidRPr="00F73571">
        <w:rPr>
          <w:rFonts w:asciiTheme="minorHAnsi" w:hAnsiTheme="minorHAnsi" w:cs="Arial"/>
          <w:b/>
          <w:sz w:val="24"/>
          <w:szCs w:val="24"/>
        </w:rPr>
        <w:t>Events After the Reporting Period</w:t>
      </w:r>
    </w:p>
    <w:p w14:paraId="219A2C76" w14:textId="77777777" w:rsidR="004B7E57" w:rsidRPr="00B921B9" w:rsidRDefault="004B7E57" w:rsidP="00A84005">
      <w:pPr>
        <w:widowControl w:val="0"/>
        <w:tabs>
          <w:tab w:val="left" w:pos="0"/>
        </w:tabs>
        <w:spacing w:after="120"/>
        <w:jc w:val="both"/>
        <w:rPr>
          <w:rFonts w:asciiTheme="minorHAnsi" w:hAnsiTheme="minorHAnsi" w:cs="Arial"/>
          <w:sz w:val="22"/>
          <w:szCs w:val="22"/>
        </w:rPr>
      </w:pPr>
      <w:r w:rsidRPr="00B921B9">
        <w:rPr>
          <w:rFonts w:asciiTheme="minorHAnsi" w:hAnsiTheme="minorHAnsi" w:cs="Arial"/>
          <w:sz w:val="22"/>
          <w:szCs w:val="22"/>
        </w:rPr>
        <w:t>Events after the Balance Sheet date are those events, both favourable and unfavourable, that occur between the end of the reporting period and the date when the Statement of Accounts is authorised for issue. Two types of events can be identified:</w:t>
      </w:r>
    </w:p>
    <w:p w14:paraId="32A87366" w14:textId="77777777" w:rsidR="004B7E57" w:rsidRPr="00B921B9" w:rsidRDefault="004B7E57" w:rsidP="00C76AD3">
      <w:pPr>
        <w:widowControl w:val="0"/>
        <w:numPr>
          <w:ilvl w:val="0"/>
          <w:numId w:val="9"/>
        </w:numPr>
        <w:tabs>
          <w:tab w:val="clear" w:pos="720"/>
          <w:tab w:val="left" w:pos="142"/>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 xml:space="preserve">Those that provide evidence of conditions that existed at the end of the reporting period – the Statement of Accounts is adjusted to reflect such </w:t>
      </w:r>
      <w:proofErr w:type="gramStart"/>
      <w:r w:rsidRPr="00B921B9">
        <w:rPr>
          <w:rFonts w:asciiTheme="minorHAnsi" w:hAnsiTheme="minorHAnsi" w:cs="Arial"/>
          <w:sz w:val="22"/>
          <w:szCs w:val="22"/>
        </w:rPr>
        <w:t>events</w:t>
      </w:r>
      <w:proofErr w:type="gramEnd"/>
    </w:p>
    <w:p w14:paraId="035FE34E" w14:textId="77777777" w:rsidR="004B7E57" w:rsidRPr="00B921B9" w:rsidRDefault="004B7E57" w:rsidP="00C76AD3">
      <w:pPr>
        <w:widowControl w:val="0"/>
        <w:numPr>
          <w:ilvl w:val="0"/>
          <w:numId w:val="9"/>
        </w:numPr>
        <w:tabs>
          <w:tab w:val="clear" w:pos="720"/>
          <w:tab w:val="left" w:pos="709"/>
        </w:tabs>
        <w:spacing w:after="120"/>
        <w:ind w:left="709" w:hanging="283"/>
        <w:jc w:val="both"/>
        <w:rPr>
          <w:rFonts w:asciiTheme="minorHAnsi" w:hAnsiTheme="minorHAnsi" w:cs="Arial"/>
          <w:sz w:val="22"/>
          <w:szCs w:val="22"/>
        </w:rPr>
      </w:pPr>
      <w:r w:rsidRPr="00B921B9">
        <w:rPr>
          <w:rFonts w:asciiTheme="minorHAnsi" w:hAnsiTheme="minorHAnsi" w:cs="Arial"/>
          <w:sz w:val="22"/>
          <w:szCs w:val="22"/>
        </w:rPr>
        <w:t xml:space="preserve">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 </w:t>
      </w:r>
    </w:p>
    <w:p w14:paraId="109FD33F" w14:textId="77777777" w:rsidR="004B7E57" w:rsidRPr="00B921B9" w:rsidRDefault="004B7E57" w:rsidP="00A84005">
      <w:pPr>
        <w:widowControl w:val="0"/>
        <w:tabs>
          <w:tab w:val="left" w:pos="0"/>
        </w:tabs>
        <w:spacing w:after="120"/>
        <w:jc w:val="both"/>
        <w:rPr>
          <w:rFonts w:asciiTheme="minorHAnsi" w:hAnsiTheme="minorHAnsi" w:cs="Arial"/>
          <w:sz w:val="22"/>
          <w:szCs w:val="22"/>
        </w:rPr>
      </w:pPr>
      <w:r w:rsidRPr="00B921B9">
        <w:rPr>
          <w:rFonts w:asciiTheme="minorHAnsi" w:hAnsiTheme="minorHAnsi" w:cs="Arial"/>
          <w:sz w:val="22"/>
          <w:szCs w:val="22"/>
        </w:rPr>
        <w:t>Events taking place after the date of authorisation for issue are not reflected in the Statement of Accounts.</w:t>
      </w:r>
    </w:p>
    <w:p w14:paraId="5E77DC4B" w14:textId="77777777" w:rsidR="004B7E57" w:rsidRPr="00B81AD5" w:rsidRDefault="004B7E57" w:rsidP="004B7E57">
      <w:pPr>
        <w:widowControl w:val="0"/>
        <w:spacing w:line="228" w:lineRule="auto"/>
        <w:ind w:left="426"/>
        <w:jc w:val="both"/>
        <w:rPr>
          <w:rFonts w:asciiTheme="minorHAnsi" w:hAnsiTheme="minorHAnsi" w:cs="Arial"/>
        </w:rPr>
      </w:pPr>
    </w:p>
    <w:p w14:paraId="374B233B" w14:textId="77777777" w:rsidR="004B7E57" w:rsidRPr="00A84005" w:rsidRDefault="004B7E57" w:rsidP="00C76AD3">
      <w:pPr>
        <w:pStyle w:val="ListParagraph"/>
        <w:widowControl w:val="0"/>
        <w:numPr>
          <w:ilvl w:val="0"/>
          <w:numId w:val="41"/>
        </w:numPr>
        <w:spacing w:line="228" w:lineRule="auto"/>
        <w:ind w:left="426" w:hanging="426"/>
        <w:jc w:val="both"/>
        <w:rPr>
          <w:rFonts w:asciiTheme="minorHAnsi" w:hAnsiTheme="minorHAnsi" w:cs="Arial"/>
          <w:b/>
          <w:sz w:val="24"/>
          <w:szCs w:val="24"/>
        </w:rPr>
      </w:pPr>
      <w:r w:rsidRPr="00A84005">
        <w:rPr>
          <w:rFonts w:asciiTheme="minorHAnsi" w:hAnsiTheme="minorHAnsi" w:cs="Arial"/>
          <w:b/>
          <w:sz w:val="24"/>
          <w:szCs w:val="24"/>
        </w:rPr>
        <w:t xml:space="preserve"> Business Improvement District</w:t>
      </w:r>
    </w:p>
    <w:p w14:paraId="58935D2F" w14:textId="77777777" w:rsidR="004B7E57" w:rsidRPr="00B921B9" w:rsidRDefault="004B7E57" w:rsidP="004B7E57">
      <w:pPr>
        <w:widowControl w:val="0"/>
        <w:spacing w:line="228" w:lineRule="auto"/>
        <w:jc w:val="both"/>
        <w:rPr>
          <w:rFonts w:asciiTheme="minorHAnsi" w:hAnsiTheme="minorHAnsi" w:cs="Arial"/>
          <w:b/>
          <w:sz w:val="22"/>
          <w:szCs w:val="22"/>
          <w:u w:val="single"/>
        </w:rPr>
      </w:pPr>
    </w:p>
    <w:p w14:paraId="286AAA3E" w14:textId="77777777" w:rsidR="004B7E57" w:rsidRPr="00B921B9" w:rsidRDefault="004B7E57" w:rsidP="00A84005">
      <w:pPr>
        <w:widowControl w:val="0"/>
        <w:spacing w:line="228" w:lineRule="auto"/>
        <w:ind w:hanging="426"/>
        <w:jc w:val="both"/>
        <w:rPr>
          <w:rFonts w:asciiTheme="minorHAnsi" w:hAnsiTheme="minorHAnsi" w:cs="Arial"/>
          <w:sz w:val="22"/>
          <w:szCs w:val="22"/>
        </w:rPr>
      </w:pPr>
      <w:r w:rsidRPr="00B921B9">
        <w:rPr>
          <w:rFonts w:asciiTheme="minorHAnsi" w:hAnsiTheme="minorHAnsi" w:cs="Arial"/>
          <w:sz w:val="22"/>
          <w:szCs w:val="22"/>
        </w:rPr>
        <w:tab/>
        <w:t>A Business Improvement District (BID) scheme applies across the whole of the Council. The scheme is funded by a BID levy paid by non-domestic ratepayers. The Council acts as principal under the scheme, and accounts for income received and expenditure incurred (including contributions to the BID project) within the relevant services within the Comprehensive Income and Expenditure Statement).</w:t>
      </w:r>
    </w:p>
    <w:p w14:paraId="2C9BCF90" w14:textId="77777777" w:rsidR="00B711B5" w:rsidRDefault="00B711B5" w:rsidP="004B7E57">
      <w:pPr>
        <w:widowControl w:val="0"/>
        <w:spacing w:line="228" w:lineRule="auto"/>
        <w:ind w:left="426"/>
        <w:jc w:val="both"/>
        <w:rPr>
          <w:rFonts w:asciiTheme="minorHAnsi" w:hAnsiTheme="minorHAnsi" w:cs="Arial"/>
          <w:b/>
          <w:sz w:val="22"/>
          <w:szCs w:val="22"/>
          <w:u w:val="single"/>
        </w:rPr>
      </w:pPr>
    </w:p>
    <w:p w14:paraId="0C1896F6" w14:textId="6A93B4B2" w:rsidR="004B7E57" w:rsidRDefault="004B7E57" w:rsidP="00C76AD3">
      <w:pPr>
        <w:pStyle w:val="ListParagraph"/>
        <w:widowControl w:val="0"/>
        <w:numPr>
          <w:ilvl w:val="0"/>
          <w:numId w:val="41"/>
        </w:numPr>
        <w:spacing w:after="120" w:line="228" w:lineRule="auto"/>
        <w:ind w:hanging="349"/>
        <w:jc w:val="both"/>
        <w:rPr>
          <w:rFonts w:asciiTheme="minorHAnsi" w:hAnsiTheme="minorHAnsi" w:cs="Arial"/>
          <w:b/>
          <w:sz w:val="24"/>
          <w:szCs w:val="24"/>
        </w:rPr>
      </w:pPr>
      <w:r w:rsidRPr="00A84005">
        <w:rPr>
          <w:rFonts w:asciiTheme="minorHAnsi" w:hAnsiTheme="minorHAnsi" w:cs="Arial"/>
          <w:b/>
          <w:sz w:val="24"/>
          <w:szCs w:val="24"/>
        </w:rPr>
        <w:t xml:space="preserve">Inventories and </w:t>
      </w:r>
      <w:proofErr w:type="gramStart"/>
      <w:r w:rsidRPr="00A84005">
        <w:rPr>
          <w:rFonts w:asciiTheme="minorHAnsi" w:hAnsiTheme="minorHAnsi" w:cs="Arial"/>
          <w:b/>
          <w:sz w:val="24"/>
          <w:szCs w:val="24"/>
        </w:rPr>
        <w:t>Long Term</w:t>
      </w:r>
      <w:proofErr w:type="gramEnd"/>
      <w:r w:rsidRPr="00A84005">
        <w:rPr>
          <w:rFonts w:asciiTheme="minorHAnsi" w:hAnsiTheme="minorHAnsi" w:cs="Arial"/>
          <w:b/>
          <w:sz w:val="24"/>
          <w:szCs w:val="24"/>
        </w:rPr>
        <w:t xml:space="preserve"> Contracts </w:t>
      </w:r>
    </w:p>
    <w:p w14:paraId="68DC37A7" w14:textId="5ECF1927" w:rsidR="004B7E57" w:rsidRPr="00964C34" w:rsidRDefault="004B7E57" w:rsidP="001C2EB0">
      <w:pPr>
        <w:widowControl w:val="0"/>
        <w:tabs>
          <w:tab w:val="left" w:pos="0"/>
        </w:tabs>
        <w:spacing w:line="216" w:lineRule="auto"/>
        <w:ind w:hanging="426"/>
        <w:jc w:val="both"/>
        <w:rPr>
          <w:rFonts w:asciiTheme="minorHAnsi" w:hAnsiTheme="minorHAnsi" w:cs="Arial"/>
          <w:color w:val="FF0000"/>
          <w:sz w:val="22"/>
          <w:szCs w:val="22"/>
        </w:rPr>
      </w:pPr>
      <w:r w:rsidRPr="00B921B9">
        <w:rPr>
          <w:rFonts w:asciiTheme="minorHAnsi" w:hAnsiTheme="minorHAnsi" w:cs="Arial"/>
          <w:sz w:val="22"/>
          <w:szCs w:val="22"/>
        </w:rPr>
        <w:tab/>
        <w:t xml:space="preserve">Purchasing stocks have been completely </w:t>
      </w:r>
      <w:r w:rsidR="00A614E1">
        <w:rPr>
          <w:rFonts w:asciiTheme="minorHAnsi" w:hAnsiTheme="minorHAnsi" w:cs="Arial"/>
          <w:sz w:val="22"/>
          <w:szCs w:val="22"/>
        </w:rPr>
        <w:t xml:space="preserve">recharged to services in </w:t>
      </w:r>
      <w:r w:rsidR="0025199A">
        <w:rPr>
          <w:rFonts w:asciiTheme="minorHAnsi" w:hAnsiTheme="minorHAnsi" w:cs="Arial"/>
          <w:sz w:val="22"/>
          <w:szCs w:val="22"/>
        </w:rPr>
        <w:t>the year</w:t>
      </w:r>
      <w:r w:rsidRPr="00B921B9">
        <w:rPr>
          <w:rFonts w:asciiTheme="minorHAnsi" w:hAnsiTheme="minorHAnsi" w:cs="Arial"/>
          <w:sz w:val="22"/>
          <w:szCs w:val="22"/>
        </w:rPr>
        <w:t>.</w:t>
      </w:r>
      <w:r w:rsidR="00964C34">
        <w:rPr>
          <w:rFonts w:asciiTheme="minorHAnsi" w:hAnsiTheme="minorHAnsi" w:cs="Arial"/>
          <w:color w:val="FF0000"/>
          <w:sz w:val="22"/>
          <w:szCs w:val="22"/>
        </w:rPr>
        <w:t xml:space="preserve"> </w:t>
      </w:r>
    </w:p>
    <w:p w14:paraId="63500038" w14:textId="77777777" w:rsidR="004B7E57" w:rsidRPr="00B921B9" w:rsidRDefault="004B7E57" w:rsidP="001C2EB0">
      <w:pPr>
        <w:widowControl w:val="0"/>
        <w:tabs>
          <w:tab w:val="left" w:pos="0"/>
        </w:tabs>
        <w:spacing w:line="216" w:lineRule="auto"/>
        <w:ind w:hanging="426"/>
        <w:jc w:val="both"/>
        <w:rPr>
          <w:rFonts w:asciiTheme="minorHAnsi" w:hAnsiTheme="minorHAnsi" w:cs="Arial"/>
          <w:sz w:val="22"/>
          <w:szCs w:val="22"/>
        </w:rPr>
      </w:pPr>
    </w:p>
    <w:p w14:paraId="0F255C88" w14:textId="77777777" w:rsidR="004B7E57" w:rsidRPr="00B921B9" w:rsidRDefault="004B7E57" w:rsidP="001C2EB0">
      <w:pPr>
        <w:widowControl w:val="0"/>
        <w:tabs>
          <w:tab w:val="left" w:pos="0"/>
        </w:tabs>
        <w:spacing w:line="216" w:lineRule="auto"/>
        <w:ind w:hanging="426"/>
        <w:jc w:val="both"/>
        <w:rPr>
          <w:rFonts w:asciiTheme="minorHAnsi" w:hAnsiTheme="minorHAnsi" w:cs="Arial"/>
          <w:sz w:val="22"/>
          <w:szCs w:val="22"/>
        </w:rPr>
      </w:pPr>
      <w:r w:rsidRPr="00B921B9">
        <w:rPr>
          <w:rFonts w:asciiTheme="minorHAnsi" w:hAnsiTheme="minorHAnsi" w:cs="Arial"/>
          <w:sz w:val="22"/>
          <w:szCs w:val="22"/>
        </w:rPr>
        <w:tab/>
        <w:t>Long term contracts are accounted for on the basis of charging the Surplus or Deficit on the Provision of Services with the value of works and services received under the contract during the financial year.</w:t>
      </w:r>
    </w:p>
    <w:p w14:paraId="275B8E5F" w14:textId="77777777" w:rsidR="004B7E57" w:rsidRPr="00B921B9" w:rsidRDefault="004B7E57" w:rsidP="004B7E57">
      <w:pPr>
        <w:widowControl w:val="0"/>
        <w:tabs>
          <w:tab w:val="left" w:pos="426"/>
        </w:tabs>
        <w:spacing w:line="216" w:lineRule="auto"/>
        <w:ind w:left="426" w:hanging="426"/>
        <w:jc w:val="both"/>
        <w:rPr>
          <w:rFonts w:asciiTheme="minorHAnsi" w:hAnsiTheme="minorHAnsi" w:cs="Arial"/>
          <w:b/>
          <w:sz w:val="22"/>
          <w:szCs w:val="22"/>
          <w:u w:val="single"/>
        </w:rPr>
      </w:pPr>
    </w:p>
    <w:p w14:paraId="7E71987E" w14:textId="77777777" w:rsidR="004B7E57" w:rsidRPr="001C2EB0" w:rsidRDefault="004B7E57" w:rsidP="00C76AD3">
      <w:pPr>
        <w:pStyle w:val="ListParagraph"/>
        <w:widowControl w:val="0"/>
        <w:numPr>
          <w:ilvl w:val="0"/>
          <w:numId w:val="41"/>
        </w:numPr>
        <w:tabs>
          <w:tab w:val="left" w:pos="0"/>
        </w:tabs>
        <w:spacing w:line="216" w:lineRule="auto"/>
        <w:ind w:hanging="349"/>
        <w:jc w:val="both"/>
        <w:rPr>
          <w:rFonts w:asciiTheme="minorHAnsi" w:hAnsiTheme="minorHAnsi" w:cs="Arial"/>
          <w:b/>
          <w:sz w:val="24"/>
          <w:szCs w:val="24"/>
        </w:rPr>
      </w:pPr>
      <w:r w:rsidRPr="001C2EB0">
        <w:rPr>
          <w:rFonts w:asciiTheme="minorHAnsi" w:hAnsiTheme="minorHAnsi" w:cs="Arial"/>
          <w:b/>
          <w:sz w:val="24"/>
          <w:szCs w:val="24"/>
        </w:rPr>
        <w:t>Overheads and Support Services</w:t>
      </w:r>
    </w:p>
    <w:p w14:paraId="66F40CA3" w14:textId="77777777" w:rsidR="004B7E57" w:rsidRPr="00B921B9" w:rsidRDefault="004B7E57" w:rsidP="004B7E57">
      <w:pPr>
        <w:widowControl w:val="0"/>
        <w:tabs>
          <w:tab w:val="left" w:pos="426"/>
        </w:tabs>
        <w:spacing w:line="216" w:lineRule="auto"/>
        <w:ind w:left="-11"/>
        <w:jc w:val="both"/>
        <w:rPr>
          <w:rFonts w:asciiTheme="minorHAnsi" w:hAnsiTheme="minorHAnsi" w:cs="Arial"/>
          <w:sz w:val="22"/>
          <w:szCs w:val="22"/>
        </w:rPr>
      </w:pPr>
    </w:p>
    <w:p w14:paraId="3B95B496" w14:textId="77777777" w:rsidR="00A614E1" w:rsidRDefault="004B7E57" w:rsidP="004A2A77">
      <w:pPr>
        <w:widowControl w:val="0"/>
        <w:tabs>
          <w:tab w:val="left" w:pos="0"/>
        </w:tabs>
        <w:spacing w:line="216" w:lineRule="auto"/>
        <w:jc w:val="both"/>
        <w:rPr>
          <w:rFonts w:asciiTheme="minorHAnsi" w:hAnsiTheme="minorHAnsi" w:cs="Arial"/>
          <w:sz w:val="22"/>
          <w:szCs w:val="22"/>
        </w:rPr>
      </w:pPr>
      <w:r w:rsidRPr="00B921B9">
        <w:rPr>
          <w:rFonts w:asciiTheme="minorHAnsi" w:hAnsiTheme="minorHAnsi" w:cs="Arial"/>
          <w:sz w:val="22"/>
          <w:szCs w:val="22"/>
        </w:rPr>
        <w:t xml:space="preserve">The costs of overheads and support services are charged to </w:t>
      </w:r>
      <w:r w:rsidR="00AA2F06">
        <w:rPr>
          <w:rFonts w:asciiTheme="minorHAnsi" w:hAnsiTheme="minorHAnsi" w:cs="Arial"/>
          <w:sz w:val="22"/>
          <w:szCs w:val="22"/>
        </w:rPr>
        <w:t xml:space="preserve">service segments in accordance with the Council’s arrangements for accountability and financial performance.  </w:t>
      </w:r>
    </w:p>
    <w:p w14:paraId="793DC37E" w14:textId="77777777" w:rsidR="004A2A77" w:rsidRDefault="004A2A77" w:rsidP="004A2A77">
      <w:pPr>
        <w:widowControl w:val="0"/>
        <w:tabs>
          <w:tab w:val="left" w:pos="0"/>
        </w:tabs>
        <w:spacing w:line="216" w:lineRule="auto"/>
        <w:jc w:val="both"/>
        <w:rPr>
          <w:rFonts w:ascii="Arial" w:hAnsi="Arial" w:cs="Arial"/>
          <w:b/>
        </w:rPr>
      </w:pPr>
    </w:p>
    <w:p w14:paraId="7215C872" w14:textId="77777777" w:rsidR="0061492C" w:rsidRDefault="0061492C" w:rsidP="004A2A77">
      <w:pPr>
        <w:widowControl w:val="0"/>
        <w:tabs>
          <w:tab w:val="left" w:pos="0"/>
        </w:tabs>
        <w:spacing w:line="216" w:lineRule="auto"/>
        <w:jc w:val="both"/>
        <w:rPr>
          <w:rFonts w:ascii="Arial" w:hAnsi="Arial" w:cs="Arial"/>
          <w:b/>
        </w:rPr>
      </w:pPr>
    </w:p>
    <w:p w14:paraId="4B9ECBF8" w14:textId="77777777" w:rsidR="0061492C" w:rsidRDefault="0061492C" w:rsidP="004A2A77">
      <w:pPr>
        <w:widowControl w:val="0"/>
        <w:tabs>
          <w:tab w:val="left" w:pos="0"/>
        </w:tabs>
        <w:spacing w:line="216" w:lineRule="auto"/>
        <w:jc w:val="both"/>
        <w:rPr>
          <w:rFonts w:ascii="Arial" w:hAnsi="Arial" w:cs="Arial"/>
          <w:b/>
        </w:rPr>
      </w:pPr>
    </w:p>
    <w:p w14:paraId="5181B348" w14:textId="77777777" w:rsidR="004B7E57" w:rsidRPr="00B921B9" w:rsidRDefault="00F73571" w:rsidP="00C76AD3">
      <w:pPr>
        <w:pStyle w:val="BodyTextIndent"/>
        <w:numPr>
          <w:ilvl w:val="0"/>
          <w:numId w:val="41"/>
        </w:numPr>
        <w:tabs>
          <w:tab w:val="clear" w:pos="2160"/>
          <w:tab w:val="clear" w:pos="7200"/>
          <w:tab w:val="clear" w:pos="7920"/>
          <w:tab w:val="left" w:pos="426"/>
        </w:tabs>
        <w:spacing w:line="228" w:lineRule="auto"/>
        <w:rPr>
          <w:rFonts w:asciiTheme="minorHAnsi" w:hAnsiTheme="minorHAnsi" w:cs="Arial"/>
          <w:b/>
          <w:bCs/>
          <w:sz w:val="24"/>
          <w:szCs w:val="24"/>
        </w:rPr>
      </w:pPr>
      <w:r>
        <w:rPr>
          <w:rFonts w:asciiTheme="minorHAnsi" w:hAnsiTheme="minorHAnsi" w:cs="Arial"/>
          <w:b/>
          <w:sz w:val="24"/>
          <w:szCs w:val="24"/>
        </w:rPr>
        <w:lastRenderedPageBreak/>
        <w:t>P</w:t>
      </w:r>
      <w:r w:rsidR="004B7E57" w:rsidRPr="00B921B9">
        <w:rPr>
          <w:rFonts w:asciiTheme="minorHAnsi" w:hAnsiTheme="minorHAnsi" w:cs="Arial"/>
          <w:b/>
          <w:sz w:val="24"/>
          <w:szCs w:val="24"/>
        </w:rPr>
        <w:t>roperty, Plant and Equipment</w:t>
      </w:r>
    </w:p>
    <w:p w14:paraId="77C7AA65" w14:textId="77777777" w:rsidR="004B7E57" w:rsidRDefault="004B7E57" w:rsidP="004B7E57">
      <w:pPr>
        <w:pStyle w:val="BodyTextIndent"/>
        <w:tabs>
          <w:tab w:val="clear" w:pos="2160"/>
          <w:tab w:val="clear" w:pos="7200"/>
          <w:tab w:val="clear" w:pos="7920"/>
        </w:tabs>
        <w:spacing w:line="228" w:lineRule="auto"/>
        <w:ind w:left="-11" w:firstLine="0"/>
        <w:rPr>
          <w:rFonts w:ascii="Arial" w:hAnsi="Arial" w:cs="Arial"/>
          <w:b/>
          <w:bCs/>
          <w:u w:val="single"/>
        </w:rPr>
      </w:pPr>
    </w:p>
    <w:p w14:paraId="41E0CB58" w14:textId="77777777"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Cs/>
          <w:sz w:val="22"/>
          <w:szCs w:val="22"/>
        </w:rPr>
      </w:pPr>
      <w:r w:rsidRPr="00B921B9">
        <w:rPr>
          <w:rFonts w:asciiTheme="minorHAnsi" w:hAnsiTheme="minorHAnsi" w:cs="Arial"/>
          <w:bCs/>
          <w:sz w:val="22"/>
          <w:szCs w:val="22"/>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14:paraId="4AFCF32E" w14:textId="77777777" w:rsidR="005C34FA" w:rsidRPr="00B921B9" w:rsidRDefault="005C34FA" w:rsidP="001C2EB0">
      <w:pPr>
        <w:pStyle w:val="BodyTextIndent"/>
        <w:tabs>
          <w:tab w:val="clear" w:pos="2160"/>
          <w:tab w:val="clear" w:pos="7200"/>
          <w:tab w:val="clear" w:pos="7920"/>
        </w:tabs>
        <w:spacing w:line="228" w:lineRule="auto"/>
        <w:ind w:left="0" w:firstLine="426"/>
        <w:rPr>
          <w:rFonts w:asciiTheme="minorHAnsi" w:hAnsiTheme="minorHAnsi" w:cs="Arial"/>
          <w:bCs/>
          <w:sz w:val="22"/>
          <w:szCs w:val="22"/>
        </w:rPr>
      </w:pPr>
    </w:p>
    <w:p w14:paraId="747B08B2" w14:textId="77777777"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r w:rsidRPr="00B921B9">
        <w:rPr>
          <w:rFonts w:asciiTheme="minorHAnsi" w:hAnsiTheme="minorHAnsi" w:cs="Arial"/>
          <w:b/>
          <w:bCs/>
          <w:sz w:val="22"/>
          <w:szCs w:val="22"/>
        </w:rPr>
        <w:t>Recognition</w:t>
      </w:r>
    </w:p>
    <w:p w14:paraId="2F099AB6" w14:textId="77777777" w:rsidR="004B7E57" w:rsidRPr="00B921B9" w:rsidRDefault="004B7E57" w:rsidP="001C2EB0">
      <w:pPr>
        <w:pStyle w:val="BodyTextIndent"/>
        <w:tabs>
          <w:tab w:val="clear" w:pos="2160"/>
          <w:tab w:val="clear" w:pos="7200"/>
          <w:tab w:val="clear" w:pos="7920"/>
        </w:tabs>
        <w:spacing w:line="228" w:lineRule="auto"/>
        <w:ind w:left="0" w:firstLine="426"/>
        <w:rPr>
          <w:rFonts w:asciiTheme="minorHAnsi" w:hAnsiTheme="minorHAnsi" w:cs="Arial"/>
          <w:bCs/>
          <w:sz w:val="22"/>
          <w:szCs w:val="22"/>
        </w:rPr>
      </w:pPr>
    </w:p>
    <w:p w14:paraId="1E81104F" w14:textId="137CE62E"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u w:val="single"/>
        </w:rPr>
      </w:pPr>
      <w:r w:rsidRPr="00B921B9">
        <w:rPr>
          <w:rFonts w:asciiTheme="minorHAnsi" w:hAnsiTheme="minorHAnsi" w:cs="Arial"/>
          <w:sz w:val="22"/>
          <w:szCs w:val="22"/>
        </w:rPr>
        <w:t xml:space="preserve">Expenditure on the acquisition, creation or enhancement of Property, Plant and Equipment is capitalised on an </w:t>
      </w:r>
      <w:proofErr w:type="gramStart"/>
      <w:r w:rsidRPr="00B921B9">
        <w:rPr>
          <w:rFonts w:asciiTheme="minorHAnsi" w:hAnsiTheme="minorHAnsi" w:cs="Arial"/>
          <w:sz w:val="22"/>
          <w:szCs w:val="22"/>
        </w:rPr>
        <w:t>accruals</w:t>
      </w:r>
      <w:proofErr w:type="gramEnd"/>
      <w:r w:rsidRPr="00B921B9">
        <w:rPr>
          <w:rFonts w:asciiTheme="minorHAnsi" w:hAnsiTheme="minorHAnsi" w:cs="Arial"/>
          <w:sz w:val="22"/>
          <w:szCs w:val="22"/>
        </w:rPr>
        <w:t xml:space="preserve">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w:t>
      </w:r>
      <w:r w:rsidR="00120BFE">
        <w:rPr>
          <w:rFonts w:asciiTheme="minorHAnsi" w:hAnsiTheme="minorHAnsi" w:cs="Arial"/>
          <w:sz w:val="22"/>
          <w:szCs w:val="22"/>
        </w:rPr>
        <w:t>for example,</w:t>
      </w:r>
      <w:r w:rsidRPr="00B921B9">
        <w:rPr>
          <w:rFonts w:asciiTheme="minorHAnsi" w:hAnsiTheme="minorHAnsi" w:cs="Arial"/>
          <w:sz w:val="22"/>
          <w:szCs w:val="22"/>
        </w:rPr>
        <w:t xml:space="preserve"> repairs and maintenance) is charged as an expense when it is incurred. </w:t>
      </w:r>
    </w:p>
    <w:p w14:paraId="585B7885" w14:textId="77777777" w:rsidR="004B7E57" w:rsidRPr="00B921B9" w:rsidRDefault="004B7E57" w:rsidP="001C2EB0">
      <w:pPr>
        <w:pStyle w:val="BodyTextIndent"/>
        <w:tabs>
          <w:tab w:val="clear" w:pos="2160"/>
          <w:tab w:val="clear" w:pos="7200"/>
          <w:tab w:val="clear" w:pos="7920"/>
        </w:tabs>
        <w:spacing w:line="228" w:lineRule="auto"/>
        <w:ind w:left="0" w:firstLine="426"/>
        <w:rPr>
          <w:rFonts w:asciiTheme="minorHAnsi" w:hAnsiTheme="minorHAnsi" w:cs="Arial"/>
          <w:sz w:val="22"/>
          <w:szCs w:val="22"/>
        </w:rPr>
      </w:pPr>
      <w:r w:rsidRPr="00B921B9">
        <w:rPr>
          <w:rFonts w:asciiTheme="minorHAnsi" w:hAnsiTheme="minorHAnsi" w:cs="Arial"/>
          <w:b/>
          <w:bCs/>
          <w:sz w:val="22"/>
          <w:szCs w:val="22"/>
        </w:rPr>
        <w:tab/>
        <w:t xml:space="preserve">        </w:t>
      </w:r>
    </w:p>
    <w:p w14:paraId="482B6DA4" w14:textId="77F401D9"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sz w:val="22"/>
          <w:szCs w:val="22"/>
        </w:rPr>
      </w:pPr>
      <w:r w:rsidRPr="00B921B9">
        <w:rPr>
          <w:rFonts w:asciiTheme="minorHAnsi" w:hAnsiTheme="minorHAnsi" w:cs="Arial"/>
          <w:sz w:val="22"/>
          <w:szCs w:val="22"/>
        </w:rPr>
        <w:t>A de-</w:t>
      </w:r>
      <w:proofErr w:type="spellStart"/>
      <w:r w:rsidRPr="00B921B9">
        <w:rPr>
          <w:rFonts w:asciiTheme="minorHAnsi" w:hAnsiTheme="minorHAnsi" w:cs="Arial"/>
          <w:sz w:val="22"/>
          <w:szCs w:val="22"/>
        </w:rPr>
        <w:t>minimus</w:t>
      </w:r>
      <w:proofErr w:type="spellEnd"/>
      <w:r w:rsidRPr="00B921B9">
        <w:rPr>
          <w:rFonts w:asciiTheme="minorHAnsi" w:hAnsiTheme="minorHAnsi" w:cs="Arial"/>
          <w:sz w:val="22"/>
          <w:szCs w:val="22"/>
        </w:rPr>
        <w:t xml:space="preserve"> level of £10k has been set for capitalisation (</w:t>
      </w:r>
      <w:r w:rsidR="00120BFE">
        <w:rPr>
          <w:rFonts w:asciiTheme="minorHAnsi" w:hAnsiTheme="minorHAnsi" w:cs="Arial"/>
          <w:sz w:val="22"/>
          <w:szCs w:val="22"/>
        </w:rPr>
        <w:t>for example,</w:t>
      </w:r>
      <w:r w:rsidRPr="00B921B9">
        <w:rPr>
          <w:rFonts w:asciiTheme="minorHAnsi" w:hAnsiTheme="minorHAnsi" w:cs="Arial"/>
          <w:sz w:val="22"/>
          <w:szCs w:val="22"/>
        </w:rPr>
        <w:t xml:space="preserve"> no expenditure below this level will generally be capitalised). This is also applied to the Council’s asset register.</w:t>
      </w:r>
      <w:r w:rsidR="009F1B08">
        <w:rPr>
          <w:rFonts w:asciiTheme="minorHAnsi" w:hAnsiTheme="minorHAnsi" w:cs="Arial"/>
          <w:sz w:val="22"/>
          <w:szCs w:val="22"/>
        </w:rPr>
        <w:t xml:space="preserve"> </w:t>
      </w:r>
    </w:p>
    <w:p w14:paraId="451A18ED" w14:textId="77777777" w:rsidR="004B7E57" w:rsidRPr="00B921B9" w:rsidRDefault="004B7E57" w:rsidP="001C2EB0">
      <w:pPr>
        <w:ind w:firstLine="426"/>
        <w:jc w:val="both"/>
        <w:rPr>
          <w:rFonts w:asciiTheme="minorHAnsi" w:hAnsiTheme="minorHAnsi" w:cs="Arial"/>
          <w:sz w:val="22"/>
          <w:szCs w:val="22"/>
        </w:rPr>
      </w:pPr>
    </w:p>
    <w:p w14:paraId="153B089A" w14:textId="77777777" w:rsidR="004B7E57" w:rsidRPr="00B921B9" w:rsidRDefault="004B7E57" w:rsidP="001C2EB0">
      <w:pPr>
        <w:jc w:val="both"/>
        <w:rPr>
          <w:rFonts w:asciiTheme="minorHAnsi" w:hAnsiTheme="minorHAnsi" w:cs="Arial"/>
          <w:sz w:val="22"/>
          <w:szCs w:val="22"/>
        </w:rPr>
      </w:pPr>
      <w:r w:rsidRPr="00B921B9">
        <w:rPr>
          <w:rFonts w:asciiTheme="minorHAnsi" w:hAnsiTheme="minorHAnsi" w:cs="Arial"/>
          <w:sz w:val="22"/>
          <w:szCs w:val="22"/>
        </w:rPr>
        <w:t>There are some notable exceptions to this rule:</w:t>
      </w:r>
    </w:p>
    <w:p w14:paraId="14C5C0E2" w14:textId="77777777" w:rsidR="004B7E57" w:rsidRPr="00B921B9" w:rsidRDefault="004B7E57" w:rsidP="001C2EB0">
      <w:pPr>
        <w:ind w:firstLine="426"/>
        <w:jc w:val="both"/>
        <w:rPr>
          <w:rFonts w:asciiTheme="minorHAnsi" w:hAnsiTheme="minorHAnsi" w:cs="Arial"/>
          <w:sz w:val="22"/>
          <w:szCs w:val="22"/>
        </w:rPr>
      </w:pPr>
    </w:p>
    <w:p w14:paraId="018555C7" w14:textId="77777777" w:rsidR="004B7E57" w:rsidRPr="00B921B9" w:rsidRDefault="004B7E57" w:rsidP="00C76AD3">
      <w:pPr>
        <w:pStyle w:val="ListParagraph"/>
        <w:numPr>
          <w:ilvl w:val="0"/>
          <w:numId w:val="11"/>
        </w:numPr>
        <w:tabs>
          <w:tab w:val="clear" w:pos="1180"/>
          <w:tab w:val="num" w:pos="851"/>
        </w:tabs>
        <w:spacing w:after="60" w:line="228" w:lineRule="auto"/>
        <w:ind w:left="0" w:firstLine="426"/>
        <w:jc w:val="both"/>
        <w:rPr>
          <w:rFonts w:asciiTheme="minorHAnsi" w:hAnsiTheme="minorHAnsi" w:cs="Arial"/>
          <w:sz w:val="22"/>
          <w:szCs w:val="22"/>
        </w:rPr>
      </w:pPr>
      <w:r w:rsidRPr="00B921B9">
        <w:rPr>
          <w:rFonts w:asciiTheme="minorHAnsi" w:hAnsiTheme="minorHAnsi" w:cs="Arial"/>
          <w:sz w:val="22"/>
          <w:szCs w:val="22"/>
        </w:rPr>
        <w:t xml:space="preserve">Where the cost attracts a specific capital grant or government supported borrowing approval. </w:t>
      </w:r>
    </w:p>
    <w:p w14:paraId="73386531" w14:textId="77777777" w:rsidR="004B7E57" w:rsidRPr="00B921B9" w:rsidRDefault="004B7E57" w:rsidP="00C76AD3">
      <w:pPr>
        <w:numPr>
          <w:ilvl w:val="0"/>
          <w:numId w:val="11"/>
        </w:numPr>
        <w:tabs>
          <w:tab w:val="clear" w:pos="1180"/>
          <w:tab w:val="num" w:pos="851"/>
        </w:tabs>
        <w:spacing w:after="60" w:line="228" w:lineRule="auto"/>
        <w:ind w:left="851" w:hanging="425"/>
        <w:jc w:val="both"/>
        <w:rPr>
          <w:rFonts w:asciiTheme="minorHAnsi" w:hAnsiTheme="minorHAnsi" w:cs="Arial"/>
          <w:sz w:val="22"/>
          <w:szCs w:val="22"/>
        </w:rPr>
      </w:pPr>
      <w:r w:rsidRPr="00B921B9">
        <w:rPr>
          <w:rFonts w:asciiTheme="minorHAnsi" w:hAnsiTheme="minorHAnsi" w:cs="Arial"/>
          <w:sz w:val="22"/>
          <w:szCs w:val="22"/>
        </w:rPr>
        <w:t>Where individual items of furniture, IT equipment and other equipment costing less than £10k are being bulk purchased; the cost can be capitalised.</w:t>
      </w:r>
    </w:p>
    <w:p w14:paraId="558F07F4" w14:textId="77777777" w:rsidR="009F1B08" w:rsidRDefault="004B7E57" w:rsidP="00C76AD3">
      <w:pPr>
        <w:numPr>
          <w:ilvl w:val="0"/>
          <w:numId w:val="11"/>
        </w:numPr>
        <w:tabs>
          <w:tab w:val="clear" w:pos="1180"/>
          <w:tab w:val="num" w:pos="851"/>
        </w:tabs>
        <w:spacing w:after="60" w:line="228" w:lineRule="auto"/>
        <w:ind w:left="851" w:hanging="425"/>
        <w:jc w:val="both"/>
        <w:rPr>
          <w:rFonts w:asciiTheme="minorHAnsi" w:hAnsiTheme="minorHAnsi" w:cs="Arial"/>
          <w:sz w:val="22"/>
          <w:szCs w:val="22"/>
        </w:rPr>
      </w:pPr>
      <w:r w:rsidRPr="00B921B9">
        <w:rPr>
          <w:rFonts w:asciiTheme="minorHAnsi" w:hAnsiTheme="minorHAnsi" w:cs="Arial"/>
          <w:sz w:val="22"/>
          <w:szCs w:val="22"/>
        </w:rPr>
        <w:t>Feasibility costs in preparation for a larger scheme</w:t>
      </w:r>
      <w:r w:rsidR="00621855">
        <w:rPr>
          <w:rFonts w:asciiTheme="minorHAnsi" w:hAnsiTheme="minorHAnsi" w:cs="Arial"/>
          <w:sz w:val="22"/>
          <w:szCs w:val="22"/>
        </w:rPr>
        <w:t>, where the costs are certain to result in a specific capital project</w:t>
      </w:r>
      <w:r w:rsidRPr="00B921B9">
        <w:rPr>
          <w:rFonts w:asciiTheme="minorHAnsi" w:hAnsiTheme="minorHAnsi" w:cs="Arial"/>
          <w:sz w:val="22"/>
          <w:szCs w:val="22"/>
        </w:rPr>
        <w:t>.</w:t>
      </w:r>
    </w:p>
    <w:p w14:paraId="6B310A75" w14:textId="77777777" w:rsidR="004B7E57" w:rsidRPr="009F1B08" w:rsidRDefault="009F1B08" w:rsidP="00C76AD3">
      <w:pPr>
        <w:numPr>
          <w:ilvl w:val="0"/>
          <w:numId w:val="11"/>
        </w:numPr>
        <w:tabs>
          <w:tab w:val="clear" w:pos="1180"/>
          <w:tab w:val="num" w:pos="851"/>
        </w:tabs>
        <w:spacing w:after="60" w:line="228" w:lineRule="auto"/>
        <w:ind w:left="0" w:firstLine="426"/>
        <w:jc w:val="both"/>
        <w:rPr>
          <w:rFonts w:ascii="Calibri" w:hAnsi="Calibri" w:cs="Arial"/>
          <w:sz w:val="22"/>
          <w:szCs w:val="22"/>
        </w:rPr>
      </w:pPr>
      <w:r w:rsidRPr="009F1B08">
        <w:rPr>
          <w:rFonts w:ascii="Calibri" w:hAnsi="Calibri"/>
          <w:iCs/>
          <w:sz w:val="22"/>
          <w:szCs w:val="22"/>
        </w:rPr>
        <w:t>Where the purchase is a new constituent part of an existing asset within the Council’s asset register</w:t>
      </w:r>
      <w:r>
        <w:rPr>
          <w:rFonts w:ascii="Calibri" w:hAnsi="Calibri"/>
          <w:iCs/>
          <w:sz w:val="22"/>
          <w:szCs w:val="22"/>
        </w:rPr>
        <w:t>.</w:t>
      </w:r>
      <w:r w:rsidR="004B7E57" w:rsidRPr="009F1B08">
        <w:rPr>
          <w:rFonts w:ascii="Calibri" w:hAnsi="Calibri" w:cs="Arial"/>
          <w:sz w:val="22"/>
          <w:szCs w:val="22"/>
        </w:rPr>
        <w:t xml:space="preserve"> </w:t>
      </w:r>
    </w:p>
    <w:p w14:paraId="536B1D25" w14:textId="77777777" w:rsidR="004B7E57" w:rsidRDefault="004B7E57" w:rsidP="001C2EB0">
      <w:pPr>
        <w:ind w:firstLine="426"/>
        <w:jc w:val="both"/>
        <w:rPr>
          <w:rFonts w:asciiTheme="minorHAnsi" w:hAnsiTheme="minorHAnsi" w:cs="Arial"/>
          <w:sz w:val="22"/>
          <w:szCs w:val="22"/>
        </w:rPr>
      </w:pPr>
    </w:p>
    <w:p w14:paraId="4F49EAFC" w14:textId="77777777" w:rsidR="004B7E57" w:rsidRPr="00B921B9" w:rsidRDefault="004B7E57" w:rsidP="001C2EB0">
      <w:pPr>
        <w:pStyle w:val="BodyTextIndent"/>
        <w:tabs>
          <w:tab w:val="clear" w:pos="2160"/>
          <w:tab w:val="clear" w:pos="7200"/>
          <w:tab w:val="clear" w:pos="7920"/>
          <w:tab w:val="left" w:pos="0"/>
          <w:tab w:val="left" w:pos="284"/>
        </w:tabs>
        <w:spacing w:line="228" w:lineRule="auto"/>
        <w:ind w:left="0" w:firstLine="0"/>
        <w:rPr>
          <w:rFonts w:asciiTheme="minorHAnsi" w:hAnsiTheme="minorHAnsi" w:cs="Arial"/>
          <w:b/>
          <w:bCs/>
          <w:sz w:val="22"/>
          <w:szCs w:val="22"/>
        </w:rPr>
      </w:pPr>
      <w:r w:rsidRPr="00B921B9">
        <w:rPr>
          <w:rFonts w:asciiTheme="minorHAnsi" w:hAnsiTheme="minorHAnsi" w:cs="Arial"/>
          <w:b/>
          <w:bCs/>
          <w:sz w:val="22"/>
          <w:szCs w:val="22"/>
        </w:rPr>
        <w:t>Measurement</w:t>
      </w:r>
    </w:p>
    <w:p w14:paraId="61C89784" w14:textId="77777777" w:rsidR="004B7E57" w:rsidRPr="00B921B9" w:rsidRDefault="004B7E57" w:rsidP="001C2EB0">
      <w:pPr>
        <w:tabs>
          <w:tab w:val="left" w:pos="0"/>
          <w:tab w:val="left" w:pos="284"/>
        </w:tabs>
        <w:jc w:val="both"/>
        <w:rPr>
          <w:rFonts w:asciiTheme="minorHAnsi" w:hAnsiTheme="minorHAnsi" w:cs="Arial"/>
          <w:sz w:val="22"/>
          <w:szCs w:val="22"/>
        </w:rPr>
      </w:pPr>
    </w:p>
    <w:p w14:paraId="67699837" w14:textId="77777777" w:rsidR="004B7E57" w:rsidRPr="00B921B9" w:rsidRDefault="004B7E57" w:rsidP="001C2EB0">
      <w:pPr>
        <w:tabs>
          <w:tab w:val="left" w:pos="0"/>
          <w:tab w:val="left" w:pos="284"/>
        </w:tabs>
        <w:jc w:val="both"/>
        <w:rPr>
          <w:rFonts w:asciiTheme="minorHAnsi" w:hAnsiTheme="minorHAnsi" w:cs="Arial"/>
          <w:sz w:val="22"/>
          <w:szCs w:val="22"/>
        </w:rPr>
      </w:pPr>
      <w:r w:rsidRPr="00B921B9">
        <w:rPr>
          <w:rFonts w:asciiTheme="minorHAnsi" w:hAnsiTheme="minorHAnsi" w:cs="Arial"/>
          <w:sz w:val="22"/>
          <w:szCs w:val="22"/>
        </w:rPr>
        <w:t>Assets are initially measured at cost, comprising:</w:t>
      </w:r>
    </w:p>
    <w:p w14:paraId="59015A15" w14:textId="77777777" w:rsidR="004B7E57" w:rsidRPr="00B921B9" w:rsidRDefault="004B7E57" w:rsidP="001C2EB0">
      <w:pPr>
        <w:tabs>
          <w:tab w:val="left" w:pos="0"/>
          <w:tab w:val="left" w:pos="284"/>
        </w:tabs>
        <w:ind w:left="360"/>
        <w:jc w:val="both"/>
        <w:rPr>
          <w:rFonts w:asciiTheme="minorHAnsi" w:hAnsiTheme="minorHAnsi" w:cs="Arial"/>
          <w:sz w:val="22"/>
          <w:szCs w:val="22"/>
        </w:rPr>
      </w:pPr>
    </w:p>
    <w:p w14:paraId="23E9CB3F" w14:textId="77777777" w:rsidR="004B7E57" w:rsidRPr="001C2EB0" w:rsidRDefault="004B7E57" w:rsidP="00C76AD3">
      <w:pPr>
        <w:pStyle w:val="ListParagraph"/>
        <w:numPr>
          <w:ilvl w:val="0"/>
          <w:numId w:val="11"/>
        </w:numPr>
        <w:tabs>
          <w:tab w:val="clear" w:pos="1180"/>
          <w:tab w:val="left" w:pos="0"/>
          <w:tab w:val="left" w:pos="284"/>
          <w:tab w:val="num" w:pos="851"/>
        </w:tabs>
        <w:spacing w:after="60" w:line="228" w:lineRule="auto"/>
        <w:ind w:hanging="2194"/>
        <w:jc w:val="both"/>
        <w:rPr>
          <w:rFonts w:asciiTheme="minorHAnsi" w:hAnsiTheme="minorHAnsi" w:cs="Arial"/>
          <w:sz w:val="22"/>
          <w:szCs w:val="22"/>
        </w:rPr>
      </w:pPr>
      <w:r w:rsidRPr="001C2EB0">
        <w:rPr>
          <w:rFonts w:asciiTheme="minorHAnsi" w:hAnsiTheme="minorHAnsi" w:cs="Arial"/>
          <w:sz w:val="22"/>
          <w:szCs w:val="22"/>
        </w:rPr>
        <w:t xml:space="preserve">The purchase </w:t>
      </w:r>
      <w:proofErr w:type="gramStart"/>
      <w:r w:rsidRPr="001C2EB0">
        <w:rPr>
          <w:rFonts w:asciiTheme="minorHAnsi" w:hAnsiTheme="minorHAnsi" w:cs="Arial"/>
          <w:sz w:val="22"/>
          <w:szCs w:val="22"/>
        </w:rPr>
        <w:t>price</w:t>
      </w:r>
      <w:proofErr w:type="gramEnd"/>
    </w:p>
    <w:p w14:paraId="5B26EDC7" w14:textId="77777777" w:rsidR="004B7E57" w:rsidRPr="001C2EB0" w:rsidRDefault="004B7E57" w:rsidP="00C76AD3">
      <w:pPr>
        <w:pStyle w:val="ListParagraph"/>
        <w:numPr>
          <w:ilvl w:val="0"/>
          <w:numId w:val="26"/>
        </w:numPr>
        <w:tabs>
          <w:tab w:val="left" w:pos="0"/>
          <w:tab w:val="left" w:pos="284"/>
        </w:tabs>
        <w:spacing w:after="60" w:line="228" w:lineRule="auto"/>
        <w:ind w:left="851" w:hanging="425"/>
        <w:jc w:val="both"/>
        <w:rPr>
          <w:rFonts w:asciiTheme="minorHAnsi" w:hAnsiTheme="minorHAnsi" w:cs="Arial"/>
          <w:sz w:val="22"/>
          <w:szCs w:val="22"/>
        </w:rPr>
      </w:pPr>
      <w:r w:rsidRPr="001C2EB0">
        <w:rPr>
          <w:rFonts w:asciiTheme="minorHAnsi" w:hAnsiTheme="minorHAnsi" w:cs="Arial"/>
          <w:sz w:val="22"/>
          <w:szCs w:val="22"/>
        </w:rPr>
        <w:t>Any costs attributable to bringing the asset to the location and condition necessary for it to be capable of operating in the manner intended by management.</w:t>
      </w:r>
    </w:p>
    <w:p w14:paraId="7F7CC67A" w14:textId="77777777" w:rsidR="004B7E57" w:rsidRPr="00B921B9" w:rsidRDefault="004B7E57" w:rsidP="001C2EB0">
      <w:pPr>
        <w:tabs>
          <w:tab w:val="left" w:pos="0"/>
          <w:tab w:val="left" w:pos="284"/>
        </w:tabs>
        <w:jc w:val="both"/>
        <w:rPr>
          <w:rFonts w:asciiTheme="minorHAnsi" w:hAnsiTheme="minorHAnsi" w:cs="Arial"/>
          <w:sz w:val="22"/>
          <w:szCs w:val="22"/>
        </w:rPr>
      </w:pPr>
      <w:r w:rsidRPr="00B921B9">
        <w:rPr>
          <w:rFonts w:asciiTheme="minorHAnsi" w:hAnsiTheme="minorHAnsi" w:cs="Arial"/>
          <w:sz w:val="22"/>
          <w:szCs w:val="22"/>
        </w:rPr>
        <w:t>The Council does not capitalise borrowing costs incurred whilst assets are under construction.</w:t>
      </w:r>
    </w:p>
    <w:p w14:paraId="70D738B1" w14:textId="77777777" w:rsidR="004B7E57" w:rsidRPr="00B921B9" w:rsidRDefault="004B7E57" w:rsidP="001C2EB0">
      <w:pPr>
        <w:tabs>
          <w:tab w:val="left" w:pos="0"/>
          <w:tab w:val="left" w:pos="284"/>
        </w:tabs>
        <w:jc w:val="both"/>
        <w:rPr>
          <w:rFonts w:asciiTheme="minorHAnsi" w:hAnsiTheme="minorHAnsi" w:cs="Arial"/>
          <w:sz w:val="22"/>
          <w:szCs w:val="22"/>
        </w:rPr>
      </w:pPr>
    </w:p>
    <w:p w14:paraId="0BA6E09B" w14:textId="4AB3728A" w:rsidR="004B7E57" w:rsidRPr="00B921B9" w:rsidRDefault="004B7E57" w:rsidP="001C2EB0">
      <w:pPr>
        <w:tabs>
          <w:tab w:val="left" w:pos="0"/>
          <w:tab w:val="left" w:pos="284"/>
        </w:tabs>
        <w:jc w:val="both"/>
        <w:rPr>
          <w:rFonts w:asciiTheme="minorHAnsi" w:hAnsiTheme="minorHAnsi" w:cs="Arial"/>
          <w:sz w:val="22"/>
          <w:szCs w:val="22"/>
        </w:rPr>
      </w:pPr>
      <w:r w:rsidRPr="00B921B9">
        <w:rPr>
          <w:rFonts w:asciiTheme="minorHAnsi" w:hAnsiTheme="minorHAnsi" w:cs="Arial"/>
          <w:sz w:val="22"/>
          <w:szCs w:val="22"/>
        </w:rPr>
        <w:t>The cost of assets acquired other than by purchase is deemed to be its fair value, unless the acquisition does not have commercial substance (</w:t>
      </w:r>
      <w:r w:rsidR="00120BFE">
        <w:rPr>
          <w:rFonts w:asciiTheme="minorHAnsi" w:hAnsiTheme="minorHAnsi" w:cs="Arial"/>
          <w:sz w:val="22"/>
          <w:szCs w:val="22"/>
        </w:rPr>
        <w:t>for example,</w:t>
      </w:r>
      <w:r w:rsidRPr="00B921B9">
        <w:rPr>
          <w:rFonts w:asciiTheme="minorHAnsi" w:hAnsiTheme="minorHAnsi" w:cs="Arial"/>
          <w:sz w:val="22"/>
          <w:szCs w:val="22"/>
        </w:rPr>
        <w:t xml:space="preserve"> it will not lead to a variation in the cash flows of the Council). In the latter case, where an asset is acquired via an exchange, the cost of the acquisition is the carrying amount of the asset given up by the Council. </w:t>
      </w:r>
    </w:p>
    <w:p w14:paraId="1C0348FE" w14:textId="77777777" w:rsidR="004B7E57" w:rsidRPr="00B921B9" w:rsidRDefault="004B7E57" w:rsidP="001C2EB0">
      <w:pPr>
        <w:tabs>
          <w:tab w:val="left" w:pos="0"/>
          <w:tab w:val="left" w:pos="284"/>
        </w:tabs>
        <w:jc w:val="both"/>
        <w:rPr>
          <w:rFonts w:asciiTheme="minorHAnsi" w:hAnsiTheme="minorHAnsi" w:cs="Arial"/>
          <w:sz w:val="22"/>
          <w:szCs w:val="22"/>
        </w:rPr>
      </w:pPr>
    </w:p>
    <w:p w14:paraId="4513F1F8" w14:textId="77777777" w:rsidR="004B7E57" w:rsidRPr="00B921B9" w:rsidRDefault="004B7E57" w:rsidP="001C2EB0">
      <w:pPr>
        <w:tabs>
          <w:tab w:val="left" w:pos="0"/>
          <w:tab w:val="left" w:pos="284"/>
        </w:tabs>
        <w:jc w:val="both"/>
        <w:rPr>
          <w:rFonts w:asciiTheme="minorHAnsi" w:hAnsiTheme="minorHAnsi" w:cs="Arial"/>
          <w:sz w:val="22"/>
          <w:szCs w:val="22"/>
        </w:rPr>
      </w:pPr>
      <w:r w:rsidRPr="00B921B9">
        <w:rPr>
          <w:rFonts w:asciiTheme="minorHAnsi" w:hAnsiTheme="minorHAnsi" w:cs="Arial"/>
          <w:sz w:val="22"/>
          <w:szCs w:val="22"/>
        </w:rPr>
        <w:t xml:space="preserve">Donated assets, where applicable, are measured initially at </w:t>
      </w:r>
      <w:r w:rsidR="00AA2F06">
        <w:rPr>
          <w:rFonts w:asciiTheme="minorHAnsi" w:hAnsiTheme="minorHAnsi" w:cs="Arial"/>
          <w:sz w:val="22"/>
          <w:szCs w:val="22"/>
        </w:rPr>
        <w:t>fair</w:t>
      </w:r>
      <w:r w:rsidRPr="00B921B9">
        <w:rPr>
          <w:rFonts w:asciiTheme="minorHAnsi" w:hAnsiTheme="minorHAnsi" w:cs="Arial"/>
          <w:sz w:val="22"/>
          <w:szCs w:val="22"/>
        </w:rPr>
        <w:t xml:space="preserve"> value. The difference between </w:t>
      </w:r>
      <w:r w:rsidR="00AA2F06">
        <w:rPr>
          <w:rFonts w:asciiTheme="minorHAnsi" w:hAnsiTheme="minorHAnsi" w:cs="Arial"/>
          <w:sz w:val="22"/>
          <w:szCs w:val="22"/>
        </w:rPr>
        <w:t>fair</w:t>
      </w:r>
      <w:r w:rsidRPr="00B921B9">
        <w:rPr>
          <w:rFonts w:asciiTheme="minorHAnsi" w:hAnsiTheme="minorHAnsi" w:cs="Arial"/>
          <w:sz w:val="22"/>
          <w:szCs w:val="22"/>
        </w:rPr>
        <w:t xml:space="preserve"> value and any consideration paid is credited to the Taxation and Non-Specific Grant Income line of the Comprehensive Income and Expenditure </w:t>
      </w:r>
      <w:proofErr w:type="gramStart"/>
      <w:r w:rsidRPr="00B921B9">
        <w:rPr>
          <w:rFonts w:asciiTheme="minorHAnsi" w:hAnsiTheme="minorHAnsi" w:cs="Arial"/>
          <w:sz w:val="22"/>
          <w:szCs w:val="22"/>
        </w:rPr>
        <w:t>Statement, unless</w:t>
      </w:r>
      <w:proofErr w:type="gramEnd"/>
      <w:r w:rsidRPr="00B921B9">
        <w:rPr>
          <w:rFonts w:asciiTheme="minorHAnsi" w:hAnsiTheme="minorHAnsi" w:cs="Arial"/>
          <w:sz w:val="22"/>
          <w:szCs w:val="22"/>
        </w:rPr>
        <w:t xml:space="preserve"> the donation has been made conditionally. Until conditions are satisfied, the gain is held in a Donated Assets Account. Where gains are credited to the Comprehensive Income and Expenditure Statement, they are reversed out of the General Fund Balance to the Capital Adjustment Account in the Movement in Reserves Statement. </w:t>
      </w:r>
    </w:p>
    <w:p w14:paraId="29368BB1" w14:textId="77777777" w:rsidR="004B7E57" w:rsidRPr="00B921B9" w:rsidRDefault="004B7E57" w:rsidP="001C2EB0">
      <w:pPr>
        <w:tabs>
          <w:tab w:val="left" w:pos="0"/>
          <w:tab w:val="left" w:pos="284"/>
        </w:tabs>
        <w:ind w:left="426"/>
        <w:jc w:val="both"/>
        <w:rPr>
          <w:rFonts w:asciiTheme="minorHAnsi" w:hAnsiTheme="minorHAnsi" w:cs="Arial"/>
          <w:sz w:val="22"/>
          <w:szCs w:val="22"/>
        </w:rPr>
      </w:pPr>
    </w:p>
    <w:p w14:paraId="2C99BB8D" w14:textId="77777777" w:rsidR="004B7E57" w:rsidRPr="00B921B9" w:rsidRDefault="004B7E57" w:rsidP="001C2EB0">
      <w:pPr>
        <w:tabs>
          <w:tab w:val="left" w:pos="0"/>
          <w:tab w:val="left" w:pos="284"/>
        </w:tabs>
        <w:jc w:val="both"/>
        <w:rPr>
          <w:rFonts w:asciiTheme="minorHAnsi" w:hAnsiTheme="minorHAnsi" w:cs="Arial"/>
          <w:sz w:val="22"/>
          <w:szCs w:val="22"/>
        </w:rPr>
      </w:pPr>
      <w:r w:rsidRPr="00B921B9">
        <w:rPr>
          <w:rFonts w:asciiTheme="minorHAnsi" w:hAnsiTheme="minorHAnsi" w:cs="Arial"/>
          <w:sz w:val="22"/>
          <w:szCs w:val="22"/>
        </w:rPr>
        <w:t>Assets are then carried in the Balance Sheet using the following measurement bases:</w:t>
      </w:r>
    </w:p>
    <w:p w14:paraId="20BCD72F" w14:textId="77777777" w:rsidR="004B7E57" w:rsidRPr="00B921B9" w:rsidRDefault="004B7E57" w:rsidP="001C2EB0">
      <w:pPr>
        <w:tabs>
          <w:tab w:val="left" w:pos="0"/>
          <w:tab w:val="left" w:pos="284"/>
        </w:tabs>
        <w:ind w:left="426"/>
        <w:jc w:val="both"/>
        <w:rPr>
          <w:rFonts w:asciiTheme="minorHAnsi" w:hAnsiTheme="minorHAnsi" w:cs="Arial"/>
          <w:sz w:val="22"/>
          <w:szCs w:val="22"/>
        </w:rPr>
      </w:pPr>
    </w:p>
    <w:p w14:paraId="0797DA14" w14:textId="77777777" w:rsidR="004B7E57" w:rsidRDefault="004B7E57" w:rsidP="00C76AD3">
      <w:pPr>
        <w:numPr>
          <w:ilvl w:val="0"/>
          <w:numId w:val="27"/>
        </w:numPr>
        <w:tabs>
          <w:tab w:val="clear" w:pos="1194"/>
          <w:tab w:val="num" w:pos="851"/>
        </w:tabs>
        <w:spacing w:after="60" w:line="228" w:lineRule="auto"/>
        <w:ind w:hanging="2208"/>
        <w:jc w:val="both"/>
        <w:rPr>
          <w:rFonts w:asciiTheme="minorHAnsi" w:hAnsiTheme="minorHAnsi" w:cs="Arial"/>
          <w:sz w:val="22"/>
          <w:szCs w:val="22"/>
        </w:rPr>
      </w:pPr>
      <w:r w:rsidRPr="00B921B9">
        <w:rPr>
          <w:rFonts w:asciiTheme="minorHAnsi" w:hAnsiTheme="minorHAnsi" w:cs="Arial"/>
          <w:sz w:val="22"/>
          <w:szCs w:val="22"/>
        </w:rPr>
        <w:t>Infrastructure</w:t>
      </w:r>
      <w:r w:rsidR="00301920">
        <w:rPr>
          <w:rFonts w:asciiTheme="minorHAnsi" w:hAnsiTheme="minorHAnsi" w:cs="Arial"/>
          <w:sz w:val="22"/>
          <w:szCs w:val="22"/>
        </w:rPr>
        <w:t>,</w:t>
      </w:r>
      <w:r w:rsidR="00D85C02">
        <w:rPr>
          <w:rFonts w:asciiTheme="minorHAnsi" w:hAnsiTheme="minorHAnsi" w:cs="Arial"/>
          <w:sz w:val="22"/>
          <w:szCs w:val="22"/>
        </w:rPr>
        <w:t xml:space="preserve"> </w:t>
      </w:r>
      <w:r w:rsidRPr="00B921B9">
        <w:rPr>
          <w:rFonts w:asciiTheme="minorHAnsi" w:hAnsiTheme="minorHAnsi" w:cs="Arial"/>
          <w:sz w:val="22"/>
          <w:szCs w:val="22"/>
        </w:rPr>
        <w:t>some community assets</w:t>
      </w:r>
      <w:r w:rsidR="00301920">
        <w:rPr>
          <w:rFonts w:asciiTheme="minorHAnsi" w:hAnsiTheme="minorHAnsi" w:cs="Arial"/>
          <w:sz w:val="22"/>
          <w:szCs w:val="22"/>
        </w:rPr>
        <w:t xml:space="preserve"> and assets under construction</w:t>
      </w:r>
      <w:r w:rsidR="00D85C02">
        <w:rPr>
          <w:rFonts w:asciiTheme="minorHAnsi" w:hAnsiTheme="minorHAnsi" w:cs="Arial"/>
          <w:sz w:val="22"/>
          <w:szCs w:val="22"/>
        </w:rPr>
        <w:t xml:space="preserve"> </w:t>
      </w:r>
      <w:r w:rsidRPr="00B921B9">
        <w:rPr>
          <w:rFonts w:asciiTheme="minorHAnsi" w:hAnsiTheme="minorHAnsi" w:cs="Arial"/>
          <w:sz w:val="22"/>
          <w:szCs w:val="22"/>
        </w:rPr>
        <w:t xml:space="preserve">– depreciated historical </w:t>
      </w:r>
      <w:proofErr w:type="gramStart"/>
      <w:r w:rsidRPr="00B921B9">
        <w:rPr>
          <w:rFonts w:asciiTheme="minorHAnsi" w:hAnsiTheme="minorHAnsi" w:cs="Arial"/>
          <w:sz w:val="22"/>
          <w:szCs w:val="22"/>
        </w:rPr>
        <w:t>cost</w:t>
      </w:r>
      <w:proofErr w:type="gramEnd"/>
    </w:p>
    <w:p w14:paraId="6795E6FD" w14:textId="77777777" w:rsidR="004B7E57" w:rsidRDefault="001068DD" w:rsidP="00C76AD3">
      <w:pPr>
        <w:numPr>
          <w:ilvl w:val="0"/>
          <w:numId w:val="27"/>
        </w:numPr>
        <w:tabs>
          <w:tab w:val="clear" w:pos="1194"/>
          <w:tab w:val="num" w:pos="851"/>
        </w:tabs>
        <w:spacing w:after="60" w:line="228" w:lineRule="auto"/>
        <w:ind w:hanging="2208"/>
        <w:jc w:val="both"/>
        <w:rPr>
          <w:rFonts w:asciiTheme="minorHAnsi" w:hAnsiTheme="minorHAnsi" w:cs="Arial"/>
          <w:sz w:val="22"/>
          <w:szCs w:val="22"/>
        </w:rPr>
      </w:pPr>
      <w:r>
        <w:rPr>
          <w:rFonts w:asciiTheme="minorHAnsi" w:hAnsiTheme="minorHAnsi" w:cs="Arial"/>
          <w:sz w:val="22"/>
          <w:szCs w:val="22"/>
        </w:rPr>
        <w:t>D</w:t>
      </w:r>
      <w:r w:rsidR="004B7E57" w:rsidRPr="00B921B9">
        <w:rPr>
          <w:rFonts w:asciiTheme="minorHAnsi" w:hAnsiTheme="minorHAnsi" w:cs="Arial"/>
          <w:sz w:val="22"/>
          <w:szCs w:val="22"/>
        </w:rPr>
        <w:t>wellings –current value, determined using the basis of existing use value for social housing (EUV-SH)</w:t>
      </w:r>
    </w:p>
    <w:p w14:paraId="7CCB5AD0" w14:textId="77777777" w:rsidR="00D85C02" w:rsidRPr="00B921B9" w:rsidRDefault="00D85C02" w:rsidP="00C76AD3">
      <w:pPr>
        <w:numPr>
          <w:ilvl w:val="0"/>
          <w:numId w:val="27"/>
        </w:numPr>
        <w:tabs>
          <w:tab w:val="clear" w:pos="1194"/>
          <w:tab w:val="num" w:pos="851"/>
        </w:tabs>
        <w:spacing w:after="60" w:line="228" w:lineRule="auto"/>
        <w:ind w:left="851" w:hanging="425"/>
        <w:jc w:val="both"/>
        <w:rPr>
          <w:rFonts w:asciiTheme="minorHAnsi" w:hAnsiTheme="minorHAnsi" w:cs="Arial"/>
          <w:sz w:val="22"/>
          <w:szCs w:val="22"/>
        </w:rPr>
      </w:pPr>
      <w:r>
        <w:rPr>
          <w:rFonts w:asciiTheme="minorHAnsi" w:hAnsiTheme="minorHAnsi" w:cs="Arial"/>
          <w:sz w:val="22"/>
          <w:szCs w:val="22"/>
        </w:rPr>
        <w:t xml:space="preserve">Surplus Assets – </w:t>
      </w:r>
      <w:r w:rsidR="00301920">
        <w:rPr>
          <w:rFonts w:asciiTheme="minorHAnsi" w:hAnsiTheme="minorHAnsi" w:cs="Arial"/>
          <w:sz w:val="22"/>
          <w:szCs w:val="22"/>
        </w:rPr>
        <w:t xml:space="preserve">the current value measurement base is fair value, estimated at highest and best use from a market participant’s </w:t>
      </w:r>
      <w:proofErr w:type="gramStart"/>
      <w:r w:rsidR="00301920">
        <w:rPr>
          <w:rFonts w:asciiTheme="minorHAnsi" w:hAnsiTheme="minorHAnsi" w:cs="Arial"/>
          <w:sz w:val="22"/>
          <w:szCs w:val="22"/>
        </w:rPr>
        <w:t>perspective</w:t>
      </w:r>
      <w:proofErr w:type="gramEnd"/>
      <w:r w:rsidR="00301920">
        <w:rPr>
          <w:rFonts w:asciiTheme="minorHAnsi" w:hAnsiTheme="minorHAnsi" w:cs="Arial"/>
          <w:sz w:val="22"/>
          <w:szCs w:val="22"/>
        </w:rPr>
        <w:t xml:space="preserve"> </w:t>
      </w:r>
    </w:p>
    <w:p w14:paraId="2067D4C7" w14:textId="77777777" w:rsidR="004B7E57" w:rsidRPr="00B921B9" w:rsidRDefault="004B7E57" w:rsidP="00C76AD3">
      <w:pPr>
        <w:numPr>
          <w:ilvl w:val="0"/>
          <w:numId w:val="28"/>
        </w:numPr>
        <w:spacing w:after="60" w:line="228" w:lineRule="auto"/>
        <w:ind w:left="851" w:hanging="425"/>
        <w:jc w:val="both"/>
        <w:rPr>
          <w:rFonts w:asciiTheme="minorHAnsi" w:hAnsiTheme="minorHAnsi" w:cs="Arial"/>
          <w:sz w:val="22"/>
          <w:szCs w:val="22"/>
        </w:rPr>
      </w:pPr>
      <w:r w:rsidRPr="00B921B9">
        <w:rPr>
          <w:rFonts w:asciiTheme="minorHAnsi" w:hAnsiTheme="minorHAnsi" w:cs="Arial"/>
          <w:sz w:val="22"/>
          <w:szCs w:val="22"/>
        </w:rPr>
        <w:lastRenderedPageBreak/>
        <w:t>All other assets – current value, determined as the amount that would be paid for the asset in its existing use (existing use value – EUV),</w:t>
      </w:r>
      <w:r w:rsidR="00D85C02">
        <w:rPr>
          <w:rFonts w:asciiTheme="minorHAnsi" w:hAnsiTheme="minorHAnsi" w:cs="Arial"/>
          <w:sz w:val="22"/>
          <w:szCs w:val="22"/>
        </w:rPr>
        <w:t xml:space="preserve"> </w:t>
      </w:r>
      <w:r w:rsidRPr="00B921B9">
        <w:rPr>
          <w:rFonts w:asciiTheme="minorHAnsi" w:hAnsiTheme="minorHAnsi" w:cs="Arial"/>
          <w:sz w:val="22"/>
          <w:szCs w:val="22"/>
        </w:rPr>
        <w:t>with the valuer using nominal values for some community assets.</w:t>
      </w:r>
    </w:p>
    <w:p w14:paraId="4A5A8978" w14:textId="77777777" w:rsidR="004B7E57" w:rsidRPr="00B921B9" w:rsidRDefault="004B7E57" w:rsidP="004B7E57">
      <w:pPr>
        <w:ind w:left="426"/>
        <w:jc w:val="both"/>
        <w:rPr>
          <w:rFonts w:asciiTheme="minorHAnsi" w:hAnsiTheme="minorHAnsi" w:cs="Arial"/>
          <w:sz w:val="22"/>
          <w:szCs w:val="22"/>
        </w:rPr>
      </w:pPr>
    </w:p>
    <w:p w14:paraId="0E589CC2" w14:textId="77777777" w:rsidR="004B7E57" w:rsidRPr="00B921B9" w:rsidRDefault="004B7E57" w:rsidP="001C2EB0">
      <w:pPr>
        <w:jc w:val="both"/>
        <w:rPr>
          <w:rFonts w:asciiTheme="minorHAnsi" w:hAnsiTheme="minorHAnsi" w:cs="Arial"/>
          <w:sz w:val="22"/>
          <w:szCs w:val="22"/>
        </w:rPr>
      </w:pPr>
      <w:r w:rsidRPr="00B921B9">
        <w:rPr>
          <w:rFonts w:asciiTheme="minorHAnsi" w:hAnsiTheme="minorHAnsi" w:cs="Arial"/>
          <w:sz w:val="22"/>
          <w:szCs w:val="22"/>
        </w:rPr>
        <w:t>Where there is no market-based evidence of current value because of the specialist nature of an asset, depreciated replacement cost (DRC) is used as an estimate of current value.</w:t>
      </w:r>
    </w:p>
    <w:p w14:paraId="788281FC" w14:textId="77777777" w:rsidR="004B7E57" w:rsidRPr="00B921B9" w:rsidRDefault="004B7E57" w:rsidP="001C2EB0">
      <w:pPr>
        <w:jc w:val="both"/>
        <w:rPr>
          <w:rFonts w:asciiTheme="minorHAnsi" w:hAnsiTheme="minorHAnsi" w:cs="Arial"/>
          <w:sz w:val="22"/>
          <w:szCs w:val="22"/>
        </w:rPr>
      </w:pPr>
    </w:p>
    <w:p w14:paraId="41C193A3" w14:textId="77777777" w:rsidR="004B7E57" w:rsidRPr="00B921B9" w:rsidRDefault="004B7E57" w:rsidP="001C2EB0">
      <w:pPr>
        <w:jc w:val="both"/>
        <w:rPr>
          <w:rFonts w:asciiTheme="minorHAnsi" w:hAnsiTheme="minorHAnsi" w:cs="Arial"/>
          <w:sz w:val="22"/>
          <w:szCs w:val="22"/>
        </w:rPr>
      </w:pPr>
      <w:r w:rsidRPr="00B921B9">
        <w:rPr>
          <w:rFonts w:asciiTheme="minorHAnsi" w:hAnsiTheme="minorHAnsi" w:cs="Arial"/>
          <w:sz w:val="22"/>
          <w:szCs w:val="22"/>
        </w:rPr>
        <w:t>Where non-property assets that have short useful lives or low values (or both), depreciated historical cost basis is used as a proxy for current value.</w:t>
      </w:r>
    </w:p>
    <w:p w14:paraId="3A49AE0E" w14:textId="77777777" w:rsidR="004B7E57" w:rsidRPr="00B921B9" w:rsidRDefault="004B7E57" w:rsidP="001C2EB0">
      <w:pPr>
        <w:jc w:val="both"/>
        <w:rPr>
          <w:rFonts w:asciiTheme="minorHAnsi" w:hAnsiTheme="minorHAnsi" w:cs="Arial"/>
          <w:sz w:val="22"/>
          <w:szCs w:val="22"/>
        </w:rPr>
      </w:pPr>
    </w:p>
    <w:p w14:paraId="37A720C2" w14:textId="4C686147" w:rsidR="004B7E57" w:rsidRPr="00B921B9" w:rsidRDefault="004B7E57" w:rsidP="001C2EB0">
      <w:pPr>
        <w:jc w:val="both"/>
        <w:rPr>
          <w:rFonts w:asciiTheme="minorHAnsi" w:hAnsiTheme="minorHAnsi" w:cs="Arial"/>
          <w:sz w:val="22"/>
          <w:szCs w:val="22"/>
        </w:rPr>
      </w:pPr>
      <w:r w:rsidRPr="00B921B9">
        <w:rPr>
          <w:rFonts w:asciiTheme="minorHAnsi" w:hAnsiTheme="minorHAnsi" w:cs="Arial"/>
          <w:sz w:val="22"/>
          <w:szCs w:val="22"/>
        </w:rPr>
        <w:t xml:space="preserve">Increases in valuations are matched by credits to the Revaluation Reserve to recognise unrealised gains. Exceptionally, gains might be credited to the </w:t>
      </w:r>
      <w:r w:rsidR="009B71F0">
        <w:rPr>
          <w:rFonts w:asciiTheme="minorHAnsi" w:hAnsiTheme="minorHAnsi" w:cs="Arial"/>
          <w:sz w:val="22"/>
          <w:szCs w:val="22"/>
        </w:rPr>
        <w:t>Surplus or Deficit on Provision of Services</w:t>
      </w:r>
      <w:r w:rsidRPr="00B921B9">
        <w:rPr>
          <w:rFonts w:asciiTheme="minorHAnsi" w:hAnsiTheme="minorHAnsi" w:cs="Arial"/>
          <w:sz w:val="22"/>
          <w:szCs w:val="22"/>
        </w:rPr>
        <w:t xml:space="preserve"> where they arise from the reversal of a loss previously charged to a service. </w:t>
      </w:r>
    </w:p>
    <w:p w14:paraId="21A08BDE" w14:textId="77777777" w:rsidR="004B7E57" w:rsidRPr="00B921B9" w:rsidRDefault="004B7E57" w:rsidP="001C2EB0">
      <w:pPr>
        <w:jc w:val="both"/>
        <w:rPr>
          <w:rFonts w:asciiTheme="minorHAnsi" w:hAnsiTheme="minorHAnsi" w:cs="Arial"/>
          <w:sz w:val="22"/>
          <w:szCs w:val="22"/>
        </w:rPr>
      </w:pPr>
    </w:p>
    <w:p w14:paraId="272291E0" w14:textId="77777777" w:rsidR="004B7E57" w:rsidRPr="00B921B9" w:rsidRDefault="004B7E57" w:rsidP="001C2EB0">
      <w:pPr>
        <w:jc w:val="both"/>
        <w:rPr>
          <w:rFonts w:asciiTheme="minorHAnsi" w:hAnsiTheme="minorHAnsi" w:cs="Arial"/>
          <w:sz w:val="22"/>
          <w:szCs w:val="22"/>
        </w:rPr>
      </w:pPr>
      <w:r w:rsidRPr="00B921B9">
        <w:rPr>
          <w:rFonts w:asciiTheme="minorHAnsi" w:hAnsiTheme="minorHAnsi" w:cs="Arial"/>
          <w:sz w:val="22"/>
          <w:szCs w:val="22"/>
        </w:rPr>
        <w:t xml:space="preserve">Where decreases in value are identified, they are accounted for by: </w:t>
      </w:r>
    </w:p>
    <w:p w14:paraId="74430A20" w14:textId="77777777" w:rsidR="004B7E57" w:rsidRPr="00B921B9" w:rsidRDefault="004B7E57" w:rsidP="004B7E57">
      <w:pPr>
        <w:ind w:left="426"/>
        <w:jc w:val="both"/>
        <w:rPr>
          <w:rFonts w:asciiTheme="minorHAnsi" w:hAnsiTheme="minorHAnsi" w:cs="Arial"/>
          <w:sz w:val="22"/>
          <w:szCs w:val="22"/>
        </w:rPr>
      </w:pPr>
    </w:p>
    <w:p w14:paraId="4AE85FF7" w14:textId="77777777" w:rsidR="004B7E57" w:rsidRPr="00B921B9" w:rsidRDefault="004B7E57" w:rsidP="00C76AD3">
      <w:pPr>
        <w:numPr>
          <w:ilvl w:val="0"/>
          <w:numId w:val="29"/>
        </w:numPr>
        <w:ind w:left="851" w:hanging="425"/>
        <w:jc w:val="both"/>
        <w:rPr>
          <w:rFonts w:asciiTheme="minorHAnsi" w:hAnsiTheme="minorHAnsi" w:cs="Arial"/>
          <w:sz w:val="22"/>
          <w:szCs w:val="22"/>
        </w:rPr>
      </w:pPr>
      <w:r w:rsidRPr="00B921B9">
        <w:rPr>
          <w:rFonts w:asciiTheme="minorHAnsi" w:hAnsiTheme="minorHAnsi" w:cs="Arial"/>
          <w:sz w:val="22"/>
          <w:szCs w:val="22"/>
        </w:rPr>
        <w:t>Where there is a balance of revaluation gains for the asset in the Revaluation Reserve, the carrying amount of the asset is written down against that balance (up to the amount of the accumulated gains).</w:t>
      </w:r>
    </w:p>
    <w:p w14:paraId="4FB667C3" w14:textId="77777777" w:rsidR="004B7E57" w:rsidRPr="00B921B9" w:rsidRDefault="004B7E57" w:rsidP="001C2EB0">
      <w:pPr>
        <w:ind w:left="851" w:hanging="425"/>
        <w:jc w:val="both"/>
        <w:rPr>
          <w:rFonts w:asciiTheme="minorHAnsi" w:hAnsiTheme="minorHAnsi" w:cs="Arial"/>
          <w:sz w:val="22"/>
          <w:szCs w:val="22"/>
        </w:rPr>
      </w:pPr>
    </w:p>
    <w:p w14:paraId="23B7864C" w14:textId="77777777" w:rsidR="004B7E57" w:rsidRPr="00B921B9" w:rsidRDefault="004B7E57" w:rsidP="00C76AD3">
      <w:pPr>
        <w:numPr>
          <w:ilvl w:val="0"/>
          <w:numId w:val="29"/>
        </w:numPr>
        <w:ind w:left="851" w:hanging="425"/>
        <w:jc w:val="both"/>
        <w:rPr>
          <w:rFonts w:asciiTheme="minorHAnsi" w:hAnsiTheme="minorHAnsi" w:cs="Arial"/>
          <w:sz w:val="22"/>
          <w:szCs w:val="22"/>
        </w:rPr>
      </w:pPr>
      <w:r w:rsidRPr="00B921B9">
        <w:rPr>
          <w:rFonts w:asciiTheme="minorHAnsi" w:hAnsiTheme="minorHAnsi" w:cs="Arial"/>
          <w:sz w:val="22"/>
          <w:szCs w:val="22"/>
        </w:rPr>
        <w:t>Where there is no balance in the Revaluation Reserve or an insufficient balance, the carrying amount of the asset is written down against the relevant service lines(s) in the Comprehensive Income and Expenditure Statement.</w:t>
      </w:r>
    </w:p>
    <w:p w14:paraId="52A7DF02" w14:textId="77777777" w:rsidR="004B7E57" w:rsidRPr="00B921B9" w:rsidRDefault="004B7E57" w:rsidP="004B7E57">
      <w:pPr>
        <w:ind w:left="426"/>
        <w:jc w:val="both"/>
        <w:rPr>
          <w:rFonts w:asciiTheme="minorHAnsi" w:hAnsiTheme="minorHAnsi" w:cs="Arial"/>
          <w:sz w:val="22"/>
          <w:szCs w:val="22"/>
        </w:rPr>
      </w:pPr>
    </w:p>
    <w:p w14:paraId="0D2341EC" w14:textId="77777777" w:rsidR="004B7E57" w:rsidRDefault="004B7E57" w:rsidP="001C2EB0">
      <w:pPr>
        <w:jc w:val="both"/>
        <w:rPr>
          <w:rFonts w:asciiTheme="minorHAnsi" w:hAnsiTheme="minorHAnsi" w:cs="Arial"/>
          <w:sz w:val="22"/>
          <w:szCs w:val="22"/>
        </w:rPr>
      </w:pPr>
      <w:r w:rsidRPr="00B921B9">
        <w:rPr>
          <w:rFonts w:asciiTheme="minorHAnsi" w:hAnsiTheme="minorHAnsi" w:cs="Arial"/>
          <w:sz w:val="22"/>
          <w:szCs w:val="22"/>
        </w:rPr>
        <w:t>The Revaluation Reserve contains revaluation gains recognised since 1 April 2007 only, the date of its formal implementation. Gains arising before that date have been consolidated into the Capital Adjustment Account.</w:t>
      </w:r>
    </w:p>
    <w:p w14:paraId="1CA4A752" w14:textId="77777777" w:rsidR="005910D8" w:rsidRPr="00B921B9" w:rsidRDefault="005910D8" w:rsidP="001C2EB0">
      <w:pPr>
        <w:jc w:val="both"/>
        <w:rPr>
          <w:rFonts w:asciiTheme="minorHAnsi" w:hAnsiTheme="minorHAnsi" w:cs="Arial"/>
          <w:sz w:val="22"/>
          <w:szCs w:val="22"/>
        </w:rPr>
      </w:pPr>
    </w:p>
    <w:p w14:paraId="73B3AB2F" w14:textId="77777777"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r w:rsidRPr="00B921B9">
        <w:rPr>
          <w:rFonts w:asciiTheme="minorHAnsi" w:hAnsiTheme="minorHAnsi" w:cs="Arial"/>
          <w:b/>
          <w:bCs/>
          <w:sz w:val="22"/>
          <w:szCs w:val="22"/>
        </w:rPr>
        <w:t>Impairment</w:t>
      </w:r>
    </w:p>
    <w:p w14:paraId="4EBB2555" w14:textId="77777777"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p>
    <w:p w14:paraId="7C940012" w14:textId="77777777" w:rsidR="004B7E57" w:rsidRPr="00B921B9" w:rsidRDefault="004B7E57" w:rsidP="001C2EB0">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Assets are assessed at each year-end as to whether there is any indication that an asset may be impaired. Where indications exist and any possible differences are estimated to be material, the recoverable amount of the asset is estimated and, where it is less than the carrying amount of the asset, an impairment loss is recognised for the shortfall.</w:t>
      </w:r>
    </w:p>
    <w:p w14:paraId="54D3BCB5" w14:textId="77777777" w:rsidR="004B7E57" w:rsidRPr="00B921B9" w:rsidRDefault="004B7E57" w:rsidP="001C2EB0">
      <w:pPr>
        <w:widowControl w:val="0"/>
        <w:spacing w:line="228" w:lineRule="auto"/>
        <w:jc w:val="both"/>
        <w:rPr>
          <w:rFonts w:asciiTheme="minorHAnsi" w:hAnsiTheme="minorHAnsi" w:cs="Arial"/>
          <w:sz w:val="22"/>
          <w:szCs w:val="22"/>
        </w:rPr>
      </w:pPr>
    </w:p>
    <w:p w14:paraId="59FB437E" w14:textId="77777777" w:rsidR="004B7E57" w:rsidRPr="00B921B9" w:rsidRDefault="004B7E57" w:rsidP="001C2EB0">
      <w:pPr>
        <w:widowControl w:val="0"/>
        <w:spacing w:line="228" w:lineRule="auto"/>
        <w:jc w:val="both"/>
        <w:rPr>
          <w:rFonts w:asciiTheme="minorHAnsi" w:hAnsiTheme="minorHAnsi" w:cs="Arial"/>
          <w:sz w:val="22"/>
          <w:szCs w:val="22"/>
        </w:rPr>
      </w:pPr>
      <w:r w:rsidRPr="00B921B9">
        <w:rPr>
          <w:rFonts w:asciiTheme="minorHAnsi" w:hAnsiTheme="minorHAnsi" w:cs="Arial"/>
          <w:sz w:val="22"/>
          <w:szCs w:val="22"/>
        </w:rPr>
        <w:t>Where impairment losses are identified, they are accounted for by:</w:t>
      </w:r>
    </w:p>
    <w:p w14:paraId="17592D84" w14:textId="77777777" w:rsidR="004B7E57" w:rsidRPr="00B921B9" w:rsidRDefault="004B7E57" w:rsidP="001C2EB0">
      <w:pPr>
        <w:widowControl w:val="0"/>
        <w:spacing w:line="228" w:lineRule="auto"/>
        <w:jc w:val="both"/>
        <w:rPr>
          <w:rFonts w:asciiTheme="minorHAnsi" w:hAnsiTheme="minorHAnsi" w:cs="Arial"/>
          <w:sz w:val="22"/>
          <w:szCs w:val="22"/>
        </w:rPr>
      </w:pPr>
    </w:p>
    <w:p w14:paraId="5333D447" w14:textId="77777777" w:rsidR="004B7E57" w:rsidRPr="00B921B9" w:rsidRDefault="004B7E57" w:rsidP="00C76AD3">
      <w:pPr>
        <w:widowControl w:val="0"/>
        <w:numPr>
          <w:ilvl w:val="0"/>
          <w:numId w:val="30"/>
        </w:numPr>
        <w:tabs>
          <w:tab w:val="clear" w:pos="1139"/>
          <w:tab w:val="num" w:pos="851"/>
        </w:tabs>
        <w:spacing w:line="228" w:lineRule="auto"/>
        <w:ind w:left="851" w:hanging="425"/>
        <w:jc w:val="both"/>
        <w:rPr>
          <w:rFonts w:asciiTheme="minorHAnsi" w:hAnsiTheme="minorHAnsi" w:cs="Arial"/>
          <w:sz w:val="22"/>
          <w:szCs w:val="22"/>
        </w:rPr>
      </w:pPr>
      <w:r w:rsidRPr="00B921B9">
        <w:rPr>
          <w:rFonts w:asciiTheme="minorHAnsi" w:hAnsiTheme="minorHAnsi" w:cs="Arial"/>
          <w:sz w:val="22"/>
          <w:szCs w:val="22"/>
        </w:rPr>
        <w:t>Where there is a balance of revaluation gains for the asset in the Revaluation Reserve, the carrying amount of the asset is written down against that balance (up to the amount of the accumulated gains)</w:t>
      </w:r>
    </w:p>
    <w:p w14:paraId="066391E5" w14:textId="77777777" w:rsidR="004B7E57" w:rsidRPr="00B921B9" w:rsidRDefault="004B7E57" w:rsidP="00C76AD3">
      <w:pPr>
        <w:widowControl w:val="0"/>
        <w:numPr>
          <w:ilvl w:val="0"/>
          <w:numId w:val="30"/>
        </w:numPr>
        <w:tabs>
          <w:tab w:val="clear" w:pos="1139"/>
          <w:tab w:val="num" w:pos="851"/>
        </w:tabs>
        <w:spacing w:line="228" w:lineRule="auto"/>
        <w:ind w:left="851" w:hanging="425"/>
        <w:jc w:val="both"/>
        <w:rPr>
          <w:rFonts w:asciiTheme="minorHAnsi" w:hAnsiTheme="minorHAnsi" w:cs="Arial"/>
          <w:sz w:val="22"/>
          <w:szCs w:val="22"/>
        </w:rPr>
      </w:pPr>
      <w:r w:rsidRPr="00B921B9">
        <w:rPr>
          <w:rFonts w:asciiTheme="minorHAnsi" w:hAnsiTheme="minorHAnsi" w:cs="Arial"/>
          <w:sz w:val="22"/>
          <w:szCs w:val="22"/>
        </w:rPr>
        <w:t>Where there is no balance in the Revaluation Reserve or an insufficient balance, the carrying amount of the asset is written down against the relevant service line(s) in the Comprehensive Income and Expenditure Statement.</w:t>
      </w:r>
    </w:p>
    <w:p w14:paraId="34E0B976" w14:textId="77777777" w:rsidR="004B7E57" w:rsidRPr="00B921B9" w:rsidRDefault="004B7E57" w:rsidP="001C2EB0">
      <w:pPr>
        <w:widowControl w:val="0"/>
        <w:spacing w:line="228" w:lineRule="auto"/>
        <w:jc w:val="both"/>
        <w:rPr>
          <w:rFonts w:asciiTheme="minorHAnsi" w:hAnsiTheme="minorHAnsi" w:cs="Arial"/>
          <w:sz w:val="22"/>
          <w:szCs w:val="22"/>
        </w:rPr>
      </w:pPr>
    </w:p>
    <w:p w14:paraId="2C37B158" w14:textId="77777777" w:rsidR="004B7E57" w:rsidRDefault="004B7E57" w:rsidP="001C2EB0">
      <w:pPr>
        <w:pStyle w:val="BodyTextIndent"/>
        <w:tabs>
          <w:tab w:val="clear" w:pos="2160"/>
          <w:tab w:val="clear" w:pos="7200"/>
          <w:tab w:val="clear" w:pos="7920"/>
        </w:tabs>
        <w:spacing w:line="228" w:lineRule="auto"/>
        <w:ind w:left="0" w:firstLine="0"/>
        <w:rPr>
          <w:rFonts w:asciiTheme="minorHAnsi" w:hAnsiTheme="minorHAnsi" w:cs="Arial"/>
          <w:sz w:val="22"/>
          <w:szCs w:val="22"/>
        </w:rPr>
      </w:pPr>
      <w:r w:rsidRPr="00B921B9">
        <w:rPr>
          <w:rFonts w:asciiTheme="minorHAnsi" w:hAnsiTheme="minorHAnsi" w:cs="Arial"/>
          <w:sz w:val="22"/>
          <w:szCs w:val="22"/>
        </w:rPr>
        <w:t xml:space="preserve">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 </w:t>
      </w:r>
    </w:p>
    <w:p w14:paraId="7C091D95" w14:textId="77777777" w:rsidR="0061492C" w:rsidRPr="00B921B9" w:rsidRDefault="0061492C"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p>
    <w:p w14:paraId="344FE107" w14:textId="619CBF2D"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r w:rsidRPr="00B921B9">
        <w:rPr>
          <w:rFonts w:asciiTheme="minorHAnsi" w:hAnsiTheme="minorHAnsi" w:cs="Arial"/>
          <w:b/>
          <w:bCs/>
          <w:sz w:val="22"/>
          <w:szCs w:val="22"/>
        </w:rPr>
        <w:t>Depreciation</w:t>
      </w:r>
    </w:p>
    <w:p w14:paraId="7778A6AD" w14:textId="77777777" w:rsidR="004B7E57" w:rsidRPr="00B921B9" w:rsidRDefault="004B7E57" w:rsidP="001C2EB0">
      <w:pPr>
        <w:pStyle w:val="BodyTextIndent"/>
        <w:tabs>
          <w:tab w:val="clear" w:pos="2160"/>
          <w:tab w:val="clear" w:pos="7200"/>
          <w:tab w:val="clear" w:pos="7920"/>
        </w:tabs>
        <w:spacing w:line="228" w:lineRule="auto"/>
        <w:ind w:left="0" w:firstLine="0"/>
        <w:rPr>
          <w:rFonts w:asciiTheme="minorHAnsi" w:hAnsiTheme="minorHAnsi" w:cs="Arial"/>
          <w:b/>
          <w:bCs/>
          <w:sz w:val="22"/>
          <w:szCs w:val="22"/>
        </w:rPr>
      </w:pPr>
    </w:p>
    <w:p w14:paraId="6A9F3295" w14:textId="1FF9ABA4" w:rsidR="004B7E57" w:rsidRPr="00B921B9" w:rsidRDefault="004B7E57" w:rsidP="001C2EB0">
      <w:pPr>
        <w:pStyle w:val="BodyTextIndent3"/>
        <w:spacing w:after="120" w:line="228" w:lineRule="auto"/>
        <w:ind w:left="0"/>
        <w:rPr>
          <w:rFonts w:asciiTheme="minorHAnsi" w:hAnsiTheme="minorHAnsi" w:cs="Arial"/>
          <w:sz w:val="22"/>
          <w:szCs w:val="22"/>
        </w:rPr>
      </w:pPr>
      <w:r w:rsidRPr="00B921B9">
        <w:rPr>
          <w:rFonts w:asciiTheme="minorHAnsi" w:hAnsiTheme="minorHAnsi" w:cs="Arial"/>
          <w:sz w:val="22"/>
          <w:szCs w:val="22"/>
        </w:rPr>
        <w:t xml:space="preserve">Depreciation is provided for on all Property, Plant and Equipment assets by the systematic allocation of their depreciable amounts over their </w:t>
      </w:r>
      <w:r w:rsidR="004A1B04">
        <w:rPr>
          <w:rFonts w:asciiTheme="minorHAnsi" w:hAnsiTheme="minorHAnsi" w:cs="Arial"/>
          <w:sz w:val="22"/>
          <w:szCs w:val="22"/>
        </w:rPr>
        <w:t xml:space="preserve">remaining </w:t>
      </w:r>
      <w:r w:rsidRPr="00B921B9">
        <w:rPr>
          <w:rFonts w:asciiTheme="minorHAnsi" w:hAnsiTheme="minorHAnsi" w:cs="Arial"/>
          <w:sz w:val="22"/>
          <w:szCs w:val="22"/>
        </w:rPr>
        <w:t>useful lives. An exception is made for assets without a determinable finite useful life (</w:t>
      </w:r>
      <w:r w:rsidR="00120BFE">
        <w:rPr>
          <w:rFonts w:asciiTheme="minorHAnsi" w:hAnsiTheme="minorHAnsi" w:cs="Arial"/>
          <w:sz w:val="22"/>
          <w:szCs w:val="22"/>
        </w:rPr>
        <w:t>for example,</w:t>
      </w:r>
      <w:r w:rsidRPr="00B921B9">
        <w:rPr>
          <w:rFonts w:asciiTheme="minorHAnsi" w:hAnsiTheme="minorHAnsi" w:cs="Arial"/>
          <w:sz w:val="22"/>
          <w:szCs w:val="22"/>
        </w:rPr>
        <w:t xml:space="preserve"> freehold land and certain Community Assets) and assets that are not yet available for use (</w:t>
      </w:r>
      <w:r w:rsidR="00120BFE">
        <w:rPr>
          <w:rFonts w:asciiTheme="minorHAnsi" w:hAnsiTheme="minorHAnsi" w:cs="Arial"/>
          <w:sz w:val="22"/>
          <w:szCs w:val="22"/>
        </w:rPr>
        <w:t>for example,</w:t>
      </w:r>
      <w:r w:rsidRPr="00B921B9">
        <w:rPr>
          <w:rFonts w:asciiTheme="minorHAnsi" w:hAnsiTheme="minorHAnsi" w:cs="Arial"/>
          <w:sz w:val="22"/>
          <w:szCs w:val="22"/>
        </w:rPr>
        <w:t xml:space="preserve"> assets under construction).</w:t>
      </w:r>
    </w:p>
    <w:p w14:paraId="78646228" w14:textId="77777777" w:rsidR="004B7E57" w:rsidRPr="00B921B9" w:rsidRDefault="004B7E57" w:rsidP="001C2EB0">
      <w:pPr>
        <w:pStyle w:val="BodyTextIndent3"/>
        <w:spacing w:after="120" w:line="228" w:lineRule="auto"/>
        <w:ind w:left="0"/>
        <w:rPr>
          <w:rFonts w:asciiTheme="minorHAnsi" w:hAnsiTheme="minorHAnsi" w:cs="Arial"/>
          <w:sz w:val="22"/>
          <w:szCs w:val="22"/>
        </w:rPr>
      </w:pPr>
      <w:r w:rsidRPr="00B921B9">
        <w:rPr>
          <w:rFonts w:asciiTheme="minorHAnsi" w:hAnsiTheme="minorHAnsi" w:cs="Arial"/>
          <w:sz w:val="22"/>
          <w:szCs w:val="22"/>
        </w:rPr>
        <w:t xml:space="preserve">Depreciation is calculated on the following bases: </w:t>
      </w:r>
    </w:p>
    <w:p w14:paraId="3E16852D" w14:textId="77777777" w:rsidR="004B7E57" w:rsidRPr="00B921B9" w:rsidRDefault="004B7E57" w:rsidP="00C76AD3">
      <w:pPr>
        <w:pStyle w:val="BodyTextIndent3"/>
        <w:numPr>
          <w:ilvl w:val="0"/>
          <w:numId w:val="31"/>
        </w:numPr>
        <w:tabs>
          <w:tab w:val="clear" w:pos="1140"/>
          <w:tab w:val="num" w:pos="851"/>
        </w:tabs>
        <w:spacing w:line="228" w:lineRule="auto"/>
        <w:ind w:left="851" w:hanging="425"/>
        <w:rPr>
          <w:rFonts w:asciiTheme="minorHAnsi" w:hAnsiTheme="minorHAnsi" w:cs="Arial"/>
          <w:sz w:val="22"/>
          <w:szCs w:val="22"/>
        </w:rPr>
      </w:pPr>
      <w:r w:rsidRPr="00B921B9">
        <w:rPr>
          <w:rFonts w:asciiTheme="minorHAnsi" w:hAnsiTheme="minorHAnsi" w:cs="Arial"/>
          <w:sz w:val="22"/>
          <w:szCs w:val="22"/>
        </w:rPr>
        <w:t>Dwellings and other buildings – straight-line allocation over the</w:t>
      </w:r>
      <w:r w:rsidR="004A1B04">
        <w:rPr>
          <w:rFonts w:asciiTheme="minorHAnsi" w:hAnsiTheme="minorHAnsi" w:cs="Arial"/>
          <w:sz w:val="22"/>
          <w:szCs w:val="22"/>
        </w:rPr>
        <w:t xml:space="preserve"> remaining</w:t>
      </w:r>
      <w:r w:rsidRPr="00B921B9">
        <w:rPr>
          <w:rFonts w:asciiTheme="minorHAnsi" w:hAnsiTheme="minorHAnsi" w:cs="Arial"/>
          <w:sz w:val="22"/>
          <w:szCs w:val="22"/>
        </w:rPr>
        <w:t xml:space="preserve"> useful life of the property as estimated by the valuer (see table below).</w:t>
      </w:r>
    </w:p>
    <w:p w14:paraId="00FFF7E0" w14:textId="77777777" w:rsidR="004B7E57" w:rsidRPr="00B921B9" w:rsidRDefault="004B7E57" w:rsidP="00C76AD3">
      <w:pPr>
        <w:pStyle w:val="BodyTextIndent3"/>
        <w:numPr>
          <w:ilvl w:val="0"/>
          <w:numId w:val="31"/>
        </w:numPr>
        <w:tabs>
          <w:tab w:val="clear" w:pos="1140"/>
          <w:tab w:val="num" w:pos="851"/>
        </w:tabs>
        <w:spacing w:line="228" w:lineRule="auto"/>
        <w:ind w:left="851" w:hanging="425"/>
        <w:rPr>
          <w:rFonts w:asciiTheme="minorHAnsi" w:hAnsiTheme="minorHAnsi" w:cs="Arial"/>
          <w:sz w:val="22"/>
          <w:szCs w:val="22"/>
        </w:rPr>
      </w:pPr>
      <w:r w:rsidRPr="00B921B9">
        <w:rPr>
          <w:rFonts w:asciiTheme="minorHAnsi" w:hAnsiTheme="minorHAnsi" w:cs="Arial"/>
          <w:sz w:val="22"/>
          <w:szCs w:val="22"/>
        </w:rPr>
        <w:t>Vehicles, plant, furniture and equipment – straight line allocation over the</w:t>
      </w:r>
      <w:r w:rsidR="004A1B04">
        <w:rPr>
          <w:rFonts w:asciiTheme="minorHAnsi" w:hAnsiTheme="minorHAnsi" w:cs="Arial"/>
          <w:sz w:val="22"/>
          <w:szCs w:val="22"/>
        </w:rPr>
        <w:t xml:space="preserve"> remaining</w:t>
      </w:r>
      <w:r w:rsidRPr="00B921B9">
        <w:rPr>
          <w:rFonts w:asciiTheme="minorHAnsi" w:hAnsiTheme="minorHAnsi" w:cs="Arial"/>
          <w:sz w:val="22"/>
          <w:szCs w:val="22"/>
        </w:rPr>
        <w:t xml:space="preserve"> useful life of the asset, </w:t>
      </w:r>
      <w:r w:rsidRPr="00B921B9">
        <w:rPr>
          <w:rFonts w:asciiTheme="minorHAnsi" w:hAnsiTheme="minorHAnsi" w:cs="Arial"/>
          <w:sz w:val="22"/>
          <w:szCs w:val="22"/>
        </w:rPr>
        <w:lastRenderedPageBreak/>
        <w:t>as advised by a suitably qualified valuer</w:t>
      </w:r>
      <w:r w:rsidR="00112C00">
        <w:rPr>
          <w:rFonts w:asciiTheme="minorHAnsi" w:hAnsiTheme="minorHAnsi" w:cs="Arial"/>
          <w:sz w:val="22"/>
          <w:szCs w:val="22"/>
        </w:rPr>
        <w:t xml:space="preserve"> where appropriate</w:t>
      </w:r>
      <w:r w:rsidRPr="00B921B9">
        <w:rPr>
          <w:rFonts w:asciiTheme="minorHAnsi" w:hAnsiTheme="minorHAnsi" w:cs="Arial"/>
          <w:sz w:val="22"/>
          <w:szCs w:val="22"/>
        </w:rPr>
        <w:t xml:space="preserve"> (see table below).</w:t>
      </w:r>
    </w:p>
    <w:p w14:paraId="74C2CD77" w14:textId="1AC9768F" w:rsidR="00651DF1" w:rsidRPr="00E513F9" w:rsidRDefault="004B7E57" w:rsidP="00C76AD3">
      <w:pPr>
        <w:pStyle w:val="BodyTextIndent3"/>
        <w:numPr>
          <w:ilvl w:val="0"/>
          <w:numId w:val="31"/>
        </w:numPr>
        <w:tabs>
          <w:tab w:val="clear" w:pos="1140"/>
          <w:tab w:val="num" w:pos="851"/>
        </w:tabs>
        <w:spacing w:after="240" w:line="228" w:lineRule="auto"/>
        <w:ind w:left="851" w:hanging="425"/>
        <w:rPr>
          <w:rFonts w:asciiTheme="minorHAnsi" w:hAnsiTheme="minorHAnsi" w:cs="Arial"/>
          <w:sz w:val="22"/>
          <w:szCs w:val="22"/>
        </w:rPr>
      </w:pPr>
      <w:r w:rsidRPr="00E513F9">
        <w:rPr>
          <w:rFonts w:asciiTheme="minorHAnsi" w:hAnsiTheme="minorHAnsi" w:cs="Arial"/>
          <w:sz w:val="22"/>
          <w:szCs w:val="22"/>
        </w:rPr>
        <w:t>Infrastructure – straight line allocation over the</w:t>
      </w:r>
      <w:r w:rsidR="004A1B04" w:rsidRPr="00E513F9">
        <w:rPr>
          <w:rFonts w:asciiTheme="minorHAnsi" w:hAnsiTheme="minorHAnsi" w:cs="Arial"/>
          <w:sz w:val="22"/>
          <w:szCs w:val="22"/>
        </w:rPr>
        <w:t xml:space="preserve"> remaining</w:t>
      </w:r>
      <w:r w:rsidR="005910D8" w:rsidRPr="00E513F9">
        <w:rPr>
          <w:rFonts w:asciiTheme="minorHAnsi" w:hAnsiTheme="minorHAnsi" w:cs="Arial"/>
          <w:sz w:val="22"/>
          <w:szCs w:val="22"/>
        </w:rPr>
        <w:t xml:space="preserve"> useful life of the asset.</w:t>
      </w:r>
    </w:p>
    <w:p w14:paraId="66A42621" w14:textId="06105A3E" w:rsidR="004B7E57" w:rsidRPr="00B921B9" w:rsidRDefault="004B7E57" w:rsidP="001C2EB0">
      <w:pPr>
        <w:pStyle w:val="BodyTextIndent3"/>
        <w:spacing w:after="120" w:line="228" w:lineRule="auto"/>
        <w:ind w:left="0"/>
        <w:rPr>
          <w:rFonts w:asciiTheme="minorHAnsi" w:hAnsiTheme="minorHAnsi" w:cs="Arial"/>
          <w:sz w:val="22"/>
          <w:szCs w:val="22"/>
        </w:rPr>
      </w:pPr>
      <w:r w:rsidRPr="00B921B9">
        <w:rPr>
          <w:rFonts w:asciiTheme="minorHAnsi" w:hAnsiTheme="minorHAnsi" w:cs="Arial"/>
          <w:sz w:val="22"/>
          <w:szCs w:val="22"/>
        </w:rPr>
        <w:t>Where an item of Property, Plant and Equipment asset has major components whose cost is significant in relation to the total cost of the item (</w:t>
      </w:r>
      <w:r w:rsidR="00120BFE">
        <w:rPr>
          <w:rFonts w:asciiTheme="minorHAnsi" w:hAnsiTheme="minorHAnsi" w:cs="Arial"/>
          <w:sz w:val="22"/>
          <w:szCs w:val="22"/>
        </w:rPr>
        <w:t>for example,</w:t>
      </w:r>
      <w:r w:rsidRPr="00B921B9">
        <w:rPr>
          <w:rFonts w:asciiTheme="minorHAnsi" w:hAnsiTheme="minorHAnsi" w:cs="Arial"/>
          <w:sz w:val="22"/>
          <w:szCs w:val="22"/>
        </w:rPr>
        <w:t xml:space="preserve"> exceeding 25%), the components are depreciated separately. Only assets exceeding the value of £250,000 are considered material for componentisation and housing dwellings are excluded on the grounds of materiality. </w:t>
      </w:r>
    </w:p>
    <w:p w14:paraId="4257BCE5" w14:textId="77777777" w:rsidR="005F58C2" w:rsidRDefault="004B7E57" w:rsidP="001C2EB0">
      <w:pPr>
        <w:pStyle w:val="BodyTextIndent3"/>
        <w:spacing w:after="120" w:line="228" w:lineRule="auto"/>
        <w:ind w:left="0"/>
        <w:rPr>
          <w:rFonts w:asciiTheme="minorHAnsi" w:hAnsiTheme="minorHAnsi" w:cs="Arial"/>
          <w:sz w:val="22"/>
          <w:szCs w:val="22"/>
        </w:rPr>
      </w:pPr>
      <w:r w:rsidRPr="00B921B9">
        <w:rPr>
          <w:rFonts w:asciiTheme="minorHAnsi" w:hAnsiTheme="minorHAnsi" w:cs="Arial"/>
          <w:sz w:val="22"/>
          <w:szCs w:val="22"/>
        </w:rPr>
        <w:t xml:space="preserve">Revaluation gains are also depreciated, with an amount equal to the difference between current value depreciation charged on assets and the depreciation that would have been chargeable based on their historical cost being transferred each year from the Revaluation Reserve to the </w:t>
      </w:r>
      <w:r w:rsidRPr="005F58C2">
        <w:rPr>
          <w:rFonts w:asciiTheme="minorHAnsi" w:hAnsiTheme="minorHAnsi" w:cs="Arial"/>
          <w:sz w:val="22"/>
          <w:szCs w:val="22"/>
        </w:rPr>
        <w:t>Capital Adjustment Account</w:t>
      </w:r>
      <w:r w:rsidRPr="00B921B9">
        <w:rPr>
          <w:rFonts w:asciiTheme="minorHAnsi" w:hAnsiTheme="minorHAnsi" w:cs="Arial"/>
          <w:sz w:val="22"/>
          <w:szCs w:val="22"/>
        </w:rPr>
        <w:t>.</w:t>
      </w:r>
      <w:r w:rsidR="009B71F0">
        <w:rPr>
          <w:rFonts w:asciiTheme="minorHAnsi" w:hAnsiTheme="minorHAnsi" w:cs="Arial"/>
          <w:sz w:val="22"/>
          <w:szCs w:val="22"/>
        </w:rPr>
        <w:t xml:space="preserve"> </w:t>
      </w:r>
    </w:p>
    <w:p w14:paraId="3B3A697E" w14:textId="43111A0D" w:rsidR="00651DF1" w:rsidRDefault="004B7E57" w:rsidP="00651DF1">
      <w:pPr>
        <w:pStyle w:val="BodyTextIndent3"/>
        <w:ind w:left="0"/>
        <w:rPr>
          <w:rFonts w:asciiTheme="minorHAnsi" w:hAnsiTheme="minorHAnsi" w:cs="Arial"/>
          <w:sz w:val="22"/>
          <w:szCs w:val="22"/>
        </w:rPr>
      </w:pPr>
      <w:r w:rsidRPr="00B921B9">
        <w:rPr>
          <w:rFonts w:asciiTheme="minorHAnsi" w:hAnsiTheme="minorHAnsi" w:cs="Arial"/>
          <w:sz w:val="22"/>
          <w:szCs w:val="22"/>
        </w:rPr>
        <w:t xml:space="preserve">Depreciation is provided in the year of disposal rather than the year of acquisition. In determining depreciation for specific asset groups the following bases have been applied based on information provided by the appointed </w:t>
      </w:r>
      <w:proofErr w:type="gramStart"/>
      <w:r w:rsidRPr="00B921B9">
        <w:rPr>
          <w:rFonts w:asciiTheme="minorHAnsi" w:hAnsiTheme="minorHAnsi" w:cs="Arial"/>
          <w:sz w:val="22"/>
          <w:szCs w:val="22"/>
        </w:rPr>
        <w:t>Valuer:-</w:t>
      </w:r>
      <w:proofErr w:type="gramEnd"/>
    </w:p>
    <w:p w14:paraId="2BD529C8" w14:textId="77777777" w:rsidR="007323BC" w:rsidRDefault="007323BC" w:rsidP="00651DF1">
      <w:pPr>
        <w:pStyle w:val="BodyTextIndent3"/>
        <w:ind w:left="0"/>
        <w:rPr>
          <w:rFonts w:asciiTheme="minorHAnsi" w:hAnsiTheme="minorHAnsi" w:cs="Arial"/>
          <w:sz w:val="22"/>
          <w:szCs w:val="22"/>
        </w:rPr>
      </w:pPr>
    </w:p>
    <w:tbl>
      <w:tblPr>
        <w:tblStyle w:val="TableGrid"/>
        <w:tblW w:w="10774"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Basis of Asset Depreciation"/>
        <w:tblDescription w:val="Basis of Asset Depreciation"/>
      </w:tblPr>
      <w:tblGrid>
        <w:gridCol w:w="2410"/>
        <w:gridCol w:w="1276"/>
        <w:gridCol w:w="7088"/>
      </w:tblGrid>
      <w:tr w:rsidR="00B23D8D" w14:paraId="33AB143E" w14:textId="77777777" w:rsidTr="00B23D8D">
        <w:trPr>
          <w:cantSplit/>
          <w:trHeight w:val="300"/>
          <w:tblHeader/>
        </w:trPr>
        <w:tc>
          <w:tcPr>
            <w:tcW w:w="2410" w:type="dxa"/>
            <w:shd w:val="clear" w:color="auto" w:fill="D99594"/>
            <w:vAlign w:val="center"/>
          </w:tcPr>
          <w:p w14:paraId="60F56FD8" w14:textId="64DF7B6B" w:rsidR="00A2688C" w:rsidRDefault="00A2688C" w:rsidP="00651DF1">
            <w:pPr>
              <w:pStyle w:val="BodyTextIndent3"/>
              <w:ind w:left="0"/>
              <w:jc w:val="left"/>
              <w:rPr>
                <w:rFonts w:asciiTheme="minorHAnsi" w:hAnsiTheme="minorHAnsi" w:cs="Arial"/>
                <w:color w:val="FF0000"/>
                <w:sz w:val="22"/>
                <w:szCs w:val="22"/>
              </w:rPr>
            </w:pPr>
            <w:r w:rsidRPr="00CD7719">
              <w:rPr>
                <w:rFonts w:asciiTheme="minorHAnsi" w:hAnsiTheme="minorHAnsi" w:cs="Arial"/>
                <w:b/>
                <w:bCs/>
              </w:rPr>
              <w:t>Asset</w:t>
            </w:r>
          </w:p>
        </w:tc>
        <w:tc>
          <w:tcPr>
            <w:tcW w:w="1276" w:type="dxa"/>
            <w:shd w:val="clear" w:color="auto" w:fill="D99594"/>
            <w:vAlign w:val="center"/>
          </w:tcPr>
          <w:p w14:paraId="42D08DB5" w14:textId="6C8E9E98" w:rsidR="00A2688C" w:rsidRDefault="00A2688C" w:rsidP="00651DF1">
            <w:pPr>
              <w:pStyle w:val="BodyTextIndent3"/>
              <w:ind w:left="0"/>
              <w:jc w:val="left"/>
              <w:rPr>
                <w:rFonts w:asciiTheme="minorHAnsi" w:hAnsiTheme="minorHAnsi" w:cs="Arial"/>
                <w:color w:val="FF0000"/>
                <w:sz w:val="22"/>
                <w:szCs w:val="22"/>
              </w:rPr>
            </w:pPr>
            <w:r w:rsidRPr="00CD7719">
              <w:rPr>
                <w:rFonts w:asciiTheme="minorHAnsi" w:hAnsiTheme="minorHAnsi" w:cs="Arial"/>
                <w:b/>
                <w:bCs/>
              </w:rPr>
              <w:t>Depreciated</w:t>
            </w:r>
          </w:p>
        </w:tc>
        <w:tc>
          <w:tcPr>
            <w:tcW w:w="7088" w:type="dxa"/>
            <w:shd w:val="clear" w:color="auto" w:fill="D99594"/>
            <w:vAlign w:val="center"/>
          </w:tcPr>
          <w:p w14:paraId="55D9233B" w14:textId="36672E8C" w:rsidR="00A2688C" w:rsidRDefault="00A2688C" w:rsidP="00651DF1">
            <w:pPr>
              <w:pStyle w:val="BodyTextIndent3"/>
              <w:ind w:left="0"/>
              <w:jc w:val="left"/>
              <w:rPr>
                <w:rFonts w:asciiTheme="minorHAnsi" w:hAnsiTheme="minorHAnsi" w:cs="Arial"/>
                <w:color w:val="FF0000"/>
                <w:sz w:val="22"/>
                <w:szCs w:val="22"/>
              </w:rPr>
            </w:pPr>
            <w:r w:rsidRPr="00CD7719">
              <w:rPr>
                <w:rFonts w:asciiTheme="minorHAnsi" w:hAnsiTheme="minorHAnsi" w:cs="Arial"/>
                <w:b/>
                <w:bCs/>
              </w:rPr>
              <w:t>Basis</w:t>
            </w:r>
          </w:p>
        </w:tc>
      </w:tr>
      <w:tr w:rsidR="00651DF1" w14:paraId="33DBA076" w14:textId="77777777" w:rsidTr="00B23D8D">
        <w:trPr>
          <w:cantSplit/>
          <w:trHeight w:val="300"/>
        </w:trPr>
        <w:tc>
          <w:tcPr>
            <w:tcW w:w="2410" w:type="dxa"/>
            <w:tcBorders>
              <w:bottom w:val="single" w:sz="4" w:space="0" w:color="FFFFFF" w:themeColor="background1"/>
            </w:tcBorders>
            <w:shd w:val="clear" w:color="auto" w:fill="F2DBDB"/>
          </w:tcPr>
          <w:p w14:paraId="00BCB2A3" w14:textId="2F71781E" w:rsidR="00A2688C" w:rsidRDefault="00A2688C" w:rsidP="00651DF1">
            <w:pPr>
              <w:pStyle w:val="BodyTextIndent3"/>
              <w:ind w:left="0"/>
              <w:jc w:val="left"/>
              <w:rPr>
                <w:rFonts w:asciiTheme="minorHAnsi" w:hAnsiTheme="minorHAnsi" w:cs="Arial"/>
                <w:color w:val="FF0000"/>
                <w:sz w:val="22"/>
                <w:szCs w:val="22"/>
              </w:rPr>
            </w:pPr>
            <w:r w:rsidRPr="00CD7719">
              <w:rPr>
                <w:rFonts w:asciiTheme="minorHAnsi" w:hAnsiTheme="minorHAnsi" w:cs="Arial"/>
              </w:rPr>
              <w:t>Council Dwellings</w:t>
            </w:r>
          </w:p>
        </w:tc>
        <w:tc>
          <w:tcPr>
            <w:tcW w:w="1276" w:type="dxa"/>
            <w:tcBorders>
              <w:bottom w:val="single" w:sz="4" w:space="0" w:color="FFFFFF" w:themeColor="background1"/>
            </w:tcBorders>
            <w:shd w:val="clear" w:color="auto" w:fill="F2DBDB"/>
          </w:tcPr>
          <w:p w14:paraId="621DBF00" w14:textId="2F19E6C6" w:rsidR="00A2688C" w:rsidRDefault="00A2688C" w:rsidP="00651DF1">
            <w:pPr>
              <w:pStyle w:val="BodyTextIndent3"/>
              <w:ind w:left="0"/>
              <w:rPr>
                <w:rFonts w:asciiTheme="minorHAnsi" w:hAnsiTheme="minorHAnsi" w:cs="Arial"/>
                <w:color w:val="FF0000"/>
                <w:sz w:val="22"/>
                <w:szCs w:val="22"/>
              </w:rPr>
            </w:pPr>
            <w:r w:rsidRPr="00CD7719">
              <w:rPr>
                <w:rFonts w:asciiTheme="minorHAnsi" w:hAnsiTheme="minorHAnsi" w:cs="Arial"/>
              </w:rPr>
              <w:t>Yes</w:t>
            </w:r>
          </w:p>
        </w:tc>
        <w:tc>
          <w:tcPr>
            <w:tcW w:w="7088" w:type="dxa"/>
            <w:tcBorders>
              <w:bottom w:val="single" w:sz="4" w:space="0" w:color="FFFFFF" w:themeColor="background1"/>
            </w:tcBorders>
            <w:shd w:val="clear" w:color="auto" w:fill="F2DBDB"/>
          </w:tcPr>
          <w:p w14:paraId="2A354E26" w14:textId="0FB70589" w:rsidR="00A2688C" w:rsidRDefault="00A2688C" w:rsidP="00651DF1">
            <w:pPr>
              <w:pStyle w:val="BodyTextIndent3"/>
              <w:ind w:left="0"/>
              <w:rPr>
                <w:rFonts w:asciiTheme="minorHAnsi" w:hAnsiTheme="minorHAnsi" w:cs="Arial"/>
                <w:color w:val="FF0000"/>
                <w:sz w:val="22"/>
                <w:szCs w:val="22"/>
              </w:rPr>
            </w:pPr>
            <w:r w:rsidRPr="00CD7719">
              <w:rPr>
                <w:rFonts w:asciiTheme="minorHAnsi" w:hAnsiTheme="minorHAnsi" w:cs="Arial"/>
              </w:rPr>
              <w:t>Depreciation provided for on the basis of valuation of dwellings and useful life of 50 years.</w:t>
            </w:r>
          </w:p>
        </w:tc>
      </w:tr>
      <w:tr w:rsidR="00651DF1" w14:paraId="4C15100F" w14:textId="77777777" w:rsidTr="00B23D8D">
        <w:trPr>
          <w:cantSplit/>
          <w:trHeight w:val="117"/>
        </w:trPr>
        <w:tc>
          <w:tcPr>
            <w:tcW w:w="2410" w:type="dxa"/>
            <w:tcBorders>
              <w:top w:val="single" w:sz="4" w:space="0" w:color="FFFFFF" w:themeColor="background1"/>
              <w:left w:val="nil"/>
              <w:bottom w:val="single" w:sz="4" w:space="0" w:color="FFFFFF" w:themeColor="background1"/>
              <w:right w:val="nil"/>
            </w:tcBorders>
            <w:shd w:val="clear" w:color="auto" w:fill="F2DBDB"/>
          </w:tcPr>
          <w:p w14:paraId="623665A3" w14:textId="7B5C16CF" w:rsidR="00A2688C" w:rsidRDefault="00A2688C" w:rsidP="00651DF1">
            <w:pPr>
              <w:pStyle w:val="BodyTextIndent3"/>
              <w:ind w:left="0"/>
              <w:jc w:val="left"/>
              <w:rPr>
                <w:rFonts w:asciiTheme="minorHAnsi" w:hAnsiTheme="minorHAnsi" w:cs="Arial"/>
                <w:color w:val="FF0000"/>
                <w:sz w:val="22"/>
                <w:szCs w:val="22"/>
              </w:rPr>
            </w:pPr>
            <w:r w:rsidRPr="00257557">
              <w:rPr>
                <w:rFonts w:asciiTheme="minorHAnsi" w:hAnsiTheme="minorHAnsi" w:cs="Arial"/>
                <w:b/>
                <w:bCs/>
              </w:rPr>
              <w:t>Other Land and Buildings:</w:t>
            </w:r>
          </w:p>
        </w:tc>
        <w:tc>
          <w:tcPr>
            <w:tcW w:w="1276" w:type="dxa"/>
            <w:tcBorders>
              <w:top w:val="single" w:sz="4" w:space="0" w:color="FFFFFF" w:themeColor="background1"/>
              <w:left w:val="nil"/>
              <w:bottom w:val="single" w:sz="4" w:space="0" w:color="FFFFFF" w:themeColor="background1"/>
              <w:right w:val="nil"/>
            </w:tcBorders>
            <w:shd w:val="clear" w:color="auto" w:fill="F2DBDB"/>
          </w:tcPr>
          <w:p w14:paraId="5BE60BE9" w14:textId="77777777" w:rsidR="00A2688C" w:rsidRDefault="00A2688C" w:rsidP="00651DF1">
            <w:pPr>
              <w:pStyle w:val="BodyTextIndent3"/>
              <w:ind w:left="0"/>
              <w:rPr>
                <w:rFonts w:asciiTheme="minorHAnsi" w:hAnsiTheme="minorHAnsi" w:cs="Arial"/>
                <w:color w:val="FF0000"/>
                <w:sz w:val="22"/>
                <w:szCs w:val="22"/>
              </w:rPr>
            </w:pPr>
          </w:p>
        </w:tc>
        <w:tc>
          <w:tcPr>
            <w:tcW w:w="7088" w:type="dxa"/>
            <w:tcBorders>
              <w:top w:val="single" w:sz="4" w:space="0" w:color="FFFFFF" w:themeColor="background1"/>
              <w:left w:val="nil"/>
              <w:bottom w:val="single" w:sz="4" w:space="0" w:color="FFFFFF" w:themeColor="background1"/>
              <w:right w:val="nil"/>
            </w:tcBorders>
            <w:shd w:val="clear" w:color="auto" w:fill="F2DBDB"/>
          </w:tcPr>
          <w:p w14:paraId="2363C07D" w14:textId="77777777" w:rsidR="00A2688C" w:rsidRDefault="00A2688C" w:rsidP="00651DF1">
            <w:pPr>
              <w:pStyle w:val="BodyTextIndent3"/>
              <w:ind w:left="0"/>
              <w:rPr>
                <w:rFonts w:asciiTheme="minorHAnsi" w:hAnsiTheme="minorHAnsi" w:cs="Arial"/>
                <w:color w:val="FF0000"/>
                <w:sz w:val="22"/>
                <w:szCs w:val="22"/>
              </w:rPr>
            </w:pPr>
          </w:p>
        </w:tc>
      </w:tr>
      <w:tr w:rsidR="00651DF1" w14:paraId="768D4F93" w14:textId="77777777" w:rsidTr="00B23D8D">
        <w:trPr>
          <w:cantSplit/>
          <w:trHeight w:val="300"/>
        </w:trPr>
        <w:tc>
          <w:tcPr>
            <w:tcW w:w="2410" w:type="dxa"/>
            <w:tcBorders>
              <w:top w:val="single" w:sz="4" w:space="0" w:color="FFFFFF" w:themeColor="background1"/>
            </w:tcBorders>
            <w:shd w:val="clear" w:color="auto" w:fill="F2DBDB"/>
          </w:tcPr>
          <w:p w14:paraId="50FF099B" w14:textId="16E3EC54" w:rsidR="00A2688C" w:rsidRDefault="00A2688C" w:rsidP="00651DF1">
            <w:pPr>
              <w:pStyle w:val="BodyTextIndent3"/>
              <w:ind w:left="0"/>
              <w:jc w:val="left"/>
              <w:rPr>
                <w:rFonts w:asciiTheme="minorHAnsi" w:hAnsiTheme="minorHAnsi" w:cs="Arial"/>
                <w:color w:val="FF0000"/>
                <w:sz w:val="22"/>
                <w:szCs w:val="22"/>
              </w:rPr>
            </w:pPr>
            <w:r>
              <w:rPr>
                <w:rFonts w:asciiTheme="minorHAnsi" w:hAnsiTheme="minorHAnsi" w:cs="Arial"/>
              </w:rPr>
              <w:t>Garages</w:t>
            </w:r>
          </w:p>
        </w:tc>
        <w:tc>
          <w:tcPr>
            <w:tcW w:w="1276" w:type="dxa"/>
            <w:tcBorders>
              <w:top w:val="single" w:sz="4" w:space="0" w:color="FFFFFF" w:themeColor="background1"/>
            </w:tcBorders>
            <w:shd w:val="clear" w:color="auto" w:fill="F2DBDB"/>
          </w:tcPr>
          <w:p w14:paraId="632064E9" w14:textId="40EDFFFF" w:rsidR="00A2688C" w:rsidRDefault="00A2688C" w:rsidP="00651DF1">
            <w:pPr>
              <w:pStyle w:val="BodyTextIndent3"/>
              <w:ind w:left="0"/>
              <w:rPr>
                <w:rFonts w:asciiTheme="minorHAnsi" w:hAnsiTheme="minorHAnsi" w:cs="Arial"/>
                <w:color w:val="FF0000"/>
                <w:sz w:val="22"/>
                <w:szCs w:val="22"/>
              </w:rPr>
            </w:pPr>
            <w:r>
              <w:rPr>
                <w:rFonts w:asciiTheme="minorHAnsi" w:hAnsiTheme="minorHAnsi" w:cs="Arial"/>
              </w:rPr>
              <w:t>Yes</w:t>
            </w:r>
          </w:p>
        </w:tc>
        <w:tc>
          <w:tcPr>
            <w:tcW w:w="7088" w:type="dxa"/>
            <w:tcBorders>
              <w:top w:val="single" w:sz="4" w:space="0" w:color="FFFFFF" w:themeColor="background1"/>
            </w:tcBorders>
            <w:shd w:val="clear" w:color="auto" w:fill="F2DBDB"/>
          </w:tcPr>
          <w:p w14:paraId="6CCC242C" w14:textId="0582BD4C" w:rsidR="00A2688C" w:rsidRDefault="00A2688C" w:rsidP="00651DF1">
            <w:pPr>
              <w:pStyle w:val="BodyTextIndent3"/>
              <w:ind w:left="0"/>
              <w:rPr>
                <w:rFonts w:asciiTheme="minorHAnsi" w:hAnsiTheme="minorHAnsi" w:cs="Arial"/>
                <w:color w:val="FF0000"/>
                <w:sz w:val="22"/>
                <w:szCs w:val="22"/>
              </w:rPr>
            </w:pPr>
            <w:r>
              <w:rPr>
                <w:rFonts w:asciiTheme="minorHAnsi" w:hAnsiTheme="minorHAnsi" w:cs="Arial"/>
              </w:rPr>
              <w:t>Depreciation charge based on estimated useful life of 15 years.</w:t>
            </w:r>
          </w:p>
        </w:tc>
      </w:tr>
      <w:tr w:rsidR="00A2688C" w14:paraId="3F2AE437" w14:textId="77777777" w:rsidTr="00B23D8D">
        <w:trPr>
          <w:cantSplit/>
          <w:trHeight w:val="300"/>
        </w:trPr>
        <w:tc>
          <w:tcPr>
            <w:tcW w:w="2410" w:type="dxa"/>
            <w:shd w:val="clear" w:color="auto" w:fill="F2DBDB"/>
          </w:tcPr>
          <w:p w14:paraId="5393D953" w14:textId="03A4B00E"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Waterfield Leisure Centre</w:t>
            </w:r>
          </w:p>
        </w:tc>
        <w:tc>
          <w:tcPr>
            <w:tcW w:w="1276" w:type="dxa"/>
            <w:shd w:val="clear" w:color="auto" w:fill="F2DBDB"/>
          </w:tcPr>
          <w:p w14:paraId="6A053578" w14:textId="6002B957"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64E12125" w14:textId="54BB0D9F"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 on estimated useful life of 1</w:t>
            </w:r>
            <w:r w:rsidR="00E513F9">
              <w:rPr>
                <w:rFonts w:asciiTheme="minorHAnsi" w:hAnsiTheme="minorHAnsi" w:cs="Arial"/>
              </w:rPr>
              <w:t>2</w:t>
            </w:r>
            <w:r w:rsidRPr="00C44BCC">
              <w:rPr>
                <w:rFonts w:asciiTheme="minorHAnsi" w:hAnsiTheme="minorHAnsi" w:cs="Arial"/>
              </w:rPr>
              <w:t xml:space="preserve"> years.</w:t>
            </w:r>
          </w:p>
        </w:tc>
      </w:tr>
      <w:tr w:rsidR="00A2688C" w14:paraId="7DAC93A4" w14:textId="77777777" w:rsidTr="00B23D8D">
        <w:trPr>
          <w:cantSplit/>
          <w:trHeight w:val="300"/>
        </w:trPr>
        <w:tc>
          <w:tcPr>
            <w:tcW w:w="2410" w:type="dxa"/>
            <w:shd w:val="clear" w:color="auto" w:fill="F2DBDB"/>
          </w:tcPr>
          <w:p w14:paraId="39454364" w14:textId="36CD20A4"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Car Parks</w:t>
            </w:r>
          </w:p>
        </w:tc>
        <w:tc>
          <w:tcPr>
            <w:tcW w:w="1276" w:type="dxa"/>
            <w:shd w:val="clear" w:color="auto" w:fill="F2DBDB"/>
          </w:tcPr>
          <w:p w14:paraId="313730C4" w14:textId="7669F1B1"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No</w:t>
            </w:r>
          </w:p>
        </w:tc>
        <w:tc>
          <w:tcPr>
            <w:tcW w:w="7088" w:type="dxa"/>
            <w:shd w:val="clear" w:color="auto" w:fill="F2DBDB"/>
          </w:tcPr>
          <w:p w14:paraId="2D569616" w14:textId="596A0364"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Assets in this category consist mainly of non-depreciable land.</w:t>
            </w:r>
          </w:p>
        </w:tc>
      </w:tr>
      <w:tr w:rsidR="00A2688C" w14:paraId="0B2705EA" w14:textId="77777777" w:rsidTr="00B23D8D">
        <w:trPr>
          <w:cantSplit/>
          <w:trHeight w:val="300"/>
        </w:trPr>
        <w:tc>
          <w:tcPr>
            <w:tcW w:w="2410" w:type="dxa"/>
            <w:shd w:val="clear" w:color="auto" w:fill="F2DBDB"/>
          </w:tcPr>
          <w:p w14:paraId="444ABF2C" w14:textId="53110957"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Phoenix House</w:t>
            </w:r>
          </w:p>
        </w:tc>
        <w:tc>
          <w:tcPr>
            <w:tcW w:w="1276" w:type="dxa"/>
            <w:shd w:val="clear" w:color="auto" w:fill="F2DBDB"/>
          </w:tcPr>
          <w:p w14:paraId="0294DD85" w14:textId="4FA02BAA"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2402E553" w14:textId="3C5E6AD3"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 on estimated useful life of 3</w:t>
            </w:r>
            <w:r w:rsidR="00E513F9">
              <w:rPr>
                <w:rFonts w:asciiTheme="minorHAnsi" w:hAnsiTheme="minorHAnsi" w:cs="Arial"/>
              </w:rPr>
              <w:t>3</w:t>
            </w:r>
            <w:r w:rsidRPr="00C44BCC">
              <w:rPr>
                <w:rFonts w:asciiTheme="minorHAnsi" w:hAnsiTheme="minorHAnsi" w:cs="Arial"/>
              </w:rPr>
              <w:t xml:space="preserve"> years.</w:t>
            </w:r>
          </w:p>
        </w:tc>
      </w:tr>
      <w:tr w:rsidR="00A2688C" w14:paraId="4F091D37" w14:textId="77777777" w:rsidTr="00B23D8D">
        <w:trPr>
          <w:cantSplit/>
          <w:trHeight w:val="300"/>
        </w:trPr>
        <w:tc>
          <w:tcPr>
            <w:tcW w:w="2410" w:type="dxa"/>
            <w:shd w:val="clear" w:color="auto" w:fill="F2DBDB"/>
          </w:tcPr>
          <w:p w14:paraId="75D7AA3E" w14:textId="055241AF"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Parkside</w:t>
            </w:r>
          </w:p>
        </w:tc>
        <w:tc>
          <w:tcPr>
            <w:tcW w:w="1276" w:type="dxa"/>
            <w:shd w:val="clear" w:color="auto" w:fill="F2DBDB"/>
          </w:tcPr>
          <w:p w14:paraId="6DAB030F" w14:textId="3FAE8E8C"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54A13E13" w14:textId="42A8DA65"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 on estimated useful life of 4</w:t>
            </w:r>
            <w:r w:rsidR="00E513F9">
              <w:rPr>
                <w:rFonts w:asciiTheme="minorHAnsi" w:hAnsiTheme="minorHAnsi" w:cs="Arial"/>
              </w:rPr>
              <w:t>0</w:t>
            </w:r>
            <w:r w:rsidRPr="00C44BCC">
              <w:rPr>
                <w:rFonts w:asciiTheme="minorHAnsi" w:hAnsiTheme="minorHAnsi" w:cs="Arial"/>
              </w:rPr>
              <w:t xml:space="preserve"> years</w:t>
            </w:r>
            <w:r>
              <w:rPr>
                <w:rFonts w:asciiTheme="minorHAnsi" w:hAnsiTheme="minorHAnsi" w:cs="Arial"/>
              </w:rPr>
              <w:t>.</w:t>
            </w:r>
          </w:p>
        </w:tc>
      </w:tr>
      <w:tr w:rsidR="00A2688C" w14:paraId="4C38A206" w14:textId="77777777" w:rsidTr="00B23D8D">
        <w:trPr>
          <w:cantSplit/>
          <w:trHeight w:val="300"/>
        </w:trPr>
        <w:tc>
          <w:tcPr>
            <w:tcW w:w="2410" w:type="dxa"/>
            <w:shd w:val="clear" w:color="auto" w:fill="F2DBDB"/>
          </w:tcPr>
          <w:p w14:paraId="04DF14BB" w14:textId="4AFE5B85"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Cattle Market</w:t>
            </w:r>
          </w:p>
        </w:tc>
        <w:tc>
          <w:tcPr>
            <w:tcW w:w="1276" w:type="dxa"/>
            <w:shd w:val="clear" w:color="auto" w:fill="F2DBDB"/>
          </w:tcPr>
          <w:p w14:paraId="7D2B0C3E" w14:textId="1B09E206"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77819D35" w14:textId="6E4A0CCF"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Depreciation charge based on estimated useful life of </w:t>
            </w:r>
            <w:r w:rsidR="00E513F9">
              <w:rPr>
                <w:rFonts w:asciiTheme="minorHAnsi" w:hAnsiTheme="minorHAnsi" w:cs="Arial"/>
              </w:rPr>
              <w:t>5</w:t>
            </w:r>
            <w:r w:rsidRPr="00C44BCC">
              <w:rPr>
                <w:rFonts w:asciiTheme="minorHAnsi" w:hAnsiTheme="minorHAnsi" w:cs="Arial"/>
              </w:rPr>
              <w:t>-</w:t>
            </w:r>
            <w:r>
              <w:rPr>
                <w:rFonts w:asciiTheme="minorHAnsi" w:hAnsiTheme="minorHAnsi" w:cs="Arial"/>
              </w:rPr>
              <w:t>4</w:t>
            </w:r>
            <w:r w:rsidR="00E513F9">
              <w:rPr>
                <w:rFonts w:asciiTheme="minorHAnsi" w:hAnsiTheme="minorHAnsi" w:cs="Arial"/>
              </w:rPr>
              <w:t>6</w:t>
            </w:r>
            <w:r w:rsidRPr="00C44BCC">
              <w:rPr>
                <w:rFonts w:asciiTheme="minorHAnsi" w:hAnsiTheme="minorHAnsi" w:cs="Arial"/>
              </w:rPr>
              <w:t xml:space="preserve"> years.</w:t>
            </w:r>
          </w:p>
        </w:tc>
      </w:tr>
      <w:tr w:rsidR="00A2688C" w14:paraId="045BCF16" w14:textId="77777777" w:rsidTr="00B23D8D">
        <w:trPr>
          <w:cantSplit/>
          <w:trHeight w:val="300"/>
        </w:trPr>
        <w:tc>
          <w:tcPr>
            <w:tcW w:w="2410" w:type="dxa"/>
            <w:shd w:val="clear" w:color="auto" w:fill="F2DBDB"/>
          </w:tcPr>
          <w:p w14:paraId="348F3EE0" w14:textId="1920FD6E"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 xml:space="preserve">Children’s Centres </w:t>
            </w:r>
          </w:p>
        </w:tc>
        <w:tc>
          <w:tcPr>
            <w:tcW w:w="1276" w:type="dxa"/>
            <w:shd w:val="clear" w:color="auto" w:fill="F2DBDB"/>
          </w:tcPr>
          <w:p w14:paraId="766BE359" w14:textId="21A71CC9"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23FDD494" w14:textId="02D07914"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w:t>
            </w:r>
            <w:r>
              <w:rPr>
                <w:rFonts w:asciiTheme="minorHAnsi" w:hAnsiTheme="minorHAnsi" w:cs="Arial"/>
              </w:rPr>
              <w:t xml:space="preserve"> on estimated useful lives of 3</w:t>
            </w:r>
            <w:r w:rsidR="00E513F9">
              <w:rPr>
                <w:rFonts w:asciiTheme="minorHAnsi" w:hAnsiTheme="minorHAnsi" w:cs="Arial"/>
              </w:rPr>
              <w:t xml:space="preserve">5 </w:t>
            </w:r>
            <w:r w:rsidRPr="00C44BCC">
              <w:rPr>
                <w:rFonts w:asciiTheme="minorHAnsi" w:hAnsiTheme="minorHAnsi" w:cs="Arial"/>
              </w:rPr>
              <w:t>years.</w:t>
            </w:r>
          </w:p>
        </w:tc>
      </w:tr>
      <w:tr w:rsidR="00A2688C" w14:paraId="18F8B262" w14:textId="77777777" w:rsidTr="00B23D8D">
        <w:trPr>
          <w:cantSplit/>
          <w:trHeight w:val="300"/>
        </w:trPr>
        <w:tc>
          <w:tcPr>
            <w:tcW w:w="2410" w:type="dxa"/>
            <w:shd w:val="clear" w:color="auto" w:fill="F2DBDB"/>
          </w:tcPr>
          <w:p w14:paraId="7CEDD408" w14:textId="06956A79"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Public Conveniences</w:t>
            </w:r>
          </w:p>
        </w:tc>
        <w:tc>
          <w:tcPr>
            <w:tcW w:w="1276" w:type="dxa"/>
            <w:shd w:val="clear" w:color="auto" w:fill="F2DBDB"/>
          </w:tcPr>
          <w:p w14:paraId="4AEC243A" w14:textId="2D22618D"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60369F82" w14:textId="67F2BFB4"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Depreciation charge based on estimated useful lives of </w:t>
            </w:r>
            <w:r w:rsidR="00E513F9">
              <w:rPr>
                <w:rFonts w:asciiTheme="minorHAnsi" w:hAnsiTheme="minorHAnsi" w:cs="Arial"/>
              </w:rPr>
              <w:t>47</w:t>
            </w:r>
            <w:r w:rsidRPr="00C44BCC">
              <w:rPr>
                <w:rFonts w:asciiTheme="minorHAnsi" w:hAnsiTheme="minorHAnsi" w:cs="Arial"/>
              </w:rPr>
              <w:t xml:space="preserve"> years. </w:t>
            </w:r>
          </w:p>
        </w:tc>
      </w:tr>
      <w:tr w:rsidR="00A2688C" w14:paraId="4612009F" w14:textId="77777777" w:rsidTr="00B23D8D">
        <w:trPr>
          <w:cantSplit/>
          <w:trHeight w:val="300"/>
        </w:trPr>
        <w:tc>
          <w:tcPr>
            <w:tcW w:w="2410" w:type="dxa"/>
            <w:shd w:val="clear" w:color="auto" w:fill="F2DBDB"/>
          </w:tcPr>
          <w:p w14:paraId="4313A5F1" w14:textId="2E4AFD44"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 xml:space="preserve">Melton Sports Village </w:t>
            </w:r>
          </w:p>
        </w:tc>
        <w:tc>
          <w:tcPr>
            <w:tcW w:w="1276" w:type="dxa"/>
            <w:shd w:val="clear" w:color="auto" w:fill="F2DBDB"/>
          </w:tcPr>
          <w:p w14:paraId="63D1DFC5" w14:textId="0DE2F425"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shd w:val="clear" w:color="auto" w:fill="F2DBDB"/>
          </w:tcPr>
          <w:p w14:paraId="058284E0" w14:textId="31769561"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Depreciation charge based on estimated useful life of </w:t>
            </w:r>
            <w:r w:rsidR="00E513F9">
              <w:rPr>
                <w:rFonts w:asciiTheme="minorHAnsi" w:hAnsiTheme="minorHAnsi" w:cs="Arial"/>
              </w:rPr>
              <w:t>9</w:t>
            </w:r>
            <w:r w:rsidRPr="00C44BCC">
              <w:rPr>
                <w:rFonts w:asciiTheme="minorHAnsi" w:hAnsiTheme="minorHAnsi" w:cs="Arial"/>
              </w:rPr>
              <w:t xml:space="preserve"> years.</w:t>
            </w:r>
          </w:p>
        </w:tc>
      </w:tr>
      <w:tr w:rsidR="00651DF1" w14:paraId="4E9E37BD" w14:textId="77777777" w:rsidTr="00B23D8D">
        <w:trPr>
          <w:cantSplit/>
          <w:trHeight w:val="300"/>
        </w:trPr>
        <w:tc>
          <w:tcPr>
            <w:tcW w:w="2410" w:type="dxa"/>
            <w:tcBorders>
              <w:bottom w:val="single" w:sz="4" w:space="0" w:color="FFFFFF" w:themeColor="background1"/>
            </w:tcBorders>
            <w:shd w:val="clear" w:color="auto" w:fill="F2DBDB"/>
          </w:tcPr>
          <w:p w14:paraId="05F8DE3D" w14:textId="28BBB323"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Other Assets</w:t>
            </w:r>
          </w:p>
        </w:tc>
        <w:tc>
          <w:tcPr>
            <w:tcW w:w="1276" w:type="dxa"/>
            <w:tcBorders>
              <w:bottom w:val="single" w:sz="4" w:space="0" w:color="FFFFFF" w:themeColor="background1"/>
            </w:tcBorders>
            <w:shd w:val="clear" w:color="auto" w:fill="F2DBDB"/>
          </w:tcPr>
          <w:p w14:paraId="377284FB" w14:textId="43D416F0"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tcBorders>
              <w:bottom w:val="single" w:sz="4" w:space="0" w:color="FFFFFF" w:themeColor="background1"/>
            </w:tcBorders>
            <w:shd w:val="clear" w:color="auto" w:fill="F2DBDB"/>
          </w:tcPr>
          <w:p w14:paraId="3F645B37" w14:textId="3A80CB22"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 on estimated useful lives of 1</w:t>
            </w:r>
            <w:r>
              <w:rPr>
                <w:rFonts w:asciiTheme="minorHAnsi" w:hAnsiTheme="minorHAnsi" w:cs="Arial"/>
              </w:rPr>
              <w:t>2</w:t>
            </w:r>
            <w:r w:rsidRPr="00C44BCC">
              <w:rPr>
                <w:rFonts w:asciiTheme="minorHAnsi" w:hAnsiTheme="minorHAnsi" w:cs="Arial"/>
              </w:rPr>
              <w:t>-3</w:t>
            </w:r>
            <w:r>
              <w:rPr>
                <w:rFonts w:asciiTheme="minorHAnsi" w:hAnsiTheme="minorHAnsi" w:cs="Arial"/>
              </w:rPr>
              <w:t>6</w:t>
            </w:r>
            <w:r w:rsidRPr="00C44BCC">
              <w:rPr>
                <w:rFonts w:asciiTheme="minorHAnsi" w:hAnsiTheme="minorHAnsi" w:cs="Arial"/>
              </w:rPr>
              <w:t xml:space="preserve"> years.</w:t>
            </w:r>
          </w:p>
        </w:tc>
      </w:tr>
      <w:tr w:rsidR="00651DF1" w14:paraId="056CA318" w14:textId="77777777" w:rsidTr="00B23D8D">
        <w:trPr>
          <w:cantSplit/>
          <w:trHeight w:val="217"/>
        </w:trPr>
        <w:tc>
          <w:tcPr>
            <w:tcW w:w="2410" w:type="dxa"/>
            <w:tcBorders>
              <w:top w:val="single" w:sz="4" w:space="0" w:color="FFFFFF" w:themeColor="background1"/>
              <w:left w:val="nil"/>
              <w:bottom w:val="single" w:sz="4" w:space="0" w:color="FFFFFF" w:themeColor="background1"/>
              <w:right w:val="nil"/>
            </w:tcBorders>
            <w:shd w:val="clear" w:color="auto" w:fill="F2DBDB"/>
          </w:tcPr>
          <w:p w14:paraId="5220BBA7" w14:textId="77777777" w:rsidR="00A2688C" w:rsidRDefault="00A2688C" w:rsidP="00651DF1">
            <w:pPr>
              <w:pStyle w:val="BodyTextIndent3"/>
              <w:ind w:left="0"/>
              <w:jc w:val="left"/>
              <w:rPr>
                <w:rFonts w:asciiTheme="minorHAnsi" w:hAnsiTheme="minorHAnsi" w:cs="Arial"/>
                <w:color w:val="FF0000"/>
                <w:sz w:val="22"/>
                <w:szCs w:val="22"/>
              </w:rPr>
            </w:pPr>
          </w:p>
        </w:tc>
        <w:tc>
          <w:tcPr>
            <w:tcW w:w="1276" w:type="dxa"/>
            <w:tcBorders>
              <w:top w:val="single" w:sz="4" w:space="0" w:color="FFFFFF" w:themeColor="background1"/>
              <w:left w:val="nil"/>
              <w:bottom w:val="single" w:sz="4" w:space="0" w:color="FFFFFF" w:themeColor="background1"/>
              <w:right w:val="nil"/>
            </w:tcBorders>
            <w:shd w:val="clear" w:color="auto" w:fill="F2DBDB"/>
          </w:tcPr>
          <w:p w14:paraId="4CCBE7EF" w14:textId="77777777" w:rsidR="00A2688C" w:rsidRDefault="00A2688C" w:rsidP="00651DF1">
            <w:pPr>
              <w:pStyle w:val="BodyTextIndent3"/>
              <w:ind w:left="0"/>
              <w:rPr>
                <w:rFonts w:asciiTheme="minorHAnsi" w:hAnsiTheme="minorHAnsi" w:cs="Arial"/>
                <w:color w:val="FF0000"/>
                <w:sz w:val="22"/>
                <w:szCs w:val="22"/>
              </w:rPr>
            </w:pPr>
          </w:p>
        </w:tc>
        <w:tc>
          <w:tcPr>
            <w:tcW w:w="7088" w:type="dxa"/>
            <w:tcBorders>
              <w:top w:val="single" w:sz="4" w:space="0" w:color="FFFFFF" w:themeColor="background1"/>
              <w:left w:val="nil"/>
              <w:bottom w:val="single" w:sz="4" w:space="0" w:color="FFFFFF" w:themeColor="background1"/>
              <w:right w:val="nil"/>
            </w:tcBorders>
            <w:shd w:val="clear" w:color="auto" w:fill="F2DBDB"/>
          </w:tcPr>
          <w:p w14:paraId="458D95BD" w14:textId="77777777" w:rsidR="00A2688C" w:rsidRDefault="00A2688C" w:rsidP="00651DF1">
            <w:pPr>
              <w:pStyle w:val="BodyTextIndent3"/>
              <w:ind w:left="0"/>
              <w:rPr>
                <w:rFonts w:asciiTheme="minorHAnsi" w:hAnsiTheme="minorHAnsi" w:cs="Arial"/>
                <w:color w:val="FF0000"/>
                <w:sz w:val="22"/>
                <w:szCs w:val="22"/>
              </w:rPr>
            </w:pPr>
          </w:p>
        </w:tc>
      </w:tr>
      <w:tr w:rsidR="00651DF1" w14:paraId="32E4F25D" w14:textId="77777777" w:rsidTr="00B23D8D">
        <w:trPr>
          <w:cantSplit/>
          <w:trHeight w:val="300"/>
        </w:trPr>
        <w:tc>
          <w:tcPr>
            <w:tcW w:w="2410" w:type="dxa"/>
            <w:tcBorders>
              <w:top w:val="single" w:sz="4" w:space="0" w:color="FFFFFF" w:themeColor="background1"/>
            </w:tcBorders>
            <w:shd w:val="clear" w:color="auto" w:fill="F2DBDB"/>
          </w:tcPr>
          <w:p w14:paraId="6399FB3D" w14:textId="6E77E281"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Vehicles,</w:t>
            </w:r>
            <w:r w:rsidR="00651DF1">
              <w:rPr>
                <w:rFonts w:asciiTheme="minorHAnsi" w:hAnsiTheme="minorHAnsi" w:cs="Arial"/>
              </w:rPr>
              <w:t xml:space="preserve"> </w:t>
            </w:r>
            <w:r w:rsidRPr="00C44BCC">
              <w:rPr>
                <w:rFonts w:asciiTheme="minorHAnsi" w:hAnsiTheme="minorHAnsi" w:cs="Arial"/>
              </w:rPr>
              <w:t>Plant Furniture and Equipment</w:t>
            </w:r>
          </w:p>
        </w:tc>
        <w:tc>
          <w:tcPr>
            <w:tcW w:w="1276" w:type="dxa"/>
            <w:tcBorders>
              <w:top w:val="single" w:sz="4" w:space="0" w:color="FFFFFF" w:themeColor="background1"/>
            </w:tcBorders>
            <w:shd w:val="clear" w:color="auto" w:fill="F2DBDB"/>
          </w:tcPr>
          <w:p w14:paraId="25484820" w14:textId="10BAC20F"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tcBorders>
              <w:top w:val="single" w:sz="4" w:space="0" w:color="FFFFFF" w:themeColor="background1"/>
            </w:tcBorders>
            <w:shd w:val="clear" w:color="auto" w:fill="F2DBDB"/>
          </w:tcPr>
          <w:p w14:paraId="6103BBDB" w14:textId="11524AA2"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provided on basis of esti</w:t>
            </w:r>
            <w:r>
              <w:rPr>
                <w:rFonts w:asciiTheme="minorHAnsi" w:hAnsiTheme="minorHAnsi" w:cs="Arial"/>
              </w:rPr>
              <w:t>mated useful life of between 1-2</w:t>
            </w:r>
            <w:r w:rsidR="00E513F9">
              <w:rPr>
                <w:rFonts w:asciiTheme="minorHAnsi" w:hAnsiTheme="minorHAnsi" w:cs="Arial"/>
              </w:rPr>
              <w:t>4</w:t>
            </w:r>
            <w:r w:rsidRPr="00C44BCC">
              <w:rPr>
                <w:rFonts w:asciiTheme="minorHAnsi" w:hAnsiTheme="minorHAnsi" w:cs="Arial"/>
              </w:rPr>
              <w:t xml:space="preserve"> years.</w:t>
            </w:r>
          </w:p>
        </w:tc>
      </w:tr>
      <w:tr w:rsidR="00651DF1" w14:paraId="5020DD6A" w14:textId="77777777" w:rsidTr="00B23D8D">
        <w:trPr>
          <w:cantSplit/>
          <w:trHeight w:val="300"/>
        </w:trPr>
        <w:tc>
          <w:tcPr>
            <w:tcW w:w="2410" w:type="dxa"/>
            <w:tcBorders>
              <w:bottom w:val="single" w:sz="4" w:space="0" w:color="FFFFFF" w:themeColor="background1"/>
            </w:tcBorders>
            <w:shd w:val="clear" w:color="auto" w:fill="F2DBDB"/>
          </w:tcPr>
          <w:p w14:paraId="34A78601" w14:textId="6917E882" w:rsidR="00A2688C" w:rsidRPr="00A2688C" w:rsidRDefault="00A2688C" w:rsidP="00651DF1">
            <w:pPr>
              <w:pStyle w:val="BodyTextIndent3"/>
              <w:tabs>
                <w:tab w:val="left" w:pos="720"/>
              </w:tabs>
              <w:spacing w:before="2"/>
              <w:ind w:left="0"/>
              <w:jc w:val="left"/>
              <w:rPr>
                <w:rFonts w:asciiTheme="minorHAnsi" w:hAnsiTheme="minorHAnsi" w:cs="Arial"/>
              </w:rPr>
            </w:pPr>
            <w:r w:rsidRPr="00C44BCC">
              <w:rPr>
                <w:rFonts w:asciiTheme="minorHAnsi" w:hAnsiTheme="minorHAnsi" w:cs="Arial"/>
              </w:rPr>
              <w:t>Community Assets</w:t>
            </w:r>
          </w:p>
        </w:tc>
        <w:tc>
          <w:tcPr>
            <w:tcW w:w="1276" w:type="dxa"/>
            <w:tcBorders>
              <w:bottom w:val="single" w:sz="4" w:space="0" w:color="FFFFFF" w:themeColor="background1"/>
            </w:tcBorders>
            <w:shd w:val="clear" w:color="auto" w:fill="F2DBDB"/>
          </w:tcPr>
          <w:p w14:paraId="19CC9747" w14:textId="55E7953D"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No</w:t>
            </w:r>
          </w:p>
        </w:tc>
        <w:tc>
          <w:tcPr>
            <w:tcW w:w="7088" w:type="dxa"/>
            <w:tcBorders>
              <w:bottom w:val="single" w:sz="4" w:space="0" w:color="FFFFFF" w:themeColor="background1"/>
            </w:tcBorders>
            <w:shd w:val="clear" w:color="auto" w:fill="F2DBDB"/>
          </w:tcPr>
          <w:p w14:paraId="58D43A23" w14:textId="3055381A"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Assets in this category consist mainly of </w:t>
            </w:r>
            <w:proofErr w:type="spellStart"/>
            <w:r w:rsidRPr="00C44BCC">
              <w:rPr>
                <w:rFonts w:asciiTheme="minorHAnsi" w:hAnsiTheme="minorHAnsi" w:cs="Arial"/>
              </w:rPr>
              <w:t>non depreciable</w:t>
            </w:r>
            <w:proofErr w:type="spellEnd"/>
            <w:r w:rsidRPr="00C44BCC">
              <w:rPr>
                <w:rFonts w:asciiTheme="minorHAnsi" w:hAnsiTheme="minorHAnsi" w:cs="Arial"/>
              </w:rPr>
              <w:t xml:space="preserve"> land</w:t>
            </w:r>
            <w:r>
              <w:rPr>
                <w:rFonts w:asciiTheme="minorHAnsi" w:hAnsiTheme="minorHAnsi" w:cs="Arial"/>
              </w:rPr>
              <w:t>.</w:t>
            </w:r>
          </w:p>
        </w:tc>
      </w:tr>
      <w:tr w:rsidR="00651DF1" w14:paraId="112687A6" w14:textId="77777777" w:rsidTr="00B23D8D">
        <w:trPr>
          <w:cantSplit/>
          <w:trHeight w:val="300"/>
        </w:trPr>
        <w:tc>
          <w:tcPr>
            <w:tcW w:w="2410" w:type="dxa"/>
            <w:tcBorders>
              <w:top w:val="single" w:sz="4" w:space="0" w:color="FFFFFF" w:themeColor="background1"/>
              <w:left w:val="nil"/>
              <w:bottom w:val="single" w:sz="4" w:space="0" w:color="FFFFFF" w:themeColor="background1"/>
              <w:right w:val="nil"/>
            </w:tcBorders>
            <w:shd w:val="clear" w:color="auto" w:fill="F2DBDB"/>
          </w:tcPr>
          <w:p w14:paraId="52E96492" w14:textId="50560959" w:rsidR="00A2688C" w:rsidRDefault="00A2688C" w:rsidP="00651DF1">
            <w:pPr>
              <w:pStyle w:val="BodyTextIndent3"/>
              <w:ind w:left="0"/>
              <w:jc w:val="left"/>
              <w:rPr>
                <w:rFonts w:asciiTheme="minorHAnsi" w:hAnsiTheme="minorHAnsi" w:cs="Arial"/>
                <w:color w:val="FF0000"/>
                <w:sz w:val="22"/>
                <w:szCs w:val="22"/>
              </w:rPr>
            </w:pPr>
            <w:r w:rsidRPr="00257557">
              <w:rPr>
                <w:rFonts w:asciiTheme="minorHAnsi" w:hAnsiTheme="minorHAnsi" w:cs="Arial"/>
                <w:b/>
                <w:bCs/>
              </w:rPr>
              <w:t>Infrastructure Assets:</w:t>
            </w:r>
          </w:p>
        </w:tc>
        <w:tc>
          <w:tcPr>
            <w:tcW w:w="1276" w:type="dxa"/>
            <w:tcBorders>
              <w:top w:val="single" w:sz="4" w:space="0" w:color="FFFFFF" w:themeColor="background1"/>
              <w:left w:val="nil"/>
              <w:bottom w:val="single" w:sz="4" w:space="0" w:color="FFFFFF" w:themeColor="background1"/>
              <w:right w:val="nil"/>
            </w:tcBorders>
            <w:shd w:val="clear" w:color="auto" w:fill="F2DBDB"/>
          </w:tcPr>
          <w:p w14:paraId="5EC4043D" w14:textId="77777777" w:rsidR="00A2688C" w:rsidRDefault="00A2688C" w:rsidP="00651DF1">
            <w:pPr>
              <w:pStyle w:val="BodyTextIndent3"/>
              <w:ind w:left="0"/>
              <w:rPr>
                <w:rFonts w:asciiTheme="minorHAnsi" w:hAnsiTheme="minorHAnsi" w:cs="Arial"/>
                <w:color w:val="FF0000"/>
                <w:sz w:val="22"/>
                <w:szCs w:val="22"/>
              </w:rPr>
            </w:pPr>
          </w:p>
        </w:tc>
        <w:tc>
          <w:tcPr>
            <w:tcW w:w="7088" w:type="dxa"/>
            <w:tcBorders>
              <w:top w:val="single" w:sz="4" w:space="0" w:color="FFFFFF" w:themeColor="background1"/>
              <w:left w:val="nil"/>
              <w:bottom w:val="single" w:sz="4" w:space="0" w:color="FFFFFF" w:themeColor="background1"/>
              <w:right w:val="nil"/>
            </w:tcBorders>
            <w:shd w:val="clear" w:color="auto" w:fill="F2DBDB"/>
          </w:tcPr>
          <w:p w14:paraId="20E371C7" w14:textId="77777777" w:rsidR="00A2688C" w:rsidRDefault="00A2688C" w:rsidP="00651DF1">
            <w:pPr>
              <w:pStyle w:val="BodyTextIndent3"/>
              <w:ind w:left="0"/>
              <w:rPr>
                <w:rFonts w:asciiTheme="minorHAnsi" w:hAnsiTheme="minorHAnsi" w:cs="Arial"/>
                <w:color w:val="FF0000"/>
                <w:sz w:val="22"/>
                <w:szCs w:val="22"/>
              </w:rPr>
            </w:pPr>
          </w:p>
        </w:tc>
      </w:tr>
      <w:tr w:rsidR="00651DF1" w14:paraId="2608CA3F" w14:textId="77777777" w:rsidTr="00B23D8D">
        <w:trPr>
          <w:cantSplit/>
          <w:trHeight w:val="300"/>
        </w:trPr>
        <w:tc>
          <w:tcPr>
            <w:tcW w:w="2410" w:type="dxa"/>
            <w:tcBorders>
              <w:top w:val="single" w:sz="4" w:space="0" w:color="FFFFFF" w:themeColor="background1"/>
            </w:tcBorders>
            <w:shd w:val="clear" w:color="auto" w:fill="F2DBDB"/>
          </w:tcPr>
          <w:p w14:paraId="56BFD133" w14:textId="0FB17540"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 xml:space="preserve">Cemetery – Land Drainage </w:t>
            </w:r>
          </w:p>
        </w:tc>
        <w:tc>
          <w:tcPr>
            <w:tcW w:w="1276" w:type="dxa"/>
            <w:tcBorders>
              <w:top w:val="single" w:sz="4" w:space="0" w:color="FFFFFF" w:themeColor="background1"/>
            </w:tcBorders>
            <w:shd w:val="clear" w:color="auto" w:fill="F2DBDB"/>
          </w:tcPr>
          <w:p w14:paraId="17C984FF" w14:textId="25EBCA87"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tcBorders>
              <w:top w:val="single" w:sz="4" w:space="0" w:color="FFFFFF" w:themeColor="background1"/>
            </w:tcBorders>
            <w:shd w:val="clear" w:color="auto" w:fill="F2DBDB"/>
          </w:tcPr>
          <w:p w14:paraId="28FFDA98" w14:textId="033EA713"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Depreciation charge based on estimated useful life of 5</w:t>
            </w:r>
            <w:r w:rsidR="00E513F9">
              <w:rPr>
                <w:rFonts w:asciiTheme="minorHAnsi" w:hAnsiTheme="minorHAnsi" w:cs="Arial"/>
              </w:rPr>
              <w:t>3</w:t>
            </w:r>
            <w:r w:rsidRPr="00C44BCC">
              <w:rPr>
                <w:rFonts w:asciiTheme="minorHAnsi" w:hAnsiTheme="minorHAnsi" w:cs="Arial"/>
              </w:rPr>
              <w:t xml:space="preserve"> years</w:t>
            </w:r>
            <w:r>
              <w:rPr>
                <w:rFonts w:asciiTheme="minorHAnsi" w:hAnsiTheme="minorHAnsi" w:cs="Arial"/>
              </w:rPr>
              <w:t>.</w:t>
            </w:r>
          </w:p>
        </w:tc>
      </w:tr>
      <w:tr w:rsidR="00651DF1" w14:paraId="3884E8BF" w14:textId="77777777" w:rsidTr="00B23D8D">
        <w:trPr>
          <w:cantSplit/>
          <w:trHeight w:val="300"/>
        </w:trPr>
        <w:tc>
          <w:tcPr>
            <w:tcW w:w="2410" w:type="dxa"/>
            <w:tcBorders>
              <w:bottom w:val="single" w:sz="4" w:space="0" w:color="FFFFFF" w:themeColor="background1"/>
            </w:tcBorders>
            <w:shd w:val="clear" w:color="auto" w:fill="F2DBDB"/>
          </w:tcPr>
          <w:p w14:paraId="776AE9C7" w14:textId="6EBF35A9"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Bus Shelters</w:t>
            </w:r>
          </w:p>
        </w:tc>
        <w:tc>
          <w:tcPr>
            <w:tcW w:w="1276" w:type="dxa"/>
            <w:tcBorders>
              <w:bottom w:val="single" w:sz="4" w:space="0" w:color="FFFFFF" w:themeColor="background1"/>
            </w:tcBorders>
            <w:shd w:val="clear" w:color="auto" w:fill="F2DBDB"/>
          </w:tcPr>
          <w:p w14:paraId="5B9780C9" w14:textId="387A82FD"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Yes</w:t>
            </w:r>
          </w:p>
        </w:tc>
        <w:tc>
          <w:tcPr>
            <w:tcW w:w="7088" w:type="dxa"/>
            <w:tcBorders>
              <w:bottom w:val="single" w:sz="4" w:space="0" w:color="FFFFFF" w:themeColor="background1"/>
            </w:tcBorders>
            <w:shd w:val="clear" w:color="auto" w:fill="F2DBDB"/>
          </w:tcPr>
          <w:p w14:paraId="5E3484D8" w14:textId="23226BA4"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Depreciation provided on basis of estimated useful life of </w:t>
            </w:r>
            <w:r w:rsidR="00E513F9">
              <w:rPr>
                <w:rFonts w:asciiTheme="minorHAnsi" w:hAnsiTheme="minorHAnsi" w:cs="Arial"/>
              </w:rPr>
              <w:t>2</w:t>
            </w:r>
            <w:r w:rsidRPr="00C44BCC">
              <w:rPr>
                <w:rFonts w:asciiTheme="minorHAnsi" w:hAnsiTheme="minorHAnsi" w:cs="Arial"/>
              </w:rPr>
              <w:t xml:space="preserve"> years. </w:t>
            </w:r>
          </w:p>
        </w:tc>
      </w:tr>
      <w:tr w:rsidR="00651DF1" w14:paraId="288B8CD0" w14:textId="77777777" w:rsidTr="00B23D8D">
        <w:trPr>
          <w:cantSplit/>
          <w:trHeight w:val="300"/>
        </w:trPr>
        <w:tc>
          <w:tcPr>
            <w:tcW w:w="2410" w:type="dxa"/>
            <w:tcBorders>
              <w:top w:val="single" w:sz="4" w:space="0" w:color="FFFFFF" w:themeColor="background1"/>
              <w:left w:val="nil"/>
              <w:bottom w:val="single" w:sz="4" w:space="0" w:color="FFFFFF" w:themeColor="background1"/>
              <w:right w:val="nil"/>
            </w:tcBorders>
            <w:shd w:val="clear" w:color="auto" w:fill="F2DBDB"/>
          </w:tcPr>
          <w:p w14:paraId="6E680C1D" w14:textId="4E4BF9B2" w:rsidR="00A2688C" w:rsidRPr="009A61FA" w:rsidRDefault="00A2688C" w:rsidP="00651DF1">
            <w:pPr>
              <w:pStyle w:val="BodyTextIndent3"/>
              <w:ind w:left="0"/>
              <w:jc w:val="left"/>
              <w:rPr>
                <w:rFonts w:asciiTheme="minorHAnsi" w:hAnsiTheme="minorHAnsi" w:cs="Arial"/>
                <w:b/>
                <w:bCs/>
                <w:color w:val="FF0000"/>
                <w:sz w:val="22"/>
                <w:szCs w:val="22"/>
              </w:rPr>
            </w:pPr>
            <w:r w:rsidRPr="009A61FA">
              <w:rPr>
                <w:rFonts w:asciiTheme="minorHAnsi" w:hAnsiTheme="minorHAnsi" w:cs="Arial"/>
                <w:b/>
                <w:bCs/>
              </w:rPr>
              <w:t>Investment Assets:</w:t>
            </w:r>
          </w:p>
        </w:tc>
        <w:tc>
          <w:tcPr>
            <w:tcW w:w="1276" w:type="dxa"/>
            <w:tcBorders>
              <w:top w:val="single" w:sz="4" w:space="0" w:color="FFFFFF" w:themeColor="background1"/>
              <w:left w:val="nil"/>
              <w:bottom w:val="single" w:sz="4" w:space="0" w:color="FFFFFF" w:themeColor="background1"/>
              <w:right w:val="nil"/>
            </w:tcBorders>
            <w:shd w:val="clear" w:color="auto" w:fill="F2DBDB"/>
          </w:tcPr>
          <w:p w14:paraId="28A59857" w14:textId="77777777" w:rsidR="00A2688C" w:rsidRDefault="00A2688C" w:rsidP="00651DF1">
            <w:pPr>
              <w:pStyle w:val="BodyTextIndent3"/>
              <w:ind w:left="0"/>
              <w:rPr>
                <w:rFonts w:asciiTheme="minorHAnsi" w:hAnsiTheme="minorHAnsi" w:cs="Arial"/>
                <w:color w:val="FF0000"/>
                <w:sz w:val="22"/>
                <w:szCs w:val="22"/>
              </w:rPr>
            </w:pPr>
          </w:p>
        </w:tc>
        <w:tc>
          <w:tcPr>
            <w:tcW w:w="7088" w:type="dxa"/>
            <w:tcBorders>
              <w:top w:val="single" w:sz="4" w:space="0" w:color="FFFFFF" w:themeColor="background1"/>
              <w:left w:val="nil"/>
              <w:bottom w:val="single" w:sz="4" w:space="0" w:color="FFFFFF" w:themeColor="background1"/>
              <w:right w:val="nil"/>
            </w:tcBorders>
            <w:shd w:val="clear" w:color="auto" w:fill="F2DBDB"/>
          </w:tcPr>
          <w:p w14:paraId="73D21958" w14:textId="77777777" w:rsidR="00A2688C" w:rsidRDefault="00A2688C" w:rsidP="00651DF1">
            <w:pPr>
              <w:pStyle w:val="BodyTextIndent3"/>
              <w:ind w:left="0"/>
              <w:rPr>
                <w:rFonts w:asciiTheme="minorHAnsi" w:hAnsiTheme="minorHAnsi" w:cs="Arial"/>
                <w:color w:val="FF0000"/>
                <w:sz w:val="22"/>
                <w:szCs w:val="22"/>
              </w:rPr>
            </w:pPr>
          </w:p>
        </w:tc>
      </w:tr>
      <w:tr w:rsidR="00651DF1" w14:paraId="181AA03D" w14:textId="77777777" w:rsidTr="00B23D8D">
        <w:trPr>
          <w:cantSplit/>
          <w:trHeight w:val="300"/>
        </w:trPr>
        <w:tc>
          <w:tcPr>
            <w:tcW w:w="2410" w:type="dxa"/>
            <w:tcBorders>
              <w:top w:val="single" w:sz="4" w:space="0" w:color="FFFFFF" w:themeColor="background1"/>
            </w:tcBorders>
            <w:shd w:val="clear" w:color="auto" w:fill="F2DBDB"/>
          </w:tcPr>
          <w:p w14:paraId="0869AE99" w14:textId="53B70AF0"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Industrial Estates</w:t>
            </w:r>
          </w:p>
        </w:tc>
        <w:tc>
          <w:tcPr>
            <w:tcW w:w="1276" w:type="dxa"/>
            <w:tcBorders>
              <w:top w:val="single" w:sz="4" w:space="0" w:color="FFFFFF" w:themeColor="background1"/>
              <w:right w:val="single" w:sz="4" w:space="0" w:color="FFFFFF" w:themeColor="background1"/>
            </w:tcBorders>
            <w:shd w:val="clear" w:color="auto" w:fill="F2DBDB"/>
          </w:tcPr>
          <w:p w14:paraId="595BCEE4" w14:textId="302B7AE5"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No</w:t>
            </w:r>
          </w:p>
        </w:tc>
        <w:tc>
          <w:tcPr>
            <w:tcW w:w="7088" w:type="dxa"/>
            <w:tcBorders>
              <w:top w:val="single" w:sz="4" w:space="0" w:color="FFFFFF" w:themeColor="background1"/>
              <w:left w:val="single" w:sz="4" w:space="0" w:color="FFFFFF" w:themeColor="background1"/>
              <w:bottom w:val="nil"/>
              <w:right w:val="nil"/>
            </w:tcBorders>
            <w:shd w:val="clear" w:color="auto" w:fill="F2DBDB"/>
          </w:tcPr>
          <w:p w14:paraId="321CDA38" w14:textId="77777777" w:rsidR="00A2688C" w:rsidRDefault="00A2688C" w:rsidP="00651DF1">
            <w:pPr>
              <w:pStyle w:val="BodyTextIndent3"/>
              <w:ind w:left="0"/>
              <w:rPr>
                <w:rFonts w:asciiTheme="minorHAnsi" w:hAnsiTheme="minorHAnsi" w:cs="Arial"/>
                <w:color w:val="FF0000"/>
                <w:sz w:val="22"/>
                <w:szCs w:val="22"/>
              </w:rPr>
            </w:pPr>
          </w:p>
        </w:tc>
      </w:tr>
      <w:tr w:rsidR="009A61FA" w14:paraId="7DFEDC6F" w14:textId="77777777" w:rsidTr="00B23D8D">
        <w:trPr>
          <w:cantSplit/>
          <w:trHeight w:val="300"/>
        </w:trPr>
        <w:tc>
          <w:tcPr>
            <w:tcW w:w="2410" w:type="dxa"/>
            <w:tcBorders>
              <w:bottom w:val="single" w:sz="4" w:space="0" w:color="FFFFFF" w:themeColor="background1"/>
            </w:tcBorders>
            <w:shd w:val="clear" w:color="auto" w:fill="F2DBDB"/>
          </w:tcPr>
          <w:p w14:paraId="252373F0" w14:textId="07A960FE" w:rsidR="009A61FA" w:rsidRPr="009A61FA" w:rsidRDefault="009A61FA" w:rsidP="00651DF1">
            <w:pPr>
              <w:pStyle w:val="BodyTextIndent3"/>
              <w:ind w:left="0"/>
              <w:jc w:val="left"/>
              <w:rPr>
                <w:rFonts w:asciiTheme="minorHAnsi" w:hAnsiTheme="minorHAnsi" w:cs="Arial"/>
                <w:b/>
                <w:bCs/>
              </w:rPr>
            </w:pPr>
            <w:r w:rsidRPr="009A61FA">
              <w:rPr>
                <w:rFonts w:asciiTheme="minorHAnsi" w:hAnsiTheme="minorHAnsi" w:cs="Arial"/>
                <w:b/>
                <w:bCs/>
              </w:rPr>
              <w:t>Surplus Assets</w:t>
            </w:r>
          </w:p>
        </w:tc>
        <w:tc>
          <w:tcPr>
            <w:tcW w:w="1276" w:type="dxa"/>
            <w:tcBorders>
              <w:bottom w:val="single" w:sz="4" w:space="0" w:color="FFFFFF" w:themeColor="background1"/>
              <w:right w:val="single" w:sz="4" w:space="0" w:color="FFFFFF" w:themeColor="background1"/>
            </w:tcBorders>
            <w:shd w:val="clear" w:color="auto" w:fill="F2DBDB"/>
          </w:tcPr>
          <w:p w14:paraId="5C237EA0" w14:textId="77777777" w:rsidR="009A61FA" w:rsidRPr="00C44BCC" w:rsidRDefault="009A61FA" w:rsidP="00651DF1">
            <w:pPr>
              <w:pStyle w:val="BodyTextIndent3"/>
              <w:ind w:left="0"/>
              <w:rPr>
                <w:rFonts w:asciiTheme="minorHAnsi" w:hAnsiTheme="minorHAnsi" w:cs="Arial"/>
              </w:rPr>
            </w:pPr>
          </w:p>
        </w:tc>
        <w:tc>
          <w:tcPr>
            <w:tcW w:w="7088" w:type="dxa"/>
            <w:tcBorders>
              <w:top w:val="nil"/>
              <w:left w:val="single" w:sz="4" w:space="0" w:color="FFFFFF" w:themeColor="background1"/>
              <w:bottom w:val="single" w:sz="4" w:space="0" w:color="FFFFFF" w:themeColor="background1"/>
              <w:right w:val="nil"/>
            </w:tcBorders>
            <w:shd w:val="clear" w:color="auto" w:fill="F2DBDB"/>
          </w:tcPr>
          <w:p w14:paraId="58BDA20E" w14:textId="77777777" w:rsidR="009A61FA" w:rsidRDefault="009A61FA" w:rsidP="00651DF1">
            <w:pPr>
              <w:pStyle w:val="BodyTextIndent3"/>
              <w:ind w:left="0"/>
              <w:rPr>
                <w:rFonts w:asciiTheme="minorHAnsi" w:hAnsiTheme="minorHAnsi" w:cs="Arial"/>
                <w:color w:val="FF0000"/>
                <w:sz w:val="22"/>
                <w:szCs w:val="22"/>
              </w:rPr>
            </w:pPr>
          </w:p>
        </w:tc>
      </w:tr>
      <w:tr w:rsidR="00651DF1" w14:paraId="7ECE46EC" w14:textId="77777777" w:rsidTr="00B23D8D">
        <w:trPr>
          <w:cantSplit/>
          <w:trHeight w:val="300"/>
        </w:trPr>
        <w:tc>
          <w:tcPr>
            <w:tcW w:w="2410" w:type="dxa"/>
            <w:tcBorders>
              <w:bottom w:val="single" w:sz="4" w:space="0" w:color="FFFFFF" w:themeColor="background1"/>
            </w:tcBorders>
            <w:shd w:val="clear" w:color="auto" w:fill="F2DBDB"/>
          </w:tcPr>
          <w:p w14:paraId="62DB00CA" w14:textId="0F1677A4" w:rsidR="00A2688C" w:rsidRDefault="00A2688C" w:rsidP="00651DF1">
            <w:pPr>
              <w:pStyle w:val="BodyTextIndent3"/>
              <w:ind w:left="0"/>
              <w:jc w:val="left"/>
              <w:rPr>
                <w:rFonts w:asciiTheme="minorHAnsi" w:hAnsiTheme="minorHAnsi" w:cs="Arial"/>
                <w:color w:val="FF0000"/>
                <w:sz w:val="22"/>
                <w:szCs w:val="22"/>
              </w:rPr>
            </w:pPr>
            <w:r w:rsidRPr="00C44BCC">
              <w:rPr>
                <w:rFonts w:asciiTheme="minorHAnsi" w:hAnsiTheme="minorHAnsi" w:cs="Arial"/>
              </w:rPr>
              <w:t xml:space="preserve">Cemetery Lodge </w:t>
            </w:r>
          </w:p>
        </w:tc>
        <w:tc>
          <w:tcPr>
            <w:tcW w:w="1276" w:type="dxa"/>
            <w:tcBorders>
              <w:bottom w:val="single" w:sz="4" w:space="0" w:color="FFFFFF" w:themeColor="background1"/>
              <w:right w:val="single" w:sz="4" w:space="0" w:color="FFFFFF" w:themeColor="background1"/>
            </w:tcBorders>
            <w:shd w:val="clear" w:color="auto" w:fill="F2DBDB"/>
          </w:tcPr>
          <w:p w14:paraId="06BA37BA" w14:textId="6BF876E3" w:rsidR="00A2688C" w:rsidRDefault="00A2688C" w:rsidP="00651DF1">
            <w:pPr>
              <w:pStyle w:val="BodyTextIndent3"/>
              <w:ind w:left="0"/>
              <w:rPr>
                <w:rFonts w:asciiTheme="minorHAnsi" w:hAnsiTheme="minorHAnsi" w:cs="Arial"/>
                <w:color w:val="FF0000"/>
                <w:sz w:val="22"/>
                <w:szCs w:val="22"/>
              </w:rPr>
            </w:pPr>
            <w:r w:rsidRPr="00C44BCC">
              <w:rPr>
                <w:rFonts w:asciiTheme="minorHAnsi" w:hAnsiTheme="minorHAnsi" w:cs="Arial"/>
              </w:rPr>
              <w:t xml:space="preserve">No </w:t>
            </w:r>
          </w:p>
        </w:tc>
        <w:tc>
          <w:tcPr>
            <w:tcW w:w="7088" w:type="dxa"/>
            <w:tcBorders>
              <w:top w:val="nil"/>
              <w:left w:val="single" w:sz="4" w:space="0" w:color="FFFFFF" w:themeColor="background1"/>
              <w:bottom w:val="single" w:sz="4" w:space="0" w:color="FFFFFF" w:themeColor="background1"/>
              <w:right w:val="nil"/>
            </w:tcBorders>
            <w:shd w:val="clear" w:color="auto" w:fill="F2DBDB"/>
          </w:tcPr>
          <w:p w14:paraId="30F89517" w14:textId="77777777" w:rsidR="00A2688C" w:rsidRDefault="00A2688C" w:rsidP="00651DF1">
            <w:pPr>
              <w:pStyle w:val="BodyTextIndent3"/>
              <w:ind w:left="0"/>
              <w:rPr>
                <w:rFonts w:asciiTheme="minorHAnsi" w:hAnsiTheme="minorHAnsi" w:cs="Arial"/>
                <w:color w:val="FF0000"/>
                <w:sz w:val="22"/>
                <w:szCs w:val="22"/>
              </w:rPr>
            </w:pPr>
          </w:p>
        </w:tc>
      </w:tr>
      <w:tr w:rsidR="00DD193E" w14:paraId="16A4001F" w14:textId="77777777" w:rsidTr="00B23D8D">
        <w:trPr>
          <w:cantSplit/>
          <w:trHeight w:val="300"/>
        </w:trPr>
        <w:tc>
          <w:tcPr>
            <w:tcW w:w="2410" w:type="dxa"/>
            <w:tcBorders>
              <w:bottom w:val="single" w:sz="4" w:space="0" w:color="FFFFFF" w:themeColor="background1"/>
            </w:tcBorders>
            <w:shd w:val="clear" w:color="auto" w:fill="F2DBDB"/>
          </w:tcPr>
          <w:p w14:paraId="3CF04A38" w14:textId="4ED8D5AA" w:rsidR="00DD193E" w:rsidRPr="00C44BCC" w:rsidRDefault="00DD193E" w:rsidP="00651DF1">
            <w:pPr>
              <w:pStyle w:val="BodyTextIndent3"/>
              <w:ind w:left="0"/>
              <w:jc w:val="left"/>
              <w:rPr>
                <w:rFonts w:asciiTheme="minorHAnsi" w:hAnsiTheme="minorHAnsi" w:cs="Arial"/>
              </w:rPr>
            </w:pPr>
            <w:r>
              <w:rPr>
                <w:rFonts w:asciiTheme="minorHAnsi" w:hAnsiTheme="minorHAnsi" w:cs="Arial"/>
              </w:rPr>
              <w:t>Land at Cattle Market</w:t>
            </w:r>
          </w:p>
        </w:tc>
        <w:tc>
          <w:tcPr>
            <w:tcW w:w="1276" w:type="dxa"/>
            <w:tcBorders>
              <w:bottom w:val="single" w:sz="4" w:space="0" w:color="FFFFFF" w:themeColor="background1"/>
              <w:right w:val="single" w:sz="4" w:space="0" w:color="FFFFFF" w:themeColor="background1"/>
            </w:tcBorders>
            <w:shd w:val="clear" w:color="auto" w:fill="F2DBDB"/>
          </w:tcPr>
          <w:p w14:paraId="695C20A1" w14:textId="11637D70" w:rsidR="00DD193E" w:rsidRPr="00C44BCC" w:rsidRDefault="00DD193E" w:rsidP="00651DF1">
            <w:pPr>
              <w:pStyle w:val="BodyTextIndent3"/>
              <w:ind w:left="0"/>
              <w:rPr>
                <w:rFonts w:asciiTheme="minorHAnsi" w:hAnsiTheme="minorHAnsi" w:cs="Arial"/>
              </w:rPr>
            </w:pPr>
            <w:r>
              <w:rPr>
                <w:rFonts w:asciiTheme="minorHAnsi" w:hAnsiTheme="minorHAnsi" w:cs="Arial"/>
              </w:rPr>
              <w:t>No</w:t>
            </w:r>
          </w:p>
        </w:tc>
        <w:tc>
          <w:tcPr>
            <w:tcW w:w="7088" w:type="dxa"/>
            <w:tcBorders>
              <w:top w:val="nil"/>
              <w:left w:val="single" w:sz="4" w:space="0" w:color="FFFFFF" w:themeColor="background1"/>
              <w:bottom w:val="single" w:sz="4" w:space="0" w:color="FFFFFF" w:themeColor="background1"/>
              <w:right w:val="nil"/>
            </w:tcBorders>
            <w:shd w:val="clear" w:color="auto" w:fill="F2DBDB"/>
          </w:tcPr>
          <w:p w14:paraId="0E5CBBF9" w14:textId="77777777" w:rsidR="00DD193E" w:rsidRDefault="00DD193E" w:rsidP="00651DF1">
            <w:pPr>
              <w:pStyle w:val="BodyTextIndent3"/>
              <w:ind w:left="0"/>
              <w:rPr>
                <w:rFonts w:asciiTheme="minorHAnsi" w:hAnsiTheme="minorHAnsi" w:cs="Arial"/>
                <w:color w:val="FF0000"/>
                <w:sz w:val="22"/>
                <w:szCs w:val="22"/>
              </w:rPr>
            </w:pPr>
          </w:p>
        </w:tc>
      </w:tr>
      <w:tr w:rsidR="00651DF1" w14:paraId="145FCCB6" w14:textId="77777777" w:rsidTr="00B23D8D">
        <w:trPr>
          <w:cantSplit/>
          <w:trHeight w:val="263"/>
        </w:trPr>
        <w:tc>
          <w:tcPr>
            <w:tcW w:w="2410" w:type="dxa"/>
            <w:tcBorders>
              <w:top w:val="single" w:sz="4" w:space="0" w:color="FFFFFF" w:themeColor="background1"/>
              <w:left w:val="nil"/>
              <w:bottom w:val="single" w:sz="4" w:space="0" w:color="FFFFFF" w:themeColor="background1"/>
              <w:right w:val="nil"/>
            </w:tcBorders>
            <w:shd w:val="clear" w:color="auto" w:fill="F2DBDB"/>
          </w:tcPr>
          <w:p w14:paraId="7EA9D204" w14:textId="2FC05598" w:rsidR="00A2688C" w:rsidRDefault="00A2688C" w:rsidP="00651DF1">
            <w:pPr>
              <w:pStyle w:val="BodyTextIndent3"/>
              <w:ind w:left="0"/>
              <w:jc w:val="left"/>
              <w:rPr>
                <w:rFonts w:asciiTheme="minorHAnsi" w:hAnsiTheme="minorHAnsi" w:cs="Arial"/>
                <w:color w:val="FF0000"/>
                <w:sz w:val="22"/>
                <w:szCs w:val="22"/>
              </w:rPr>
            </w:pPr>
          </w:p>
        </w:tc>
        <w:tc>
          <w:tcPr>
            <w:tcW w:w="1276" w:type="dxa"/>
            <w:tcBorders>
              <w:top w:val="single" w:sz="4" w:space="0" w:color="FFFFFF" w:themeColor="background1"/>
              <w:left w:val="nil"/>
              <w:bottom w:val="single" w:sz="4" w:space="0" w:color="FFFFFF" w:themeColor="background1"/>
              <w:right w:val="nil"/>
            </w:tcBorders>
            <w:shd w:val="clear" w:color="auto" w:fill="F2DBDB"/>
          </w:tcPr>
          <w:p w14:paraId="53EAD4E5" w14:textId="77777777" w:rsidR="00A2688C" w:rsidRDefault="00A2688C" w:rsidP="00651DF1">
            <w:pPr>
              <w:pStyle w:val="BodyTextIndent3"/>
              <w:ind w:left="0"/>
              <w:rPr>
                <w:rFonts w:asciiTheme="minorHAnsi" w:hAnsiTheme="minorHAnsi" w:cs="Arial"/>
                <w:color w:val="FF0000"/>
                <w:sz w:val="22"/>
                <w:szCs w:val="22"/>
              </w:rPr>
            </w:pPr>
          </w:p>
        </w:tc>
        <w:tc>
          <w:tcPr>
            <w:tcW w:w="7088" w:type="dxa"/>
            <w:tcBorders>
              <w:top w:val="single" w:sz="4" w:space="0" w:color="FFFFFF" w:themeColor="background1"/>
              <w:left w:val="nil"/>
              <w:bottom w:val="single" w:sz="4" w:space="0" w:color="FFFFFF" w:themeColor="background1"/>
              <w:right w:val="nil"/>
            </w:tcBorders>
            <w:shd w:val="clear" w:color="auto" w:fill="F2DBDB"/>
          </w:tcPr>
          <w:p w14:paraId="72F62F54" w14:textId="77777777" w:rsidR="00A2688C" w:rsidRDefault="00A2688C" w:rsidP="00651DF1">
            <w:pPr>
              <w:pStyle w:val="BodyTextIndent3"/>
              <w:ind w:left="0"/>
              <w:rPr>
                <w:rFonts w:asciiTheme="minorHAnsi" w:hAnsiTheme="minorHAnsi" w:cs="Arial"/>
                <w:color w:val="FF0000"/>
                <w:sz w:val="22"/>
                <w:szCs w:val="22"/>
              </w:rPr>
            </w:pPr>
          </w:p>
        </w:tc>
      </w:tr>
      <w:tr w:rsidR="00651DF1" w14:paraId="06788CEB" w14:textId="77777777" w:rsidTr="00B23D8D">
        <w:trPr>
          <w:cantSplit/>
          <w:trHeight w:val="300"/>
        </w:trPr>
        <w:tc>
          <w:tcPr>
            <w:tcW w:w="2410" w:type="dxa"/>
            <w:tcBorders>
              <w:top w:val="single" w:sz="4" w:space="0" w:color="FFFFFF" w:themeColor="background1"/>
            </w:tcBorders>
            <w:shd w:val="clear" w:color="auto" w:fill="F2DBDB"/>
          </w:tcPr>
          <w:p w14:paraId="51EA09DE" w14:textId="58C4D4AB" w:rsidR="00A2688C" w:rsidRDefault="00A2688C" w:rsidP="00651DF1">
            <w:pPr>
              <w:pStyle w:val="BodyTextIndent3"/>
              <w:ind w:left="0"/>
              <w:jc w:val="left"/>
              <w:rPr>
                <w:rFonts w:asciiTheme="minorHAnsi" w:hAnsiTheme="minorHAnsi" w:cs="Arial"/>
                <w:color w:val="FF0000"/>
                <w:sz w:val="22"/>
                <w:szCs w:val="22"/>
              </w:rPr>
            </w:pPr>
            <w:r w:rsidRPr="009A68A8">
              <w:rPr>
                <w:rFonts w:asciiTheme="minorHAnsi" w:hAnsiTheme="minorHAnsi" w:cs="Arial"/>
              </w:rPr>
              <w:t>Assets</w:t>
            </w:r>
            <w:r w:rsidR="00651DF1">
              <w:rPr>
                <w:rFonts w:asciiTheme="minorHAnsi" w:hAnsiTheme="minorHAnsi" w:cs="Arial"/>
              </w:rPr>
              <w:t xml:space="preserve"> </w:t>
            </w:r>
            <w:r w:rsidRPr="009A68A8">
              <w:rPr>
                <w:rFonts w:asciiTheme="minorHAnsi" w:hAnsiTheme="minorHAnsi" w:cs="Arial"/>
              </w:rPr>
              <w:t>Under Construction</w:t>
            </w:r>
          </w:p>
        </w:tc>
        <w:tc>
          <w:tcPr>
            <w:tcW w:w="1276" w:type="dxa"/>
            <w:tcBorders>
              <w:top w:val="single" w:sz="4" w:space="0" w:color="FFFFFF" w:themeColor="background1"/>
            </w:tcBorders>
            <w:shd w:val="clear" w:color="auto" w:fill="F2DBDB"/>
          </w:tcPr>
          <w:p w14:paraId="1A896750" w14:textId="336D5E3C" w:rsidR="00A2688C" w:rsidRDefault="00A2688C" w:rsidP="00651DF1">
            <w:pPr>
              <w:pStyle w:val="BodyTextIndent3"/>
              <w:ind w:left="0"/>
              <w:rPr>
                <w:rFonts w:asciiTheme="minorHAnsi" w:hAnsiTheme="minorHAnsi" w:cs="Arial"/>
                <w:color w:val="FF0000"/>
                <w:sz w:val="22"/>
                <w:szCs w:val="22"/>
              </w:rPr>
            </w:pPr>
            <w:r w:rsidRPr="009A68A8">
              <w:rPr>
                <w:rFonts w:asciiTheme="minorHAnsi" w:hAnsiTheme="minorHAnsi" w:cs="Arial"/>
              </w:rPr>
              <w:t>No</w:t>
            </w:r>
          </w:p>
        </w:tc>
        <w:tc>
          <w:tcPr>
            <w:tcW w:w="7088" w:type="dxa"/>
            <w:tcBorders>
              <w:top w:val="single" w:sz="4" w:space="0" w:color="FFFFFF" w:themeColor="background1"/>
            </w:tcBorders>
            <w:shd w:val="clear" w:color="auto" w:fill="F2DBDB"/>
          </w:tcPr>
          <w:p w14:paraId="244D1D7D" w14:textId="05C4E789" w:rsidR="00A2688C" w:rsidRDefault="00A2688C" w:rsidP="00651DF1">
            <w:pPr>
              <w:pStyle w:val="BodyTextIndent3"/>
              <w:ind w:left="0"/>
              <w:rPr>
                <w:rFonts w:asciiTheme="minorHAnsi" w:hAnsiTheme="minorHAnsi" w:cs="Arial"/>
                <w:color w:val="FF0000"/>
                <w:sz w:val="22"/>
                <w:szCs w:val="22"/>
              </w:rPr>
            </w:pPr>
            <w:r w:rsidRPr="009A68A8">
              <w:rPr>
                <w:rFonts w:asciiTheme="minorHAnsi" w:hAnsiTheme="minorHAnsi" w:cs="Arial"/>
              </w:rPr>
              <w:t>Assets held in this category are not yet available for use.</w:t>
            </w:r>
          </w:p>
        </w:tc>
      </w:tr>
      <w:tr w:rsidR="00A2688C" w14:paraId="658DDE93" w14:textId="77777777" w:rsidTr="00B23D8D">
        <w:trPr>
          <w:cantSplit/>
          <w:trHeight w:val="300"/>
        </w:trPr>
        <w:tc>
          <w:tcPr>
            <w:tcW w:w="2410" w:type="dxa"/>
            <w:shd w:val="clear" w:color="auto" w:fill="F2DBDB"/>
          </w:tcPr>
          <w:p w14:paraId="34D0CF62" w14:textId="6DF32E09" w:rsidR="00A2688C" w:rsidRDefault="00A2688C" w:rsidP="00651DF1">
            <w:pPr>
              <w:pStyle w:val="BodyTextIndent3"/>
              <w:ind w:left="0"/>
              <w:jc w:val="left"/>
              <w:rPr>
                <w:rFonts w:asciiTheme="minorHAnsi" w:hAnsiTheme="minorHAnsi" w:cs="Arial"/>
                <w:color w:val="FF0000"/>
                <w:sz w:val="22"/>
                <w:szCs w:val="22"/>
              </w:rPr>
            </w:pPr>
            <w:r w:rsidRPr="009A68A8">
              <w:rPr>
                <w:rFonts w:asciiTheme="minorHAnsi" w:hAnsiTheme="minorHAnsi" w:cs="Arial"/>
              </w:rPr>
              <w:t xml:space="preserve">Assets Held </w:t>
            </w:r>
            <w:proofErr w:type="gramStart"/>
            <w:r w:rsidRPr="009A68A8">
              <w:rPr>
                <w:rFonts w:asciiTheme="minorHAnsi" w:hAnsiTheme="minorHAnsi" w:cs="Arial"/>
              </w:rPr>
              <w:t>For</w:t>
            </w:r>
            <w:proofErr w:type="gramEnd"/>
            <w:r w:rsidRPr="009A68A8">
              <w:rPr>
                <w:rFonts w:asciiTheme="minorHAnsi" w:hAnsiTheme="minorHAnsi" w:cs="Arial"/>
              </w:rPr>
              <w:t xml:space="preserve"> Sale</w:t>
            </w:r>
          </w:p>
        </w:tc>
        <w:tc>
          <w:tcPr>
            <w:tcW w:w="1276" w:type="dxa"/>
            <w:shd w:val="clear" w:color="auto" w:fill="F2DBDB"/>
          </w:tcPr>
          <w:p w14:paraId="49B0BA91" w14:textId="253A031C" w:rsidR="00A2688C" w:rsidRDefault="00A2688C" w:rsidP="00651DF1">
            <w:pPr>
              <w:pStyle w:val="BodyTextIndent3"/>
              <w:ind w:left="0"/>
              <w:rPr>
                <w:rFonts w:asciiTheme="minorHAnsi" w:hAnsiTheme="minorHAnsi" w:cs="Arial"/>
                <w:color w:val="FF0000"/>
                <w:sz w:val="22"/>
                <w:szCs w:val="22"/>
              </w:rPr>
            </w:pPr>
            <w:r w:rsidRPr="009A68A8">
              <w:rPr>
                <w:rFonts w:asciiTheme="minorHAnsi" w:hAnsiTheme="minorHAnsi" w:cs="Arial"/>
              </w:rPr>
              <w:t xml:space="preserve">No </w:t>
            </w:r>
          </w:p>
        </w:tc>
        <w:tc>
          <w:tcPr>
            <w:tcW w:w="7088" w:type="dxa"/>
            <w:shd w:val="clear" w:color="auto" w:fill="F2DBDB"/>
          </w:tcPr>
          <w:p w14:paraId="1BF22FF5" w14:textId="3D961C1E" w:rsidR="00A2688C" w:rsidRDefault="00A2688C" w:rsidP="00651DF1">
            <w:pPr>
              <w:pStyle w:val="BodyTextIndent3"/>
              <w:ind w:left="0"/>
              <w:rPr>
                <w:rFonts w:asciiTheme="minorHAnsi" w:hAnsiTheme="minorHAnsi" w:cs="Arial"/>
                <w:color w:val="FF0000"/>
                <w:sz w:val="22"/>
                <w:szCs w:val="22"/>
              </w:rPr>
            </w:pPr>
            <w:r w:rsidRPr="009A68A8">
              <w:rPr>
                <w:rFonts w:asciiTheme="minorHAnsi" w:hAnsiTheme="minorHAnsi" w:cs="Arial"/>
              </w:rPr>
              <w:t>Assets held in this category are outside the scope for depreciation in accordance with the Code.</w:t>
            </w:r>
          </w:p>
        </w:tc>
      </w:tr>
    </w:tbl>
    <w:p w14:paraId="2162E225" w14:textId="77777777" w:rsidR="001B4D9E" w:rsidRDefault="001B4D9E" w:rsidP="00B23D8D">
      <w:pPr>
        <w:pStyle w:val="BodyTextIndent"/>
        <w:tabs>
          <w:tab w:val="clear" w:pos="2160"/>
          <w:tab w:val="clear" w:pos="7200"/>
          <w:tab w:val="clear" w:pos="7920"/>
          <w:tab w:val="left" w:pos="0"/>
        </w:tabs>
        <w:spacing w:line="228" w:lineRule="auto"/>
        <w:ind w:left="0" w:firstLine="0"/>
        <w:rPr>
          <w:rFonts w:asciiTheme="minorHAnsi" w:hAnsiTheme="minorHAnsi" w:cs="Arial"/>
          <w:b/>
          <w:bCs/>
          <w:sz w:val="22"/>
          <w:szCs w:val="22"/>
        </w:rPr>
      </w:pPr>
    </w:p>
    <w:p w14:paraId="278D335C" w14:textId="39B64ADD" w:rsidR="004B7E57" w:rsidRPr="00CD7719" w:rsidRDefault="004B7E57" w:rsidP="00B23D8D">
      <w:pPr>
        <w:pStyle w:val="BodyTextIndent"/>
        <w:tabs>
          <w:tab w:val="clear" w:pos="2160"/>
          <w:tab w:val="clear" w:pos="7200"/>
          <w:tab w:val="clear" w:pos="7920"/>
          <w:tab w:val="left" w:pos="0"/>
        </w:tabs>
        <w:spacing w:line="228" w:lineRule="auto"/>
        <w:ind w:left="0" w:firstLine="0"/>
        <w:rPr>
          <w:rFonts w:asciiTheme="minorHAnsi" w:hAnsiTheme="minorHAnsi" w:cs="Arial"/>
          <w:b/>
          <w:bCs/>
          <w:sz w:val="22"/>
          <w:szCs w:val="22"/>
        </w:rPr>
      </w:pPr>
      <w:r w:rsidRPr="00CD7719">
        <w:rPr>
          <w:rFonts w:asciiTheme="minorHAnsi" w:hAnsiTheme="minorHAnsi" w:cs="Arial"/>
          <w:b/>
          <w:bCs/>
          <w:sz w:val="22"/>
          <w:szCs w:val="22"/>
        </w:rPr>
        <w:t>Disposals and Non-Current Assets Held for Sale</w:t>
      </w:r>
    </w:p>
    <w:p w14:paraId="6EF80C49" w14:textId="77777777" w:rsidR="004B7E57" w:rsidRPr="00CD7719" w:rsidRDefault="004B7E57" w:rsidP="001C2EB0">
      <w:pPr>
        <w:pStyle w:val="BodyTextIndent"/>
        <w:tabs>
          <w:tab w:val="clear" w:pos="2160"/>
          <w:tab w:val="clear" w:pos="7200"/>
          <w:tab w:val="clear" w:pos="7920"/>
          <w:tab w:val="left" w:pos="0"/>
        </w:tabs>
        <w:spacing w:line="228" w:lineRule="auto"/>
        <w:ind w:left="-11" w:firstLine="0"/>
        <w:rPr>
          <w:rFonts w:asciiTheme="minorHAnsi" w:hAnsiTheme="minorHAnsi" w:cs="Arial"/>
          <w:b/>
          <w:bCs/>
          <w:sz w:val="22"/>
          <w:szCs w:val="22"/>
        </w:rPr>
      </w:pPr>
    </w:p>
    <w:p w14:paraId="3CFC51BE" w14:textId="77777777" w:rsidR="004B7E57" w:rsidRPr="00CD7719" w:rsidRDefault="004B7E57" w:rsidP="001C2EB0">
      <w:pPr>
        <w:widowControl w:val="0"/>
        <w:tabs>
          <w:tab w:val="left" w:pos="0"/>
        </w:tabs>
        <w:spacing w:after="120"/>
        <w:jc w:val="both"/>
        <w:rPr>
          <w:rFonts w:asciiTheme="minorHAnsi" w:hAnsiTheme="minorHAnsi" w:cs="Arial"/>
          <w:sz w:val="22"/>
          <w:szCs w:val="22"/>
        </w:rPr>
      </w:pPr>
      <w:r w:rsidRPr="00CD7719">
        <w:rPr>
          <w:rFonts w:asciiTheme="minorHAnsi" w:hAnsiTheme="minorHAnsi" w:cs="Arial"/>
          <w:sz w:val="22"/>
          <w:szCs w:val="22"/>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w:t>
      </w:r>
      <w:r w:rsidRPr="00CD7719">
        <w:rPr>
          <w:rFonts w:asciiTheme="minorHAnsi" w:hAnsiTheme="minorHAnsi" w:cs="Arial"/>
          <w:sz w:val="22"/>
          <w:szCs w:val="22"/>
        </w:rPr>
        <w:lastRenderedPageBreak/>
        <w:t>up to the amount of any previous losses recognised in the Surplus or Deficit on Provision of Services. Depreciation is not charged on Assets Held for Sale.</w:t>
      </w:r>
    </w:p>
    <w:p w14:paraId="36D8BE5D" w14:textId="77777777" w:rsidR="004B7E57" w:rsidRPr="00CD7719" w:rsidRDefault="004B7E57" w:rsidP="001C2EB0">
      <w:pPr>
        <w:widowControl w:val="0"/>
        <w:tabs>
          <w:tab w:val="left" w:pos="0"/>
        </w:tabs>
        <w:spacing w:after="120"/>
        <w:jc w:val="both"/>
        <w:rPr>
          <w:rFonts w:asciiTheme="minorHAnsi" w:hAnsiTheme="minorHAnsi" w:cs="Arial"/>
          <w:sz w:val="22"/>
          <w:szCs w:val="22"/>
        </w:rPr>
      </w:pPr>
      <w:r w:rsidRPr="00CD7719">
        <w:rPr>
          <w:rFonts w:asciiTheme="minorHAnsi" w:hAnsiTheme="minorHAnsi" w:cs="Arial"/>
          <w:sz w:val="22"/>
          <w:szCs w:val="22"/>
        </w:rPr>
        <w:t>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w:t>
      </w:r>
    </w:p>
    <w:p w14:paraId="340BD58B" w14:textId="77777777" w:rsidR="004B7E57" w:rsidRPr="00CD7719" w:rsidRDefault="004B7E57" w:rsidP="001C2EB0">
      <w:pPr>
        <w:widowControl w:val="0"/>
        <w:tabs>
          <w:tab w:val="left" w:pos="0"/>
        </w:tabs>
        <w:spacing w:after="120"/>
        <w:jc w:val="both"/>
        <w:rPr>
          <w:rFonts w:asciiTheme="minorHAnsi" w:hAnsiTheme="minorHAnsi" w:cs="Arial"/>
          <w:sz w:val="22"/>
          <w:szCs w:val="22"/>
        </w:rPr>
      </w:pPr>
      <w:r w:rsidRPr="00CD7719">
        <w:rPr>
          <w:rFonts w:asciiTheme="minorHAnsi" w:hAnsiTheme="minorHAnsi" w:cs="Arial"/>
          <w:sz w:val="22"/>
          <w:szCs w:val="22"/>
        </w:rPr>
        <w:t xml:space="preserve">Assets that are to be abandoned or scrapped are not reclassified as Assets Held for Sale.  </w:t>
      </w:r>
    </w:p>
    <w:p w14:paraId="450C1495" w14:textId="2EF019BA" w:rsidR="004B7E57" w:rsidRPr="00CD7719" w:rsidRDefault="004B7E57" w:rsidP="001C2EB0">
      <w:pPr>
        <w:widowControl w:val="0"/>
        <w:spacing w:after="120"/>
        <w:jc w:val="both"/>
        <w:rPr>
          <w:rFonts w:asciiTheme="minorHAnsi" w:hAnsiTheme="minorHAnsi" w:cs="Arial"/>
          <w:sz w:val="22"/>
          <w:szCs w:val="22"/>
        </w:rPr>
      </w:pPr>
      <w:r w:rsidRPr="00CD7719">
        <w:rPr>
          <w:rFonts w:asciiTheme="minorHAnsi" w:hAnsiTheme="minorHAnsi" w:cs="Arial"/>
          <w:sz w:val="22"/>
          <w:szCs w:val="22"/>
        </w:rPr>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r w:rsidR="00120BFE">
        <w:rPr>
          <w:rFonts w:asciiTheme="minorHAnsi" w:hAnsiTheme="minorHAnsi" w:cs="Arial"/>
          <w:sz w:val="22"/>
          <w:szCs w:val="22"/>
        </w:rPr>
        <w:t>for example,</w:t>
      </w:r>
      <w:r w:rsidRPr="00CD7719">
        <w:rPr>
          <w:rFonts w:asciiTheme="minorHAnsi" w:hAnsiTheme="minorHAnsi" w:cs="Arial"/>
          <w:sz w:val="22"/>
          <w:szCs w:val="22"/>
        </w:rPr>
        <w:t xml:space="preserve"> netted off against the carrying value of the asset at the time of disposal). Any revaluation gains accumulated for the asset in the Revaluation Reserve are transferred to the Capital Adjustment Account. </w:t>
      </w:r>
    </w:p>
    <w:p w14:paraId="7B7E5EDC" w14:textId="77777777" w:rsidR="004B7E57" w:rsidRPr="00CD7719" w:rsidRDefault="004B7E57" w:rsidP="001C2EB0">
      <w:pPr>
        <w:widowControl w:val="0"/>
        <w:spacing w:after="120"/>
        <w:jc w:val="both"/>
        <w:rPr>
          <w:rFonts w:asciiTheme="minorHAnsi" w:hAnsiTheme="minorHAnsi" w:cs="Arial"/>
          <w:sz w:val="22"/>
          <w:szCs w:val="22"/>
        </w:rPr>
      </w:pPr>
      <w:r w:rsidRPr="00CD7719">
        <w:rPr>
          <w:rFonts w:asciiTheme="minorHAnsi" w:hAnsiTheme="minorHAnsi" w:cs="Arial"/>
          <w:sz w:val="22"/>
          <w:szCs w:val="22"/>
        </w:rPr>
        <w:t xml:space="preserve">Amounts received for a disposal in excess of £10k are categorised as capital receipts. A proportion of receipts relating to housing (Right to Buy) disposals (net of statutory deductions and allowances) is payable to the Government. The </w:t>
      </w:r>
      <w:r w:rsidR="009B71F0">
        <w:rPr>
          <w:rFonts w:asciiTheme="minorHAnsi" w:hAnsiTheme="minorHAnsi" w:cs="Arial"/>
          <w:sz w:val="22"/>
          <w:szCs w:val="22"/>
        </w:rPr>
        <w:t>balance of receipts remains within</w:t>
      </w:r>
      <w:r w:rsidRPr="00CD7719">
        <w:rPr>
          <w:rFonts w:asciiTheme="minorHAnsi" w:hAnsiTheme="minorHAnsi" w:cs="Arial"/>
          <w:sz w:val="22"/>
          <w:szCs w:val="22"/>
        </w:rPr>
        <w:t xml:space="preserve"> the Capital Receipts </w:t>
      </w:r>
      <w:proofErr w:type="gramStart"/>
      <w:r w:rsidRPr="00CD7719">
        <w:rPr>
          <w:rFonts w:asciiTheme="minorHAnsi" w:hAnsiTheme="minorHAnsi" w:cs="Arial"/>
          <w:sz w:val="22"/>
          <w:szCs w:val="22"/>
        </w:rPr>
        <w:t>Reserve, and</w:t>
      </w:r>
      <w:proofErr w:type="gramEnd"/>
      <w:r w:rsidRPr="00CD7719">
        <w:rPr>
          <w:rFonts w:asciiTheme="minorHAnsi" w:hAnsiTheme="minorHAnsi" w:cs="Arial"/>
          <w:sz w:val="22"/>
          <w:szCs w:val="22"/>
        </w:rPr>
        <w:t xml:space="preserve"> can then be used for new capital investment or set aside to reduce the Council’s underlying need to borrow (the capital financing requirement). Receipts are appropriated to the Reserve from the General Fund Balance in the Movement in Reserves Statement. </w:t>
      </w:r>
    </w:p>
    <w:p w14:paraId="3A0A09BF" w14:textId="77777777" w:rsidR="004B7E57" w:rsidRPr="00CD7719" w:rsidRDefault="004B7E57" w:rsidP="00761172">
      <w:pPr>
        <w:pStyle w:val="BodyTextIndent"/>
        <w:tabs>
          <w:tab w:val="clear" w:pos="2160"/>
          <w:tab w:val="clear" w:pos="7200"/>
          <w:tab w:val="clear" w:pos="7920"/>
        </w:tabs>
        <w:spacing w:line="240" w:lineRule="auto"/>
        <w:ind w:left="0" w:firstLine="0"/>
        <w:rPr>
          <w:rFonts w:asciiTheme="minorHAnsi" w:hAnsiTheme="minorHAnsi" w:cs="Arial"/>
          <w:sz w:val="22"/>
          <w:szCs w:val="22"/>
        </w:rPr>
      </w:pPr>
      <w:r w:rsidRPr="00CD7719">
        <w:rPr>
          <w:rFonts w:asciiTheme="minorHAnsi" w:hAnsiTheme="minorHAnsi" w:cs="Arial"/>
          <w:sz w:val="22"/>
          <w:szCs w:val="22"/>
        </w:rPr>
        <w:t xml:space="preserve">The written-off value of disposals is not a charge against council tax, as the cost of non-current assets is fully provided for under separate arrangements for capital financing. Amounts are appropriated to the Capital Adjustment Account from the General Fund Balance in the Movement in Reserves Statement.  </w:t>
      </w:r>
    </w:p>
    <w:p w14:paraId="2E24A68D" w14:textId="77777777" w:rsidR="006B2E50" w:rsidRPr="00CD7719" w:rsidRDefault="006B2E50" w:rsidP="00761172">
      <w:pPr>
        <w:widowControl w:val="0"/>
        <w:ind w:left="-180" w:firstLine="180"/>
        <w:jc w:val="both"/>
        <w:rPr>
          <w:rFonts w:asciiTheme="minorHAnsi" w:hAnsiTheme="minorHAnsi" w:cs="Arial"/>
          <w:b/>
          <w:sz w:val="22"/>
          <w:szCs w:val="22"/>
        </w:rPr>
      </w:pPr>
    </w:p>
    <w:p w14:paraId="4F16319C" w14:textId="77777777" w:rsidR="004B7E57" w:rsidRPr="00F73571" w:rsidRDefault="004B7E57" w:rsidP="00C76AD3">
      <w:pPr>
        <w:pStyle w:val="ListParagraph"/>
        <w:widowControl w:val="0"/>
        <w:numPr>
          <w:ilvl w:val="0"/>
          <w:numId w:val="41"/>
        </w:numPr>
        <w:jc w:val="both"/>
        <w:rPr>
          <w:rFonts w:asciiTheme="minorHAnsi" w:hAnsiTheme="minorHAnsi" w:cs="Arial"/>
          <w:b/>
          <w:sz w:val="24"/>
          <w:szCs w:val="24"/>
        </w:rPr>
      </w:pPr>
      <w:r w:rsidRPr="00F73571">
        <w:rPr>
          <w:rFonts w:asciiTheme="minorHAnsi" w:hAnsiTheme="minorHAnsi" w:cs="Arial"/>
          <w:b/>
          <w:sz w:val="24"/>
          <w:szCs w:val="24"/>
        </w:rPr>
        <w:t>Provisions, Contingent Liabilities and Contingent Assets</w:t>
      </w:r>
    </w:p>
    <w:p w14:paraId="217A04F7" w14:textId="77777777" w:rsidR="004B7E57" w:rsidRPr="00CD7719" w:rsidRDefault="004B7E57" w:rsidP="00761172">
      <w:pPr>
        <w:widowControl w:val="0"/>
        <w:ind w:left="-11"/>
        <w:jc w:val="both"/>
        <w:rPr>
          <w:rFonts w:asciiTheme="minorHAnsi" w:hAnsiTheme="minorHAnsi" w:cs="Arial"/>
          <w:sz w:val="22"/>
          <w:szCs w:val="22"/>
        </w:rPr>
      </w:pPr>
    </w:p>
    <w:p w14:paraId="611D42A8" w14:textId="77777777" w:rsidR="004B7E57" w:rsidRPr="00CD7719" w:rsidRDefault="004B7E57" w:rsidP="00761172">
      <w:pPr>
        <w:widowControl w:val="0"/>
        <w:ind w:hanging="437"/>
        <w:jc w:val="both"/>
        <w:rPr>
          <w:rFonts w:asciiTheme="minorHAnsi" w:hAnsiTheme="minorHAnsi" w:cs="Arial"/>
          <w:b/>
          <w:sz w:val="22"/>
          <w:szCs w:val="22"/>
        </w:rPr>
      </w:pPr>
      <w:r w:rsidRPr="00CD7719">
        <w:rPr>
          <w:rFonts w:asciiTheme="minorHAnsi" w:hAnsiTheme="minorHAnsi" w:cs="Arial"/>
          <w:sz w:val="22"/>
          <w:szCs w:val="22"/>
        </w:rPr>
        <w:tab/>
      </w:r>
      <w:r w:rsidRPr="00CD7719">
        <w:rPr>
          <w:rFonts w:asciiTheme="minorHAnsi" w:hAnsiTheme="minorHAnsi" w:cs="Arial"/>
          <w:b/>
          <w:sz w:val="22"/>
          <w:szCs w:val="22"/>
        </w:rPr>
        <w:t>Provisions</w:t>
      </w:r>
    </w:p>
    <w:p w14:paraId="3A931973" w14:textId="77777777" w:rsidR="004B7E57" w:rsidRPr="00CD7719" w:rsidRDefault="004B7E57" w:rsidP="00B23D8D">
      <w:pPr>
        <w:widowControl w:val="0"/>
        <w:jc w:val="both"/>
        <w:rPr>
          <w:rFonts w:asciiTheme="minorHAnsi" w:hAnsiTheme="minorHAnsi" w:cs="Arial"/>
          <w:b/>
          <w:sz w:val="22"/>
          <w:szCs w:val="22"/>
        </w:rPr>
      </w:pPr>
    </w:p>
    <w:p w14:paraId="38441244" w14:textId="12043FFA" w:rsidR="004B7E57" w:rsidRDefault="004B7E57" w:rsidP="00761172">
      <w:pPr>
        <w:widowControl w:val="0"/>
        <w:ind w:hanging="426"/>
        <w:jc w:val="both"/>
        <w:rPr>
          <w:rFonts w:asciiTheme="minorHAnsi" w:hAnsiTheme="minorHAnsi" w:cs="Arial"/>
          <w:sz w:val="22"/>
          <w:szCs w:val="22"/>
        </w:rPr>
      </w:pPr>
      <w:r w:rsidRPr="00CD7719">
        <w:rPr>
          <w:rFonts w:asciiTheme="minorHAnsi" w:hAnsiTheme="minorHAnsi" w:cs="Arial"/>
          <w:sz w:val="22"/>
          <w:szCs w:val="22"/>
        </w:rPr>
        <w:tab/>
      </w:r>
      <w:r w:rsidR="00C83CE6" w:rsidRPr="00C83CE6">
        <w:rPr>
          <w:rFonts w:asciiTheme="minorHAnsi" w:hAnsiTheme="minorHAnsi" w:cs="Arial"/>
          <w:sz w:val="22"/>
          <w:szCs w:val="22"/>
        </w:rPr>
        <w:t>Pro</w:t>
      </w:r>
      <w:r w:rsidR="00C83CE6">
        <w:rPr>
          <w:rFonts w:asciiTheme="minorHAnsi" w:hAnsiTheme="minorHAnsi" w:cs="Arial"/>
          <w:sz w:val="22"/>
          <w:szCs w:val="22"/>
        </w:rPr>
        <w:t>visions are made where an event has taken place on or before the Balance Sheet date:</w:t>
      </w:r>
    </w:p>
    <w:p w14:paraId="481714F0" w14:textId="391807A8" w:rsidR="00C83CE6" w:rsidRPr="00B019C5" w:rsidRDefault="00C83CE6" w:rsidP="00C76AD3">
      <w:pPr>
        <w:pStyle w:val="ListParagraph"/>
        <w:widowControl w:val="0"/>
        <w:numPr>
          <w:ilvl w:val="0"/>
          <w:numId w:val="47"/>
        </w:numPr>
        <w:jc w:val="both"/>
        <w:rPr>
          <w:rFonts w:asciiTheme="minorHAnsi" w:hAnsiTheme="minorHAnsi" w:cs="Arial"/>
          <w:sz w:val="22"/>
          <w:szCs w:val="22"/>
        </w:rPr>
      </w:pPr>
      <w:r w:rsidRPr="00B019C5">
        <w:rPr>
          <w:rFonts w:asciiTheme="minorHAnsi" w:hAnsiTheme="minorHAnsi" w:cs="Arial"/>
          <w:sz w:val="22"/>
          <w:szCs w:val="22"/>
        </w:rPr>
        <w:t>That gives the Council a present obligation</w:t>
      </w:r>
      <w:r w:rsidR="00B019C5">
        <w:rPr>
          <w:rFonts w:asciiTheme="minorHAnsi" w:hAnsiTheme="minorHAnsi" w:cs="Arial"/>
          <w:sz w:val="22"/>
          <w:szCs w:val="22"/>
        </w:rPr>
        <w:t>,</w:t>
      </w:r>
    </w:p>
    <w:p w14:paraId="7CFC0A51" w14:textId="1EDFB228" w:rsidR="00C83CE6" w:rsidRPr="00B019C5" w:rsidRDefault="00C83CE6" w:rsidP="00C76AD3">
      <w:pPr>
        <w:pStyle w:val="ListParagraph"/>
        <w:widowControl w:val="0"/>
        <w:numPr>
          <w:ilvl w:val="0"/>
          <w:numId w:val="47"/>
        </w:numPr>
        <w:jc w:val="both"/>
        <w:rPr>
          <w:rFonts w:asciiTheme="minorHAnsi" w:hAnsiTheme="minorHAnsi" w:cs="Arial"/>
          <w:sz w:val="22"/>
          <w:szCs w:val="22"/>
        </w:rPr>
      </w:pPr>
      <w:r w:rsidRPr="00B019C5">
        <w:rPr>
          <w:rFonts w:asciiTheme="minorHAnsi" w:hAnsiTheme="minorHAnsi" w:cs="Arial"/>
          <w:sz w:val="22"/>
          <w:szCs w:val="22"/>
        </w:rPr>
        <w:t>That probably requires settlement by a transfer of economic benefits or service potential, and</w:t>
      </w:r>
    </w:p>
    <w:p w14:paraId="06C26EBE" w14:textId="69EA8FD8" w:rsidR="00C83CE6" w:rsidRPr="00B019C5" w:rsidRDefault="00C83CE6" w:rsidP="00C76AD3">
      <w:pPr>
        <w:pStyle w:val="ListParagraph"/>
        <w:widowControl w:val="0"/>
        <w:numPr>
          <w:ilvl w:val="0"/>
          <w:numId w:val="47"/>
        </w:numPr>
        <w:jc w:val="both"/>
        <w:rPr>
          <w:rFonts w:asciiTheme="minorHAnsi" w:hAnsiTheme="minorHAnsi" w:cs="Arial"/>
          <w:sz w:val="22"/>
          <w:szCs w:val="22"/>
        </w:rPr>
      </w:pPr>
      <w:r w:rsidRPr="00B019C5">
        <w:rPr>
          <w:rFonts w:asciiTheme="minorHAnsi" w:hAnsiTheme="minorHAnsi" w:cs="Arial"/>
          <w:sz w:val="22"/>
          <w:szCs w:val="22"/>
        </w:rPr>
        <w:t xml:space="preserve">Where a reliable estimate can be made of the </w:t>
      </w:r>
      <w:r w:rsidR="00B019C5" w:rsidRPr="00B019C5">
        <w:rPr>
          <w:rFonts w:asciiTheme="minorHAnsi" w:hAnsiTheme="minorHAnsi" w:cs="Arial"/>
          <w:sz w:val="22"/>
          <w:szCs w:val="22"/>
        </w:rPr>
        <w:t>amount of the obligation</w:t>
      </w:r>
      <w:r w:rsidR="00B019C5">
        <w:rPr>
          <w:rFonts w:asciiTheme="minorHAnsi" w:hAnsiTheme="minorHAnsi" w:cs="Arial"/>
          <w:sz w:val="22"/>
          <w:szCs w:val="22"/>
        </w:rPr>
        <w:t>.</w:t>
      </w:r>
    </w:p>
    <w:p w14:paraId="40FDA47B" w14:textId="32607292" w:rsidR="00B019C5" w:rsidRPr="00B019C5" w:rsidRDefault="00B019C5" w:rsidP="00B019C5">
      <w:pPr>
        <w:widowControl w:val="0"/>
        <w:jc w:val="both"/>
        <w:rPr>
          <w:rFonts w:asciiTheme="minorHAnsi" w:hAnsiTheme="minorHAnsi" w:cs="Arial"/>
          <w:sz w:val="22"/>
          <w:szCs w:val="22"/>
        </w:rPr>
      </w:pPr>
      <w:r w:rsidRPr="00B019C5">
        <w:rPr>
          <w:rFonts w:asciiTheme="minorHAnsi" w:hAnsiTheme="minorHAnsi" w:cs="Arial"/>
          <w:sz w:val="22"/>
          <w:szCs w:val="22"/>
        </w:rPr>
        <w:t>Where it is not clear whether an event has taken place on or before the Balance Sheet date, it is deemed to give rise to a present obligation if, taking account of all available evidence, it is more likely than not that a present obligation exists at the Balance Sheet date.  The present obligation can be legal or constructive.</w:t>
      </w:r>
    </w:p>
    <w:p w14:paraId="267D8B1A" w14:textId="77777777" w:rsidR="004B7E57" w:rsidRPr="00C83CE6" w:rsidRDefault="004B7E57" w:rsidP="00761172">
      <w:pPr>
        <w:widowControl w:val="0"/>
        <w:jc w:val="both"/>
        <w:rPr>
          <w:rFonts w:asciiTheme="minorHAnsi" w:hAnsiTheme="minorHAnsi" w:cs="Arial"/>
          <w:sz w:val="22"/>
          <w:szCs w:val="22"/>
        </w:rPr>
      </w:pPr>
      <w:r w:rsidRPr="00C83CE6">
        <w:rPr>
          <w:rFonts w:asciiTheme="minorHAnsi" w:hAnsiTheme="minorHAnsi" w:cs="Arial"/>
          <w:sz w:val="22"/>
          <w:szCs w:val="22"/>
        </w:rPr>
        <w:t xml:space="preserve">Provisions are charged as an expense to the appropriate service line in the Comprehensive Income and Expenditure Statement in the year that the Council </w:t>
      </w:r>
      <w:r w:rsidR="009B71F0" w:rsidRPr="00C83CE6">
        <w:rPr>
          <w:rFonts w:asciiTheme="minorHAnsi" w:hAnsiTheme="minorHAnsi" w:cs="Arial"/>
          <w:sz w:val="22"/>
          <w:szCs w:val="22"/>
        </w:rPr>
        <w:t>has an</w:t>
      </w:r>
      <w:r w:rsidRPr="00C83CE6">
        <w:rPr>
          <w:rFonts w:asciiTheme="minorHAnsi" w:hAnsiTheme="minorHAnsi" w:cs="Arial"/>
          <w:sz w:val="22"/>
          <w:szCs w:val="22"/>
        </w:rPr>
        <w:t xml:space="preserve"> </w:t>
      </w:r>
      <w:proofErr w:type="gramStart"/>
      <w:r w:rsidRPr="00C83CE6">
        <w:rPr>
          <w:rFonts w:asciiTheme="minorHAnsi" w:hAnsiTheme="minorHAnsi" w:cs="Arial"/>
          <w:sz w:val="22"/>
          <w:szCs w:val="22"/>
        </w:rPr>
        <w:t>obligation, and</w:t>
      </w:r>
      <w:proofErr w:type="gramEnd"/>
      <w:r w:rsidRPr="00C83CE6">
        <w:rPr>
          <w:rFonts w:asciiTheme="minorHAnsi" w:hAnsiTheme="minorHAnsi" w:cs="Arial"/>
          <w:sz w:val="22"/>
          <w:szCs w:val="22"/>
        </w:rPr>
        <w:t xml:space="preserve"> are measured at the best estimate at the balance sheet</w:t>
      </w:r>
      <w:r w:rsidR="009B71F0" w:rsidRPr="00C83CE6">
        <w:rPr>
          <w:rFonts w:asciiTheme="minorHAnsi" w:hAnsiTheme="minorHAnsi" w:cs="Arial"/>
          <w:sz w:val="22"/>
          <w:szCs w:val="22"/>
        </w:rPr>
        <w:t xml:space="preserve"> date</w:t>
      </w:r>
      <w:r w:rsidRPr="00C83CE6">
        <w:rPr>
          <w:rFonts w:asciiTheme="minorHAnsi" w:hAnsiTheme="minorHAnsi" w:cs="Arial"/>
          <w:sz w:val="22"/>
          <w:szCs w:val="22"/>
        </w:rPr>
        <w:t xml:space="preserve"> of the expenditure required to settle the obligation, taking into account relevant risks and uncertainties.</w:t>
      </w:r>
    </w:p>
    <w:p w14:paraId="394E3A77" w14:textId="77777777" w:rsidR="004B7E57" w:rsidRPr="00C83CE6" w:rsidRDefault="004B7E57" w:rsidP="00761172">
      <w:pPr>
        <w:widowControl w:val="0"/>
        <w:jc w:val="both"/>
        <w:rPr>
          <w:rFonts w:asciiTheme="minorHAnsi" w:hAnsiTheme="minorHAnsi" w:cs="Arial"/>
          <w:sz w:val="22"/>
          <w:szCs w:val="22"/>
        </w:rPr>
      </w:pPr>
      <w:r w:rsidRPr="00C83CE6">
        <w:rPr>
          <w:rFonts w:asciiTheme="minorHAnsi" w:hAnsiTheme="minorHAnsi" w:cs="Arial"/>
          <w:sz w:val="22"/>
          <w:szCs w:val="22"/>
        </w:rPr>
        <w:t xml:space="preserve">The main provisions held by the Council </w:t>
      </w:r>
      <w:proofErr w:type="gramStart"/>
      <w:r w:rsidRPr="00C83CE6">
        <w:rPr>
          <w:rFonts w:asciiTheme="minorHAnsi" w:hAnsiTheme="minorHAnsi" w:cs="Arial"/>
          <w:sz w:val="22"/>
          <w:szCs w:val="22"/>
        </w:rPr>
        <w:t>are:-</w:t>
      </w:r>
      <w:proofErr w:type="gramEnd"/>
    </w:p>
    <w:p w14:paraId="0925AECA" w14:textId="77777777" w:rsidR="004B7E57" w:rsidRPr="00C83CE6" w:rsidRDefault="004B7E57" w:rsidP="00C76AD3">
      <w:pPr>
        <w:widowControl w:val="0"/>
        <w:numPr>
          <w:ilvl w:val="0"/>
          <w:numId w:val="32"/>
        </w:numPr>
        <w:ind w:left="709" w:hanging="283"/>
        <w:jc w:val="both"/>
        <w:rPr>
          <w:rFonts w:asciiTheme="minorHAnsi" w:hAnsiTheme="minorHAnsi" w:cs="Arial"/>
          <w:sz w:val="22"/>
          <w:szCs w:val="22"/>
        </w:rPr>
      </w:pPr>
      <w:r w:rsidRPr="00C83CE6">
        <w:rPr>
          <w:rFonts w:asciiTheme="minorHAnsi" w:hAnsiTheme="minorHAnsi" w:cs="Arial"/>
          <w:sz w:val="22"/>
          <w:szCs w:val="22"/>
        </w:rPr>
        <w:t>Provision for Appeals (Business Rate Retention Scheme – Collection Fund).</w:t>
      </w:r>
    </w:p>
    <w:p w14:paraId="05AF40C5" w14:textId="77777777" w:rsidR="00354F45" w:rsidRPr="00C83CE6" w:rsidRDefault="00354F45" w:rsidP="00C76AD3">
      <w:pPr>
        <w:widowControl w:val="0"/>
        <w:numPr>
          <w:ilvl w:val="0"/>
          <w:numId w:val="32"/>
        </w:numPr>
        <w:ind w:left="709" w:hanging="283"/>
        <w:jc w:val="both"/>
        <w:rPr>
          <w:rFonts w:asciiTheme="minorHAnsi" w:hAnsiTheme="minorHAnsi" w:cs="Arial"/>
          <w:sz w:val="22"/>
          <w:szCs w:val="22"/>
        </w:rPr>
      </w:pPr>
      <w:r w:rsidRPr="00C83CE6">
        <w:rPr>
          <w:rFonts w:asciiTheme="minorHAnsi" w:hAnsiTheme="minorHAnsi" w:cs="Arial"/>
          <w:sz w:val="22"/>
          <w:szCs w:val="22"/>
        </w:rPr>
        <w:t>Provision for Employee termination Benefits (General Fund).</w:t>
      </w:r>
    </w:p>
    <w:p w14:paraId="2F5480B0" w14:textId="77777777" w:rsidR="004B7E57" w:rsidRPr="00C83CE6" w:rsidRDefault="004B7E57" w:rsidP="00761172">
      <w:pPr>
        <w:widowControl w:val="0"/>
        <w:ind w:left="850"/>
        <w:jc w:val="both"/>
        <w:rPr>
          <w:rFonts w:asciiTheme="minorHAnsi" w:hAnsiTheme="minorHAnsi" w:cs="Arial"/>
          <w:sz w:val="22"/>
          <w:szCs w:val="22"/>
          <w:highlight w:val="yellow"/>
        </w:rPr>
      </w:pPr>
    </w:p>
    <w:p w14:paraId="57D99F7A" w14:textId="669D4D2C" w:rsidR="004B7E57" w:rsidRPr="00CD7719" w:rsidRDefault="004B7E57" w:rsidP="00761172">
      <w:pPr>
        <w:widowControl w:val="0"/>
        <w:jc w:val="both"/>
        <w:rPr>
          <w:rFonts w:asciiTheme="minorHAnsi" w:hAnsiTheme="minorHAnsi" w:cs="Arial"/>
          <w:sz w:val="22"/>
          <w:szCs w:val="22"/>
        </w:rPr>
      </w:pPr>
      <w:r w:rsidRPr="00B019C5">
        <w:rPr>
          <w:rFonts w:asciiTheme="minorHAnsi" w:hAnsiTheme="minorHAnsi" w:cs="Arial"/>
          <w:sz w:val="22"/>
          <w:szCs w:val="22"/>
        </w:rPr>
        <w:t>Estimated settlements are reviewed at the end of each financial year – where it becomes less than probable that a transfer of economic benefits will now be required (or a lower settlement than anticipated is made),</w:t>
      </w:r>
      <w:r w:rsidRPr="00CD7719">
        <w:rPr>
          <w:rFonts w:asciiTheme="minorHAnsi" w:hAnsiTheme="minorHAnsi" w:cs="Arial"/>
          <w:sz w:val="22"/>
          <w:szCs w:val="22"/>
        </w:rPr>
        <w:t xml:space="preserve"> the provision is reversed and credited back to the relevant service. </w:t>
      </w:r>
    </w:p>
    <w:p w14:paraId="52C7E65B" w14:textId="34FF1551" w:rsidR="004B7E57"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Where some or all of the payment required to settle a provision is expected to be recovered from another party (</w:t>
      </w:r>
      <w:proofErr w:type="gramStart"/>
      <w:r w:rsidRPr="00CD7719">
        <w:rPr>
          <w:rFonts w:asciiTheme="minorHAnsi" w:hAnsiTheme="minorHAnsi" w:cs="Arial"/>
          <w:sz w:val="22"/>
          <w:szCs w:val="22"/>
        </w:rPr>
        <w:t>e.g.</w:t>
      </w:r>
      <w:proofErr w:type="gramEnd"/>
      <w:r w:rsidRPr="00CD7719">
        <w:rPr>
          <w:rFonts w:asciiTheme="minorHAnsi" w:hAnsiTheme="minorHAnsi" w:cs="Arial"/>
          <w:sz w:val="22"/>
          <w:szCs w:val="22"/>
        </w:rPr>
        <w:t xml:space="preserve"> from an insurance claim), this is only recognised as income for the relevant service if it is certain that reimbursement will be received if the Council settles the obligation. </w:t>
      </w:r>
    </w:p>
    <w:p w14:paraId="7CC9B24C" w14:textId="77777777" w:rsidR="001B4D9E" w:rsidRPr="00CD7719" w:rsidRDefault="001B4D9E" w:rsidP="00761172">
      <w:pPr>
        <w:widowControl w:val="0"/>
        <w:jc w:val="both"/>
        <w:rPr>
          <w:rFonts w:asciiTheme="minorHAnsi" w:hAnsiTheme="minorHAnsi" w:cs="Arial"/>
          <w:sz w:val="22"/>
          <w:szCs w:val="22"/>
        </w:rPr>
      </w:pPr>
    </w:p>
    <w:p w14:paraId="13F45D52" w14:textId="6383109E" w:rsidR="004B7E57" w:rsidRPr="00CD7719" w:rsidRDefault="004B7E57" w:rsidP="00761172">
      <w:pPr>
        <w:widowControl w:val="0"/>
        <w:jc w:val="both"/>
        <w:rPr>
          <w:rFonts w:asciiTheme="minorHAnsi" w:hAnsiTheme="minorHAnsi" w:cs="Arial"/>
          <w:b/>
          <w:sz w:val="22"/>
          <w:szCs w:val="22"/>
        </w:rPr>
      </w:pPr>
      <w:r w:rsidRPr="00CD7719">
        <w:rPr>
          <w:rFonts w:asciiTheme="minorHAnsi" w:hAnsiTheme="minorHAnsi" w:cs="Arial"/>
          <w:b/>
          <w:sz w:val="22"/>
          <w:szCs w:val="22"/>
        </w:rPr>
        <w:t>Contingent Liabilities</w:t>
      </w:r>
    </w:p>
    <w:p w14:paraId="20ACC0A6"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ab/>
      </w:r>
    </w:p>
    <w:p w14:paraId="1E675A14"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 xml:space="preserve">A contingent liability arises where an event has taken place that gives the Council a possible obligation whose existence will only be confirmed by the occurrence or otherwise of uncertain future events not wholly within the </w:t>
      </w:r>
      <w:r w:rsidRPr="00CD7719">
        <w:rPr>
          <w:rFonts w:asciiTheme="minorHAnsi" w:hAnsiTheme="minorHAnsi" w:cs="Arial"/>
          <w:sz w:val="22"/>
          <w:szCs w:val="22"/>
        </w:rPr>
        <w:lastRenderedPageBreak/>
        <w:t xml:space="preserve">control of the Council. Contingent liabilities also arise in circumstances where a provision would otherwise be made but either it is not probable that an outflow of resources will be </w:t>
      </w:r>
      <w:proofErr w:type="gramStart"/>
      <w:r w:rsidRPr="00CD7719">
        <w:rPr>
          <w:rFonts w:asciiTheme="minorHAnsi" w:hAnsiTheme="minorHAnsi" w:cs="Arial"/>
          <w:sz w:val="22"/>
          <w:szCs w:val="22"/>
        </w:rPr>
        <w:t>required</w:t>
      </w:r>
      <w:proofErr w:type="gramEnd"/>
      <w:r w:rsidRPr="00CD7719">
        <w:rPr>
          <w:rFonts w:asciiTheme="minorHAnsi" w:hAnsiTheme="minorHAnsi" w:cs="Arial"/>
          <w:sz w:val="22"/>
          <w:szCs w:val="22"/>
        </w:rPr>
        <w:t xml:space="preserve"> or the amount of the obligation cannot be measured reliably. </w:t>
      </w:r>
    </w:p>
    <w:p w14:paraId="7DF76676"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Contingent liabilities are not recognised in the Balance Sheet but disclosed in a note to the accounts.</w:t>
      </w:r>
    </w:p>
    <w:p w14:paraId="34678763" w14:textId="77C6A2BA" w:rsidR="00274A22" w:rsidRPr="00CD7719" w:rsidRDefault="004B7E57" w:rsidP="00761172">
      <w:pPr>
        <w:widowControl w:val="0"/>
        <w:ind w:hanging="426"/>
        <w:jc w:val="both"/>
        <w:rPr>
          <w:rFonts w:asciiTheme="minorHAnsi" w:hAnsiTheme="minorHAnsi" w:cs="Arial"/>
          <w:sz w:val="22"/>
          <w:szCs w:val="22"/>
        </w:rPr>
      </w:pPr>
      <w:r w:rsidRPr="00CD7719">
        <w:rPr>
          <w:rFonts w:asciiTheme="minorHAnsi" w:hAnsiTheme="minorHAnsi" w:cs="Arial"/>
          <w:sz w:val="22"/>
          <w:szCs w:val="22"/>
        </w:rPr>
        <w:tab/>
      </w:r>
    </w:p>
    <w:p w14:paraId="2A886F9E" w14:textId="77777777" w:rsidR="004B7E57" w:rsidRPr="00CD7719" w:rsidRDefault="004B7E57" w:rsidP="00761172">
      <w:pPr>
        <w:widowControl w:val="0"/>
        <w:jc w:val="both"/>
        <w:rPr>
          <w:rFonts w:asciiTheme="minorHAnsi" w:hAnsiTheme="minorHAnsi" w:cs="Arial"/>
          <w:b/>
          <w:sz w:val="22"/>
          <w:szCs w:val="22"/>
        </w:rPr>
      </w:pPr>
      <w:r w:rsidRPr="00CD7719">
        <w:rPr>
          <w:rFonts w:asciiTheme="minorHAnsi" w:hAnsiTheme="minorHAnsi" w:cs="Arial"/>
          <w:b/>
          <w:sz w:val="22"/>
          <w:szCs w:val="22"/>
        </w:rPr>
        <w:t>Contingent Assets</w:t>
      </w:r>
    </w:p>
    <w:p w14:paraId="4F2EB7D8" w14:textId="77777777" w:rsidR="004B7E57" w:rsidRPr="00CD7719" w:rsidRDefault="004B7E57" w:rsidP="00761172">
      <w:pPr>
        <w:widowControl w:val="0"/>
        <w:jc w:val="both"/>
        <w:rPr>
          <w:rFonts w:asciiTheme="minorHAnsi" w:hAnsiTheme="minorHAnsi" w:cs="Arial"/>
          <w:b/>
          <w:sz w:val="22"/>
          <w:szCs w:val="22"/>
        </w:rPr>
      </w:pPr>
    </w:p>
    <w:p w14:paraId="4E4FC331" w14:textId="77777777" w:rsidR="004B7E57" w:rsidRPr="00CD7719" w:rsidRDefault="004B7E57" w:rsidP="00761172">
      <w:pPr>
        <w:widowControl w:val="0"/>
        <w:ind w:hanging="426"/>
        <w:jc w:val="both"/>
        <w:rPr>
          <w:rFonts w:asciiTheme="minorHAnsi" w:hAnsiTheme="minorHAnsi" w:cs="Arial"/>
          <w:sz w:val="22"/>
          <w:szCs w:val="22"/>
        </w:rPr>
      </w:pPr>
      <w:r w:rsidRPr="00CD7719">
        <w:rPr>
          <w:rFonts w:asciiTheme="minorHAnsi" w:hAnsiTheme="minorHAnsi" w:cs="Arial"/>
          <w:b/>
          <w:sz w:val="22"/>
          <w:szCs w:val="22"/>
        </w:rPr>
        <w:tab/>
      </w:r>
      <w:r w:rsidRPr="00CD7719">
        <w:rPr>
          <w:rFonts w:asciiTheme="minorHAnsi" w:hAnsiTheme="minorHAnsi" w:cs="Arial"/>
          <w:sz w:val="22"/>
          <w:szCs w:val="22"/>
        </w:rPr>
        <w:t>A contingent asset arises where an event has taken place that gives the Council a possible asset whose existence will only be confirmed by the occurrence or otherwise of uncertain future events not wholly within the control of the Council.</w:t>
      </w:r>
    </w:p>
    <w:p w14:paraId="650013F4" w14:textId="77777777" w:rsidR="004B7E57" w:rsidRDefault="004B7E57" w:rsidP="00761172">
      <w:pPr>
        <w:widowControl w:val="0"/>
        <w:spacing w:after="60"/>
        <w:ind w:hanging="426"/>
        <w:jc w:val="both"/>
        <w:rPr>
          <w:rFonts w:asciiTheme="minorHAnsi" w:hAnsiTheme="minorHAnsi" w:cs="Arial"/>
          <w:sz w:val="22"/>
          <w:szCs w:val="22"/>
        </w:rPr>
      </w:pPr>
      <w:r w:rsidRPr="00CD7719">
        <w:rPr>
          <w:rFonts w:asciiTheme="minorHAnsi" w:hAnsiTheme="minorHAnsi" w:cs="Arial"/>
          <w:sz w:val="22"/>
          <w:szCs w:val="22"/>
        </w:rPr>
        <w:tab/>
        <w:t xml:space="preserve">Contingent assets are not recognised in the Balance Sheet but disclosed in a note to the accounts where it is probable that there will be an inflow of economic benefits or service potential.  </w:t>
      </w:r>
    </w:p>
    <w:p w14:paraId="16E9670F" w14:textId="77777777" w:rsidR="0061492C" w:rsidRPr="00CD7719" w:rsidRDefault="0061492C" w:rsidP="00761172">
      <w:pPr>
        <w:widowControl w:val="0"/>
        <w:spacing w:after="60"/>
        <w:ind w:hanging="426"/>
        <w:jc w:val="both"/>
        <w:rPr>
          <w:rFonts w:asciiTheme="minorHAnsi" w:hAnsiTheme="minorHAnsi" w:cs="Arial"/>
          <w:sz w:val="22"/>
          <w:szCs w:val="22"/>
        </w:rPr>
      </w:pPr>
    </w:p>
    <w:p w14:paraId="5B20DF21" w14:textId="77777777" w:rsidR="004B7E57" w:rsidRPr="00CD7719" w:rsidRDefault="009B71F0" w:rsidP="004B7E57">
      <w:pPr>
        <w:widowControl w:val="0"/>
        <w:jc w:val="both"/>
        <w:rPr>
          <w:rFonts w:asciiTheme="minorHAnsi" w:hAnsiTheme="minorHAnsi" w:cs="Arial"/>
          <w:b/>
          <w:sz w:val="24"/>
          <w:szCs w:val="24"/>
        </w:rPr>
      </w:pPr>
      <w:r>
        <w:rPr>
          <w:rFonts w:asciiTheme="minorHAnsi" w:hAnsiTheme="minorHAnsi" w:cs="Arial"/>
          <w:b/>
          <w:sz w:val="24"/>
          <w:szCs w:val="24"/>
        </w:rPr>
        <w:t>n</w:t>
      </w:r>
      <w:r w:rsidR="004B7E57" w:rsidRPr="00CD7719">
        <w:rPr>
          <w:rFonts w:asciiTheme="minorHAnsi" w:hAnsiTheme="minorHAnsi" w:cs="Arial"/>
          <w:b/>
          <w:sz w:val="24"/>
          <w:szCs w:val="24"/>
        </w:rPr>
        <w:t>)    Reserves</w:t>
      </w:r>
    </w:p>
    <w:p w14:paraId="171CD56C" w14:textId="77777777" w:rsidR="004B7E57" w:rsidRPr="00CD7719" w:rsidRDefault="004B7E57" w:rsidP="004B7E57">
      <w:pPr>
        <w:widowControl w:val="0"/>
        <w:ind w:left="-11"/>
        <w:jc w:val="both"/>
        <w:rPr>
          <w:rFonts w:asciiTheme="minorHAnsi" w:hAnsiTheme="minorHAnsi" w:cs="Arial"/>
          <w:sz w:val="22"/>
          <w:szCs w:val="22"/>
        </w:rPr>
      </w:pPr>
    </w:p>
    <w:p w14:paraId="4834614E"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 xml:space="preserve">The Council sets aside specific amounts as reserves for future policy purposes or to cover contingencies.  Reserves are created by </w:t>
      </w:r>
      <w:r w:rsidR="00AA2F06">
        <w:rPr>
          <w:rFonts w:asciiTheme="minorHAnsi" w:hAnsiTheme="minorHAnsi" w:cs="Arial"/>
          <w:sz w:val="22"/>
          <w:szCs w:val="22"/>
        </w:rPr>
        <w:t>transferring</w:t>
      </w:r>
      <w:r w:rsidRPr="00CD7719">
        <w:rPr>
          <w:rFonts w:asciiTheme="minorHAnsi" w:hAnsiTheme="minorHAnsi" w:cs="Arial"/>
          <w:sz w:val="22"/>
          <w:szCs w:val="22"/>
        </w:rPr>
        <w:t xml:space="preserve"> amounts out of the General Fund Balance. When expenditure to be financed from a reserve is incurred, it is charged to the appropriate service in that year to </w:t>
      </w:r>
      <w:r w:rsidR="00621855">
        <w:rPr>
          <w:rFonts w:asciiTheme="minorHAnsi" w:hAnsiTheme="minorHAnsi" w:cs="Arial"/>
          <w:sz w:val="22"/>
          <w:szCs w:val="22"/>
        </w:rPr>
        <w:t>count</w:t>
      </w:r>
      <w:r w:rsidRPr="00CD7719">
        <w:rPr>
          <w:rFonts w:asciiTheme="minorHAnsi" w:hAnsiTheme="minorHAnsi" w:cs="Arial"/>
          <w:sz w:val="22"/>
          <w:szCs w:val="22"/>
        </w:rPr>
        <w:t xml:space="preserve"> against the Surplus or Deficit on the Provision of Services in the Comprehensive Income and Expenditure Statement.  The reserve is then </w:t>
      </w:r>
      <w:r w:rsidR="00AA2F06">
        <w:rPr>
          <w:rFonts w:asciiTheme="minorHAnsi" w:hAnsiTheme="minorHAnsi" w:cs="Arial"/>
          <w:sz w:val="22"/>
          <w:szCs w:val="22"/>
        </w:rPr>
        <w:t>transferred</w:t>
      </w:r>
      <w:r w:rsidRPr="00CD7719">
        <w:rPr>
          <w:rFonts w:asciiTheme="minorHAnsi" w:hAnsiTheme="minorHAnsi" w:cs="Arial"/>
          <w:sz w:val="22"/>
          <w:szCs w:val="22"/>
        </w:rPr>
        <w:t xml:space="preserve"> bac</w:t>
      </w:r>
      <w:r w:rsidR="00AA2F06">
        <w:rPr>
          <w:rFonts w:asciiTheme="minorHAnsi" w:hAnsiTheme="minorHAnsi" w:cs="Arial"/>
          <w:sz w:val="22"/>
          <w:szCs w:val="22"/>
        </w:rPr>
        <w:t>k into the General Fund Balance</w:t>
      </w:r>
      <w:r w:rsidRPr="00CD7719">
        <w:rPr>
          <w:rFonts w:asciiTheme="minorHAnsi" w:hAnsiTheme="minorHAnsi" w:cs="Arial"/>
          <w:sz w:val="22"/>
          <w:szCs w:val="22"/>
        </w:rPr>
        <w:t xml:space="preserve"> so that there is no net charge against council tax for the expenditure.</w:t>
      </w:r>
    </w:p>
    <w:p w14:paraId="1C85DBB5" w14:textId="77777777" w:rsidR="004B7E57" w:rsidRPr="00CD7719" w:rsidRDefault="004B7E57" w:rsidP="00761172">
      <w:pPr>
        <w:widowControl w:val="0"/>
        <w:jc w:val="both"/>
        <w:rPr>
          <w:rFonts w:asciiTheme="minorHAnsi" w:hAnsiTheme="minorHAnsi" w:cs="Arial"/>
          <w:sz w:val="22"/>
          <w:szCs w:val="22"/>
        </w:rPr>
      </w:pPr>
    </w:p>
    <w:p w14:paraId="564A7795"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 xml:space="preserve">Certain reserves are kept </w:t>
      </w:r>
      <w:proofErr w:type="gramStart"/>
      <w:r w:rsidRPr="00CD7719">
        <w:rPr>
          <w:rFonts w:asciiTheme="minorHAnsi" w:hAnsiTheme="minorHAnsi" w:cs="Arial"/>
          <w:sz w:val="22"/>
          <w:szCs w:val="22"/>
        </w:rPr>
        <w:t>to manage</w:t>
      </w:r>
      <w:proofErr w:type="gramEnd"/>
      <w:r w:rsidRPr="00CD7719">
        <w:rPr>
          <w:rFonts w:asciiTheme="minorHAnsi" w:hAnsiTheme="minorHAnsi" w:cs="Arial"/>
          <w:sz w:val="22"/>
          <w:szCs w:val="22"/>
        </w:rPr>
        <w:t xml:space="preserve"> the accounting processes for non-current assets, financial instruments, and retirement and employee benefits and do not represent usable resources for the Council – these reserves are explained in the relevant policies.</w:t>
      </w:r>
      <w:r w:rsidR="00E64FBD">
        <w:rPr>
          <w:rFonts w:asciiTheme="minorHAnsi" w:hAnsiTheme="minorHAnsi" w:cs="Arial"/>
          <w:sz w:val="22"/>
          <w:szCs w:val="22"/>
        </w:rPr>
        <w:t xml:space="preserve">  Other reserve</w:t>
      </w:r>
      <w:r w:rsidR="008227D2">
        <w:rPr>
          <w:rFonts w:asciiTheme="minorHAnsi" w:hAnsiTheme="minorHAnsi" w:cs="Arial"/>
          <w:sz w:val="22"/>
          <w:szCs w:val="22"/>
        </w:rPr>
        <w:t>s</w:t>
      </w:r>
      <w:r w:rsidR="00E64FBD">
        <w:rPr>
          <w:rFonts w:asciiTheme="minorHAnsi" w:hAnsiTheme="minorHAnsi" w:cs="Arial"/>
          <w:sz w:val="22"/>
          <w:szCs w:val="22"/>
        </w:rPr>
        <w:t xml:space="preserve"> are maintained for specific purposes – these reserves are explained under the Earmarked Reserves note.</w:t>
      </w:r>
    </w:p>
    <w:p w14:paraId="01DA7E40" w14:textId="77777777" w:rsidR="004B7E57" w:rsidRPr="00CD7719" w:rsidRDefault="004B7E57" w:rsidP="00761172">
      <w:pPr>
        <w:widowControl w:val="0"/>
        <w:jc w:val="both"/>
        <w:rPr>
          <w:rFonts w:asciiTheme="minorHAnsi" w:hAnsiTheme="minorHAnsi" w:cs="Arial"/>
          <w:sz w:val="22"/>
          <w:szCs w:val="22"/>
        </w:rPr>
      </w:pPr>
    </w:p>
    <w:p w14:paraId="362A1F0A" w14:textId="77777777" w:rsidR="004B7E57" w:rsidRPr="00CD7719" w:rsidRDefault="004B7E57" w:rsidP="00761172">
      <w:pPr>
        <w:widowControl w:val="0"/>
        <w:jc w:val="both"/>
        <w:rPr>
          <w:rFonts w:asciiTheme="minorHAnsi" w:hAnsiTheme="minorHAnsi" w:cs="Arial"/>
          <w:sz w:val="22"/>
          <w:szCs w:val="22"/>
        </w:rPr>
      </w:pPr>
      <w:r w:rsidRPr="00CD7719">
        <w:rPr>
          <w:rFonts w:asciiTheme="minorHAnsi" w:hAnsiTheme="minorHAnsi" w:cs="Arial"/>
          <w:sz w:val="22"/>
          <w:szCs w:val="22"/>
        </w:rPr>
        <w:t xml:space="preserve"> The following </w:t>
      </w:r>
      <w:r w:rsidR="00E64FBD">
        <w:rPr>
          <w:rFonts w:asciiTheme="minorHAnsi" w:hAnsiTheme="minorHAnsi" w:cs="Arial"/>
          <w:sz w:val="22"/>
          <w:szCs w:val="22"/>
        </w:rPr>
        <w:t xml:space="preserve">other </w:t>
      </w:r>
      <w:r w:rsidRPr="00CD7719">
        <w:rPr>
          <w:rFonts w:asciiTheme="minorHAnsi" w:hAnsiTheme="minorHAnsi" w:cs="Arial"/>
          <w:sz w:val="22"/>
          <w:szCs w:val="22"/>
        </w:rPr>
        <w:t xml:space="preserve">reserves are </w:t>
      </w:r>
      <w:proofErr w:type="gramStart"/>
      <w:r w:rsidRPr="00CD7719">
        <w:rPr>
          <w:rFonts w:asciiTheme="minorHAnsi" w:hAnsiTheme="minorHAnsi" w:cs="Arial"/>
          <w:sz w:val="22"/>
          <w:szCs w:val="22"/>
        </w:rPr>
        <w:t>maintained:-</w:t>
      </w:r>
      <w:proofErr w:type="gramEnd"/>
    </w:p>
    <w:p w14:paraId="08F5888C" w14:textId="77777777" w:rsidR="004B7E57" w:rsidRPr="00CD7719" w:rsidRDefault="004B7E57" w:rsidP="004B7E57">
      <w:pPr>
        <w:widowControl w:val="0"/>
        <w:spacing w:line="216" w:lineRule="auto"/>
        <w:ind w:left="426" w:hanging="426"/>
        <w:jc w:val="both"/>
        <w:rPr>
          <w:rFonts w:asciiTheme="minorHAnsi" w:hAnsiTheme="minorHAnsi" w:cs="Arial"/>
          <w:sz w:val="22"/>
          <w:szCs w:val="22"/>
        </w:rPr>
      </w:pPr>
    </w:p>
    <w:p w14:paraId="4E841908" w14:textId="2C02E491" w:rsidR="004B7E57" w:rsidRPr="00CD7719" w:rsidRDefault="004B7E57" w:rsidP="00C76AD3">
      <w:pPr>
        <w:widowControl w:val="0"/>
        <w:numPr>
          <w:ilvl w:val="0"/>
          <w:numId w:val="33"/>
        </w:numPr>
        <w:spacing w:after="120"/>
        <w:ind w:left="714" w:hanging="357"/>
        <w:jc w:val="both"/>
        <w:rPr>
          <w:rFonts w:asciiTheme="minorHAnsi" w:hAnsiTheme="minorHAnsi" w:cs="Arial"/>
          <w:sz w:val="22"/>
          <w:szCs w:val="22"/>
        </w:rPr>
      </w:pPr>
      <w:r w:rsidRPr="00CD7719">
        <w:rPr>
          <w:rFonts w:asciiTheme="minorHAnsi" w:hAnsiTheme="minorHAnsi" w:cs="Arial"/>
          <w:b/>
          <w:sz w:val="22"/>
          <w:szCs w:val="22"/>
        </w:rPr>
        <w:t xml:space="preserve">HRA Working Balance – </w:t>
      </w:r>
      <w:r w:rsidRPr="00CD7719">
        <w:rPr>
          <w:rFonts w:asciiTheme="minorHAnsi" w:hAnsiTheme="minorHAnsi" w:cs="Arial"/>
          <w:sz w:val="22"/>
          <w:szCs w:val="22"/>
        </w:rPr>
        <w:t xml:space="preserve">amounts are set aside from the Housing Revenue Account (HRA) </w:t>
      </w:r>
      <w:r w:rsidR="00C75411">
        <w:rPr>
          <w:rFonts w:asciiTheme="minorHAnsi" w:hAnsiTheme="minorHAnsi" w:cs="Arial"/>
          <w:sz w:val="22"/>
          <w:szCs w:val="22"/>
        </w:rPr>
        <w:t xml:space="preserve">representing reserves held as a working balance for contingency </w:t>
      </w:r>
      <w:proofErr w:type="gramStart"/>
      <w:r w:rsidR="00C75411">
        <w:rPr>
          <w:rFonts w:asciiTheme="minorHAnsi" w:hAnsiTheme="minorHAnsi" w:cs="Arial"/>
          <w:sz w:val="22"/>
          <w:szCs w:val="22"/>
        </w:rPr>
        <w:t xml:space="preserve">purposes, </w:t>
      </w:r>
      <w:r w:rsidRPr="00CD7719">
        <w:rPr>
          <w:rFonts w:asciiTheme="minorHAnsi" w:hAnsiTheme="minorHAnsi" w:cs="Arial"/>
          <w:sz w:val="22"/>
          <w:szCs w:val="22"/>
        </w:rPr>
        <w:t>and</w:t>
      </w:r>
      <w:proofErr w:type="gramEnd"/>
      <w:r w:rsidRPr="00CD7719">
        <w:rPr>
          <w:rFonts w:asciiTheme="minorHAnsi" w:hAnsiTheme="minorHAnsi" w:cs="Arial"/>
          <w:sz w:val="22"/>
          <w:szCs w:val="22"/>
        </w:rPr>
        <w:t xml:space="preserve"> can be used to fund expenditure of a revenue and capital nature on the Council’s housing stock. </w:t>
      </w:r>
      <w:r w:rsidRPr="00CD7719">
        <w:rPr>
          <w:rFonts w:asciiTheme="minorHAnsi" w:hAnsiTheme="minorHAnsi" w:cs="Arial"/>
          <w:b/>
          <w:sz w:val="22"/>
          <w:szCs w:val="22"/>
        </w:rPr>
        <w:t xml:space="preserve"> </w:t>
      </w:r>
    </w:p>
    <w:p w14:paraId="3CC12E42" w14:textId="77777777" w:rsidR="004B7E57" w:rsidRPr="00CD7719" w:rsidRDefault="004B7E57" w:rsidP="00C76AD3">
      <w:pPr>
        <w:widowControl w:val="0"/>
        <w:numPr>
          <w:ilvl w:val="0"/>
          <w:numId w:val="33"/>
        </w:numPr>
        <w:spacing w:after="120"/>
        <w:ind w:left="714" w:hanging="357"/>
        <w:jc w:val="both"/>
        <w:rPr>
          <w:rFonts w:asciiTheme="minorHAnsi" w:hAnsiTheme="minorHAnsi" w:cs="Arial"/>
          <w:sz w:val="22"/>
          <w:szCs w:val="22"/>
        </w:rPr>
      </w:pPr>
      <w:r w:rsidRPr="00CD7719">
        <w:rPr>
          <w:rFonts w:asciiTheme="minorHAnsi" w:hAnsiTheme="minorHAnsi" w:cs="Arial"/>
          <w:b/>
          <w:sz w:val="22"/>
          <w:szCs w:val="22"/>
        </w:rPr>
        <w:t>General Expenses and Special Expenses (Melton Mowbray) Working Balances</w:t>
      </w:r>
      <w:r w:rsidRPr="00CD7719">
        <w:rPr>
          <w:rFonts w:asciiTheme="minorHAnsi" w:hAnsiTheme="minorHAnsi" w:cs="Arial"/>
          <w:sz w:val="22"/>
          <w:szCs w:val="22"/>
        </w:rPr>
        <w:t xml:space="preserve"> – these represent reserves held as a working balance for contingency purposes (</w:t>
      </w:r>
      <w:proofErr w:type="gramStart"/>
      <w:r w:rsidRPr="00CD7719">
        <w:rPr>
          <w:rFonts w:asciiTheme="minorHAnsi" w:hAnsiTheme="minorHAnsi" w:cs="Arial"/>
          <w:sz w:val="22"/>
          <w:szCs w:val="22"/>
        </w:rPr>
        <w:t>e.g.</w:t>
      </w:r>
      <w:proofErr w:type="gramEnd"/>
      <w:r w:rsidRPr="00CD7719">
        <w:rPr>
          <w:rFonts w:asciiTheme="minorHAnsi" w:hAnsiTheme="minorHAnsi" w:cs="Arial"/>
          <w:sz w:val="22"/>
          <w:szCs w:val="22"/>
        </w:rPr>
        <w:t xml:space="preserve"> for emergencies) and the appropriate level is reviewed annually as part of the budget setting process.</w:t>
      </w:r>
      <w:r w:rsidRPr="00CD7719">
        <w:rPr>
          <w:rFonts w:asciiTheme="minorHAnsi" w:hAnsiTheme="minorHAnsi" w:cs="Arial"/>
          <w:b/>
          <w:sz w:val="22"/>
          <w:szCs w:val="22"/>
        </w:rPr>
        <w:t xml:space="preserve"> </w:t>
      </w:r>
    </w:p>
    <w:p w14:paraId="5A187876" w14:textId="77777777" w:rsidR="004B7E57" w:rsidRPr="00CD7719" w:rsidRDefault="004B7E57" w:rsidP="00C76AD3">
      <w:pPr>
        <w:pStyle w:val="ListParagraph"/>
        <w:widowControl w:val="0"/>
        <w:numPr>
          <w:ilvl w:val="0"/>
          <w:numId w:val="33"/>
        </w:numPr>
        <w:spacing w:after="120"/>
        <w:ind w:left="714" w:hanging="357"/>
        <w:jc w:val="both"/>
        <w:rPr>
          <w:rFonts w:asciiTheme="minorHAnsi" w:hAnsiTheme="minorHAnsi" w:cs="Arial"/>
          <w:sz w:val="22"/>
          <w:szCs w:val="22"/>
        </w:rPr>
      </w:pPr>
      <w:r w:rsidRPr="00CD7719">
        <w:rPr>
          <w:rFonts w:asciiTheme="minorHAnsi" w:hAnsiTheme="minorHAnsi" w:cs="Arial"/>
          <w:b/>
          <w:sz w:val="22"/>
          <w:szCs w:val="22"/>
        </w:rPr>
        <w:t xml:space="preserve">Capital Receipts Reserve </w:t>
      </w:r>
      <w:r w:rsidRPr="00CD7719">
        <w:rPr>
          <w:rFonts w:asciiTheme="minorHAnsi" w:hAnsiTheme="minorHAnsi" w:cs="Arial"/>
          <w:sz w:val="22"/>
          <w:szCs w:val="22"/>
        </w:rPr>
        <w:t xml:space="preserve">– income received from the sale of assets and may be used to repay loan debt or to finance new capital expenditure. </w:t>
      </w:r>
    </w:p>
    <w:p w14:paraId="77D22294" w14:textId="77777777" w:rsidR="008227D2" w:rsidRPr="008227D2" w:rsidRDefault="004B7E57" w:rsidP="00C76AD3">
      <w:pPr>
        <w:pStyle w:val="ListParagraph"/>
        <w:widowControl w:val="0"/>
        <w:numPr>
          <w:ilvl w:val="0"/>
          <w:numId w:val="33"/>
        </w:numPr>
        <w:spacing w:after="120"/>
        <w:ind w:left="714" w:hanging="357"/>
        <w:jc w:val="both"/>
        <w:rPr>
          <w:rFonts w:asciiTheme="minorHAnsi" w:hAnsiTheme="minorHAnsi" w:cs="Arial"/>
          <w:sz w:val="22"/>
          <w:szCs w:val="22"/>
        </w:rPr>
      </w:pPr>
      <w:r w:rsidRPr="00CD7719">
        <w:rPr>
          <w:rFonts w:asciiTheme="minorHAnsi" w:hAnsiTheme="minorHAnsi" w:cs="Arial"/>
          <w:b/>
          <w:sz w:val="22"/>
          <w:szCs w:val="22"/>
        </w:rPr>
        <w:t>Capital Contributions Unapplied</w:t>
      </w:r>
      <w:r w:rsidRPr="00CD7719">
        <w:rPr>
          <w:rFonts w:asciiTheme="minorHAnsi" w:hAnsiTheme="minorHAnsi" w:cs="Arial"/>
          <w:sz w:val="22"/>
          <w:szCs w:val="22"/>
        </w:rPr>
        <w:t xml:space="preserve"> – this represents amounts received from third parties for the financing of capital expenditure but not yet applied.</w:t>
      </w:r>
    </w:p>
    <w:p w14:paraId="53856E31" w14:textId="77777777" w:rsidR="004B7E57" w:rsidRPr="00CD7719" w:rsidRDefault="004B7E57" w:rsidP="00C76AD3">
      <w:pPr>
        <w:pStyle w:val="BodyTextIndent"/>
        <w:numPr>
          <w:ilvl w:val="0"/>
          <w:numId w:val="33"/>
        </w:numPr>
        <w:tabs>
          <w:tab w:val="clear" w:pos="2160"/>
          <w:tab w:val="clear" w:pos="7200"/>
          <w:tab w:val="clear" w:pos="7920"/>
        </w:tabs>
        <w:spacing w:after="120" w:line="216" w:lineRule="auto"/>
        <w:ind w:left="714" w:hanging="357"/>
        <w:rPr>
          <w:rFonts w:asciiTheme="minorHAnsi" w:hAnsiTheme="minorHAnsi" w:cs="Arial"/>
          <w:sz w:val="22"/>
          <w:szCs w:val="22"/>
        </w:rPr>
      </w:pPr>
      <w:r w:rsidRPr="00CD7719">
        <w:rPr>
          <w:rFonts w:asciiTheme="minorHAnsi" w:hAnsiTheme="minorHAnsi" w:cs="Arial"/>
          <w:b/>
          <w:sz w:val="22"/>
          <w:szCs w:val="22"/>
        </w:rPr>
        <w:t>Major Repairs Reserve</w:t>
      </w:r>
      <w:r w:rsidRPr="00CD7719">
        <w:rPr>
          <w:rFonts w:asciiTheme="minorHAnsi" w:hAnsiTheme="minorHAnsi" w:cs="Arial"/>
          <w:sz w:val="22"/>
          <w:szCs w:val="22"/>
        </w:rPr>
        <w:t xml:space="preserve"> – this represents amounts set aside as depreciation from the HRA to finance capital expenditure to alleviate housing repairs problems.</w:t>
      </w:r>
    </w:p>
    <w:p w14:paraId="40E13354" w14:textId="77777777" w:rsidR="004B7E57" w:rsidRPr="00CD7719" w:rsidRDefault="004B7E57" w:rsidP="00C76AD3">
      <w:pPr>
        <w:pStyle w:val="BodyTextIndent"/>
        <w:numPr>
          <w:ilvl w:val="0"/>
          <w:numId w:val="33"/>
        </w:numPr>
        <w:tabs>
          <w:tab w:val="clear" w:pos="2160"/>
          <w:tab w:val="clear" w:pos="7200"/>
          <w:tab w:val="clear" w:pos="7920"/>
        </w:tabs>
        <w:spacing w:after="120" w:line="216" w:lineRule="auto"/>
        <w:ind w:left="714" w:hanging="357"/>
        <w:rPr>
          <w:rFonts w:asciiTheme="minorHAnsi" w:hAnsiTheme="minorHAnsi" w:cs="Arial"/>
          <w:sz w:val="22"/>
          <w:szCs w:val="22"/>
        </w:rPr>
      </w:pPr>
      <w:r w:rsidRPr="00CD7719">
        <w:rPr>
          <w:rFonts w:asciiTheme="minorHAnsi" w:hAnsiTheme="minorHAnsi" w:cs="Arial"/>
          <w:b/>
          <w:sz w:val="22"/>
          <w:szCs w:val="22"/>
        </w:rPr>
        <w:t>Pensions Reserve</w:t>
      </w:r>
      <w:r w:rsidRPr="00CD7719">
        <w:rPr>
          <w:rFonts w:asciiTheme="minorHAnsi" w:hAnsiTheme="minorHAnsi" w:cs="Arial"/>
          <w:sz w:val="22"/>
          <w:szCs w:val="22"/>
        </w:rPr>
        <w:t xml:space="preserve"> – reflects the net assets/liabilities of the Pension Fund.</w:t>
      </w:r>
    </w:p>
    <w:p w14:paraId="1A7AFC14" w14:textId="77777777" w:rsidR="004B7E57" w:rsidRPr="00CD7719" w:rsidRDefault="004B7E57" w:rsidP="00C76AD3">
      <w:pPr>
        <w:pStyle w:val="BodyTextIndent"/>
        <w:numPr>
          <w:ilvl w:val="0"/>
          <w:numId w:val="33"/>
        </w:numPr>
        <w:tabs>
          <w:tab w:val="clear" w:pos="2160"/>
          <w:tab w:val="clear" w:pos="7200"/>
          <w:tab w:val="clear" w:pos="7920"/>
        </w:tabs>
        <w:spacing w:after="120" w:line="216" w:lineRule="auto"/>
        <w:ind w:left="714" w:hanging="357"/>
        <w:rPr>
          <w:rFonts w:asciiTheme="minorHAnsi" w:hAnsiTheme="minorHAnsi" w:cs="Arial"/>
          <w:sz w:val="22"/>
          <w:szCs w:val="22"/>
        </w:rPr>
      </w:pPr>
      <w:r w:rsidRPr="00CD7719">
        <w:rPr>
          <w:rFonts w:asciiTheme="minorHAnsi" w:hAnsiTheme="minorHAnsi" w:cs="Arial"/>
          <w:b/>
          <w:sz w:val="22"/>
          <w:szCs w:val="22"/>
        </w:rPr>
        <w:t xml:space="preserve">S106 Projects – </w:t>
      </w:r>
      <w:r w:rsidRPr="00CD7719">
        <w:rPr>
          <w:rFonts w:asciiTheme="minorHAnsi" w:hAnsiTheme="minorHAnsi" w:cs="Arial"/>
          <w:sz w:val="22"/>
          <w:szCs w:val="22"/>
        </w:rPr>
        <w:t>Funds received from developers contributing towards various schemes.</w:t>
      </w:r>
    </w:p>
    <w:p w14:paraId="7B254794" w14:textId="61D9CA4D" w:rsidR="004B7E57" w:rsidRDefault="004B7E57" w:rsidP="008227D2">
      <w:pPr>
        <w:widowControl w:val="0"/>
        <w:spacing w:line="228" w:lineRule="auto"/>
        <w:ind w:left="720" w:right="-144" w:hanging="720"/>
        <w:jc w:val="both"/>
        <w:rPr>
          <w:rFonts w:asciiTheme="minorHAnsi" w:hAnsiTheme="minorHAnsi" w:cs="Arial"/>
          <w:sz w:val="22"/>
          <w:szCs w:val="22"/>
        </w:rPr>
      </w:pPr>
    </w:p>
    <w:p w14:paraId="6038016F" w14:textId="77777777" w:rsidR="004B7E57" w:rsidRPr="00CD7719" w:rsidRDefault="009B71F0" w:rsidP="004B7E57">
      <w:pPr>
        <w:widowControl w:val="0"/>
        <w:spacing w:line="216" w:lineRule="auto"/>
        <w:ind w:left="425" w:hanging="426"/>
        <w:jc w:val="both"/>
        <w:rPr>
          <w:rFonts w:asciiTheme="minorHAnsi" w:hAnsiTheme="minorHAnsi" w:cs="Arial"/>
          <w:b/>
          <w:sz w:val="24"/>
          <w:szCs w:val="24"/>
        </w:rPr>
      </w:pPr>
      <w:r>
        <w:rPr>
          <w:rFonts w:asciiTheme="minorHAnsi" w:hAnsiTheme="minorHAnsi" w:cs="Arial"/>
          <w:b/>
          <w:sz w:val="24"/>
          <w:szCs w:val="24"/>
        </w:rPr>
        <w:t>o</w:t>
      </w:r>
      <w:r w:rsidR="004B7E57" w:rsidRPr="00CD7719">
        <w:rPr>
          <w:rFonts w:asciiTheme="minorHAnsi" w:hAnsiTheme="minorHAnsi" w:cs="Arial"/>
          <w:b/>
          <w:sz w:val="24"/>
          <w:szCs w:val="24"/>
        </w:rPr>
        <w:t>)</w:t>
      </w:r>
      <w:r w:rsidR="004B7E57" w:rsidRPr="00CD7719">
        <w:rPr>
          <w:rFonts w:asciiTheme="minorHAnsi" w:hAnsiTheme="minorHAnsi" w:cs="Arial"/>
          <w:sz w:val="24"/>
          <w:szCs w:val="24"/>
        </w:rPr>
        <w:tab/>
      </w:r>
      <w:r w:rsidR="004B7E57" w:rsidRPr="00CD7719">
        <w:rPr>
          <w:rFonts w:asciiTheme="minorHAnsi" w:hAnsiTheme="minorHAnsi" w:cs="Arial"/>
          <w:b/>
          <w:sz w:val="24"/>
          <w:szCs w:val="24"/>
        </w:rPr>
        <w:t>Revenue Expenditure Funded from Capital under Statute</w:t>
      </w:r>
    </w:p>
    <w:p w14:paraId="5F9BE526" w14:textId="77777777" w:rsidR="004B7E57" w:rsidRPr="00CD7719" w:rsidRDefault="004B7E57" w:rsidP="004B7E57">
      <w:pPr>
        <w:widowControl w:val="0"/>
        <w:spacing w:line="216" w:lineRule="auto"/>
        <w:ind w:left="425" w:hanging="426"/>
        <w:jc w:val="both"/>
        <w:rPr>
          <w:rFonts w:asciiTheme="minorHAnsi" w:hAnsiTheme="minorHAnsi" w:cs="Arial"/>
          <w:b/>
          <w:sz w:val="22"/>
          <w:szCs w:val="22"/>
          <w:u w:val="single"/>
        </w:rPr>
      </w:pPr>
    </w:p>
    <w:p w14:paraId="7AB2DD3C" w14:textId="77777777" w:rsidR="004B7E57" w:rsidRPr="00CD7719" w:rsidRDefault="004B7E57" w:rsidP="00761172">
      <w:pPr>
        <w:widowControl w:val="0"/>
        <w:spacing w:line="216" w:lineRule="auto"/>
        <w:ind w:hanging="426"/>
        <w:jc w:val="both"/>
        <w:rPr>
          <w:rFonts w:asciiTheme="minorHAnsi" w:hAnsiTheme="minorHAnsi" w:cs="Arial"/>
          <w:sz w:val="22"/>
          <w:szCs w:val="22"/>
        </w:rPr>
      </w:pPr>
      <w:r w:rsidRPr="00CD7719">
        <w:rPr>
          <w:rFonts w:asciiTheme="minorHAnsi" w:hAnsiTheme="minorHAnsi" w:cs="Arial"/>
          <w:sz w:val="22"/>
          <w:szCs w:val="22"/>
        </w:rPr>
        <w:tab/>
        <w:t>Expenditure incurred during the year that may be capitalised under statutory provisions but that does not result in the creation of a non-current asset has been charged as expenditure to the relevant service in the Comprehensive Income and Expenditure Statement in the year. Where the Council has determined to meet the cost of this expenditure from existing capital resources or by borrowing, a transfer in the Movement in Reserves Statement from the General Fund Balance to the Capital Adjustment Account then reverses out the amounts charged so that there is no impact on the level of council tax.</w:t>
      </w:r>
    </w:p>
    <w:p w14:paraId="7B3169EF" w14:textId="77777777" w:rsidR="00245249" w:rsidRDefault="00245249" w:rsidP="004B7E57">
      <w:pPr>
        <w:widowControl w:val="0"/>
        <w:tabs>
          <w:tab w:val="left" w:pos="426"/>
        </w:tabs>
        <w:spacing w:after="60" w:line="216" w:lineRule="auto"/>
        <w:ind w:left="426"/>
        <w:jc w:val="both"/>
        <w:rPr>
          <w:rFonts w:asciiTheme="minorHAnsi" w:hAnsiTheme="minorHAnsi" w:cs="Arial"/>
          <w:sz w:val="22"/>
          <w:szCs w:val="22"/>
        </w:rPr>
      </w:pPr>
    </w:p>
    <w:p w14:paraId="31B9FAE6" w14:textId="77777777" w:rsidR="004B7E57" w:rsidRPr="00CD7719" w:rsidRDefault="009B71F0" w:rsidP="004B7E57">
      <w:pPr>
        <w:pStyle w:val="BodyTextIndent2"/>
        <w:spacing w:line="228" w:lineRule="auto"/>
        <w:ind w:left="0" w:firstLine="0"/>
        <w:jc w:val="both"/>
        <w:rPr>
          <w:rFonts w:asciiTheme="minorHAnsi" w:hAnsiTheme="minorHAnsi" w:cs="Arial"/>
          <w:b/>
          <w:bCs/>
          <w:sz w:val="24"/>
          <w:szCs w:val="24"/>
        </w:rPr>
      </w:pPr>
      <w:r>
        <w:rPr>
          <w:rFonts w:asciiTheme="minorHAnsi" w:hAnsiTheme="minorHAnsi" w:cs="Arial"/>
          <w:b/>
          <w:bCs/>
          <w:sz w:val="24"/>
          <w:szCs w:val="24"/>
        </w:rPr>
        <w:lastRenderedPageBreak/>
        <w:t>p</w:t>
      </w:r>
      <w:r w:rsidR="004B7E57" w:rsidRPr="00CD7719">
        <w:rPr>
          <w:rFonts w:asciiTheme="minorHAnsi" w:hAnsiTheme="minorHAnsi" w:cs="Arial"/>
          <w:b/>
          <w:bCs/>
          <w:sz w:val="24"/>
          <w:szCs w:val="24"/>
        </w:rPr>
        <w:t>)     Value Added Tax (VAT)</w:t>
      </w:r>
    </w:p>
    <w:p w14:paraId="46DB13CF" w14:textId="77777777" w:rsidR="004B7E57" w:rsidRPr="00CD7719" w:rsidRDefault="004B7E57" w:rsidP="004B7E57">
      <w:pPr>
        <w:pStyle w:val="BodyTextIndent2"/>
        <w:spacing w:line="228" w:lineRule="auto"/>
        <w:ind w:left="-11" w:firstLine="0"/>
        <w:jc w:val="both"/>
        <w:rPr>
          <w:rFonts w:asciiTheme="minorHAnsi" w:hAnsiTheme="minorHAnsi" w:cs="Arial"/>
          <w:sz w:val="22"/>
          <w:szCs w:val="22"/>
        </w:rPr>
      </w:pPr>
    </w:p>
    <w:p w14:paraId="5D93C643" w14:textId="77777777" w:rsidR="004B7E57" w:rsidRPr="00CD7719" w:rsidRDefault="004B7E57" w:rsidP="00761172">
      <w:pPr>
        <w:pStyle w:val="BodyTextIndent2"/>
        <w:spacing w:line="228" w:lineRule="auto"/>
        <w:ind w:left="0" w:hanging="426"/>
        <w:jc w:val="both"/>
        <w:rPr>
          <w:rFonts w:asciiTheme="minorHAnsi" w:hAnsiTheme="minorHAnsi" w:cs="Arial"/>
          <w:sz w:val="22"/>
          <w:szCs w:val="22"/>
        </w:rPr>
      </w:pPr>
      <w:r w:rsidRPr="00CD7719">
        <w:rPr>
          <w:rFonts w:asciiTheme="minorHAnsi" w:hAnsiTheme="minorHAnsi" w:cs="Arial"/>
          <w:sz w:val="22"/>
          <w:szCs w:val="22"/>
        </w:rPr>
        <w:tab/>
        <w:t>VAT payable is included as an expense only to the extent that it is not recoverable from Her Majesty’s Revenue and Customs. VAT receivable is excluded from income.</w:t>
      </w:r>
    </w:p>
    <w:p w14:paraId="29171E0C" w14:textId="77777777" w:rsidR="00274A22" w:rsidRPr="00CD7719" w:rsidRDefault="00274A22" w:rsidP="004B7E57">
      <w:pPr>
        <w:widowControl w:val="0"/>
        <w:spacing w:line="228" w:lineRule="auto"/>
        <w:rPr>
          <w:rFonts w:asciiTheme="minorHAnsi" w:hAnsiTheme="minorHAnsi" w:cs="Arial"/>
          <w:sz w:val="22"/>
          <w:szCs w:val="22"/>
        </w:rPr>
      </w:pPr>
    </w:p>
    <w:p w14:paraId="2659AA66" w14:textId="77777777" w:rsidR="004B7E57" w:rsidRPr="00CD7719" w:rsidRDefault="009B71F0" w:rsidP="004B7E57">
      <w:pPr>
        <w:widowControl w:val="0"/>
        <w:spacing w:line="228" w:lineRule="auto"/>
        <w:ind w:left="426" w:hanging="426"/>
        <w:rPr>
          <w:rFonts w:asciiTheme="minorHAnsi" w:hAnsiTheme="minorHAnsi" w:cs="Arial"/>
          <w:b/>
          <w:bCs/>
          <w:sz w:val="24"/>
          <w:szCs w:val="24"/>
        </w:rPr>
      </w:pPr>
      <w:r>
        <w:rPr>
          <w:rFonts w:asciiTheme="minorHAnsi" w:hAnsiTheme="minorHAnsi" w:cs="Arial"/>
          <w:b/>
          <w:sz w:val="24"/>
          <w:szCs w:val="24"/>
        </w:rPr>
        <w:t>q</w:t>
      </w:r>
      <w:r w:rsidR="004B7E57" w:rsidRPr="00CD7719">
        <w:rPr>
          <w:rFonts w:asciiTheme="minorHAnsi" w:hAnsiTheme="minorHAnsi" w:cs="Arial"/>
          <w:b/>
          <w:sz w:val="24"/>
          <w:szCs w:val="24"/>
        </w:rPr>
        <w:t>)</w:t>
      </w:r>
      <w:r w:rsidR="004B7E57" w:rsidRPr="00CD7719">
        <w:rPr>
          <w:rFonts w:asciiTheme="minorHAnsi" w:hAnsiTheme="minorHAnsi" w:cs="Arial"/>
          <w:sz w:val="24"/>
          <w:szCs w:val="24"/>
        </w:rPr>
        <w:tab/>
      </w:r>
      <w:r w:rsidR="004B7E57" w:rsidRPr="00CD7719">
        <w:rPr>
          <w:rFonts w:asciiTheme="minorHAnsi" w:hAnsiTheme="minorHAnsi" w:cs="Arial"/>
          <w:b/>
          <w:bCs/>
          <w:sz w:val="24"/>
          <w:szCs w:val="24"/>
        </w:rPr>
        <w:t>Special Expenses</w:t>
      </w:r>
    </w:p>
    <w:p w14:paraId="58EADA67" w14:textId="77777777" w:rsidR="004B7E57" w:rsidRPr="00CD7719" w:rsidRDefault="004B7E57" w:rsidP="004B7E57">
      <w:pPr>
        <w:widowControl w:val="0"/>
        <w:spacing w:line="228" w:lineRule="auto"/>
        <w:ind w:left="426" w:hanging="426"/>
        <w:rPr>
          <w:rFonts w:asciiTheme="minorHAnsi" w:hAnsiTheme="minorHAnsi" w:cs="Arial"/>
          <w:sz w:val="22"/>
          <w:szCs w:val="22"/>
        </w:rPr>
      </w:pPr>
    </w:p>
    <w:p w14:paraId="44C988F8" w14:textId="0E8664D7" w:rsidR="004B7E57" w:rsidRDefault="004B7E57" w:rsidP="00761172">
      <w:pPr>
        <w:pStyle w:val="BodyTextIndent2"/>
        <w:spacing w:line="228" w:lineRule="auto"/>
        <w:ind w:left="0" w:hanging="426"/>
        <w:jc w:val="both"/>
        <w:rPr>
          <w:rFonts w:asciiTheme="minorHAnsi" w:hAnsiTheme="minorHAnsi" w:cs="Arial"/>
          <w:sz w:val="22"/>
          <w:szCs w:val="22"/>
        </w:rPr>
      </w:pPr>
      <w:r w:rsidRPr="00CD7719">
        <w:rPr>
          <w:rFonts w:asciiTheme="minorHAnsi" w:hAnsiTheme="minorHAnsi" w:cs="Arial"/>
          <w:sz w:val="22"/>
          <w:szCs w:val="22"/>
        </w:rPr>
        <w:tab/>
        <w:t>This statement of accounts refers at times to Special Expenses. Section 35(1) of the Local Government Finance Act 1992 defines special expenses as any expenses incurred by a billing authority in performing in a part of its area a function performed elsewhere in its area by a parish or community council or the chairman of a parish meeting unless a resolution of the authority to the contrary effect is in force.</w:t>
      </w:r>
      <w:r w:rsidR="009E4234">
        <w:rPr>
          <w:rFonts w:asciiTheme="minorHAnsi" w:hAnsiTheme="minorHAnsi" w:cs="Arial"/>
          <w:sz w:val="22"/>
          <w:szCs w:val="22"/>
        </w:rPr>
        <w:t xml:space="preserve">  The Council has a Special Expenses Policy in place which outlines how and what we will treat and account for as a Special Expenses. </w:t>
      </w:r>
    </w:p>
    <w:p w14:paraId="507A27AB" w14:textId="77777777" w:rsidR="00274A22" w:rsidRPr="00CD7719" w:rsidRDefault="00274A22" w:rsidP="00761172">
      <w:pPr>
        <w:pStyle w:val="BodyTextIndent2"/>
        <w:spacing w:line="228" w:lineRule="auto"/>
        <w:ind w:left="0" w:hanging="426"/>
        <w:jc w:val="both"/>
        <w:rPr>
          <w:rFonts w:asciiTheme="minorHAnsi" w:hAnsiTheme="minorHAnsi" w:cs="Arial"/>
          <w:sz w:val="22"/>
          <w:szCs w:val="22"/>
        </w:rPr>
      </w:pPr>
    </w:p>
    <w:p w14:paraId="2C99BFB0" w14:textId="77777777" w:rsidR="00AA2F06" w:rsidRPr="00AA2F06" w:rsidRDefault="009B71F0" w:rsidP="00AA2F06">
      <w:pPr>
        <w:pStyle w:val="BodyTextIndent2"/>
        <w:spacing w:line="228" w:lineRule="auto"/>
        <w:ind w:left="426" w:hanging="426"/>
        <w:jc w:val="both"/>
        <w:rPr>
          <w:rFonts w:asciiTheme="minorHAnsi" w:hAnsiTheme="minorHAnsi" w:cs="Arial"/>
          <w:b/>
          <w:sz w:val="24"/>
          <w:szCs w:val="24"/>
        </w:rPr>
      </w:pPr>
      <w:r>
        <w:rPr>
          <w:rFonts w:asciiTheme="minorHAnsi" w:hAnsiTheme="minorHAnsi" w:cs="Arial"/>
          <w:b/>
          <w:sz w:val="24"/>
          <w:szCs w:val="24"/>
        </w:rPr>
        <w:t>r</w:t>
      </w:r>
      <w:r w:rsidR="00AA2F06">
        <w:rPr>
          <w:rFonts w:asciiTheme="minorHAnsi" w:hAnsiTheme="minorHAnsi" w:cs="Arial"/>
          <w:b/>
          <w:sz w:val="24"/>
          <w:szCs w:val="24"/>
        </w:rPr>
        <w:t>)</w:t>
      </w:r>
      <w:r w:rsidR="00AA2F06">
        <w:rPr>
          <w:rFonts w:asciiTheme="minorHAnsi" w:hAnsiTheme="minorHAnsi" w:cs="Arial"/>
          <w:b/>
          <w:sz w:val="24"/>
          <w:szCs w:val="24"/>
        </w:rPr>
        <w:tab/>
      </w:r>
      <w:r w:rsidR="004C3A55">
        <w:rPr>
          <w:rFonts w:asciiTheme="minorHAnsi" w:hAnsiTheme="minorHAnsi" w:cs="Arial"/>
          <w:b/>
          <w:sz w:val="24"/>
          <w:szCs w:val="24"/>
        </w:rPr>
        <w:t>Fair Value Measurement</w:t>
      </w:r>
      <w:r>
        <w:rPr>
          <w:rFonts w:asciiTheme="minorHAnsi" w:hAnsiTheme="minorHAnsi" w:cs="Arial"/>
          <w:b/>
          <w:sz w:val="24"/>
          <w:szCs w:val="24"/>
        </w:rPr>
        <w:t xml:space="preserve"> on Non-Financial Assets</w:t>
      </w:r>
    </w:p>
    <w:p w14:paraId="215B8900" w14:textId="77777777" w:rsidR="00AA2F06" w:rsidRPr="00CD7719" w:rsidRDefault="00AA2F06" w:rsidP="00AA2F06">
      <w:pPr>
        <w:pStyle w:val="BodyTextIndent2"/>
        <w:spacing w:line="228" w:lineRule="auto"/>
        <w:ind w:left="426" w:hanging="426"/>
        <w:jc w:val="both"/>
        <w:rPr>
          <w:rFonts w:asciiTheme="minorHAnsi" w:hAnsiTheme="minorHAnsi" w:cs="Arial"/>
          <w:sz w:val="22"/>
          <w:szCs w:val="22"/>
        </w:rPr>
      </w:pPr>
      <w:r>
        <w:rPr>
          <w:rFonts w:asciiTheme="minorHAnsi" w:hAnsiTheme="minorHAnsi" w:cs="Arial"/>
          <w:sz w:val="22"/>
          <w:szCs w:val="22"/>
        </w:rPr>
        <w:t xml:space="preserve"> </w:t>
      </w:r>
    </w:p>
    <w:p w14:paraId="4FA3891C" w14:textId="77777777" w:rsidR="004B7E57" w:rsidRDefault="000D1468" w:rsidP="001213CC">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The Council measures some of its non-financial assets such as surplus assets and investment properties</w:t>
      </w:r>
      <w:r w:rsidR="00810952">
        <w:rPr>
          <w:rFonts w:asciiTheme="minorHAnsi" w:hAnsiTheme="minorHAnsi" w:cs="Arial"/>
          <w:sz w:val="22"/>
          <w:szCs w:val="22"/>
        </w:rPr>
        <w:t xml:space="preserve"> and some of its financial instruments such as equity shareholdings at fair value at each reporting date.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w:t>
      </w:r>
    </w:p>
    <w:p w14:paraId="4FCFD548" w14:textId="77777777" w:rsidR="00810952" w:rsidRDefault="00810952" w:rsidP="00C76AD3">
      <w:pPr>
        <w:pStyle w:val="ListParagraph"/>
        <w:widowControl w:val="0"/>
        <w:numPr>
          <w:ilvl w:val="0"/>
          <w:numId w:val="34"/>
        </w:numPr>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In the principal market for the asset or liability, or</w:t>
      </w:r>
    </w:p>
    <w:p w14:paraId="73360A63" w14:textId="77777777" w:rsidR="00810952" w:rsidRDefault="00810952" w:rsidP="00C76AD3">
      <w:pPr>
        <w:pStyle w:val="ListParagraph"/>
        <w:widowControl w:val="0"/>
        <w:numPr>
          <w:ilvl w:val="0"/>
          <w:numId w:val="34"/>
        </w:numPr>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In the absence of a principal market, in the most advantageous market for the asset or liability.</w:t>
      </w:r>
    </w:p>
    <w:p w14:paraId="7B3972FE"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p>
    <w:p w14:paraId="65FD845D"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The Council measures the fair value of an asset or liability using the assumptions that market participants would use when pricing the asset or liability, assuming that market participants act in their economic best interest.</w:t>
      </w:r>
    </w:p>
    <w:p w14:paraId="49CBDAFF"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p>
    <w:p w14:paraId="2C9D421A"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 xml:space="preserve">When measuring the fair value of a non-financial asset, the Council </w:t>
      </w:r>
      <w:proofErr w:type="gramStart"/>
      <w:r>
        <w:rPr>
          <w:rFonts w:asciiTheme="minorHAnsi" w:hAnsiTheme="minorHAnsi" w:cs="Arial"/>
          <w:sz w:val="22"/>
          <w:szCs w:val="22"/>
        </w:rPr>
        <w:t>takes into account</w:t>
      </w:r>
      <w:proofErr w:type="gramEnd"/>
      <w:r>
        <w:rPr>
          <w:rFonts w:asciiTheme="minorHAnsi" w:hAnsiTheme="minorHAnsi" w:cs="Arial"/>
          <w:sz w:val="22"/>
          <w:szCs w:val="22"/>
        </w:rPr>
        <w:t xml:space="preserve"> a market participant’s ability to generate economic benefits by using the asset in its highest and best use or by selling it to another market participant that would use the asset in its highest and best use.</w:t>
      </w:r>
    </w:p>
    <w:p w14:paraId="27FDB4A4"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p>
    <w:p w14:paraId="4B07BF36"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The Council uses valuation techniques that are appropriate in the circumstances and for which sufficient data is available, maximising the use of relevant observable inputs and minimising the use of unobservable inputs.</w:t>
      </w:r>
    </w:p>
    <w:p w14:paraId="033F46F9"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p>
    <w:p w14:paraId="2D927575" w14:textId="77777777" w:rsidR="00810952" w:rsidRDefault="00810952" w:rsidP="001213CC">
      <w:pPr>
        <w:widowControl w:val="0"/>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Inputs to the valuation techniques in respect of assets and liabilities for which fair value is measured or disclosed in the council’s financial statements are categorised within the fair value hierarchy</w:t>
      </w:r>
      <w:r w:rsidR="00B134F8">
        <w:rPr>
          <w:rFonts w:asciiTheme="minorHAnsi" w:hAnsiTheme="minorHAnsi" w:cs="Arial"/>
          <w:sz w:val="22"/>
          <w:szCs w:val="22"/>
        </w:rPr>
        <w:t xml:space="preserve"> as follows:</w:t>
      </w:r>
    </w:p>
    <w:p w14:paraId="66B0C96B" w14:textId="77777777" w:rsidR="001213CC" w:rsidRDefault="001213CC" w:rsidP="00C76AD3">
      <w:pPr>
        <w:pStyle w:val="ListParagraph"/>
        <w:widowControl w:val="0"/>
        <w:numPr>
          <w:ilvl w:val="0"/>
          <w:numId w:val="35"/>
        </w:numPr>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Level 1 – quoted prices (unadjusted) in active markets for identical assets or liabilities that the council can access at the measurement date,</w:t>
      </w:r>
    </w:p>
    <w:p w14:paraId="272BFC64" w14:textId="77777777" w:rsidR="001213CC" w:rsidRDefault="001213CC" w:rsidP="00C76AD3">
      <w:pPr>
        <w:pStyle w:val="ListParagraph"/>
        <w:widowControl w:val="0"/>
        <w:numPr>
          <w:ilvl w:val="0"/>
          <w:numId w:val="35"/>
        </w:numPr>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Level 2 – inputs other than quoted prices included within level 1 that are observable for the asset or liability, either directly or indirectly,</w:t>
      </w:r>
    </w:p>
    <w:p w14:paraId="5D7E5F18" w14:textId="518AC5F5" w:rsidR="001213CC" w:rsidRDefault="001213CC" w:rsidP="00C76AD3">
      <w:pPr>
        <w:pStyle w:val="ListParagraph"/>
        <w:widowControl w:val="0"/>
        <w:numPr>
          <w:ilvl w:val="0"/>
          <w:numId w:val="35"/>
        </w:numPr>
        <w:tabs>
          <w:tab w:val="left" w:pos="720"/>
          <w:tab w:val="left" w:pos="7200"/>
          <w:tab w:val="left" w:pos="8640"/>
        </w:tabs>
        <w:jc w:val="both"/>
        <w:rPr>
          <w:rFonts w:asciiTheme="minorHAnsi" w:hAnsiTheme="minorHAnsi" w:cs="Arial"/>
          <w:sz w:val="22"/>
          <w:szCs w:val="22"/>
        </w:rPr>
      </w:pPr>
      <w:r>
        <w:rPr>
          <w:rFonts w:asciiTheme="minorHAnsi" w:hAnsiTheme="minorHAnsi" w:cs="Arial"/>
          <w:sz w:val="22"/>
          <w:szCs w:val="22"/>
        </w:rPr>
        <w:t>Level 3 – unobservable inputs for the asset or liability.</w:t>
      </w:r>
    </w:p>
    <w:p w14:paraId="54130298" w14:textId="32617FC8" w:rsidR="00810952" w:rsidRPr="00810952" w:rsidRDefault="00810952" w:rsidP="001213CC">
      <w:pPr>
        <w:pStyle w:val="ListParagraph"/>
        <w:widowControl w:val="0"/>
        <w:tabs>
          <w:tab w:val="left" w:pos="720"/>
          <w:tab w:val="left" w:pos="7200"/>
          <w:tab w:val="left" w:pos="8640"/>
        </w:tabs>
        <w:rPr>
          <w:rFonts w:asciiTheme="minorHAnsi" w:hAnsiTheme="minorHAnsi" w:cs="Arial"/>
          <w:sz w:val="22"/>
          <w:szCs w:val="22"/>
        </w:rPr>
      </w:pPr>
    </w:p>
    <w:p w14:paraId="78576A1E" w14:textId="0118A7C4" w:rsidR="004B7E57" w:rsidRPr="00CD7719" w:rsidRDefault="008227D2" w:rsidP="007C6C6F">
      <w:pPr>
        <w:pStyle w:val="Heading2"/>
      </w:pPr>
      <w:r>
        <w:t>4</w:t>
      </w:r>
      <w:r w:rsidR="008D73E4">
        <w:t>0</w:t>
      </w:r>
      <w:r w:rsidR="008D73E4">
        <w:tab/>
      </w:r>
      <w:r w:rsidR="004B7E57" w:rsidRPr="00CD7719">
        <w:t>C</w:t>
      </w:r>
      <w:r w:rsidR="00CD7719">
        <w:t xml:space="preserve">ritical Judgements </w:t>
      </w:r>
      <w:proofErr w:type="gramStart"/>
      <w:r w:rsidR="00CD7719">
        <w:t>In</w:t>
      </w:r>
      <w:proofErr w:type="gramEnd"/>
      <w:r w:rsidR="00CD7719">
        <w:t xml:space="preserve"> Applying Accounting Policies</w:t>
      </w:r>
    </w:p>
    <w:p w14:paraId="4C8EE620" w14:textId="77777777" w:rsidR="004B7E57" w:rsidRPr="00CD7719" w:rsidRDefault="004B7E57" w:rsidP="004B7E57">
      <w:pPr>
        <w:widowControl w:val="0"/>
        <w:tabs>
          <w:tab w:val="left" w:pos="720"/>
          <w:tab w:val="left" w:pos="7200"/>
          <w:tab w:val="left" w:pos="8640"/>
        </w:tabs>
        <w:jc w:val="both"/>
        <w:rPr>
          <w:rFonts w:asciiTheme="minorHAnsi" w:hAnsiTheme="minorHAnsi" w:cs="Arial"/>
          <w:b/>
          <w:sz w:val="22"/>
          <w:szCs w:val="22"/>
        </w:rPr>
      </w:pPr>
    </w:p>
    <w:p w14:paraId="211F42C0" w14:textId="0193FE0E" w:rsidR="004B7E57" w:rsidRPr="00CD7719" w:rsidRDefault="004B7E57" w:rsidP="004B7E57">
      <w:pPr>
        <w:widowControl w:val="0"/>
        <w:tabs>
          <w:tab w:val="left" w:pos="720"/>
          <w:tab w:val="left" w:pos="7200"/>
          <w:tab w:val="left" w:pos="8640"/>
        </w:tabs>
        <w:jc w:val="both"/>
        <w:rPr>
          <w:rFonts w:asciiTheme="minorHAnsi" w:hAnsiTheme="minorHAnsi" w:cs="Arial"/>
          <w:sz w:val="22"/>
          <w:szCs w:val="22"/>
        </w:rPr>
      </w:pPr>
      <w:r w:rsidRPr="00CD7719">
        <w:rPr>
          <w:rFonts w:asciiTheme="minorHAnsi" w:hAnsiTheme="minorHAnsi" w:cs="Arial"/>
          <w:sz w:val="22"/>
          <w:szCs w:val="22"/>
        </w:rPr>
        <w:t xml:space="preserve">In applying the accounting policies set out </w:t>
      </w:r>
      <w:r w:rsidRPr="008227D2">
        <w:rPr>
          <w:rFonts w:asciiTheme="minorHAnsi" w:hAnsiTheme="minorHAnsi" w:cs="Arial"/>
          <w:sz w:val="22"/>
          <w:szCs w:val="22"/>
        </w:rPr>
        <w:t xml:space="preserve">in </w:t>
      </w:r>
      <w:r w:rsidRPr="00311499">
        <w:rPr>
          <w:rFonts w:asciiTheme="minorHAnsi" w:hAnsiTheme="minorHAnsi" w:cs="Arial"/>
          <w:sz w:val="22"/>
          <w:szCs w:val="22"/>
        </w:rPr>
        <w:t xml:space="preserve">note </w:t>
      </w:r>
      <w:r w:rsidR="008D73E4" w:rsidRPr="008D73E4">
        <w:rPr>
          <w:rFonts w:asciiTheme="minorHAnsi" w:hAnsiTheme="minorHAnsi" w:cs="Arial"/>
          <w:sz w:val="22"/>
          <w:szCs w:val="22"/>
        </w:rPr>
        <w:t>39</w:t>
      </w:r>
      <w:r w:rsidRPr="00CD7719">
        <w:rPr>
          <w:rFonts w:asciiTheme="minorHAnsi" w:hAnsiTheme="minorHAnsi" w:cs="Arial"/>
          <w:sz w:val="22"/>
          <w:szCs w:val="22"/>
        </w:rPr>
        <w:t>, the Council has had to make certain judgements about complex transactions or those involving uncertainty about future events.  The critical judgements made in the statement of accounts are:</w:t>
      </w:r>
    </w:p>
    <w:p w14:paraId="47509385" w14:textId="77777777" w:rsidR="004B7E57" w:rsidRPr="00CD7719" w:rsidRDefault="004B7E57" w:rsidP="004B7E57">
      <w:pPr>
        <w:widowControl w:val="0"/>
        <w:tabs>
          <w:tab w:val="left" w:pos="720"/>
          <w:tab w:val="left" w:pos="7200"/>
          <w:tab w:val="left" w:pos="8640"/>
        </w:tabs>
        <w:jc w:val="both"/>
        <w:rPr>
          <w:rFonts w:asciiTheme="minorHAnsi" w:hAnsiTheme="minorHAnsi" w:cs="Arial"/>
          <w:sz w:val="22"/>
          <w:szCs w:val="22"/>
        </w:rPr>
      </w:pPr>
    </w:p>
    <w:p w14:paraId="79383200" w14:textId="77777777" w:rsidR="004B7E57" w:rsidRPr="00CD7719" w:rsidRDefault="004B7E57" w:rsidP="00C76AD3">
      <w:pPr>
        <w:widowControl w:val="0"/>
        <w:numPr>
          <w:ilvl w:val="0"/>
          <w:numId w:val="21"/>
        </w:numPr>
        <w:tabs>
          <w:tab w:val="left" w:pos="709"/>
          <w:tab w:val="left" w:pos="7200"/>
          <w:tab w:val="left" w:pos="8640"/>
        </w:tabs>
        <w:jc w:val="both"/>
        <w:rPr>
          <w:rFonts w:asciiTheme="minorHAnsi" w:hAnsiTheme="minorHAnsi" w:cs="Arial"/>
          <w:sz w:val="22"/>
          <w:szCs w:val="22"/>
        </w:rPr>
      </w:pPr>
      <w:r w:rsidRPr="00CD7719">
        <w:rPr>
          <w:rFonts w:asciiTheme="minorHAnsi" w:hAnsiTheme="minorHAnsi" w:cs="Arial"/>
          <w:sz w:val="22"/>
          <w:szCs w:val="22"/>
        </w:rPr>
        <w:t xml:space="preserve">There is a high degree of uncertainty about future levels of funding for local government. However, the Council has determined that this uncertainty is not yet sufficient to provide an indication that the Council’s assets might be further impaired as a result of a need to close facilities and reduce levels of service provision. </w:t>
      </w:r>
    </w:p>
    <w:p w14:paraId="7BE31E49" w14:textId="77777777" w:rsidR="004B7E57" w:rsidRPr="00CD7719" w:rsidRDefault="004B7E57" w:rsidP="004B7E57">
      <w:pPr>
        <w:widowControl w:val="0"/>
        <w:tabs>
          <w:tab w:val="left" w:pos="426"/>
          <w:tab w:val="left" w:pos="7200"/>
          <w:tab w:val="left" w:pos="8640"/>
        </w:tabs>
        <w:ind w:left="709"/>
        <w:jc w:val="both"/>
        <w:rPr>
          <w:rFonts w:asciiTheme="minorHAnsi" w:hAnsiTheme="minorHAnsi" w:cs="Arial"/>
          <w:sz w:val="22"/>
          <w:szCs w:val="22"/>
        </w:rPr>
      </w:pPr>
    </w:p>
    <w:p w14:paraId="530DD320" w14:textId="05E995AA" w:rsidR="004B7E57" w:rsidRDefault="004B7E57" w:rsidP="00C76AD3">
      <w:pPr>
        <w:widowControl w:val="0"/>
        <w:numPr>
          <w:ilvl w:val="0"/>
          <w:numId w:val="21"/>
        </w:numPr>
        <w:tabs>
          <w:tab w:val="left" w:pos="426"/>
          <w:tab w:val="left" w:pos="709"/>
          <w:tab w:val="left" w:pos="8640"/>
        </w:tabs>
        <w:jc w:val="both"/>
        <w:rPr>
          <w:rFonts w:asciiTheme="minorHAnsi" w:hAnsiTheme="minorHAnsi" w:cs="Arial"/>
          <w:sz w:val="22"/>
          <w:szCs w:val="22"/>
        </w:rPr>
      </w:pPr>
      <w:r w:rsidRPr="00CD7719">
        <w:rPr>
          <w:rFonts w:asciiTheme="minorHAnsi" w:hAnsiTheme="minorHAnsi" w:cs="Arial"/>
          <w:sz w:val="22"/>
          <w:szCs w:val="22"/>
        </w:rPr>
        <w:t xml:space="preserve">All material contractual arrangements have been reviewed using the Council’s contracts register in order to determine whether they have the substance of a lease or need to be accounted for as service concessions. </w:t>
      </w:r>
      <w:r w:rsidRPr="0064050A">
        <w:rPr>
          <w:rFonts w:asciiTheme="minorHAnsi" w:hAnsiTheme="minorHAnsi" w:cs="Arial"/>
          <w:sz w:val="22"/>
          <w:szCs w:val="22"/>
        </w:rPr>
        <w:t>None have been identified on further reference to the actual contractual agreements.</w:t>
      </w:r>
    </w:p>
    <w:p w14:paraId="50C8F939" w14:textId="260C976B" w:rsidR="004B7E57" w:rsidRPr="00A84005" w:rsidRDefault="001726F4" w:rsidP="007C6C6F">
      <w:pPr>
        <w:pStyle w:val="Heading2"/>
      </w:pPr>
      <w:r>
        <w:lastRenderedPageBreak/>
        <w:t>4</w:t>
      </w:r>
      <w:r w:rsidR="008D73E4">
        <w:t>1</w:t>
      </w:r>
      <w:r w:rsidR="004B7E57" w:rsidRPr="00A84005">
        <w:t xml:space="preserve"> </w:t>
      </w:r>
      <w:r w:rsidR="004B7E57" w:rsidRPr="00A84005">
        <w:tab/>
        <w:t>A</w:t>
      </w:r>
      <w:r w:rsidR="00CD7719" w:rsidRPr="00A84005">
        <w:t xml:space="preserve">ssumptions Made About </w:t>
      </w:r>
      <w:r w:rsidR="00CB253E" w:rsidRPr="00A84005">
        <w:t>t</w:t>
      </w:r>
      <w:r w:rsidR="00CD7719" w:rsidRPr="00A84005">
        <w:t>he Future and Other Major Sources of Estimation Uncertainty</w:t>
      </w:r>
    </w:p>
    <w:p w14:paraId="490DE622" w14:textId="77777777" w:rsidR="004B7E57" w:rsidRDefault="004B7E57" w:rsidP="004B7E57">
      <w:pPr>
        <w:widowControl w:val="0"/>
        <w:tabs>
          <w:tab w:val="left" w:pos="720"/>
          <w:tab w:val="left" w:pos="7200"/>
          <w:tab w:val="left" w:pos="8640"/>
        </w:tabs>
        <w:rPr>
          <w:rFonts w:ascii="Arial" w:hAnsi="Arial" w:cs="Arial"/>
          <w:b/>
        </w:rPr>
      </w:pPr>
    </w:p>
    <w:p w14:paraId="35428BCE" w14:textId="77777777" w:rsidR="004B7E57" w:rsidRPr="00CB253E" w:rsidRDefault="004B7E57" w:rsidP="004B7E57">
      <w:pPr>
        <w:widowControl w:val="0"/>
        <w:tabs>
          <w:tab w:val="left" w:pos="720"/>
          <w:tab w:val="left" w:pos="7200"/>
          <w:tab w:val="left" w:pos="8640"/>
        </w:tabs>
        <w:jc w:val="both"/>
        <w:rPr>
          <w:rFonts w:asciiTheme="minorHAnsi" w:hAnsiTheme="minorHAnsi" w:cs="Arial"/>
          <w:sz w:val="22"/>
          <w:szCs w:val="22"/>
        </w:rPr>
      </w:pPr>
      <w:r w:rsidRPr="00CB253E">
        <w:rPr>
          <w:rFonts w:asciiTheme="minorHAnsi" w:hAnsiTheme="minorHAnsi" w:cs="Arial"/>
          <w:sz w:val="22"/>
          <w:szCs w:val="22"/>
        </w:rPr>
        <w:t xml:space="preserve">The Statement of Accounts contains estimated figures that are based on assumptions made by the Council about the future or that are otherwise uncertain. Estimates are made </w:t>
      </w:r>
      <w:proofErr w:type="gramStart"/>
      <w:r w:rsidRPr="00CB253E">
        <w:rPr>
          <w:rFonts w:asciiTheme="minorHAnsi" w:hAnsiTheme="minorHAnsi" w:cs="Arial"/>
          <w:sz w:val="22"/>
          <w:szCs w:val="22"/>
        </w:rPr>
        <w:t>taking into account</w:t>
      </w:r>
      <w:proofErr w:type="gramEnd"/>
      <w:r w:rsidRPr="00CB253E">
        <w:rPr>
          <w:rFonts w:asciiTheme="minorHAnsi" w:hAnsiTheme="minorHAnsi" w:cs="Arial"/>
          <w:sz w:val="22"/>
          <w:szCs w:val="22"/>
        </w:rPr>
        <w:t xml:space="preserve"> historical experience, current trends and other relevant factors.  However, the nature of estimation means that actual outcomes could </w:t>
      </w:r>
      <w:r w:rsidR="009B71F0">
        <w:rPr>
          <w:rFonts w:asciiTheme="minorHAnsi" w:hAnsiTheme="minorHAnsi" w:cs="Arial"/>
          <w:sz w:val="22"/>
          <w:szCs w:val="22"/>
        </w:rPr>
        <w:t>be materially different from the assumptions and estimates</w:t>
      </w:r>
      <w:r w:rsidRPr="00CB253E">
        <w:rPr>
          <w:rFonts w:asciiTheme="minorHAnsi" w:hAnsiTheme="minorHAnsi" w:cs="Arial"/>
          <w:sz w:val="22"/>
          <w:szCs w:val="22"/>
        </w:rPr>
        <w:t>.</w:t>
      </w:r>
    </w:p>
    <w:p w14:paraId="54FA356D" w14:textId="77777777" w:rsidR="004B7E57" w:rsidRPr="00CB253E" w:rsidRDefault="004B7E57" w:rsidP="004B7E57">
      <w:pPr>
        <w:widowControl w:val="0"/>
        <w:tabs>
          <w:tab w:val="left" w:pos="720"/>
          <w:tab w:val="left" w:pos="7200"/>
          <w:tab w:val="left" w:pos="8640"/>
        </w:tabs>
        <w:jc w:val="both"/>
        <w:rPr>
          <w:rFonts w:asciiTheme="minorHAnsi" w:hAnsiTheme="minorHAnsi" w:cs="Arial"/>
          <w:sz w:val="22"/>
          <w:szCs w:val="22"/>
        </w:rPr>
      </w:pPr>
    </w:p>
    <w:p w14:paraId="1DE07D67" w14:textId="0B0C256E" w:rsidR="004B7E57" w:rsidRDefault="004B7E57" w:rsidP="004B7E57">
      <w:pPr>
        <w:widowControl w:val="0"/>
        <w:tabs>
          <w:tab w:val="left" w:pos="720"/>
          <w:tab w:val="left" w:pos="7200"/>
          <w:tab w:val="left" w:pos="8640"/>
        </w:tabs>
        <w:jc w:val="both"/>
        <w:rPr>
          <w:rFonts w:asciiTheme="minorHAnsi" w:hAnsiTheme="minorHAnsi" w:cs="Arial"/>
          <w:sz w:val="22"/>
          <w:szCs w:val="22"/>
        </w:rPr>
      </w:pPr>
      <w:r w:rsidRPr="00CB253E">
        <w:rPr>
          <w:rFonts w:asciiTheme="minorHAnsi" w:hAnsiTheme="minorHAnsi" w:cs="Arial"/>
          <w:sz w:val="22"/>
          <w:szCs w:val="22"/>
        </w:rPr>
        <w:t xml:space="preserve">The items in the Council’s balance sheet </w:t>
      </w:r>
      <w:proofErr w:type="gramStart"/>
      <w:r w:rsidR="009B71F0">
        <w:rPr>
          <w:rFonts w:asciiTheme="minorHAnsi" w:hAnsiTheme="minorHAnsi" w:cs="Arial"/>
          <w:sz w:val="22"/>
          <w:szCs w:val="22"/>
        </w:rPr>
        <w:t>at</w:t>
      </w:r>
      <w:proofErr w:type="gramEnd"/>
      <w:r w:rsidR="009B71F0">
        <w:rPr>
          <w:rFonts w:asciiTheme="minorHAnsi" w:hAnsiTheme="minorHAnsi" w:cs="Arial"/>
          <w:sz w:val="22"/>
          <w:szCs w:val="22"/>
        </w:rPr>
        <w:t xml:space="preserve"> 31 March 202</w:t>
      </w:r>
      <w:r w:rsidR="003F2E1D">
        <w:rPr>
          <w:rFonts w:asciiTheme="minorHAnsi" w:hAnsiTheme="minorHAnsi" w:cs="Arial"/>
          <w:sz w:val="22"/>
          <w:szCs w:val="22"/>
        </w:rPr>
        <w:t>3</w:t>
      </w:r>
      <w:r w:rsidRPr="00C90CB0">
        <w:rPr>
          <w:rFonts w:asciiTheme="minorHAnsi" w:hAnsiTheme="minorHAnsi" w:cs="Arial"/>
          <w:sz w:val="22"/>
          <w:szCs w:val="22"/>
        </w:rPr>
        <w:t xml:space="preserve"> for</w:t>
      </w:r>
      <w:r w:rsidRPr="00CB253E">
        <w:rPr>
          <w:rFonts w:asciiTheme="minorHAnsi" w:hAnsiTheme="minorHAnsi" w:cs="Arial"/>
          <w:sz w:val="22"/>
          <w:szCs w:val="22"/>
        </w:rPr>
        <w:t xml:space="preserve"> which there is significant risk of material adjustment in the forthcoming financial year are as follows:</w:t>
      </w:r>
    </w:p>
    <w:p w14:paraId="463AA4C5" w14:textId="0C0201CA" w:rsidR="00A60187" w:rsidRDefault="00A60187" w:rsidP="004B7E57">
      <w:pPr>
        <w:widowControl w:val="0"/>
        <w:tabs>
          <w:tab w:val="left" w:pos="720"/>
          <w:tab w:val="left" w:pos="7200"/>
          <w:tab w:val="left" w:pos="8640"/>
        </w:tabs>
        <w:jc w:val="both"/>
        <w:rPr>
          <w:rFonts w:asciiTheme="minorHAnsi" w:hAnsiTheme="minorHAnsi" w:cs="Arial"/>
          <w:sz w:val="22"/>
          <w:szCs w:val="22"/>
        </w:rPr>
      </w:pPr>
    </w:p>
    <w:tbl>
      <w:tblPr>
        <w:tblpPr w:leftFromText="180" w:rightFromText="180" w:vertAnchor="text" w:tblpX="93" w:tblpY="1"/>
        <w:tblOverlap w:val="never"/>
        <w:tblW w:w="99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Caption w:val="Assumptions made about the Future and other Major Sources of Estimation Uncertainty"/>
        <w:tblDescription w:val="Assumptions made about the Future and other Major Sources of Estimation Uncertainty"/>
      </w:tblPr>
      <w:tblGrid>
        <w:gridCol w:w="1575"/>
        <w:gridCol w:w="4961"/>
        <w:gridCol w:w="3402"/>
      </w:tblGrid>
      <w:tr w:rsidR="004B7E57" w:rsidRPr="00CB253E" w14:paraId="494EDDE7" w14:textId="77777777" w:rsidTr="008F63B8">
        <w:trPr>
          <w:cantSplit/>
          <w:trHeight w:val="510"/>
          <w:tblHeader/>
        </w:trPr>
        <w:tc>
          <w:tcPr>
            <w:tcW w:w="1575" w:type="dxa"/>
            <w:shd w:val="clear" w:color="auto" w:fill="D99594" w:themeFill="accent2" w:themeFillTint="99"/>
            <w:vAlign w:val="center"/>
          </w:tcPr>
          <w:p w14:paraId="6A4920DD" w14:textId="77777777" w:rsidR="004B7E57" w:rsidRPr="00CB253E" w:rsidRDefault="004B7E57" w:rsidP="008F63B8">
            <w:pPr>
              <w:rPr>
                <w:rFonts w:asciiTheme="minorHAnsi" w:hAnsiTheme="minorHAnsi" w:cs="Arial"/>
                <w:b/>
                <w:bCs/>
                <w:lang w:eastAsia="en-GB"/>
              </w:rPr>
            </w:pPr>
            <w:bookmarkStart w:id="12" w:name="_Hlk135055233"/>
            <w:r w:rsidRPr="00CB253E">
              <w:rPr>
                <w:rFonts w:asciiTheme="minorHAnsi" w:hAnsiTheme="minorHAnsi" w:cs="Arial"/>
                <w:b/>
                <w:bCs/>
                <w:lang w:eastAsia="en-GB"/>
              </w:rPr>
              <w:t>Item</w:t>
            </w:r>
          </w:p>
        </w:tc>
        <w:tc>
          <w:tcPr>
            <w:tcW w:w="4961" w:type="dxa"/>
            <w:shd w:val="clear" w:color="auto" w:fill="D99594" w:themeFill="accent2" w:themeFillTint="99"/>
            <w:vAlign w:val="center"/>
          </w:tcPr>
          <w:p w14:paraId="127EB4FA" w14:textId="77777777" w:rsidR="004B7E57" w:rsidRPr="00CB253E" w:rsidRDefault="004B7E57" w:rsidP="008F63B8">
            <w:pPr>
              <w:rPr>
                <w:rFonts w:asciiTheme="minorHAnsi" w:hAnsiTheme="minorHAnsi" w:cs="Arial"/>
                <w:b/>
                <w:bCs/>
                <w:lang w:eastAsia="en-GB"/>
              </w:rPr>
            </w:pPr>
            <w:r w:rsidRPr="00CB253E">
              <w:rPr>
                <w:rFonts w:asciiTheme="minorHAnsi" w:hAnsiTheme="minorHAnsi" w:cs="Arial"/>
                <w:b/>
                <w:bCs/>
                <w:lang w:eastAsia="en-GB"/>
              </w:rPr>
              <w:t>Uncertainties</w:t>
            </w:r>
          </w:p>
        </w:tc>
        <w:tc>
          <w:tcPr>
            <w:tcW w:w="3402" w:type="dxa"/>
            <w:shd w:val="clear" w:color="auto" w:fill="D99594" w:themeFill="accent2" w:themeFillTint="99"/>
            <w:vAlign w:val="center"/>
          </w:tcPr>
          <w:p w14:paraId="21F18382" w14:textId="77777777" w:rsidR="004B7E57" w:rsidRPr="00CB253E" w:rsidRDefault="004B7E57" w:rsidP="008F63B8">
            <w:pPr>
              <w:rPr>
                <w:rFonts w:asciiTheme="minorHAnsi" w:hAnsiTheme="minorHAnsi" w:cs="Arial"/>
                <w:b/>
                <w:bCs/>
                <w:lang w:eastAsia="en-GB"/>
              </w:rPr>
            </w:pPr>
            <w:r w:rsidRPr="00CB253E">
              <w:rPr>
                <w:rFonts w:asciiTheme="minorHAnsi" w:hAnsiTheme="minorHAnsi" w:cs="Arial"/>
                <w:b/>
                <w:bCs/>
                <w:lang w:eastAsia="en-GB"/>
              </w:rPr>
              <w:t>Effect if actual results differ from assumptions</w:t>
            </w:r>
          </w:p>
        </w:tc>
      </w:tr>
      <w:bookmarkEnd w:id="12"/>
      <w:tr w:rsidR="004B7E57" w:rsidRPr="00CB253E" w14:paraId="46D908CA" w14:textId="77777777" w:rsidTr="008F63B8">
        <w:trPr>
          <w:trHeight w:val="2169"/>
        </w:trPr>
        <w:tc>
          <w:tcPr>
            <w:tcW w:w="1575" w:type="dxa"/>
            <w:shd w:val="clear" w:color="auto" w:fill="F2DBDB" w:themeFill="accent2" w:themeFillTint="33"/>
          </w:tcPr>
          <w:p w14:paraId="71A3D24A" w14:textId="5EC434A2" w:rsidR="004B7E57" w:rsidRPr="00CB253E" w:rsidRDefault="004B7E57" w:rsidP="008F63B8">
            <w:pPr>
              <w:rPr>
                <w:rFonts w:asciiTheme="minorHAnsi" w:hAnsiTheme="minorHAnsi" w:cs="Arial"/>
                <w:lang w:eastAsia="en-GB"/>
              </w:rPr>
            </w:pPr>
            <w:r w:rsidRPr="00CB253E">
              <w:rPr>
                <w:rFonts w:asciiTheme="minorHAnsi" w:hAnsiTheme="minorHAnsi" w:cs="Arial"/>
                <w:lang w:eastAsia="en-GB"/>
              </w:rPr>
              <w:t xml:space="preserve">Property, Plant </w:t>
            </w:r>
            <w:r w:rsidR="00704A70">
              <w:rPr>
                <w:rFonts w:asciiTheme="minorHAnsi" w:hAnsiTheme="minorHAnsi" w:cs="Arial"/>
                <w:lang w:eastAsia="en-GB"/>
              </w:rPr>
              <w:t>and</w:t>
            </w:r>
            <w:r w:rsidRPr="00CB253E">
              <w:rPr>
                <w:rFonts w:asciiTheme="minorHAnsi" w:hAnsiTheme="minorHAnsi" w:cs="Arial"/>
                <w:lang w:eastAsia="en-GB"/>
              </w:rPr>
              <w:t xml:space="preserve"> Equipment</w:t>
            </w:r>
          </w:p>
        </w:tc>
        <w:tc>
          <w:tcPr>
            <w:tcW w:w="4961" w:type="dxa"/>
            <w:shd w:val="clear" w:color="auto" w:fill="F2DBDB" w:themeFill="accent2" w:themeFillTint="33"/>
          </w:tcPr>
          <w:p w14:paraId="34C745E3" w14:textId="57AE109B"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Assets are depreciated over useful lives that are dependent on assumptions about the level of repairs </w:t>
            </w:r>
            <w:r w:rsidR="00704A70">
              <w:rPr>
                <w:rFonts w:asciiTheme="minorHAnsi" w:hAnsiTheme="minorHAnsi" w:cs="Arial"/>
                <w:lang w:eastAsia="en-GB"/>
              </w:rPr>
              <w:t>and</w:t>
            </w:r>
            <w:r w:rsidRPr="00CB253E">
              <w:rPr>
                <w:rFonts w:asciiTheme="minorHAnsi" w:hAnsiTheme="minorHAnsi" w:cs="Arial"/>
                <w:lang w:eastAsia="en-GB"/>
              </w:rPr>
              <w:t xml:space="preserve"> maintenance that will be incurred in relation to individual assets. The current economic climate makes it uncertain that the Council will be able to sustain its current spending on repairs </w:t>
            </w:r>
            <w:r w:rsidR="00704A70">
              <w:rPr>
                <w:rFonts w:asciiTheme="minorHAnsi" w:hAnsiTheme="minorHAnsi" w:cs="Arial"/>
                <w:lang w:eastAsia="en-GB"/>
              </w:rPr>
              <w:t>and</w:t>
            </w:r>
            <w:r w:rsidRPr="00CB253E">
              <w:rPr>
                <w:rFonts w:asciiTheme="minorHAnsi" w:hAnsiTheme="minorHAnsi" w:cs="Arial"/>
                <w:lang w:eastAsia="en-GB"/>
              </w:rPr>
              <w:t xml:space="preserve"> maintenance, bringing into doubt the useful lives assigned to assets.</w:t>
            </w:r>
          </w:p>
        </w:tc>
        <w:tc>
          <w:tcPr>
            <w:tcW w:w="3402" w:type="dxa"/>
            <w:shd w:val="clear" w:color="auto" w:fill="F2DBDB" w:themeFill="accent2" w:themeFillTint="33"/>
          </w:tcPr>
          <w:p w14:paraId="5BD0E99C" w14:textId="77777777"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If the useful life of assets is reduced, depreciation increases and the carrying amount of the assets falls. </w:t>
            </w:r>
          </w:p>
          <w:p w14:paraId="789EDED5" w14:textId="77777777" w:rsidR="004B7E57" w:rsidRPr="00CB253E" w:rsidRDefault="004B7E57" w:rsidP="008F63B8">
            <w:pPr>
              <w:jc w:val="both"/>
              <w:rPr>
                <w:rFonts w:asciiTheme="minorHAnsi" w:hAnsiTheme="minorHAnsi" w:cs="Arial"/>
                <w:lang w:eastAsia="en-GB"/>
              </w:rPr>
            </w:pPr>
          </w:p>
          <w:p w14:paraId="01D7976E" w14:textId="5DD76E41" w:rsidR="004B7E57" w:rsidRPr="00CB253E" w:rsidRDefault="004B7E57" w:rsidP="008F63B8">
            <w:pPr>
              <w:jc w:val="both"/>
              <w:rPr>
                <w:rFonts w:asciiTheme="minorHAnsi" w:hAnsiTheme="minorHAnsi" w:cs="Arial"/>
                <w:lang w:eastAsia="en-GB"/>
              </w:rPr>
            </w:pPr>
            <w:r w:rsidRPr="00E47687">
              <w:rPr>
                <w:rFonts w:asciiTheme="minorHAnsi" w:hAnsiTheme="minorHAnsi" w:cs="Arial"/>
                <w:lang w:eastAsia="en-GB"/>
              </w:rPr>
              <w:t xml:space="preserve">It is estimated that the annual depreciation charge for buildings on the General Fund would increase by </w:t>
            </w:r>
            <w:r w:rsidRPr="009A61FA">
              <w:rPr>
                <w:rFonts w:asciiTheme="minorHAnsi" w:hAnsiTheme="minorHAnsi" w:cs="Arial"/>
                <w:lang w:eastAsia="en-GB"/>
              </w:rPr>
              <w:t>£</w:t>
            </w:r>
            <w:r w:rsidR="003A3A76" w:rsidRPr="009A61FA">
              <w:rPr>
                <w:rFonts w:asciiTheme="minorHAnsi" w:hAnsiTheme="minorHAnsi" w:cs="Arial"/>
                <w:lang w:eastAsia="en-GB"/>
              </w:rPr>
              <w:t>4</w:t>
            </w:r>
            <w:r w:rsidR="009A61FA" w:rsidRPr="009A61FA">
              <w:rPr>
                <w:rFonts w:asciiTheme="minorHAnsi" w:hAnsiTheme="minorHAnsi" w:cs="Arial"/>
                <w:lang w:eastAsia="en-GB"/>
              </w:rPr>
              <w:t>6</w:t>
            </w:r>
            <w:r w:rsidR="00E87D47" w:rsidRPr="009A61FA">
              <w:rPr>
                <w:rFonts w:asciiTheme="minorHAnsi" w:hAnsiTheme="minorHAnsi" w:cs="Arial"/>
                <w:lang w:eastAsia="en-GB"/>
              </w:rPr>
              <w:t>k</w:t>
            </w:r>
            <w:r w:rsidRPr="009A61FA">
              <w:rPr>
                <w:rFonts w:asciiTheme="minorHAnsi" w:hAnsiTheme="minorHAnsi" w:cs="Arial"/>
                <w:lang w:eastAsia="en-GB"/>
              </w:rPr>
              <w:t xml:space="preserve"> for</w:t>
            </w:r>
            <w:r w:rsidRPr="00E47687">
              <w:rPr>
                <w:rFonts w:asciiTheme="minorHAnsi" w:hAnsiTheme="minorHAnsi" w:cs="Arial"/>
                <w:lang w:eastAsia="en-GB"/>
              </w:rPr>
              <w:t xml:space="preserve"> every year that useful lives had to be reduced.</w:t>
            </w:r>
          </w:p>
        </w:tc>
      </w:tr>
      <w:tr w:rsidR="004B7E57" w:rsidRPr="00CB253E" w14:paraId="6F3C7BB8" w14:textId="77777777" w:rsidTr="008F63B8">
        <w:trPr>
          <w:trHeight w:val="1964"/>
        </w:trPr>
        <w:tc>
          <w:tcPr>
            <w:tcW w:w="1575" w:type="dxa"/>
            <w:shd w:val="clear" w:color="auto" w:fill="F2DBDB" w:themeFill="accent2" w:themeFillTint="33"/>
          </w:tcPr>
          <w:p w14:paraId="2B42D86F" w14:textId="77777777" w:rsidR="004B7E57" w:rsidRPr="00CB253E" w:rsidRDefault="004B7E57" w:rsidP="008F63B8">
            <w:pPr>
              <w:rPr>
                <w:rFonts w:asciiTheme="minorHAnsi" w:hAnsiTheme="minorHAnsi" w:cs="Arial"/>
                <w:lang w:eastAsia="en-GB"/>
              </w:rPr>
            </w:pPr>
            <w:r w:rsidRPr="00CB253E">
              <w:rPr>
                <w:rFonts w:asciiTheme="minorHAnsi" w:hAnsiTheme="minorHAnsi" w:cs="Arial"/>
                <w:lang w:eastAsia="en-GB"/>
              </w:rPr>
              <w:t>Pensions Liability</w:t>
            </w:r>
          </w:p>
        </w:tc>
        <w:tc>
          <w:tcPr>
            <w:tcW w:w="4961" w:type="dxa"/>
            <w:shd w:val="clear" w:color="auto" w:fill="F2DBDB" w:themeFill="accent2" w:themeFillTint="33"/>
          </w:tcPr>
          <w:p w14:paraId="6A70D2AD" w14:textId="77777777" w:rsidR="004B7E57" w:rsidRDefault="004B7E57" w:rsidP="008F63B8">
            <w:pPr>
              <w:jc w:val="both"/>
              <w:rPr>
                <w:rFonts w:asciiTheme="minorHAnsi" w:hAnsiTheme="minorHAnsi" w:cs="Arial"/>
                <w:lang w:eastAsia="en-GB"/>
              </w:rPr>
            </w:pPr>
            <w:r w:rsidRPr="00CB253E">
              <w:rPr>
                <w:rFonts w:asciiTheme="minorHAnsi" w:hAnsiTheme="minorHAnsi" w:cs="Arial"/>
                <w:lang w:eastAsia="en-GB"/>
              </w:rPr>
              <w:t>Estimation of the net liability to pay pensions depend on a number of complex judgements relating to the discount rate used, the rate at which salaries are projected to increase, changes in retirement ages, mortality rates and expected returns on pension fund assets. A firm of consulting actuaries is engaged to provide the Council with expert advice about the assumptions applied.</w:t>
            </w:r>
          </w:p>
          <w:p w14:paraId="4861FD87" w14:textId="77777777" w:rsidR="005D7871" w:rsidRDefault="005D7871" w:rsidP="008F63B8">
            <w:pPr>
              <w:jc w:val="both"/>
              <w:rPr>
                <w:rFonts w:asciiTheme="minorHAnsi" w:hAnsiTheme="minorHAnsi" w:cs="Arial"/>
                <w:lang w:eastAsia="en-GB"/>
              </w:rPr>
            </w:pPr>
          </w:p>
          <w:p w14:paraId="3E75EEC5" w14:textId="477FD6C7" w:rsidR="005D7871" w:rsidRPr="00CB253E" w:rsidRDefault="005D7871" w:rsidP="008F63B8">
            <w:pPr>
              <w:jc w:val="both"/>
              <w:rPr>
                <w:rFonts w:asciiTheme="minorHAnsi" w:hAnsiTheme="minorHAnsi" w:cs="Arial"/>
                <w:lang w:eastAsia="en-GB"/>
              </w:rPr>
            </w:pPr>
            <w:r>
              <w:rPr>
                <w:rFonts w:asciiTheme="minorHAnsi" w:hAnsiTheme="minorHAnsi" w:cs="Arial"/>
                <w:lang w:eastAsia="en-GB"/>
              </w:rPr>
              <w:t xml:space="preserve">Brexit and COVID19 both initially had negative impacts on the UK economy and pension asset values, but the market appears to be recovering and stabilising.  However, another serious outbreak of COVID19 could have a detrimental impact on asset returns, as could an increase in interest rates to curb inflation increases as a result of the recovery.  The outcome of pending legal cases may also affect the pension liability going forward. </w:t>
            </w:r>
          </w:p>
        </w:tc>
        <w:tc>
          <w:tcPr>
            <w:tcW w:w="3402" w:type="dxa"/>
            <w:shd w:val="clear" w:color="auto" w:fill="F2DBDB" w:themeFill="accent2" w:themeFillTint="33"/>
          </w:tcPr>
          <w:p w14:paraId="7B9A417D" w14:textId="5BB54056" w:rsidR="004B7E57"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The effect on the net pension’s liability of changes in individual assumptions can be measured. For instance, </w:t>
            </w:r>
            <w:r w:rsidRPr="00C53465">
              <w:rPr>
                <w:rFonts w:asciiTheme="minorHAnsi" w:hAnsiTheme="minorHAnsi" w:cs="Arial"/>
                <w:lang w:eastAsia="en-GB"/>
              </w:rPr>
              <w:t>a 0.</w:t>
            </w:r>
            <w:r w:rsidR="00131AB6" w:rsidRPr="00C53465">
              <w:rPr>
                <w:rFonts w:asciiTheme="minorHAnsi" w:hAnsiTheme="minorHAnsi" w:cs="Arial"/>
                <w:lang w:eastAsia="en-GB"/>
              </w:rPr>
              <w:t>1</w:t>
            </w:r>
            <w:r w:rsidRPr="00C53465">
              <w:rPr>
                <w:rFonts w:asciiTheme="minorHAnsi" w:hAnsiTheme="minorHAnsi" w:cs="Arial"/>
                <w:lang w:eastAsia="en-GB"/>
              </w:rPr>
              <w:t xml:space="preserve">% decrease in the discount rate assumption would result in a decrease in the pension </w:t>
            </w:r>
            <w:r w:rsidRPr="00C53465">
              <w:rPr>
                <w:rFonts w:asciiTheme="minorHAnsi" w:hAnsiTheme="minorHAnsi" w:cs="Arial"/>
                <w:color w:val="000000" w:themeColor="text1"/>
                <w:shd w:val="clear" w:color="auto" w:fill="F2DBDB" w:themeFill="accent2" w:themeFillTint="33"/>
                <w:lang w:eastAsia="en-GB"/>
              </w:rPr>
              <w:t>liability of £</w:t>
            </w:r>
            <w:r w:rsidR="00403450">
              <w:rPr>
                <w:rFonts w:asciiTheme="minorHAnsi" w:hAnsiTheme="minorHAnsi" w:cs="Arial"/>
                <w:color w:val="000000" w:themeColor="text1"/>
                <w:shd w:val="clear" w:color="auto" w:fill="F2DBDB" w:themeFill="accent2" w:themeFillTint="33"/>
                <w:lang w:eastAsia="en-GB"/>
              </w:rPr>
              <w:t>814k</w:t>
            </w:r>
            <w:r w:rsidRPr="00C53465">
              <w:rPr>
                <w:rFonts w:asciiTheme="minorHAnsi" w:hAnsiTheme="minorHAnsi" w:cs="Arial"/>
                <w:lang w:eastAsia="en-GB"/>
              </w:rPr>
              <w:t>.</w:t>
            </w:r>
            <w:r w:rsidRPr="00CB253E">
              <w:rPr>
                <w:rFonts w:asciiTheme="minorHAnsi" w:hAnsiTheme="minorHAnsi" w:cs="Arial"/>
                <w:lang w:eastAsia="en-GB"/>
              </w:rPr>
              <w:t xml:space="preserve"> </w:t>
            </w:r>
          </w:p>
          <w:p w14:paraId="177EDCAF" w14:textId="77777777" w:rsidR="005D7871" w:rsidRDefault="005D7871" w:rsidP="008F63B8">
            <w:pPr>
              <w:jc w:val="both"/>
              <w:rPr>
                <w:rFonts w:asciiTheme="minorHAnsi" w:hAnsiTheme="minorHAnsi" w:cs="Arial"/>
                <w:highlight w:val="yellow"/>
                <w:lang w:eastAsia="en-GB"/>
              </w:rPr>
            </w:pPr>
          </w:p>
          <w:p w14:paraId="4D55CA3E" w14:textId="0FCB26C9" w:rsidR="005D7871" w:rsidRPr="008B3132" w:rsidRDefault="005D7871" w:rsidP="008F63B8">
            <w:pPr>
              <w:jc w:val="both"/>
              <w:rPr>
                <w:rFonts w:asciiTheme="minorHAnsi" w:hAnsiTheme="minorHAnsi" w:cs="Arial"/>
                <w:highlight w:val="yellow"/>
                <w:lang w:eastAsia="en-GB"/>
              </w:rPr>
            </w:pPr>
          </w:p>
        </w:tc>
      </w:tr>
      <w:tr w:rsidR="004B7E57" w:rsidRPr="00CB253E" w14:paraId="4FB8D519" w14:textId="77777777" w:rsidTr="008F63B8">
        <w:trPr>
          <w:trHeight w:val="1844"/>
        </w:trPr>
        <w:tc>
          <w:tcPr>
            <w:tcW w:w="1575" w:type="dxa"/>
            <w:shd w:val="clear" w:color="auto" w:fill="F2DBDB" w:themeFill="accent2" w:themeFillTint="33"/>
          </w:tcPr>
          <w:p w14:paraId="7E6341D1" w14:textId="77777777" w:rsidR="004B7E57" w:rsidRPr="00CB253E" w:rsidRDefault="004B7E57" w:rsidP="008F63B8">
            <w:pPr>
              <w:rPr>
                <w:rFonts w:asciiTheme="minorHAnsi" w:hAnsiTheme="minorHAnsi" w:cs="Arial"/>
                <w:lang w:eastAsia="en-GB"/>
              </w:rPr>
            </w:pPr>
            <w:r w:rsidRPr="00CB253E">
              <w:rPr>
                <w:rFonts w:asciiTheme="minorHAnsi" w:hAnsiTheme="minorHAnsi" w:cs="Arial"/>
                <w:lang w:eastAsia="en-GB"/>
              </w:rPr>
              <w:t>Arrears</w:t>
            </w:r>
          </w:p>
        </w:tc>
        <w:tc>
          <w:tcPr>
            <w:tcW w:w="4961" w:type="dxa"/>
            <w:shd w:val="clear" w:color="auto" w:fill="F2DBDB" w:themeFill="accent2" w:themeFillTint="33"/>
          </w:tcPr>
          <w:p w14:paraId="40E0F86B" w14:textId="4679C9AD" w:rsidR="004B7E57" w:rsidRPr="0010535E" w:rsidRDefault="004B7E57" w:rsidP="008F63B8">
            <w:pPr>
              <w:jc w:val="both"/>
              <w:rPr>
                <w:rFonts w:asciiTheme="minorHAnsi" w:hAnsiTheme="minorHAnsi" w:cs="Arial"/>
                <w:lang w:eastAsia="en-GB"/>
              </w:rPr>
            </w:pPr>
            <w:proofErr w:type="gramStart"/>
            <w:r w:rsidRPr="00CB253E">
              <w:rPr>
                <w:rFonts w:asciiTheme="minorHAnsi" w:hAnsiTheme="minorHAnsi" w:cs="Arial"/>
                <w:lang w:eastAsia="en-GB"/>
              </w:rPr>
              <w:t>At</w:t>
            </w:r>
            <w:proofErr w:type="gramEnd"/>
            <w:r w:rsidRPr="00CB253E">
              <w:rPr>
                <w:rFonts w:asciiTheme="minorHAnsi" w:hAnsiTheme="minorHAnsi" w:cs="Arial"/>
                <w:lang w:eastAsia="en-GB"/>
              </w:rPr>
              <w:t xml:space="preserve"> 31 March 20</w:t>
            </w:r>
            <w:r w:rsidR="009B71F0">
              <w:rPr>
                <w:rFonts w:asciiTheme="minorHAnsi" w:hAnsiTheme="minorHAnsi" w:cs="Arial"/>
                <w:lang w:eastAsia="en-GB"/>
              </w:rPr>
              <w:t>2</w:t>
            </w:r>
            <w:r w:rsidR="003F2E1D">
              <w:rPr>
                <w:rFonts w:asciiTheme="minorHAnsi" w:hAnsiTheme="minorHAnsi" w:cs="Arial"/>
                <w:lang w:eastAsia="en-GB"/>
              </w:rPr>
              <w:t>3</w:t>
            </w:r>
            <w:r w:rsidRPr="00CB253E">
              <w:rPr>
                <w:rFonts w:asciiTheme="minorHAnsi" w:hAnsiTheme="minorHAnsi" w:cs="Arial"/>
                <w:lang w:eastAsia="en-GB"/>
              </w:rPr>
              <w:t xml:space="preserve"> the Council had a balance of sundry Receivables </w:t>
            </w:r>
            <w:r w:rsidRPr="00087539">
              <w:rPr>
                <w:rFonts w:asciiTheme="minorHAnsi" w:hAnsiTheme="minorHAnsi" w:cs="Arial"/>
                <w:lang w:eastAsia="en-GB"/>
              </w:rPr>
              <w:t>of</w:t>
            </w:r>
            <w:r w:rsidR="009F615B" w:rsidRPr="00087539">
              <w:rPr>
                <w:rFonts w:asciiTheme="minorHAnsi" w:hAnsiTheme="minorHAnsi" w:cs="Arial"/>
                <w:lang w:eastAsia="en-GB"/>
              </w:rPr>
              <w:t xml:space="preserve"> </w:t>
            </w:r>
            <w:r w:rsidR="009F615B" w:rsidRPr="0010535E">
              <w:rPr>
                <w:rFonts w:asciiTheme="minorHAnsi" w:hAnsiTheme="minorHAnsi" w:cs="Arial"/>
                <w:lang w:eastAsia="en-GB"/>
              </w:rPr>
              <w:t>£1,</w:t>
            </w:r>
            <w:r w:rsidR="0010535E" w:rsidRPr="0010535E">
              <w:rPr>
                <w:rFonts w:asciiTheme="minorHAnsi" w:hAnsiTheme="minorHAnsi" w:cs="Arial"/>
                <w:lang w:eastAsia="en-GB"/>
              </w:rPr>
              <w:t>052</w:t>
            </w:r>
            <w:r w:rsidR="00131AB6" w:rsidRPr="0010535E">
              <w:rPr>
                <w:rFonts w:asciiTheme="minorHAnsi" w:hAnsiTheme="minorHAnsi" w:cs="Arial"/>
                <w:lang w:eastAsia="en-GB"/>
              </w:rPr>
              <w:t>k</w:t>
            </w:r>
            <w:r w:rsidRPr="0010535E">
              <w:rPr>
                <w:rFonts w:asciiTheme="minorHAnsi" w:hAnsiTheme="minorHAnsi" w:cs="Arial"/>
                <w:lang w:eastAsia="en-GB"/>
              </w:rPr>
              <w:t>.</w:t>
            </w:r>
            <w:r w:rsidRPr="00087539">
              <w:rPr>
                <w:rFonts w:asciiTheme="minorHAnsi" w:hAnsiTheme="minorHAnsi" w:cs="Arial"/>
                <w:lang w:eastAsia="en-GB"/>
              </w:rPr>
              <w:t xml:space="preserve"> A review of significant balances suggested that an impai</w:t>
            </w:r>
            <w:r w:rsidR="00DF4D37" w:rsidRPr="00087539">
              <w:rPr>
                <w:rFonts w:asciiTheme="minorHAnsi" w:hAnsiTheme="minorHAnsi" w:cs="Arial"/>
                <w:lang w:eastAsia="en-GB"/>
              </w:rPr>
              <w:t xml:space="preserve">rment of doubtful debts </w:t>
            </w:r>
            <w:r w:rsidR="00DF4D37" w:rsidRPr="006B7C92">
              <w:rPr>
                <w:rFonts w:asciiTheme="minorHAnsi" w:hAnsiTheme="minorHAnsi" w:cs="Arial"/>
                <w:lang w:eastAsia="en-GB"/>
              </w:rPr>
              <w:t>of</w:t>
            </w:r>
            <w:r w:rsidR="009F615B" w:rsidRPr="006B7C92">
              <w:rPr>
                <w:rFonts w:asciiTheme="minorHAnsi" w:hAnsiTheme="minorHAnsi" w:cs="Arial"/>
                <w:lang w:eastAsia="en-GB"/>
              </w:rPr>
              <w:t xml:space="preserve"> </w:t>
            </w:r>
            <w:r w:rsidR="006B7C92" w:rsidRPr="0010535E">
              <w:rPr>
                <w:rFonts w:asciiTheme="minorHAnsi" w:hAnsiTheme="minorHAnsi" w:cs="Arial"/>
                <w:lang w:eastAsia="en-GB"/>
              </w:rPr>
              <w:t>5</w:t>
            </w:r>
            <w:r w:rsidR="0010535E" w:rsidRPr="0010535E">
              <w:rPr>
                <w:rFonts w:asciiTheme="minorHAnsi" w:hAnsiTheme="minorHAnsi" w:cs="Arial"/>
                <w:lang w:eastAsia="en-GB"/>
              </w:rPr>
              <w:t>7</w:t>
            </w:r>
            <w:r w:rsidR="006B7C92" w:rsidRPr="0010535E">
              <w:rPr>
                <w:rFonts w:asciiTheme="minorHAnsi" w:hAnsiTheme="minorHAnsi" w:cs="Arial"/>
                <w:lang w:eastAsia="en-GB"/>
              </w:rPr>
              <w:t>.13</w:t>
            </w:r>
            <w:r w:rsidR="009F615B" w:rsidRPr="0010535E">
              <w:rPr>
                <w:rFonts w:asciiTheme="minorHAnsi" w:hAnsiTheme="minorHAnsi" w:cs="Arial"/>
                <w:lang w:eastAsia="en-GB"/>
              </w:rPr>
              <w:t>% (£</w:t>
            </w:r>
            <w:r w:rsidR="0010535E" w:rsidRPr="0010535E">
              <w:rPr>
                <w:rFonts w:asciiTheme="minorHAnsi" w:hAnsiTheme="minorHAnsi" w:cs="Arial"/>
                <w:lang w:eastAsia="en-GB"/>
              </w:rPr>
              <w:t>601</w:t>
            </w:r>
            <w:r w:rsidR="00131AB6" w:rsidRPr="0010535E">
              <w:rPr>
                <w:rFonts w:asciiTheme="minorHAnsi" w:hAnsiTheme="minorHAnsi" w:cs="Arial"/>
                <w:lang w:eastAsia="en-GB"/>
              </w:rPr>
              <w:t>k</w:t>
            </w:r>
            <w:r w:rsidR="009F615B" w:rsidRPr="0010535E">
              <w:rPr>
                <w:rFonts w:asciiTheme="minorHAnsi" w:hAnsiTheme="minorHAnsi" w:cs="Arial"/>
                <w:lang w:eastAsia="en-GB"/>
              </w:rPr>
              <w:t>)</w:t>
            </w:r>
            <w:r w:rsidRPr="006B7C92">
              <w:rPr>
                <w:rFonts w:asciiTheme="minorHAnsi" w:hAnsiTheme="minorHAnsi" w:cs="Arial"/>
                <w:lang w:eastAsia="en-GB"/>
              </w:rPr>
              <w:t xml:space="preserve"> was appropriate.</w:t>
            </w:r>
            <w:r w:rsidRPr="00CB253E">
              <w:rPr>
                <w:rFonts w:asciiTheme="minorHAnsi" w:hAnsiTheme="minorHAnsi" w:cs="Arial"/>
                <w:lang w:eastAsia="en-GB"/>
              </w:rPr>
              <w:t xml:space="preserve"> However, in the current economic climate it is not certain that such an allowance would be sufficient.</w:t>
            </w:r>
          </w:p>
        </w:tc>
        <w:tc>
          <w:tcPr>
            <w:tcW w:w="3402" w:type="dxa"/>
            <w:shd w:val="clear" w:color="auto" w:fill="F2DBDB" w:themeFill="accent2" w:themeFillTint="33"/>
          </w:tcPr>
          <w:p w14:paraId="11A706B4" w14:textId="16A10AF2"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If collection rates were to deteriorate and, for example, the level of remaining sundry debtors owing (after write offs and </w:t>
            </w:r>
            <w:r w:rsidRPr="006E16DB">
              <w:rPr>
                <w:rFonts w:asciiTheme="minorHAnsi" w:hAnsiTheme="minorHAnsi" w:cs="Arial"/>
                <w:lang w:eastAsia="en-GB"/>
              </w:rPr>
              <w:t>settlements) were to double, this cou</w:t>
            </w:r>
            <w:r w:rsidR="00DF4D37" w:rsidRPr="006E16DB">
              <w:rPr>
                <w:rFonts w:asciiTheme="minorHAnsi" w:hAnsiTheme="minorHAnsi" w:cs="Arial"/>
                <w:lang w:eastAsia="en-GB"/>
              </w:rPr>
              <w:t>ld result in a £</w:t>
            </w:r>
            <w:r w:rsidR="006E16DB" w:rsidRPr="006E16DB">
              <w:rPr>
                <w:rFonts w:asciiTheme="minorHAnsi" w:hAnsiTheme="minorHAnsi" w:cs="Arial"/>
                <w:lang w:eastAsia="en-GB"/>
              </w:rPr>
              <w:t>350</w:t>
            </w:r>
            <w:r w:rsidRPr="006E16DB">
              <w:rPr>
                <w:rFonts w:asciiTheme="minorHAnsi" w:hAnsiTheme="minorHAnsi" w:cs="Arial"/>
                <w:lang w:eastAsia="en-GB"/>
              </w:rPr>
              <w:t>k increase in the allowance for the impairment</w:t>
            </w:r>
            <w:r w:rsidRPr="00D26455">
              <w:rPr>
                <w:rFonts w:asciiTheme="minorHAnsi" w:hAnsiTheme="minorHAnsi" w:cs="Arial"/>
                <w:lang w:eastAsia="en-GB"/>
              </w:rPr>
              <w:t xml:space="preserve"> of doubtful debts.</w:t>
            </w:r>
          </w:p>
        </w:tc>
      </w:tr>
      <w:tr w:rsidR="004B7E57" w:rsidRPr="00CB253E" w14:paraId="55607F27" w14:textId="77777777" w:rsidTr="008F63B8">
        <w:trPr>
          <w:trHeight w:val="985"/>
        </w:trPr>
        <w:tc>
          <w:tcPr>
            <w:tcW w:w="1575" w:type="dxa"/>
            <w:shd w:val="clear" w:color="auto" w:fill="F2DBDB" w:themeFill="accent2" w:themeFillTint="33"/>
          </w:tcPr>
          <w:p w14:paraId="00D3F248" w14:textId="77777777" w:rsidR="004B7E57" w:rsidRPr="00CB253E" w:rsidRDefault="004B7E57" w:rsidP="008F63B8">
            <w:pPr>
              <w:rPr>
                <w:rFonts w:asciiTheme="minorHAnsi" w:hAnsiTheme="minorHAnsi" w:cs="Arial"/>
                <w:lang w:eastAsia="en-GB"/>
              </w:rPr>
            </w:pPr>
            <w:r w:rsidRPr="00CB253E">
              <w:rPr>
                <w:rFonts w:asciiTheme="minorHAnsi" w:hAnsiTheme="minorHAnsi" w:cs="Arial"/>
                <w:lang w:eastAsia="en-GB"/>
              </w:rPr>
              <w:t>Fair Value Measurements</w:t>
            </w:r>
          </w:p>
        </w:tc>
        <w:tc>
          <w:tcPr>
            <w:tcW w:w="4961" w:type="dxa"/>
            <w:shd w:val="clear" w:color="auto" w:fill="F2DBDB" w:themeFill="accent2" w:themeFillTint="33"/>
          </w:tcPr>
          <w:p w14:paraId="5E027199" w14:textId="6DE81FBB" w:rsidR="004B7E57" w:rsidRDefault="004B7E57" w:rsidP="008F63B8">
            <w:pPr>
              <w:jc w:val="both"/>
              <w:rPr>
                <w:rFonts w:asciiTheme="minorHAnsi" w:hAnsiTheme="minorHAnsi" w:cs="Arial"/>
                <w:lang w:eastAsia="en-GB"/>
              </w:rPr>
            </w:pPr>
            <w:r w:rsidRPr="00CB253E">
              <w:rPr>
                <w:rFonts w:asciiTheme="minorHAnsi" w:hAnsiTheme="minorHAnsi" w:cs="Arial"/>
                <w:lang w:eastAsia="en-GB"/>
              </w:rPr>
              <w:t>When the fair values of financial assets and liabilities cannot be measured based on quoted prices in active markets (</w:t>
            </w:r>
            <w:proofErr w:type="spellStart"/>
            <w:proofErr w:type="gramStart"/>
            <w:r w:rsidRPr="00CB253E">
              <w:rPr>
                <w:rFonts w:asciiTheme="minorHAnsi" w:hAnsiTheme="minorHAnsi" w:cs="Arial"/>
                <w:lang w:eastAsia="en-GB"/>
              </w:rPr>
              <w:t>ie</w:t>
            </w:r>
            <w:proofErr w:type="spellEnd"/>
            <w:proofErr w:type="gramEnd"/>
            <w:r w:rsidRPr="00CB253E">
              <w:rPr>
                <w:rFonts w:asciiTheme="minorHAnsi" w:hAnsiTheme="minorHAnsi" w:cs="Arial"/>
                <w:lang w:eastAsia="en-GB"/>
              </w:rPr>
              <w:t xml:space="preserve"> level 1 inputs), their fair value is measured using valuation techniques (</w:t>
            </w:r>
            <w:proofErr w:type="spellStart"/>
            <w:r w:rsidRPr="00CB253E">
              <w:rPr>
                <w:rFonts w:asciiTheme="minorHAnsi" w:hAnsiTheme="minorHAnsi" w:cs="Arial"/>
                <w:lang w:eastAsia="en-GB"/>
              </w:rPr>
              <w:t>eg</w:t>
            </w:r>
            <w:proofErr w:type="spellEnd"/>
            <w:r w:rsidRPr="00CB253E">
              <w:rPr>
                <w:rFonts w:asciiTheme="minorHAnsi" w:hAnsiTheme="minorHAnsi" w:cs="Arial"/>
                <w:lang w:eastAsia="en-GB"/>
              </w:rPr>
              <w:t xml:space="preserve"> quoted prices for similar assets or liabilities in active markets or the discounted cash flow (DCF) model). </w:t>
            </w:r>
          </w:p>
          <w:p w14:paraId="7D1639EC" w14:textId="77777777" w:rsidR="00A60187" w:rsidRPr="00CB253E" w:rsidRDefault="00A60187" w:rsidP="008F63B8">
            <w:pPr>
              <w:jc w:val="both"/>
              <w:rPr>
                <w:rFonts w:asciiTheme="minorHAnsi" w:hAnsiTheme="minorHAnsi" w:cs="Arial"/>
                <w:lang w:eastAsia="en-GB"/>
              </w:rPr>
            </w:pPr>
          </w:p>
          <w:p w14:paraId="1ECCD254" w14:textId="58B90FA3" w:rsidR="004B7E57"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Where possible, the inputs to these valuation techniques are based on observable data, but where this is not possible judgement is required in establishing fair values. These judgements typically include considerations such as uncertainty and risk. However, changes in the assumptions </w:t>
            </w:r>
            <w:r w:rsidRPr="00CB253E">
              <w:rPr>
                <w:rFonts w:asciiTheme="minorHAnsi" w:hAnsiTheme="minorHAnsi" w:cs="Arial"/>
                <w:lang w:eastAsia="en-GB"/>
              </w:rPr>
              <w:lastRenderedPageBreak/>
              <w:t xml:space="preserve">used could affect the fair value of the Council’s assets and liabilities. </w:t>
            </w:r>
          </w:p>
          <w:p w14:paraId="4E99D8A0" w14:textId="77777777" w:rsidR="00A60187" w:rsidRPr="00CB253E" w:rsidRDefault="00A60187" w:rsidP="008F63B8">
            <w:pPr>
              <w:jc w:val="both"/>
              <w:rPr>
                <w:rFonts w:asciiTheme="minorHAnsi" w:hAnsiTheme="minorHAnsi" w:cs="Arial"/>
                <w:lang w:eastAsia="en-GB"/>
              </w:rPr>
            </w:pPr>
          </w:p>
          <w:p w14:paraId="32AD93FE" w14:textId="77777777"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t>Where level 1 inputs are not available, the Council employs relevant experts to identify the most appropriate valuation techniques to determine fair value (for example for investment properties</w:t>
            </w:r>
            <w:r w:rsidR="006C4E18">
              <w:rPr>
                <w:rFonts w:asciiTheme="minorHAnsi" w:hAnsiTheme="minorHAnsi" w:cs="Arial"/>
                <w:lang w:eastAsia="en-GB"/>
              </w:rPr>
              <w:t xml:space="preserve"> </w:t>
            </w:r>
            <w:r w:rsidR="008227D2">
              <w:rPr>
                <w:rFonts w:asciiTheme="minorHAnsi" w:hAnsiTheme="minorHAnsi" w:cs="Arial"/>
                <w:lang w:eastAsia="en-GB"/>
              </w:rPr>
              <w:t>and</w:t>
            </w:r>
            <w:r w:rsidR="006C4E18">
              <w:rPr>
                <w:rFonts w:asciiTheme="minorHAnsi" w:hAnsiTheme="minorHAnsi" w:cs="Arial"/>
                <w:lang w:eastAsia="en-GB"/>
              </w:rPr>
              <w:t xml:space="preserve"> surplus assets</w:t>
            </w:r>
            <w:r w:rsidRPr="00CB253E">
              <w:rPr>
                <w:rFonts w:asciiTheme="minorHAnsi" w:hAnsiTheme="minorHAnsi" w:cs="Arial"/>
                <w:lang w:eastAsia="en-GB"/>
              </w:rPr>
              <w:t xml:space="preserve">, the Council’s valuer and external valuer). </w:t>
            </w:r>
          </w:p>
          <w:p w14:paraId="4C9C69B6" w14:textId="77777777" w:rsidR="00A60187" w:rsidRDefault="004B7E57" w:rsidP="008F63B8">
            <w:pPr>
              <w:jc w:val="both"/>
              <w:rPr>
                <w:rFonts w:asciiTheme="minorHAnsi" w:hAnsiTheme="minorHAnsi" w:cs="Arial"/>
                <w:lang w:eastAsia="en-GB"/>
              </w:rPr>
            </w:pPr>
            <w:r w:rsidRPr="00CB253E">
              <w:rPr>
                <w:rFonts w:asciiTheme="minorHAnsi" w:hAnsiTheme="minorHAnsi" w:cs="Arial"/>
                <w:lang w:eastAsia="en-GB"/>
              </w:rPr>
              <w:t xml:space="preserve">Information about the valuation techniques and inputs used in determining fair value of the Council’s assets and liabilities is </w:t>
            </w:r>
            <w:r w:rsidRPr="00717221">
              <w:rPr>
                <w:rFonts w:asciiTheme="minorHAnsi" w:hAnsiTheme="minorHAnsi" w:cs="Arial"/>
                <w:lang w:eastAsia="en-GB"/>
              </w:rPr>
              <w:t xml:space="preserve">disclosed in </w:t>
            </w:r>
            <w:r w:rsidR="00DD7597" w:rsidRPr="00717221">
              <w:rPr>
                <w:rFonts w:asciiTheme="minorHAnsi" w:hAnsiTheme="minorHAnsi" w:cs="Arial"/>
                <w:lang w:eastAsia="en-GB"/>
              </w:rPr>
              <w:t xml:space="preserve">notes </w:t>
            </w:r>
            <w:r w:rsidR="008227D2" w:rsidRPr="008D73E4">
              <w:rPr>
                <w:rFonts w:asciiTheme="minorHAnsi" w:hAnsiTheme="minorHAnsi" w:cs="Arial"/>
                <w:shd w:val="clear" w:color="auto" w:fill="F2DBDB" w:themeFill="accent2" w:themeFillTint="33"/>
                <w:lang w:eastAsia="en-GB"/>
              </w:rPr>
              <w:t>1</w:t>
            </w:r>
            <w:r w:rsidR="008D73E4" w:rsidRPr="008D73E4">
              <w:rPr>
                <w:rFonts w:asciiTheme="minorHAnsi" w:hAnsiTheme="minorHAnsi" w:cs="Arial"/>
                <w:shd w:val="clear" w:color="auto" w:fill="F2DBDB" w:themeFill="accent2" w:themeFillTint="33"/>
                <w:lang w:eastAsia="en-GB"/>
              </w:rPr>
              <w:t>8</w:t>
            </w:r>
            <w:r w:rsidR="008227D2" w:rsidRPr="008D73E4">
              <w:rPr>
                <w:rFonts w:asciiTheme="minorHAnsi" w:hAnsiTheme="minorHAnsi" w:cs="Arial"/>
                <w:shd w:val="clear" w:color="auto" w:fill="F2DBDB" w:themeFill="accent2" w:themeFillTint="33"/>
                <w:lang w:eastAsia="en-GB"/>
              </w:rPr>
              <w:t xml:space="preserve">, </w:t>
            </w:r>
            <w:r w:rsidR="00383D90" w:rsidRPr="008D73E4">
              <w:rPr>
                <w:rFonts w:asciiTheme="minorHAnsi" w:hAnsiTheme="minorHAnsi" w:cs="Arial"/>
                <w:shd w:val="clear" w:color="auto" w:fill="F2DBDB" w:themeFill="accent2" w:themeFillTint="33"/>
                <w:lang w:eastAsia="en-GB"/>
              </w:rPr>
              <w:t>2</w:t>
            </w:r>
            <w:r w:rsidR="008D73E4" w:rsidRPr="008D73E4">
              <w:rPr>
                <w:rFonts w:asciiTheme="minorHAnsi" w:hAnsiTheme="minorHAnsi" w:cs="Arial"/>
                <w:shd w:val="clear" w:color="auto" w:fill="F2DBDB" w:themeFill="accent2" w:themeFillTint="33"/>
                <w:lang w:eastAsia="en-GB"/>
              </w:rPr>
              <w:t>0</w:t>
            </w:r>
            <w:r w:rsidR="008227D2" w:rsidRPr="008D73E4">
              <w:rPr>
                <w:rFonts w:asciiTheme="minorHAnsi" w:hAnsiTheme="minorHAnsi" w:cs="Arial"/>
                <w:shd w:val="clear" w:color="auto" w:fill="F2DBDB" w:themeFill="accent2" w:themeFillTint="33"/>
                <w:lang w:eastAsia="en-GB"/>
              </w:rPr>
              <w:t xml:space="preserve"> </w:t>
            </w:r>
            <w:r w:rsidR="00704A70">
              <w:rPr>
                <w:rFonts w:asciiTheme="minorHAnsi" w:hAnsiTheme="minorHAnsi" w:cs="Arial"/>
                <w:shd w:val="clear" w:color="auto" w:fill="F2DBDB" w:themeFill="accent2" w:themeFillTint="33"/>
                <w:lang w:eastAsia="en-GB"/>
              </w:rPr>
              <w:t>and</w:t>
            </w:r>
            <w:r w:rsidR="008227D2" w:rsidRPr="008D73E4">
              <w:rPr>
                <w:rFonts w:asciiTheme="minorHAnsi" w:hAnsiTheme="minorHAnsi" w:cs="Arial"/>
                <w:shd w:val="clear" w:color="auto" w:fill="F2DBDB" w:themeFill="accent2" w:themeFillTint="33"/>
                <w:lang w:eastAsia="en-GB"/>
              </w:rPr>
              <w:t xml:space="preserve"> 2</w:t>
            </w:r>
            <w:r w:rsidR="008D73E4" w:rsidRPr="008D73E4">
              <w:rPr>
                <w:rFonts w:asciiTheme="minorHAnsi" w:hAnsiTheme="minorHAnsi" w:cs="Arial"/>
                <w:shd w:val="clear" w:color="auto" w:fill="F2DBDB" w:themeFill="accent2" w:themeFillTint="33"/>
                <w:lang w:eastAsia="en-GB"/>
              </w:rPr>
              <w:t>2</w:t>
            </w:r>
            <w:r w:rsidR="00DD7597" w:rsidRPr="008D73E4">
              <w:rPr>
                <w:rFonts w:asciiTheme="minorHAnsi" w:hAnsiTheme="minorHAnsi" w:cs="Arial"/>
                <w:shd w:val="clear" w:color="auto" w:fill="F2DBDB" w:themeFill="accent2" w:themeFillTint="33"/>
                <w:lang w:eastAsia="en-GB"/>
              </w:rPr>
              <w:t xml:space="preserve"> above</w:t>
            </w:r>
            <w:r w:rsidRPr="008D73E4">
              <w:rPr>
                <w:rFonts w:asciiTheme="minorHAnsi" w:hAnsiTheme="minorHAnsi" w:cs="Arial"/>
                <w:shd w:val="clear" w:color="auto" w:fill="F2DBDB" w:themeFill="accent2" w:themeFillTint="33"/>
                <w:lang w:eastAsia="en-GB"/>
              </w:rPr>
              <w:t>.</w:t>
            </w:r>
            <w:r w:rsidRPr="00CB253E">
              <w:rPr>
                <w:rFonts w:asciiTheme="minorHAnsi" w:hAnsiTheme="minorHAnsi" w:cs="Arial"/>
                <w:lang w:eastAsia="en-GB"/>
              </w:rPr>
              <w:t xml:space="preserve"> </w:t>
            </w:r>
          </w:p>
          <w:p w14:paraId="481348F2" w14:textId="3419609E" w:rsidR="00A60187" w:rsidRPr="00CB253E" w:rsidRDefault="00A60187" w:rsidP="008F63B8">
            <w:pPr>
              <w:jc w:val="both"/>
              <w:rPr>
                <w:rFonts w:asciiTheme="minorHAnsi" w:hAnsiTheme="minorHAnsi" w:cs="Arial"/>
                <w:lang w:eastAsia="en-GB"/>
              </w:rPr>
            </w:pPr>
          </w:p>
        </w:tc>
        <w:tc>
          <w:tcPr>
            <w:tcW w:w="3402" w:type="dxa"/>
            <w:shd w:val="clear" w:color="auto" w:fill="F2DBDB" w:themeFill="accent2" w:themeFillTint="33"/>
          </w:tcPr>
          <w:p w14:paraId="26E2454E" w14:textId="77777777"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lastRenderedPageBreak/>
              <w:t>The Council used the discounted cash flow (DCF) model to measure the fair value of some of its fixed term deposits and PWLB loans.</w:t>
            </w:r>
          </w:p>
          <w:p w14:paraId="51898F8F" w14:textId="77777777" w:rsidR="004B7E57" w:rsidRPr="00CB253E" w:rsidRDefault="004B7E57" w:rsidP="008F63B8">
            <w:pPr>
              <w:jc w:val="both"/>
              <w:rPr>
                <w:rFonts w:asciiTheme="minorHAnsi" w:hAnsiTheme="minorHAnsi" w:cs="Arial"/>
                <w:lang w:eastAsia="en-GB"/>
              </w:rPr>
            </w:pPr>
            <w:r w:rsidRPr="00CB253E">
              <w:rPr>
                <w:rFonts w:asciiTheme="minorHAnsi" w:hAnsiTheme="minorHAnsi" w:cs="Arial"/>
                <w:lang w:eastAsia="en-GB"/>
              </w:rPr>
              <w:t>The significant observable inputs used in the fair value measurement include discount rate.</w:t>
            </w:r>
          </w:p>
          <w:p w14:paraId="25555311" w14:textId="77777777" w:rsidR="004B7E57" w:rsidRPr="00CB253E" w:rsidRDefault="004B7E57" w:rsidP="008F63B8">
            <w:pPr>
              <w:jc w:val="both"/>
              <w:rPr>
                <w:rFonts w:asciiTheme="minorHAnsi" w:hAnsiTheme="minorHAnsi" w:cs="Arial"/>
                <w:lang w:eastAsia="en-GB"/>
              </w:rPr>
            </w:pPr>
          </w:p>
        </w:tc>
      </w:tr>
      <w:tr w:rsidR="00834033" w:rsidRPr="00CB253E" w14:paraId="652867B3" w14:textId="77777777" w:rsidTr="008F63B8">
        <w:trPr>
          <w:trHeight w:val="985"/>
        </w:trPr>
        <w:tc>
          <w:tcPr>
            <w:tcW w:w="1575" w:type="dxa"/>
            <w:shd w:val="clear" w:color="auto" w:fill="F2DBDB" w:themeFill="accent2" w:themeFillTint="33"/>
          </w:tcPr>
          <w:p w14:paraId="71FADC0C" w14:textId="77777777" w:rsidR="00834033" w:rsidRPr="00CB253E" w:rsidRDefault="00834033" w:rsidP="008F63B8">
            <w:pPr>
              <w:rPr>
                <w:rFonts w:asciiTheme="minorHAnsi" w:hAnsiTheme="minorHAnsi" w:cs="Arial"/>
                <w:lang w:eastAsia="en-GB"/>
              </w:rPr>
            </w:pPr>
            <w:bookmarkStart w:id="13" w:name="_Hlk135055246"/>
            <w:r>
              <w:rPr>
                <w:rFonts w:asciiTheme="minorHAnsi" w:hAnsiTheme="minorHAnsi" w:cs="Arial"/>
                <w:lang w:eastAsia="en-GB"/>
              </w:rPr>
              <w:t>NNDR Appeals Provision</w:t>
            </w:r>
          </w:p>
        </w:tc>
        <w:tc>
          <w:tcPr>
            <w:tcW w:w="4961" w:type="dxa"/>
            <w:shd w:val="clear" w:color="auto" w:fill="F2DBDB" w:themeFill="accent2" w:themeFillTint="33"/>
          </w:tcPr>
          <w:p w14:paraId="3FD8B33E" w14:textId="43AB8728" w:rsidR="00834033" w:rsidRPr="00CB253E" w:rsidRDefault="002230E1" w:rsidP="008F63B8">
            <w:pPr>
              <w:jc w:val="both"/>
              <w:rPr>
                <w:rFonts w:asciiTheme="minorHAnsi" w:hAnsiTheme="minorHAnsi" w:cs="Arial"/>
                <w:lang w:eastAsia="en-GB"/>
              </w:rPr>
            </w:pPr>
            <w:r>
              <w:rPr>
                <w:rFonts w:asciiTheme="minorHAnsi" w:hAnsiTheme="minorHAnsi" w:cs="Arial"/>
                <w:lang w:eastAsia="en-GB"/>
              </w:rPr>
              <w:t xml:space="preserve">Within Provisions in </w:t>
            </w:r>
            <w:r w:rsidRPr="008D73E4">
              <w:rPr>
                <w:rFonts w:asciiTheme="minorHAnsi" w:hAnsiTheme="minorHAnsi" w:cs="Arial"/>
                <w:shd w:val="clear" w:color="auto" w:fill="F2DBDB" w:themeFill="accent2" w:themeFillTint="33"/>
                <w:lang w:eastAsia="en-GB"/>
              </w:rPr>
              <w:t>Note 3</w:t>
            </w:r>
            <w:r w:rsidR="008D73E4" w:rsidRPr="008D73E4">
              <w:rPr>
                <w:rFonts w:asciiTheme="minorHAnsi" w:hAnsiTheme="minorHAnsi" w:cs="Arial"/>
                <w:shd w:val="clear" w:color="auto" w:fill="F2DBDB" w:themeFill="accent2" w:themeFillTint="33"/>
                <w:lang w:eastAsia="en-GB"/>
              </w:rPr>
              <w:t>2</w:t>
            </w:r>
            <w:r w:rsidR="00263BA3" w:rsidRPr="00D2742A">
              <w:rPr>
                <w:rFonts w:asciiTheme="minorHAnsi" w:hAnsiTheme="minorHAnsi" w:cs="Arial"/>
                <w:shd w:val="clear" w:color="auto" w:fill="F2DBDB" w:themeFill="accent2" w:themeFillTint="33"/>
                <w:lang w:eastAsia="en-GB"/>
              </w:rPr>
              <w:t>, £</w:t>
            </w:r>
            <w:r w:rsidR="00BE7A48">
              <w:rPr>
                <w:rFonts w:asciiTheme="minorHAnsi" w:hAnsiTheme="minorHAnsi" w:cs="Arial"/>
                <w:shd w:val="clear" w:color="auto" w:fill="F2DBDB" w:themeFill="accent2" w:themeFillTint="33"/>
                <w:lang w:eastAsia="en-GB"/>
              </w:rPr>
              <w:t>317K</w:t>
            </w:r>
            <w:r w:rsidRPr="00D2742A">
              <w:rPr>
                <w:rFonts w:asciiTheme="minorHAnsi" w:hAnsiTheme="minorHAnsi" w:cs="Arial"/>
                <w:lang w:eastAsia="en-GB"/>
              </w:rPr>
              <w:t xml:space="preserve"> is provided in respect of the Council’s assessment of the potential loss of Business Rates income resulting from live claims against the 2010 and 2017 Ratings Listings, plus the Council’s assessment of the level and success of any future claims against the 2017 listing and any resulting income loss up to the end of the current year.  The second element of the provision, is by its nature, difficult to predict accurately and therefore more uncertain.</w:t>
            </w:r>
          </w:p>
        </w:tc>
        <w:tc>
          <w:tcPr>
            <w:tcW w:w="3402" w:type="dxa"/>
            <w:shd w:val="clear" w:color="auto" w:fill="F2DBDB" w:themeFill="accent2" w:themeFillTint="33"/>
          </w:tcPr>
          <w:p w14:paraId="7761272A" w14:textId="7E0B6FB3" w:rsidR="00834033" w:rsidRPr="00CB253E" w:rsidRDefault="007B4CC7" w:rsidP="008F63B8">
            <w:pPr>
              <w:jc w:val="both"/>
              <w:rPr>
                <w:rFonts w:asciiTheme="minorHAnsi" w:hAnsiTheme="minorHAnsi" w:cs="Arial"/>
                <w:lang w:eastAsia="en-GB"/>
              </w:rPr>
            </w:pPr>
            <w:r>
              <w:rPr>
                <w:rFonts w:asciiTheme="minorHAnsi" w:hAnsiTheme="minorHAnsi" w:cs="Arial"/>
                <w:lang w:eastAsia="en-GB"/>
              </w:rPr>
              <w:t>A</w:t>
            </w:r>
            <w:r w:rsidR="002230E1">
              <w:rPr>
                <w:rFonts w:asciiTheme="minorHAnsi" w:hAnsiTheme="minorHAnsi" w:cs="Arial"/>
                <w:lang w:eastAsia="en-GB"/>
              </w:rPr>
              <w:t xml:space="preserve">n </w:t>
            </w:r>
            <w:r w:rsidR="002230E1" w:rsidRPr="00D2742A">
              <w:rPr>
                <w:rFonts w:asciiTheme="minorHAnsi" w:hAnsiTheme="minorHAnsi" w:cs="Arial"/>
                <w:lang w:eastAsia="en-GB"/>
              </w:rPr>
              <w:t>increase of 10% in settlements would require an increas</w:t>
            </w:r>
            <w:r w:rsidR="003701CB" w:rsidRPr="00D2742A">
              <w:rPr>
                <w:rFonts w:asciiTheme="minorHAnsi" w:hAnsiTheme="minorHAnsi" w:cs="Arial"/>
                <w:lang w:eastAsia="en-GB"/>
              </w:rPr>
              <w:t xml:space="preserve">e of </w:t>
            </w:r>
            <w:r w:rsidR="00BE7A48">
              <w:rPr>
                <w:rFonts w:asciiTheme="minorHAnsi" w:hAnsiTheme="minorHAnsi" w:cs="Arial"/>
                <w:lang w:eastAsia="en-GB"/>
              </w:rPr>
              <w:t>£35K</w:t>
            </w:r>
            <w:r w:rsidR="003701CB" w:rsidRPr="00D2742A">
              <w:rPr>
                <w:rFonts w:asciiTheme="minorHAnsi" w:hAnsiTheme="minorHAnsi" w:cs="Arial"/>
                <w:lang w:eastAsia="en-GB"/>
              </w:rPr>
              <w:t xml:space="preserve"> </w:t>
            </w:r>
            <w:r w:rsidR="002230E1" w:rsidRPr="00D2742A">
              <w:rPr>
                <w:rFonts w:asciiTheme="minorHAnsi" w:hAnsiTheme="minorHAnsi" w:cs="Arial"/>
                <w:lang w:eastAsia="en-GB"/>
              </w:rPr>
              <w:t>in the level of provision.</w:t>
            </w:r>
          </w:p>
        </w:tc>
      </w:tr>
    </w:tbl>
    <w:bookmarkEnd w:id="13"/>
    <w:p w14:paraId="58D604AA" w14:textId="3823155F" w:rsidR="00B711B5" w:rsidRDefault="008F63B8" w:rsidP="007C6C6F">
      <w:pPr>
        <w:pStyle w:val="Heading1"/>
      </w:pPr>
      <w:r>
        <w:br w:type="textWrapping" w:clear="all"/>
      </w:r>
    </w:p>
    <w:p w14:paraId="69D1570A" w14:textId="77777777" w:rsidR="00B711B5" w:rsidRDefault="00B711B5" w:rsidP="007C6C6F">
      <w:pPr>
        <w:pStyle w:val="Heading1"/>
      </w:pPr>
    </w:p>
    <w:p w14:paraId="1EB8B9E3" w14:textId="77777777" w:rsidR="00B711B5" w:rsidRDefault="00B711B5" w:rsidP="007C6C6F">
      <w:pPr>
        <w:pStyle w:val="Heading1"/>
      </w:pPr>
    </w:p>
    <w:p w14:paraId="728F9899" w14:textId="77777777" w:rsidR="00B711B5" w:rsidRDefault="00B711B5" w:rsidP="007C6C6F">
      <w:pPr>
        <w:pStyle w:val="Heading1"/>
      </w:pPr>
    </w:p>
    <w:p w14:paraId="27994195" w14:textId="77777777" w:rsidR="00B711B5" w:rsidRDefault="00B711B5" w:rsidP="007C6C6F">
      <w:pPr>
        <w:pStyle w:val="Heading1"/>
      </w:pPr>
    </w:p>
    <w:p w14:paraId="68A55889" w14:textId="77777777" w:rsidR="00B711B5" w:rsidRDefault="00B711B5" w:rsidP="007C6C6F">
      <w:pPr>
        <w:pStyle w:val="Heading1"/>
      </w:pPr>
    </w:p>
    <w:p w14:paraId="4FBF1878" w14:textId="77777777" w:rsidR="00B711B5" w:rsidRDefault="00B711B5" w:rsidP="007C6C6F">
      <w:pPr>
        <w:pStyle w:val="Heading1"/>
      </w:pPr>
    </w:p>
    <w:p w14:paraId="2656E2F8" w14:textId="77777777" w:rsidR="00B711B5" w:rsidRDefault="00B711B5" w:rsidP="007C6C6F">
      <w:pPr>
        <w:pStyle w:val="Heading1"/>
      </w:pPr>
    </w:p>
    <w:p w14:paraId="4092688A" w14:textId="77777777" w:rsidR="00B711B5" w:rsidRDefault="00B711B5" w:rsidP="007C6C6F">
      <w:pPr>
        <w:pStyle w:val="Heading1"/>
      </w:pPr>
    </w:p>
    <w:p w14:paraId="5065694E" w14:textId="77777777" w:rsidR="00B711B5" w:rsidRDefault="00B711B5" w:rsidP="007C6C6F">
      <w:pPr>
        <w:pStyle w:val="Heading1"/>
      </w:pPr>
    </w:p>
    <w:p w14:paraId="6B2873D4" w14:textId="77777777" w:rsidR="00B711B5" w:rsidRDefault="00B711B5" w:rsidP="007C6C6F">
      <w:pPr>
        <w:pStyle w:val="Heading1"/>
      </w:pPr>
    </w:p>
    <w:p w14:paraId="6BFB1531" w14:textId="77777777" w:rsidR="00B711B5" w:rsidRDefault="00B711B5" w:rsidP="007C6C6F">
      <w:pPr>
        <w:pStyle w:val="Heading1"/>
      </w:pPr>
    </w:p>
    <w:p w14:paraId="46B29DDE" w14:textId="77777777" w:rsidR="00B711B5" w:rsidRDefault="00B711B5" w:rsidP="007C6C6F">
      <w:pPr>
        <w:pStyle w:val="Heading1"/>
      </w:pPr>
    </w:p>
    <w:p w14:paraId="57AE4A3E" w14:textId="77777777" w:rsidR="00B711B5" w:rsidRDefault="00B711B5" w:rsidP="007C6C6F">
      <w:pPr>
        <w:pStyle w:val="Heading1"/>
      </w:pPr>
    </w:p>
    <w:p w14:paraId="78CF2EBC" w14:textId="77777777" w:rsidR="00B711B5" w:rsidRDefault="00B711B5" w:rsidP="007C6C6F">
      <w:pPr>
        <w:pStyle w:val="Heading1"/>
      </w:pPr>
    </w:p>
    <w:p w14:paraId="362746DE" w14:textId="77777777" w:rsidR="00B711B5" w:rsidRDefault="00B711B5" w:rsidP="007C6C6F">
      <w:pPr>
        <w:pStyle w:val="Heading1"/>
      </w:pPr>
    </w:p>
    <w:p w14:paraId="0F881837" w14:textId="77777777" w:rsidR="00B711B5" w:rsidRDefault="00B711B5" w:rsidP="007C6C6F">
      <w:pPr>
        <w:pStyle w:val="Heading1"/>
      </w:pPr>
    </w:p>
    <w:p w14:paraId="2445FA52" w14:textId="77777777" w:rsidR="00B711B5" w:rsidRDefault="00B711B5" w:rsidP="007C6C6F">
      <w:pPr>
        <w:pStyle w:val="Heading1"/>
      </w:pPr>
    </w:p>
    <w:p w14:paraId="4A5BF4FE" w14:textId="3542805E" w:rsidR="00B711B5" w:rsidRDefault="00B711B5" w:rsidP="007C6C6F">
      <w:pPr>
        <w:pStyle w:val="Heading1"/>
      </w:pPr>
    </w:p>
    <w:p w14:paraId="534354B7" w14:textId="1855A4CD" w:rsidR="00B711B5" w:rsidRDefault="00B711B5" w:rsidP="00B711B5"/>
    <w:p w14:paraId="28A0008D" w14:textId="1D41DDEB" w:rsidR="00087D34" w:rsidRDefault="00087D34" w:rsidP="00B711B5"/>
    <w:p w14:paraId="02EB38CC" w14:textId="14EE94F9" w:rsidR="00087D34" w:rsidRDefault="00087D34" w:rsidP="00B711B5"/>
    <w:p w14:paraId="1FD5C40B" w14:textId="66CE8B39" w:rsidR="00087D34" w:rsidRDefault="00087D34" w:rsidP="00B711B5"/>
    <w:p w14:paraId="1CBFF083" w14:textId="0A7A8D29" w:rsidR="00087D34" w:rsidRDefault="00087D34" w:rsidP="00B711B5"/>
    <w:p w14:paraId="1A8620E2" w14:textId="26A8406A" w:rsidR="00087D34" w:rsidRDefault="00087D34" w:rsidP="00B711B5"/>
    <w:p w14:paraId="1FBBF2D5" w14:textId="085FA46F" w:rsidR="00087D34" w:rsidRDefault="00087D34" w:rsidP="00B711B5"/>
    <w:p w14:paraId="5833DBA3" w14:textId="587DE796" w:rsidR="00087D34" w:rsidRDefault="00087D34" w:rsidP="00B711B5"/>
    <w:p w14:paraId="712A4A7E" w14:textId="7E78BE47" w:rsidR="00087D34" w:rsidRDefault="00087D34" w:rsidP="00B711B5"/>
    <w:p w14:paraId="486F8B0B" w14:textId="3AF5C107" w:rsidR="00D7049A" w:rsidRPr="00CB253E" w:rsidRDefault="009410F1" w:rsidP="007C6C6F">
      <w:pPr>
        <w:pStyle w:val="Heading1"/>
      </w:pPr>
      <w:r>
        <w:lastRenderedPageBreak/>
        <w:t>H</w:t>
      </w:r>
      <w:r w:rsidR="00CB253E" w:rsidRPr="00CB253E">
        <w:t xml:space="preserve">ousing Revenue Account </w:t>
      </w:r>
      <w:r w:rsidR="008E46F8" w:rsidRPr="00CB253E">
        <w:t xml:space="preserve">(HRA) </w:t>
      </w:r>
      <w:r w:rsidR="00814618" w:rsidRPr="00CB253E">
        <w:t>I</w:t>
      </w:r>
      <w:r w:rsidR="00CB253E" w:rsidRPr="00CB253E">
        <w:t>ncome and Expenditure Statement</w:t>
      </w:r>
    </w:p>
    <w:p w14:paraId="7A360DBE" w14:textId="77777777" w:rsidR="00814618" w:rsidRPr="009410F1" w:rsidRDefault="001659AF" w:rsidP="001E3F44">
      <w:pPr>
        <w:widowControl w:val="0"/>
        <w:spacing w:after="120"/>
        <w:jc w:val="both"/>
        <w:rPr>
          <w:rFonts w:asciiTheme="minorHAnsi" w:hAnsiTheme="minorHAnsi" w:cs="Arial"/>
          <w:sz w:val="22"/>
          <w:szCs w:val="22"/>
        </w:rPr>
      </w:pPr>
      <w:r w:rsidRPr="009410F1">
        <w:rPr>
          <w:rFonts w:asciiTheme="minorHAnsi" w:hAnsiTheme="minorHAnsi" w:cs="Arial"/>
          <w:sz w:val="22"/>
          <w:szCs w:val="22"/>
        </w:rPr>
        <w:t xml:space="preserve">The HRA Income and Expenditure Statement shows the economic cost in the year of providing housing services in accordance with generally accepted accounting practices, rather than the amount to be funded from rents and government grants.  Authorities charge rents to cover expenditure in accordance with </w:t>
      </w:r>
      <w:r w:rsidR="00414E0A" w:rsidRPr="009410F1">
        <w:rPr>
          <w:rFonts w:asciiTheme="minorHAnsi" w:hAnsiTheme="minorHAnsi" w:cs="Arial"/>
          <w:sz w:val="22"/>
          <w:szCs w:val="22"/>
        </w:rPr>
        <w:t>the legislative framework</w:t>
      </w:r>
      <w:r w:rsidRPr="009410F1">
        <w:rPr>
          <w:rFonts w:asciiTheme="minorHAnsi" w:hAnsiTheme="minorHAnsi" w:cs="Arial"/>
          <w:sz w:val="22"/>
          <w:szCs w:val="22"/>
        </w:rPr>
        <w:t xml:space="preserve">; this may be different from the accounting cost.  The increase or decrease in the year, on the basis of which rents are raised, is shown in the Movement on the HRA statement. </w:t>
      </w:r>
    </w:p>
    <w:tbl>
      <w:tblPr>
        <w:tblW w:w="10240" w:type="dxa"/>
        <w:tblInd w:w="93" w:type="dxa"/>
        <w:tblLook w:val="04A0" w:firstRow="1" w:lastRow="0" w:firstColumn="1" w:lastColumn="0" w:noHBand="0" w:noVBand="1"/>
        <w:tblCaption w:val="Housing Revenue Account Income and Expenditure Statement"/>
        <w:tblDescription w:val="Housing Revenue Account Income and Expenditure Statement"/>
      </w:tblPr>
      <w:tblGrid>
        <w:gridCol w:w="960"/>
        <w:gridCol w:w="7360"/>
        <w:gridCol w:w="960"/>
        <w:gridCol w:w="960"/>
      </w:tblGrid>
      <w:tr w:rsidR="00A76539" w:rsidRPr="00A76539" w14:paraId="7EBC5BB4" w14:textId="77777777" w:rsidTr="00110931">
        <w:trPr>
          <w:cantSplit/>
          <w:trHeight w:val="300"/>
          <w:tblHeader/>
        </w:trPr>
        <w:tc>
          <w:tcPr>
            <w:tcW w:w="960" w:type="dxa"/>
            <w:tcBorders>
              <w:top w:val="single" w:sz="4" w:space="0" w:color="FFFFFF"/>
              <w:left w:val="nil"/>
              <w:bottom w:val="single" w:sz="4" w:space="0" w:color="FFFFFF"/>
              <w:right w:val="nil"/>
            </w:tcBorders>
            <w:shd w:val="clear" w:color="000000" w:fill="92CDDC"/>
            <w:vAlign w:val="center"/>
            <w:hideMark/>
          </w:tcPr>
          <w:p w14:paraId="06BA2FAF" w14:textId="0C1D968F" w:rsidR="00A76539" w:rsidRPr="00A76539" w:rsidRDefault="00A76539" w:rsidP="008006C5">
            <w:pPr>
              <w:jc w:val="right"/>
              <w:rPr>
                <w:rFonts w:asciiTheme="minorHAnsi" w:hAnsiTheme="minorHAnsi"/>
                <w:color w:val="000000"/>
                <w:lang w:eastAsia="en-GB"/>
              </w:rPr>
            </w:pPr>
            <w:r w:rsidRPr="00A76539">
              <w:rPr>
                <w:rFonts w:asciiTheme="minorHAnsi" w:hAnsiTheme="minorHAnsi"/>
                <w:color w:val="000000"/>
                <w:lang w:eastAsia="en-GB"/>
              </w:rPr>
              <w:t>20</w:t>
            </w:r>
            <w:r w:rsidR="005C223B">
              <w:rPr>
                <w:rFonts w:asciiTheme="minorHAnsi" w:hAnsiTheme="minorHAnsi"/>
                <w:color w:val="000000"/>
                <w:lang w:eastAsia="en-GB"/>
              </w:rPr>
              <w:t>2</w:t>
            </w:r>
            <w:r w:rsidR="006C7FE0">
              <w:rPr>
                <w:rFonts w:asciiTheme="minorHAnsi" w:hAnsiTheme="minorHAnsi"/>
                <w:color w:val="000000"/>
                <w:lang w:eastAsia="en-GB"/>
              </w:rPr>
              <w:t>1</w:t>
            </w:r>
            <w:r w:rsidRPr="00A76539">
              <w:rPr>
                <w:rFonts w:asciiTheme="minorHAnsi" w:hAnsiTheme="minorHAnsi"/>
                <w:color w:val="000000"/>
                <w:lang w:eastAsia="en-GB"/>
              </w:rPr>
              <w:t>-</w:t>
            </w:r>
            <w:r w:rsidR="008006C5">
              <w:rPr>
                <w:rFonts w:asciiTheme="minorHAnsi" w:hAnsiTheme="minorHAnsi"/>
                <w:color w:val="000000"/>
                <w:lang w:eastAsia="en-GB"/>
              </w:rPr>
              <w:t>2</w:t>
            </w:r>
            <w:r w:rsidR="006C7FE0">
              <w:rPr>
                <w:rFonts w:asciiTheme="minorHAnsi" w:hAnsiTheme="minorHAnsi"/>
                <w:color w:val="000000"/>
                <w:lang w:eastAsia="en-GB"/>
              </w:rPr>
              <w:t>2</w:t>
            </w:r>
          </w:p>
        </w:tc>
        <w:tc>
          <w:tcPr>
            <w:tcW w:w="7360" w:type="dxa"/>
            <w:tcBorders>
              <w:top w:val="nil"/>
              <w:left w:val="single" w:sz="4" w:space="0" w:color="FFFFFF"/>
              <w:bottom w:val="nil"/>
              <w:right w:val="single" w:sz="4" w:space="0" w:color="FFFFFF"/>
            </w:tcBorders>
            <w:shd w:val="clear" w:color="000000" w:fill="92CDDC"/>
            <w:noWrap/>
            <w:vAlign w:val="center"/>
            <w:hideMark/>
          </w:tcPr>
          <w:p w14:paraId="2FC3F137"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 </w:t>
            </w:r>
          </w:p>
        </w:tc>
        <w:tc>
          <w:tcPr>
            <w:tcW w:w="960" w:type="dxa"/>
            <w:tcBorders>
              <w:top w:val="nil"/>
              <w:left w:val="nil"/>
              <w:bottom w:val="nil"/>
              <w:right w:val="single" w:sz="4" w:space="0" w:color="FFFFFF"/>
            </w:tcBorders>
            <w:shd w:val="clear" w:color="000000" w:fill="92CDDC"/>
            <w:noWrap/>
            <w:vAlign w:val="center"/>
            <w:hideMark/>
          </w:tcPr>
          <w:p w14:paraId="0B099E01"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 </w:t>
            </w:r>
          </w:p>
        </w:tc>
        <w:tc>
          <w:tcPr>
            <w:tcW w:w="960" w:type="dxa"/>
            <w:tcBorders>
              <w:top w:val="single" w:sz="4" w:space="0" w:color="FFFFFF"/>
              <w:left w:val="nil"/>
              <w:bottom w:val="single" w:sz="4" w:space="0" w:color="FFFFFF"/>
              <w:right w:val="nil"/>
            </w:tcBorders>
            <w:shd w:val="clear" w:color="000000" w:fill="92CDDC"/>
            <w:noWrap/>
            <w:vAlign w:val="center"/>
            <w:hideMark/>
          </w:tcPr>
          <w:p w14:paraId="0AFF49BC" w14:textId="44F20186" w:rsidR="00A76539" w:rsidRPr="00A76539" w:rsidRDefault="00A76539" w:rsidP="00C211D1">
            <w:pPr>
              <w:jc w:val="right"/>
              <w:rPr>
                <w:rFonts w:asciiTheme="minorHAnsi" w:hAnsiTheme="minorHAnsi"/>
                <w:color w:val="000000"/>
                <w:lang w:eastAsia="en-GB"/>
              </w:rPr>
            </w:pPr>
            <w:r w:rsidRPr="00A76539">
              <w:rPr>
                <w:rFonts w:asciiTheme="minorHAnsi" w:hAnsiTheme="minorHAnsi"/>
                <w:color w:val="000000"/>
                <w:lang w:eastAsia="en-GB"/>
              </w:rPr>
              <w:t>20</w:t>
            </w:r>
            <w:r w:rsidR="00C211D1">
              <w:rPr>
                <w:rFonts w:asciiTheme="minorHAnsi" w:hAnsiTheme="minorHAnsi"/>
                <w:color w:val="000000"/>
                <w:lang w:eastAsia="en-GB"/>
              </w:rPr>
              <w:t>2</w:t>
            </w:r>
            <w:r w:rsidR="006C7FE0">
              <w:rPr>
                <w:rFonts w:asciiTheme="minorHAnsi" w:hAnsiTheme="minorHAnsi"/>
                <w:color w:val="000000"/>
                <w:lang w:eastAsia="en-GB"/>
              </w:rPr>
              <w:t>2</w:t>
            </w:r>
            <w:r w:rsidRPr="00A76539">
              <w:rPr>
                <w:rFonts w:asciiTheme="minorHAnsi" w:hAnsiTheme="minorHAnsi"/>
                <w:color w:val="000000"/>
                <w:lang w:eastAsia="en-GB"/>
              </w:rPr>
              <w:t>-</w:t>
            </w:r>
            <w:r w:rsidR="000C2167">
              <w:rPr>
                <w:rFonts w:asciiTheme="minorHAnsi" w:hAnsiTheme="minorHAnsi"/>
                <w:color w:val="000000"/>
                <w:lang w:eastAsia="en-GB"/>
              </w:rPr>
              <w:t>2</w:t>
            </w:r>
            <w:r w:rsidR="006C7FE0">
              <w:rPr>
                <w:rFonts w:asciiTheme="minorHAnsi" w:hAnsiTheme="minorHAnsi"/>
                <w:color w:val="000000"/>
                <w:lang w:eastAsia="en-GB"/>
              </w:rPr>
              <w:t>3</w:t>
            </w:r>
          </w:p>
        </w:tc>
      </w:tr>
      <w:tr w:rsidR="00A76539" w:rsidRPr="00A76539" w14:paraId="1B5158D6" w14:textId="77777777" w:rsidTr="00682F16">
        <w:trPr>
          <w:trHeight w:val="300"/>
        </w:trPr>
        <w:tc>
          <w:tcPr>
            <w:tcW w:w="960" w:type="dxa"/>
            <w:tcBorders>
              <w:top w:val="nil"/>
              <w:left w:val="nil"/>
              <w:bottom w:val="single" w:sz="4" w:space="0" w:color="FFFFFF"/>
              <w:right w:val="nil"/>
            </w:tcBorders>
            <w:shd w:val="clear" w:color="000000" w:fill="92CDDC"/>
            <w:noWrap/>
            <w:vAlign w:val="center"/>
            <w:hideMark/>
          </w:tcPr>
          <w:p w14:paraId="1B170141" w14:textId="77777777" w:rsidR="00A76539" w:rsidRPr="00A76539" w:rsidRDefault="00A76539" w:rsidP="00A76539">
            <w:pPr>
              <w:jc w:val="right"/>
              <w:rPr>
                <w:rFonts w:asciiTheme="minorHAnsi" w:hAnsiTheme="minorHAnsi"/>
                <w:color w:val="000000"/>
                <w:lang w:eastAsia="en-GB"/>
              </w:rPr>
            </w:pPr>
            <w:r w:rsidRPr="00A76539">
              <w:rPr>
                <w:rFonts w:asciiTheme="minorHAnsi" w:hAnsiTheme="minorHAnsi"/>
                <w:color w:val="000000"/>
                <w:lang w:eastAsia="en-GB"/>
              </w:rPr>
              <w:t>£'000</w:t>
            </w:r>
          </w:p>
        </w:tc>
        <w:tc>
          <w:tcPr>
            <w:tcW w:w="7360" w:type="dxa"/>
            <w:tcBorders>
              <w:top w:val="nil"/>
              <w:left w:val="single" w:sz="4" w:space="0" w:color="FFFFFF"/>
              <w:bottom w:val="single" w:sz="4" w:space="0" w:color="FFFFFF"/>
              <w:right w:val="single" w:sz="4" w:space="0" w:color="FFFFFF"/>
            </w:tcBorders>
            <w:shd w:val="clear" w:color="000000" w:fill="92CDDC"/>
            <w:noWrap/>
            <w:vAlign w:val="center"/>
            <w:hideMark/>
          </w:tcPr>
          <w:p w14:paraId="5C97CDA3" w14:textId="77777777" w:rsidR="00A76539" w:rsidRPr="00A76539" w:rsidRDefault="00A76539" w:rsidP="00A76539">
            <w:pPr>
              <w:jc w:val="right"/>
              <w:rPr>
                <w:rFonts w:asciiTheme="minorHAnsi" w:hAnsiTheme="minorHAnsi"/>
                <w:color w:val="000000"/>
                <w:lang w:eastAsia="en-GB"/>
              </w:rPr>
            </w:pPr>
            <w:r w:rsidRPr="00A76539">
              <w:rPr>
                <w:rFonts w:asciiTheme="minorHAnsi" w:hAnsiTheme="minorHAnsi"/>
                <w:color w:val="000000"/>
                <w:lang w:eastAsia="en-GB"/>
              </w:rPr>
              <w:t> </w:t>
            </w:r>
          </w:p>
        </w:tc>
        <w:tc>
          <w:tcPr>
            <w:tcW w:w="960" w:type="dxa"/>
            <w:tcBorders>
              <w:top w:val="nil"/>
              <w:left w:val="nil"/>
              <w:bottom w:val="nil"/>
              <w:right w:val="single" w:sz="4" w:space="0" w:color="FFFFFF"/>
            </w:tcBorders>
            <w:shd w:val="clear" w:color="000000" w:fill="92CDDC"/>
            <w:noWrap/>
            <w:vAlign w:val="center"/>
            <w:hideMark/>
          </w:tcPr>
          <w:p w14:paraId="46B8DACE" w14:textId="77777777" w:rsidR="00A76539" w:rsidRPr="00A76539" w:rsidRDefault="00A76539" w:rsidP="00A76539">
            <w:pPr>
              <w:jc w:val="right"/>
              <w:rPr>
                <w:rFonts w:asciiTheme="minorHAnsi" w:hAnsiTheme="minorHAnsi"/>
                <w:color w:val="000000"/>
                <w:lang w:eastAsia="en-GB"/>
              </w:rPr>
            </w:pPr>
            <w:r w:rsidRPr="00A76539">
              <w:rPr>
                <w:rFonts w:asciiTheme="minorHAnsi" w:hAnsiTheme="minorHAnsi"/>
                <w:color w:val="000000"/>
                <w:lang w:eastAsia="en-GB"/>
              </w:rPr>
              <w:t>£'000</w:t>
            </w:r>
          </w:p>
        </w:tc>
        <w:tc>
          <w:tcPr>
            <w:tcW w:w="960" w:type="dxa"/>
            <w:tcBorders>
              <w:top w:val="nil"/>
              <w:left w:val="nil"/>
              <w:bottom w:val="single" w:sz="4" w:space="0" w:color="FFFFFF"/>
              <w:right w:val="nil"/>
            </w:tcBorders>
            <w:shd w:val="clear" w:color="000000" w:fill="92CDDC"/>
            <w:noWrap/>
            <w:vAlign w:val="center"/>
            <w:hideMark/>
          </w:tcPr>
          <w:p w14:paraId="3CAEDC97" w14:textId="77777777" w:rsidR="00A76539" w:rsidRPr="00A76539" w:rsidRDefault="00A76539" w:rsidP="00A76539">
            <w:pPr>
              <w:jc w:val="right"/>
              <w:rPr>
                <w:rFonts w:asciiTheme="minorHAnsi" w:hAnsiTheme="minorHAnsi"/>
                <w:color w:val="000000"/>
                <w:lang w:eastAsia="en-GB"/>
              </w:rPr>
            </w:pPr>
            <w:r w:rsidRPr="00A76539">
              <w:rPr>
                <w:rFonts w:asciiTheme="minorHAnsi" w:hAnsiTheme="minorHAnsi"/>
                <w:color w:val="000000"/>
                <w:lang w:eastAsia="en-GB"/>
              </w:rPr>
              <w:t>£'000</w:t>
            </w:r>
          </w:p>
        </w:tc>
      </w:tr>
      <w:tr w:rsidR="00A76539" w:rsidRPr="00A76539" w14:paraId="1C38661B" w14:textId="77777777" w:rsidTr="00682F16">
        <w:trPr>
          <w:trHeight w:val="300"/>
        </w:trPr>
        <w:tc>
          <w:tcPr>
            <w:tcW w:w="960" w:type="dxa"/>
            <w:tcBorders>
              <w:top w:val="nil"/>
              <w:left w:val="nil"/>
              <w:bottom w:val="nil"/>
              <w:right w:val="nil"/>
            </w:tcBorders>
            <w:shd w:val="clear" w:color="000000" w:fill="B7DEE8"/>
            <w:noWrap/>
            <w:vAlign w:val="center"/>
            <w:hideMark/>
          </w:tcPr>
          <w:p w14:paraId="1AC9C444" w14:textId="77777777" w:rsidR="00A76539" w:rsidRPr="00A76539" w:rsidRDefault="00A76539" w:rsidP="00A76539">
            <w:pPr>
              <w:jc w:val="right"/>
              <w:rPr>
                <w:rFonts w:asciiTheme="minorHAnsi" w:hAnsiTheme="minorHAnsi"/>
                <w:b/>
                <w:bCs/>
                <w:color w:val="000000"/>
                <w:lang w:eastAsia="en-GB"/>
              </w:rPr>
            </w:pPr>
            <w:r w:rsidRPr="00A76539">
              <w:rPr>
                <w:rFonts w:asciiTheme="minorHAnsi" w:hAnsiTheme="minorHAnsi"/>
                <w:b/>
                <w:bCs/>
                <w:color w:val="000000"/>
                <w:lang w:eastAsia="en-GB"/>
              </w:rPr>
              <w:t> </w:t>
            </w:r>
          </w:p>
        </w:tc>
        <w:tc>
          <w:tcPr>
            <w:tcW w:w="7360" w:type="dxa"/>
            <w:tcBorders>
              <w:top w:val="nil"/>
              <w:left w:val="single" w:sz="4" w:space="0" w:color="FFFFFF"/>
              <w:bottom w:val="nil"/>
              <w:right w:val="single" w:sz="4" w:space="0" w:color="FFFFFF"/>
            </w:tcBorders>
            <w:shd w:val="clear" w:color="000000" w:fill="DAEEF3"/>
            <w:noWrap/>
            <w:vAlign w:val="center"/>
            <w:hideMark/>
          </w:tcPr>
          <w:p w14:paraId="497B12DC" w14:textId="77777777"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Expenditure</w:t>
            </w:r>
          </w:p>
        </w:tc>
        <w:tc>
          <w:tcPr>
            <w:tcW w:w="960" w:type="dxa"/>
            <w:tcBorders>
              <w:top w:val="nil"/>
              <w:left w:val="nil"/>
              <w:bottom w:val="nil"/>
              <w:right w:val="single" w:sz="4" w:space="0" w:color="FFFFFF"/>
            </w:tcBorders>
            <w:shd w:val="clear" w:color="000000" w:fill="DAEEF3"/>
            <w:noWrap/>
            <w:vAlign w:val="center"/>
            <w:hideMark/>
          </w:tcPr>
          <w:p w14:paraId="118F5791" w14:textId="77777777" w:rsidR="00A76539" w:rsidRPr="00A76539" w:rsidRDefault="00A76539" w:rsidP="00A76539">
            <w:pPr>
              <w:jc w:val="right"/>
              <w:rPr>
                <w:rFonts w:asciiTheme="minorHAnsi" w:hAnsiTheme="minorHAnsi"/>
                <w:b/>
                <w:bCs/>
                <w:color w:val="000000"/>
                <w:lang w:eastAsia="en-GB"/>
              </w:rPr>
            </w:pPr>
            <w:r w:rsidRPr="00A76539">
              <w:rPr>
                <w:rFonts w:asciiTheme="minorHAnsi" w:hAnsiTheme="minorHAnsi"/>
                <w:b/>
                <w:bCs/>
                <w:color w:val="000000"/>
                <w:lang w:eastAsia="en-GB"/>
              </w:rPr>
              <w:t> </w:t>
            </w:r>
          </w:p>
        </w:tc>
        <w:tc>
          <w:tcPr>
            <w:tcW w:w="960" w:type="dxa"/>
            <w:tcBorders>
              <w:top w:val="nil"/>
              <w:left w:val="nil"/>
              <w:bottom w:val="nil"/>
              <w:right w:val="nil"/>
            </w:tcBorders>
            <w:shd w:val="clear" w:color="000000" w:fill="DAEEF3"/>
            <w:noWrap/>
            <w:vAlign w:val="center"/>
            <w:hideMark/>
          </w:tcPr>
          <w:p w14:paraId="431F20C1" w14:textId="77777777" w:rsidR="00A76539" w:rsidRPr="00A76539" w:rsidRDefault="00A76539" w:rsidP="00A76539">
            <w:pPr>
              <w:jc w:val="right"/>
              <w:rPr>
                <w:rFonts w:asciiTheme="minorHAnsi" w:hAnsiTheme="minorHAnsi"/>
                <w:b/>
                <w:bCs/>
                <w:color w:val="000000"/>
                <w:lang w:eastAsia="en-GB"/>
              </w:rPr>
            </w:pPr>
            <w:r w:rsidRPr="00A76539">
              <w:rPr>
                <w:rFonts w:asciiTheme="minorHAnsi" w:hAnsiTheme="minorHAnsi"/>
                <w:b/>
                <w:bCs/>
                <w:color w:val="000000"/>
                <w:lang w:eastAsia="en-GB"/>
              </w:rPr>
              <w:t> </w:t>
            </w:r>
          </w:p>
        </w:tc>
      </w:tr>
      <w:tr w:rsidR="00A76539" w:rsidRPr="00A76539" w14:paraId="39160DC9" w14:textId="77777777" w:rsidTr="00903A41">
        <w:trPr>
          <w:trHeight w:val="300"/>
        </w:trPr>
        <w:tc>
          <w:tcPr>
            <w:tcW w:w="960" w:type="dxa"/>
            <w:tcBorders>
              <w:top w:val="single" w:sz="4" w:space="0" w:color="FFFFFF"/>
              <w:left w:val="nil"/>
              <w:bottom w:val="single" w:sz="4" w:space="0" w:color="FFFFFF"/>
              <w:right w:val="nil"/>
            </w:tcBorders>
            <w:shd w:val="clear" w:color="000000" w:fill="B7DEE8"/>
            <w:noWrap/>
            <w:vAlign w:val="center"/>
            <w:hideMark/>
          </w:tcPr>
          <w:p w14:paraId="3AB1D30E" w14:textId="142FFD3F" w:rsidR="00A76539" w:rsidRPr="00A76539" w:rsidRDefault="000C2167" w:rsidP="00C211D1">
            <w:pPr>
              <w:jc w:val="right"/>
              <w:rPr>
                <w:rFonts w:asciiTheme="minorHAnsi" w:hAnsiTheme="minorHAnsi"/>
                <w:color w:val="000000"/>
                <w:lang w:eastAsia="en-GB"/>
              </w:rPr>
            </w:pPr>
            <w:r>
              <w:rPr>
                <w:rFonts w:asciiTheme="minorHAnsi" w:hAnsiTheme="minorHAnsi"/>
                <w:color w:val="000000"/>
                <w:lang w:eastAsia="en-GB"/>
              </w:rPr>
              <w:t>2</w:t>
            </w:r>
            <w:r w:rsidR="00A76539" w:rsidRPr="00A76539">
              <w:rPr>
                <w:rFonts w:asciiTheme="minorHAnsi" w:hAnsiTheme="minorHAnsi"/>
                <w:color w:val="000000"/>
                <w:lang w:eastAsia="en-GB"/>
              </w:rPr>
              <w:t>,</w:t>
            </w:r>
            <w:r w:rsidR="006C7FE0">
              <w:rPr>
                <w:rFonts w:asciiTheme="minorHAnsi" w:hAnsiTheme="minorHAnsi"/>
                <w:color w:val="000000"/>
                <w:lang w:eastAsia="en-GB"/>
              </w:rPr>
              <w:t>961</w:t>
            </w:r>
          </w:p>
        </w:tc>
        <w:tc>
          <w:tcPr>
            <w:tcW w:w="7360" w:type="dxa"/>
            <w:tcBorders>
              <w:top w:val="single" w:sz="4" w:space="0" w:color="FFFFFF"/>
              <w:left w:val="single" w:sz="4" w:space="0" w:color="FFFFFF"/>
              <w:bottom w:val="single" w:sz="4" w:space="0" w:color="FFFFFF"/>
              <w:right w:val="single" w:sz="4" w:space="0" w:color="FFFFFF"/>
            </w:tcBorders>
            <w:shd w:val="clear" w:color="000000" w:fill="DAEEF3"/>
            <w:noWrap/>
            <w:vAlign w:val="center"/>
            <w:hideMark/>
          </w:tcPr>
          <w:p w14:paraId="52FA913C"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Repairs and Maintenance</w:t>
            </w:r>
          </w:p>
        </w:tc>
        <w:tc>
          <w:tcPr>
            <w:tcW w:w="960" w:type="dxa"/>
            <w:tcBorders>
              <w:top w:val="single" w:sz="4" w:space="0" w:color="FFFFFF"/>
              <w:left w:val="nil"/>
              <w:bottom w:val="single" w:sz="4" w:space="0" w:color="FFFFFF"/>
              <w:right w:val="single" w:sz="4" w:space="0" w:color="FFFFFF"/>
            </w:tcBorders>
            <w:shd w:val="clear" w:color="000000" w:fill="DAEEF3"/>
            <w:noWrap/>
            <w:vAlign w:val="center"/>
          </w:tcPr>
          <w:p w14:paraId="71A279C5" w14:textId="3EACF2D2" w:rsidR="00A76539" w:rsidRPr="00A76539" w:rsidRDefault="00C96E4D" w:rsidP="00F54B62">
            <w:pPr>
              <w:jc w:val="right"/>
              <w:rPr>
                <w:rFonts w:asciiTheme="minorHAnsi" w:hAnsiTheme="minorHAnsi"/>
                <w:color w:val="000000"/>
                <w:lang w:eastAsia="en-GB"/>
              </w:rPr>
            </w:pPr>
            <w:r>
              <w:rPr>
                <w:rFonts w:asciiTheme="minorHAnsi" w:hAnsiTheme="minorHAnsi"/>
                <w:color w:val="000000"/>
                <w:lang w:eastAsia="en-GB"/>
              </w:rPr>
              <w:t>3,81</w:t>
            </w:r>
            <w:r w:rsidR="00121DFC">
              <w:rPr>
                <w:rFonts w:asciiTheme="minorHAnsi" w:hAnsiTheme="minorHAnsi"/>
                <w:color w:val="000000"/>
                <w:lang w:eastAsia="en-GB"/>
              </w:rPr>
              <w:t>7</w:t>
            </w:r>
          </w:p>
        </w:tc>
        <w:tc>
          <w:tcPr>
            <w:tcW w:w="960" w:type="dxa"/>
            <w:tcBorders>
              <w:top w:val="nil"/>
              <w:left w:val="nil"/>
              <w:bottom w:val="nil"/>
              <w:right w:val="nil"/>
            </w:tcBorders>
            <w:shd w:val="clear" w:color="000000" w:fill="DAEEF3"/>
            <w:noWrap/>
            <w:vAlign w:val="center"/>
          </w:tcPr>
          <w:p w14:paraId="012665A5" w14:textId="77777777" w:rsidR="00A76539" w:rsidRPr="00A76539" w:rsidRDefault="00A76539" w:rsidP="00A76539">
            <w:pPr>
              <w:jc w:val="right"/>
              <w:rPr>
                <w:rFonts w:asciiTheme="minorHAnsi" w:hAnsiTheme="minorHAnsi"/>
                <w:color w:val="000000"/>
                <w:lang w:eastAsia="en-GB"/>
              </w:rPr>
            </w:pPr>
          </w:p>
        </w:tc>
      </w:tr>
      <w:tr w:rsidR="00A76539" w:rsidRPr="00A76539" w14:paraId="7CD49C01"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1E1B9D42" w14:textId="4032F714" w:rsidR="00A76539" w:rsidRPr="00A76539" w:rsidRDefault="00A76539" w:rsidP="002108F7">
            <w:pPr>
              <w:jc w:val="right"/>
              <w:rPr>
                <w:rFonts w:asciiTheme="minorHAnsi" w:hAnsiTheme="minorHAnsi"/>
                <w:color w:val="000000"/>
                <w:lang w:eastAsia="en-GB"/>
              </w:rPr>
            </w:pPr>
            <w:r w:rsidRPr="00A76539">
              <w:rPr>
                <w:rFonts w:asciiTheme="minorHAnsi" w:hAnsiTheme="minorHAnsi"/>
                <w:color w:val="000000"/>
                <w:lang w:eastAsia="en-GB"/>
              </w:rPr>
              <w:t>1,</w:t>
            </w:r>
            <w:r w:rsidR="006C7FE0">
              <w:rPr>
                <w:rFonts w:asciiTheme="minorHAnsi" w:hAnsiTheme="minorHAnsi"/>
                <w:color w:val="000000"/>
                <w:lang w:eastAsia="en-GB"/>
              </w:rPr>
              <w:t>933</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246CA5A0"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Supervision and Management</w:t>
            </w:r>
          </w:p>
        </w:tc>
        <w:tc>
          <w:tcPr>
            <w:tcW w:w="960" w:type="dxa"/>
            <w:tcBorders>
              <w:top w:val="nil"/>
              <w:left w:val="nil"/>
              <w:bottom w:val="single" w:sz="4" w:space="0" w:color="FFFFFF"/>
              <w:right w:val="single" w:sz="4" w:space="0" w:color="FFFFFF"/>
            </w:tcBorders>
            <w:shd w:val="clear" w:color="000000" w:fill="DAEEF3"/>
            <w:noWrap/>
            <w:vAlign w:val="center"/>
          </w:tcPr>
          <w:p w14:paraId="771AAAE3" w14:textId="6F19A056"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1,984</w:t>
            </w:r>
          </w:p>
        </w:tc>
        <w:tc>
          <w:tcPr>
            <w:tcW w:w="960" w:type="dxa"/>
            <w:tcBorders>
              <w:top w:val="nil"/>
              <w:left w:val="nil"/>
              <w:bottom w:val="nil"/>
              <w:right w:val="nil"/>
            </w:tcBorders>
            <w:shd w:val="clear" w:color="000000" w:fill="DAEEF3"/>
            <w:noWrap/>
            <w:vAlign w:val="center"/>
          </w:tcPr>
          <w:p w14:paraId="551AB668" w14:textId="77777777" w:rsidR="00A76539" w:rsidRPr="00A76539" w:rsidRDefault="00A76539" w:rsidP="00A76539">
            <w:pPr>
              <w:jc w:val="right"/>
              <w:rPr>
                <w:rFonts w:asciiTheme="minorHAnsi" w:hAnsiTheme="minorHAnsi"/>
                <w:color w:val="000000"/>
                <w:lang w:eastAsia="en-GB"/>
              </w:rPr>
            </w:pPr>
          </w:p>
        </w:tc>
      </w:tr>
      <w:tr w:rsidR="00A76539" w:rsidRPr="00A76539" w14:paraId="7A80A3B8"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0371C59B" w14:textId="4097A7F2" w:rsidR="00A76539" w:rsidRPr="00A76539" w:rsidRDefault="00C211D1" w:rsidP="00A76539">
            <w:pPr>
              <w:jc w:val="right"/>
              <w:rPr>
                <w:rFonts w:asciiTheme="minorHAnsi" w:hAnsiTheme="minorHAnsi"/>
                <w:color w:val="000000"/>
                <w:lang w:eastAsia="en-GB"/>
              </w:rPr>
            </w:pPr>
            <w:r>
              <w:rPr>
                <w:rFonts w:asciiTheme="minorHAnsi" w:hAnsiTheme="minorHAnsi"/>
                <w:color w:val="000000"/>
                <w:lang w:eastAsia="en-GB"/>
              </w:rPr>
              <w:t>1</w:t>
            </w:r>
            <w:r w:rsidR="006C7FE0">
              <w:rPr>
                <w:rFonts w:asciiTheme="minorHAnsi" w:hAnsiTheme="minorHAnsi"/>
                <w:color w:val="000000"/>
                <w:lang w:eastAsia="en-GB"/>
              </w:rPr>
              <w:t>58</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3EB68CDF"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Rent, rates, taxes and other charges</w:t>
            </w:r>
          </w:p>
        </w:tc>
        <w:tc>
          <w:tcPr>
            <w:tcW w:w="960" w:type="dxa"/>
            <w:tcBorders>
              <w:top w:val="nil"/>
              <w:left w:val="nil"/>
              <w:bottom w:val="single" w:sz="4" w:space="0" w:color="FFFFFF"/>
              <w:right w:val="single" w:sz="4" w:space="0" w:color="FFFFFF"/>
            </w:tcBorders>
            <w:shd w:val="clear" w:color="000000" w:fill="DAEEF3"/>
            <w:noWrap/>
            <w:vAlign w:val="center"/>
          </w:tcPr>
          <w:p w14:paraId="7C471E60" w14:textId="4ECA5C53"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159</w:t>
            </w:r>
          </w:p>
        </w:tc>
        <w:tc>
          <w:tcPr>
            <w:tcW w:w="960" w:type="dxa"/>
            <w:tcBorders>
              <w:top w:val="nil"/>
              <w:left w:val="nil"/>
              <w:bottom w:val="nil"/>
              <w:right w:val="nil"/>
            </w:tcBorders>
            <w:shd w:val="clear" w:color="000000" w:fill="DAEEF3"/>
            <w:noWrap/>
            <w:vAlign w:val="center"/>
          </w:tcPr>
          <w:p w14:paraId="4F654122" w14:textId="77777777" w:rsidR="00A76539" w:rsidRPr="00A76539" w:rsidRDefault="00A76539" w:rsidP="00A76539">
            <w:pPr>
              <w:jc w:val="right"/>
              <w:rPr>
                <w:rFonts w:asciiTheme="minorHAnsi" w:hAnsiTheme="minorHAnsi"/>
                <w:color w:val="000000"/>
                <w:lang w:eastAsia="en-GB"/>
              </w:rPr>
            </w:pPr>
          </w:p>
        </w:tc>
      </w:tr>
      <w:tr w:rsidR="00A76539" w:rsidRPr="00A76539" w14:paraId="714A1DBB"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3415B90A" w14:textId="126FF804" w:rsidR="00A76539" w:rsidRPr="00A76539" w:rsidRDefault="006C7FE0" w:rsidP="000C2167">
            <w:pPr>
              <w:jc w:val="right"/>
              <w:rPr>
                <w:rFonts w:asciiTheme="minorHAnsi" w:hAnsiTheme="minorHAnsi"/>
                <w:color w:val="000000"/>
                <w:lang w:eastAsia="en-GB"/>
              </w:rPr>
            </w:pPr>
            <w:r>
              <w:rPr>
                <w:rFonts w:asciiTheme="minorHAnsi" w:hAnsiTheme="minorHAnsi"/>
                <w:color w:val="000000"/>
                <w:lang w:eastAsia="en-GB"/>
              </w:rPr>
              <w:t>461</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40687D63" w14:textId="05D7DF8E" w:rsidR="00A76539" w:rsidRPr="00A76539" w:rsidRDefault="00A76539" w:rsidP="00354F45">
            <w:pPr>
              <w:rPr>
                <w:rFonts w:asciiTheme="minorHAnsi" w:hAnsiTheme="minorHAnsi"/>
                <w:color w:val="000000"/>
                <w:lang w:eastAsia="en-GB"/>
              </w:rPr>
            </w:pPr>
            <w:r w:rsidRPr="00A76539">
              <w:rPr>
                <w:rFonts w:asciiTheme="minorHAnsi" w:hAnsiTheme="minorHAnsi"/>
                <w:color w:val="000000"/>
                <w:lang w:eastAsia="en-GB"/>
              </w:rPr>
              <w:t>Depreciation</w:t>
            </w:r>
            <w:r w:rsidR="00354F45">
              <w:rPr>
                <w:rFonts w:asciiTheme="minorHAnsi" w:hAnsiTheme="minorHAnsi"/>
                <w:color w:val="000000"/>
                <w:lang w:eastAsia="en-GB"/>
              </w:rPr>
              <w:t>,</w:t>
            </w:r>
            <w:r w:rsidRPr="00A76539">
              <w:rPr>
                <w:rFonts w:asciiTheme="minorHAnsi" w:hAnsiTheme="minorHAnsi"/>
                <w:color w:val="000000"/>
                <w:lang w:eastAsia="en-GB"/>
              </w:rPr>
              <w:t xml:space="preserve"> impairment</w:t>
            </w:r>
            <w:r w:rsidR="00354F45">
              <w:rPr>
                <w:rFonts w:asciiTheme="minorHAnsi" w:hAnsiTheme="minorHAnsi"/>
                <w:color w:val="000000"/>
                <w:lang w:eastAsia="en-GB"/>
              </w:rPr>
              <w:t xml:space="preserve"> </w:t>
            </w:r>
            <w:r w:rsidR="00704A70">
              <w:rPr>
                <w:rFonts w:asciiTheme="minorHAnsi" w:hAnsiTheme="minorHAnsi"/>
                <w:color w:val="000000"/>
                <w:lang w:eastAsia="en-GB"/>
              </w:rPr>
              <w:t>and</w:t>
            </w:r>
            <w:r w:rsidR="00354F45">
              <w:rPr>
                <w:rFonts w:asciiTheme="minorHAnsi" w:hAnsiTheme="minorHAnsi"/>
                <w:color w:val="000000"/>
                <w:lang w:eastAsia="en-GB"/>
              </w:rPr>
              <w:t xml:space="preserve"> revaluation losses</w:t>
            </w:r>
            <w:r w:rsidRPr="00A76539">
              <w:rPr>
                <w:rFonts w:asciiTheme="minorHAnsi" w:hAnsiTheme="minorHAnsi"/>
                <w:color w:val="000000"/>
                <w:lang w:eastAsia="en-GB"/>
              </w:rPr>
              <w:t xml:space="preserve"> of non-current assets</w:t>
            </w:r>
          </w:p>
        </w:tc>
        <w:tc>
          <w:tcPr>
            <w:tcW w:w="960" w:type="dxa"/>
            <w:tcBorders>
              <w:top w:val="nil"/>
              <w:left w:val="nil"/>
              <w:bottom w:val="single" w:sz="4" w:space="0" w:color="FFFFFF"/>
              <w:right w:val="single" w:sz="4" w:space="0" w:color="FFFFFF"/>
            </w:tcBorders>
            <w:shd w:val="clear" w:color="000000" w:fill="DAEEF3"/>
            <w:noWrap/>
            <w:vAlign w:val="center"/>
          </w:tcPr>
          <w:p w14:paraId="039F271F" w14:textId="2F097A85" w:rsidR="00A76539" w:rsidRPr="00A76539" w:rsidRDefault="00C96E4D" w:rsidP="00682F16">
            <w:pPr>
              <w:jc w:val="right"/>
              <w:rPr>
                <w:rFonts w:asciiTheme="minorHAnsi" w:hAnsiTheme="minorHAnsi"/>
                <w:color w:val="000000"/>
                <w:lang w:eastAsia="en-GB"/>
              </w:rPr>
            </w:pPr>
            <w:r>
              <w:rPr>
                <w:rFonts w:asciiTheme="minorHAnsi" w:hAnsiTheme="minorHAnsi"/>
                <w:color w:val="000000"/>
                <w:lang w:eastAsia="en-GB"/>
              </w:rPr>
              <w:t>1,403</w:t>
            </w:r>
          </w:p>
        </w:tc>
        <w:tc>
          <w:tcPr>
            <w:tcW w:w="960" w:type="dxa"/>
            <w:tcBorders>
              <w:top w:val="nil"/>
              <w:left w:val="nil"/>
              <w:bottom w:val="nil"/>
              <w:right w:val="nil"/>
            </w:tcBorders>
            <w:shd w:val="clear" w:color="000000" w:fill="DAEEF3"/>
            <w:noWrap/>
            <w:vAlign w:val="center"/>
          </w:tcPr>
          <w:p w14:paraId="0BAC6FCF" w14:textId="77777777" w:rsidR="00A76539" w:rsidRPr="00A76539" w:rsidRDefault="00A76539" w:rsidP="00A76539">
            <w:pPr>
              <w:jc w:val="right"/>
              <w:rPr>
                <w:rFonts w:asciiTheme="minorHAnsi" w:hAnsiTheme="minorHAnsi"/>
                <w:color w:val="000000"/>
                <w:lang w:eastAsia="en-GB"/>
              </w:rPr>
            </w:pPr>
          </w:p>
        </w:tc>
      </w:tr>
      <w:tr w:rsidR="00A76539" w:rsidRPr="00A76539" w14:paraId="27A31CD2"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43637E5A" w14:textId="4D6AE1DA" w:rsidR="00A76539" w:rsidRPr="00A76539" w:rsidRDefault="006C7FE0" w:rsidP="002108F7">
            <w:pPr>
              <w:jc w:val="right"/>
              <w:rPr>
                <w:rFonts w:asciiTheme="minorHAnsi" w:hAnsiTheme="minorHAnsi"/>
                <w:color w:val="000000"/>
                <w:lang w:eastAsia="en-GB"/>
              </w:rPr>
            </w:pPr>
            <w:r>
              <w:rPr>
                <w:rFonts w:asciiTheme="minorHAnsi" w:hAnsiTheme="minorHAnsi"/>
                <w:color w:val="000000"/>
                <w:lang w:eastAsia="en-GB"/>
              </w:rPr>
              <w:t>45</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5AF3206E"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 xml:space="preserve">Debt Management Costs </w:t>
            </w:r>
          </w:p>
        </w:tc>
        <w:tc>
          <w:tcPr>
            <w:tcW w:w="960" w:type="dxa"/>
            <w:tcBorders>
              <w:top w:val="nil"/>
              <w:left w:val="nil"/>
              <w:bottom w:val="single" w:sz="4" w:space="0" w:color="FFFFFF"/>
              <w:right w:val="single" w:sz="4" w:space="0" w:color="FFFFFF"/>
            </w:tcBorders>
            <w:shd w:val="clear" w:color="000000" w:fill="DAEEF3"/>
            <w:noWrap/>
            <w:vAlign w:val="center"/>
          </w:tcPr>
          <w:p w14:paraId="3C2FFEB8" w14:textId="469BA8CC" w:rsidR="00A76539" w:rsidRPr="00A76539" w:rsidRDefault="00C96E4D" w:rsidP="00FA0B27">
            <w:pPr>
              <w:jc w:val="right"/>
              <w:rPr>
                <w:rFonts w:asciiTheme="minorHAnsi" w:hAnsiTheme="minorHAnsi"/>
                <w:color w:val="000000"/>
                <w:lang w:eastAsia="en-GB"/>
              </w:rPr>
            </w:pPr>
            <w:r>
              <w:rPr>
                <w:rFonts w:asciiTheme="minorHAnsi" w:hAnsiTheme="minorHAnsi"/>
                <w:color w:val="000000"/>
                <w:lang w:eastAsia="en-GB"/>
              </w:rPr>
              <w:t>46</w:t>
            </w:r>
          </w:p>
        </w:tc>
        <w:tc>
          <w:tcPr>
            <w:tcW w:w="960" w:type="dxa"/>
            <w:tcBorders>
              <w:top w:val="nil"/>
              <w:left w:val="nil"/>
              <w:bottom w:val="nil"/>
              <w:right w:val="nil"/>
            </w:tcBorders>
            <w:shd w:val="clear" w:color="000000" w:fill="DAEEF3"/>
            <w:noWrap/>
            <w:vAlign w:val="center"/>
          </w:tcPr>
          <w:p w14:paraId="184B9BC2" w14:textId="77777777" w:rsidR="00A76539" w:rsidRPr="00A76539" w:rsidRDefault="00A76539" w:rsidP="00A76539">
            <w:pPr>
              <w:jc w:val="right"/>
              <w:rPr>
                <w:rFonts w:asciiTheme="minorHAnsi" w:hAnsiTheme="minorHAnsi"/>
                <w:color w:val="000000"/>
                <w:lang w:eastAsia="en-GB"/>
              </w:rPr>
            </w:pPr>
          </w:p>
        </w:tc>
      </w:tr>
      <w:tr w:rsidR="00A76539" w:rsidRPr="00A76539" w14:paraId="3685DBF1"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379578BC" w14:textId="53B395C3" w:rsidR="00A76539" w:rsidRPr="00A76539" w:rsidRDefault="006C7FE0" w:rsidP="00A76539">
            <w:pPr>
              <w:jc w:val="right"/>
              <w:rPr>
                <w:rFonts w:asciiTheme="minorHAnsi" w:hAnsiTheme="minorHAnsi"/>
                <w:color w:val="000000"/>
                <w:lang w:eastAsia="en-GB"/>
              </w:rPr>
            </w:pPr>
            <w:r>
              <w:rPr>
                <w:rFonts w:asciiTheme="minorHAnsi" w:hAnsiTheme="minorHAnsi"/>
                <w:color w:val="000000"/>
                <w:lang w:eastAsia="en-GB"/>
              </w:rPr>
              <w:t>249</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7C4592F8"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Movement in the allowance for bad debts</w:t>
            </w:r>
          </w:p>
        </w:tc>
        <w:tc>
          <w:tcPr>
            <w:tcW w:w="960" w:type="dxa"/>
            <w:tcBorders>
              <w:top w:val="nil"/>
              <w:left w:val="nil"/>
              <w:bottom w:val="single" w:sz="4" w:space="0" w:color="FFFFFF"/>
              <w:right w:val="single" w:sz="4" w:space="0" w:color="FFFFFF"/>
            </w:tcBorders>
            <w:shd w:val="clear" w:color="000000" w:fill="DAEEF3"/>
            <w:noWrap/>
            <w:vAlign w:val="center"/>
          </w:tcPr>
          <w:p w14:paraId="142429A9" w14:textId="6AF2D988"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311</w:t>
            </w:r>
          </w:p>
        </w:tc>
        <w:tc>
          <w:tcPr>
            <w:tcW w:w="960" w:type="dxa"/>
            <w:tcBorders>
              <w:top w:val="nil"/>
              <w:left w:val="nil"/>
              <w:bottom w:val="nil"/>
              <w:right w:val="nil"/>
            </w:tcBorders>
            <w:shd w:val="clear" w:color="000000" w:fill="DAEEF3"/>
            <w:noWrap/>
            <w:vAlign w:val="center"/>
          </w:tcPr>
          <w:p w14:paraId="4A5EEBB8" w14:textId="77777777" w:rsidR="00A76539" w:rsidRPr="00A76539" w:rsidRDefault="00A76539" w:rsidP="00A76539">
            <w:pPr>
              <w:jc w:val="right"/>
              <w:rPr>
                <w:rFonts w:asciiTheme="minorHAnsi" w:hAnsiTheme="minorHAnsi"/>
                <w:color w:val="000000"/>
                <w:lang w:eastAsia="en-GB"/>
              </w:rPr>
            </w:pPr>
          </w:p>
        </w:tc>
      </w:tr>
      <w:tr w:rsidR="00A76539" w:rsidRPr="00A76539" w14:paraId="576EC0B6"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48538E2F" w14:textId="54E90C75" w:rsidR="00A76539" w:rsidRPr="00A76539" w:rsidRDefault="006C7FE0" w:rsidP="002108F7">
            <w:pPr>
              <w:jc w:val="right"/>
              <w:rPr>
                <w:rFonts w:asciiTheme="minorHAnsi" w:hAnsiTheme="minorHAnsi"/>
                <w:b/>
                <w:bCs/>
                <w:color w:val="000000"/>
                <w:lang w:eastAsia="en-GB"/>
              </w:rPr>
            </w:pPr>
            <w:r>
              <w:rPr>
                <w:rFonts w:asciiTheme="minorHAnsi" w:hAnsiTheme="minorHAnsi"/>
                <w:b/>
                <w:bCs/>
                <w:color w:val="000000"/>
                <w:lang w:eastAsia="en-GB"/>
              </w:rPr>
              <w:t>5,807</w:t>
            </w:r>
          </w:p>
        </w:tc>
        <w:tc>
          <w:tcPr>
            <w:tcW w:w="7360" w:type="dxa"/>
            <w:tcBorders>
              <w:top w:val="nil"/>
              <w:left w:val="single" w:sz="4" w:space="0" w:color="FFFFFF"/>
              <w:bottom w:val="single" w:sz="4" w:space="0" w:color="FFFFFF"/>
              <w:right w:val="single" w:sz="4" w:space="0" w:color="FFFFFF"/>
            </w:tcBorders>
            <w:shd w:val="clear" w:color="000000" w:fill="B7DEE8"/>
            <w:vAlign w:val="center"/>
            <w:hideMark/>
          </w:tcPr>
          <w:p w14:paraId="48826E8D" w14:textId="77777777"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Total Expenditure</w:t>
            </w:r>
          </w:p>
        </w:tc>
        <w:tc>
          <w:tcPr>
            <w:tcW w:w="960" w:type="dxa"/>
            <w:tcBorders>
              <w:top w:val="nil"/>
              <w:left w:val="nil"/>
              <w:bottom w:val="single" w:sz="4" w:space="0" w:color="FFFFFF"/>
              <w:right w:val="single" w:sz="4" w:space="0" w:color="FFFFFF"/>
            </w:tcBorders>
            <w:shd w:val="clear" w:color="000000" w:fill="B7DEE8"/>
            <w:noWrap/>
            <w:vAlign w:val="center"/>
          </w:tcPr>
          <w:p w14:paraId="4ED7EA05" w14:textId="2794F8A5" w:rsidR="00A76539" w:rsidRPr="00A76539" w:rsidRDefault="00A76539" w:rsidP="00A76539">
            <w:pPr>
              <w:jc w:val="right"/>
              <w:rPr>
                <w:rFonts w:asciiTheme="minorHAnsi" w:hAnsiTheme="minorHAnsi"/>
                <w:b/>
                <w:bCs/>
                <w:color w:val="000000"/>
                <w:lang w:eastAsia="en-GB"/>
              </w:rPr>
            </w:pPr>
          </w:p>
        </w:tc>
        <w:tc>
          <w:tcPr>
            <w:tcW w:w="960" w:type="dxa"/>
            <w:tcBorders>
              <w:top w:val="single" w:sz="4" w:space="0" w:color="FFFFFF"/>
              <w:left w:val="nil"/>
              <w:bottom w:val="single" w:sz="4" w:space="0" w:color="FFFFFF"/>
              <w:right w:val="nil"/>
            </w:tcBorders>
            <w:shd w:val="clear" w:color="000000" w:fill="B7DEE8"/>
            <w:noWrap/>
            <w:vAlign w:val="center"/>
          </w:tcPr>
          <w:p w14:paraId="4C3990A4" w14:textId="02389F3D" w:rsidR="00A76539" w:rsidRPr="00A76539" w:rsidRDefault="00C96E4D" w:rsidP="00FA0B27">
            <w:pPr>
              <w:jc w:val="right"/>
              <w:rPr>
                <w:rFonts w:asciiTheme="minorHAnsi" w:hAnsiTheme="minorHAnsi"/>
                <w:b/>
                <w:bCs/>
                <w:color w:val="000000"/>
                <w:lang w:eastAsia="en-GB"/>
              </w:rPr>
            </w:pPr>
            <w:r>
              <w:rPr>
                <w:rFonts w:asciiTheme="minorHAnsi" w:hAnsiTheme="minorHAnsi"/>
                <w:b/>
                <w:bCs/>
                <w:color w:val="000000"/>
                <w:lang w:eastAsia="en-GB"/>
              </w:rPr>
              <w:t>7,72</w:t>
            </w:r>
            <w:r w:rsidR="00121DFC">
              <w:rPr>
                <w:rFonts w:asciiTheme="minorHAnsi" w:hAnsiTheme="minorHAnsi"/>
                <w:b/>
                <w:bCs/>
                <w:color w:val="000000"/>
                <w:lang w:eastAsia="en-GB"/>
              </w:rPr>
              <w:t>0</w:t>
            </w:r>
          </w:p>
        </w:tc>
      </w:tr>
      <w:tr w:rsidR="00A76539" w:rsidRPr="00A76539" w14:paraId="7D4964F1" w14:textId="77777777" w:rsidTr="00903A41">
        <w:trPr>
          <w:trHeight w:val="300"/>
        </w:trPr>
        <w:tc>
          <w:tcPr>
            <w:tcW w:w="960" w:type="dxa"/>
            <w:tcBorders>
              <w:top w:val="nil"/>
              <w:left w:val="nil"/>
              <w:bottom w:val="nil"/>
              <w:right w:val="nil"/>
            </w:tcBorders>
            <w:shd w:val="clear" w:color="000000" w:fill="B7DEE8"/>
            <w:noWrap/>
            <w:vAlign w:val="center"/>
            <w:hideMark/>
          </w:tcPr>
          <w:p w14:paraId="4EE3FDDA" w14:textId="77777777" w:rsidR="00A76539" w:rsidRPr="00A76539" w:rsidRDefault="00A76539" w:rsidP="00A76539">
            <w:pPr>
              <w:jc w:val="right"/>
              <w:rPr>
                <w:rFonts w:asciiTheme="minorHAnsi" w:hAnsiTheme="minorHAnsi"/>
                <w:b/>
                <w:bCs/>
                <w:color w:val="000000"/>
                <w:lang w:eastAsia="en-GB"/>
              </w:rPr>
            </w:pPr>
            <w:r w:rsidRPr="00A76539">
              <w:rPr>
                <w:rFonts w:asciiTheme="minorHAnsi" w:hAnsiTheme="minorHAnsi"/>
                <w:b/>
                <w:bCs/>
                <w:color w:val="000000"/>
                <w:lang w:eastAsia="en-GB"/>
              </w:rPr>
              <w:t> </w:t>
            </w:r>
          </w:p>
        </w:tc>
        <w:tc>
          <w:tcPr>
            <w:tcW w:w="7360" w:type="dxa"/>
            <w:tcBorders>
              <w:top w:val="nil"/>
              <w:left w:val="single" w:sz="4" w:space="0" w:color="FFFFFF"/>
              <w:bottom w:val="single" w:sz="4" w:space="0" w:color="FFFFFF"/>
              <w:right w:val="single" w:sz="4" w:space="0" w:color="FFFFFF"/>
            </w:tcBorders>
            <w:shd w:val="clear" w:color="000000" w:fill="DAEEF3"/>
            <w:vAlign w:val="center"/>
            <w:hideMark/>
          </w:tcPr>
          <w:p w14:paraId="1B8E7814" w14:textId="77777777"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Income</w:t>
            </w:r>
          </w:p>
        </w:tc>
        <w:tc>
          <w:tcPr>
            <w:tcW w:w="960" w:type="dxa"/>
            <w:tcBorders>
              <w:top w:val="nil"/>
              <w:left w:val="nil"/>
              <w:bottom w:val="nil"/>
              <w:right w:val="single" w:sz="4" w:space="0" w:color="FFFFFF"/>
            </w:tcBorders>
            <w:shd w:val="clear" w:color="000000" w:fill="DAEEF3"/>
            <w:noWrap/>
            <w:vAlign w:val="center"/>
          </w:tcPr>
          <w:p w14:paraId="43A14F9D" w14:textId="77777777" w:rsidR="00A76539" w:rsidRPr="00A76539" w:rsidRDefault="00A76539" w:rsidP="00A76539">
            <w:pPr>
              <w:jc w:val="right"/>
              <w:rPr>
                <w:rFonts w:asciiTheme="minorHAnsi" w:hAnsiTheme="minorHAnsi"/>
                <w:b/>
                <w:bCs/>
                <w:color w:val="000000"/>
                <w:lang w:eastAsia="en-GB"/>
              </w:rPr>
            </w:pPr>
          </w:p>
        </w:tc>
        <w:tc>
          <w:tcPr>
            <w:tcW w:w="960" w:type="dxa"/>
            <w:tcBorders>
              <w:top w:val="nil"/>
              <w:left w:val="nil"/>
              <w:bottom w:val="nil"/>
              <w:right w:val="nil"/>
            </w:tcBorders>
            <w:shd w:val="clear" w:color="000000" w:fill="DAEEF3"/>
            <w:noWrap/>
            <w:vAlign w:val="center"/>
          </w:tcPr>
          <w:p w14:paraId="1E78044B" w14:textId="77777777" w:rsidR="00A76539" w:rsidRPr="00A76539" w:rsidRDefault="00A76539" w:rsidP="00A76539">
            <w:pPr>
              <w:jc w:val="right"/>
              <w:rPr>
                <w:rFonts w:asciiTheme="minorHAnsi" w:hAnsiTheme="minorHAnsi"/>
                <w:b/>
                <w:bCs/>
                <w:color w:val="000000"/>
                <w:lang w:eastAsia="en-GB"/>
              </w:rPr>
            </w:pPr>
          </w:p>
        </w:tc>
      </w:tr>
      <w:tr w:rsidR="00A76539" w:rsidRPr="00A76539" w14:paraId="0B832933" w14:textId="77777777" w:rsidTr="00903A41">
        <w:trPr>
          <w:trHeight w:val="300"/>
        </w:trPr>
        <w:tc>
          <w:tcPr>
            <w:tcW w:w="960" w:type="dxa"/>
            <w:tcBorders>
              <w:top w:val="single" w:sz="4" w:space="0" w:color="FFFFFF"/>
              <w:left w:val="nil"/>
              <w:bottom w:val="single" w:sz="4" w:space="0" w:color="FFFFFF"/>
              <w:right w:val="nil"/>
            </w:tcBorders>
            <w:shd w:val="clear" w:color="000000" w:fill="B7DEE8"/>
            <w:noWrap/>
            <w:vAlign w:val="center"/>
            <w:hideMark/>
          </w:tcPr>
          <w:p w14:paraId="03B27E7F" w14:textId="2D413D6F" w:rsidR="00A76539" w:rsidRPr="00A76539" w:rsidRDefault="006C7FE0" w:rsidP="002108F7">
            <w:pPr>
              <w:jc w:val="right"/>
              <w:rPr>
                <w:rFonts w:asciiTheme="minorHAnsi" w:hAnsiTheme="minorHAnsi"/>
                <w:color w:val="000000"/>
                <w:lang w:eastAsia="en-GB"/>
              </w:rPr>
            </w:pPr>
            <w:r>
              <w:rPr>
                <w:rFonts w:asciiTheme="minorHAnsi" w:hAnsiTheme="minorHAnsi"/>
                <w:color w:val="000000"/>
                <w:lang w:eastAsia="en-GB"/>
              </w:rPr>
              <w:t>7,006</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71AB74DF"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Dwelling Rents</w:t>
            </w:r>
          </w:p>
        </w:tc>
        <w:tc>
          <w:tcPr>
            <w:tcW w:w="960" w:type="dxa"/>
            <w:tcBorders>
              <w:top w:val="single" w:sz="4" w:space="0" w:color="FFFFFF"/>
              <w:left w:val="nil"/>
              <w:bottom w:val="single" w:sz="4" w:space="0" w:color="FFFFFF"/>
              <w:right w:val="single" w:sz="4" w:space="0" w:color="FFFFFF"/>
            </w:tcBorders>
            <w:shd w:val="clear" w:color="000000" w:fill="DAEEF3"/>
            <w:noWrap/>
            <w:vAlign w:val="center"/>
          </w:tcPr>
          <w:p w14:paraId="59AF8BB1" w14:textId="62E7A56A"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7,303</w:t>
            </w:r>
          </w:p>
        </w:tc>
        <w:tc>
          <w:tcPr>
            <w:tcW w:w="960" w:type="dxa"/>
            <w:tcBorders>
              <w:top w:val="nil"/>
              <w:left w:val="nil"/>
              <w:bottom w:val="nil"/>
              <w:right w:val="nil"/>
            </w:tcBorders>
            <w:shd w:val="clear" w:color="000000" w:fill="DAEEF3"/>
            <w:noWrap/>
            <w:vAlign w:val="center"/>
          </w:tcPr>
          <w:p w14:paraId="3E8EE8BB" w14:textId="77777777" w:rsidR="00A76539" w:rsidRPr="00A76539" w:rsidRDefault="00A76539" w:rsidP="00A76539">
            <w:pPr>
              <w:jc w:val="right"/>
              <w:rPr>
                <w:rFonts w:asciiTheme="minorHAnsi" w:hAnsiTheme="minorHAnsi"/>
                <w:color w:val="000000"/>
                <w:lang w:eastAsia="en-GB"/>
              </w:rPr>
            </w:pPr>
          </w:p>
        </w:tc>
      </w:tr>
      <w:tr w:rsidR="00A76539" w:rsidRPr="00A76539" w14:paraId="052B0668"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41D04625" w14:textId="4ABA6A9E" w:rsidR="00A76539" w:rsidRPr="00A76539" w:rsidRDefault="006C7FE0" w:rsidP="00903A41">
            <w:pPr>
              <w:jc w:val="right"/>
              <w:rPr>
                <w:rFonts w:asciiTheme="minorHAnsi" w:hAnsiTheme="minorHAnsi"/>
                <w:color w:val="000000"/>
                <w:lang w:eastAsia="en-GB"/>
              </w:rPr>
            </w:pPr>
            <w:r>
              <w:rPr>
                <w:rFonts w:asciiTheme="minorHAnsi" w:hAnsiTheme="minorHAnsi"/>
                <w:color w:val="000000"/>
                <w:lang w:eastAsia="en-GB"/>
              </w:rPr>
              <w:t>78</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6E1FD141"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Non-dwelling Rents</w:t>
            </w:r>
          </w:p>
        </w:tc>
        <w:tc>
          <w:tcPr>
            <w:tcW w:w="960" w:type="dxa"/>
            <w:tcBorders>
              <w:top w:val="nil"/>
              <w:left w:val="nil"/>
              <w:bottom w:val="single" w:sz="4" w:space="0" w:color="FFFFFF"/>
              <w:right w:val="single" w:sz="4" w:space="0" w:color="FFFFFF"/>
            </w:tcBorders>
            <w:shd w:val="clear" w:color="000000" w:fill="DAEEF3"/>
            <w:noWrap/>
            <w:vAlign w:val="center"/>
          </w:tcPr>
          <w:p w14:paraId="55ABA652" w14:textId="00B69A6A"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74</w:t>
            </w:r>
          </w:p>
        </w:tc>
        <w:tc>
          <w:tcPr>
            <w:tcW w:w="960" w:type="dxa"/>
            <w:tcBorders>
              <w:top w:val="nil"/>
              <w:left w:val="nil"/>
              <w:bottom w:val="nil"/>
              <w:right w:val="nil"/>
            </w:tcBorders>
            <w:shd w:val="clear" w:color="000000" w:fill="DAEEF3"/>
            <w:noWrap/>
            <w:vAlign w:val="center"/>
          </w:tcPr>
          <w:p w14:paraId="35186D6F" w14:textId="77777777" w:rsidR="00A76539" w:rsidRPr="00A76539" w:rsidRDefault="00A76539" w:rsidP="00A76539">
            <w:pPr>
              <w:jc w:val="right"/>
              <w:rPr>
                <w:rFonts w:asciiTheme="minorHAnsi" w:hAnsiTheme="minorHAnsi"/>
                <w:color w:val="000000"/>
                <w:lang w:eastAsia="en-GB"/>
              </w:rPr>
            </w:pPr>
          </w:p>
        </w:tc>
      </w:tr>
      <w:tr w:rsidR="00A76539" w:rsidRPr="00A76539" w14:paraId="1FA6C844"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5EA17768" w14:textId="52364850" w:rsidR="00A76539" w:rsidRPr="00A76539" w:rsidRDefault="006C7FE0" w:rsidP="002108F7">
            <w:pPr>
              <w:jc w:val="right"/>
              <w:rPr>
                <w:rFonts w:asciiTheme="minorHAnsi" w:hAnsiTheme="minorHAnsi"/>
                <w:color w:val="000000"/>
                <w:lang w:eastAsia="en-GB"/>
              </w:rPr>
            </w:pPr>
            <w:r>
              <w:rPr>
                <w:rFonts w:asciiTheme="minorHAnsi" w:hAnsiTheme="minorHAnsi"/>
                <w:color w:val="000000"/>
                <w:lang w:eastAsia="en-GB"/>
              </w:rPr>
              <w:t>651</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736EB063"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Charges for services and facilities</w:t>
            </w:r>
          </w:p>
        </w:tc>
        <w:tc>
          <w:tcPr>
            <w:tcW w:w="960" w:type="dxa"/>
            <w:tcBorders>
              <w:top w:val="nil"/>
              <w:left w:val="nil"/>
              <w:bottom w:val="single" w:sz="4" w:space="0" w:color="FFFFFF"/>
              <w:right w:val="single" w:sz="4" w:space="0" w:color="FFFFFF"/>
            </w:tcBorders>
            <w:shd w:val="clear" w:color="000000" w:fill="DAEEF3"/>
            <w:noWrap/>
            <w:vAlign w:val="center"/>
          </w:tcPr>
          <w:p w14:paraId="7871BD79" w14:textId="7623009A" w:rsidR="00A76539" w:rsidRPr="00A76539" w:rsidRDefault="00C96E4D" w:rsidP="00231D0D">
            <w:pPr>
              <w:jc w:val="right"/>
              <w:rPr>
                <w:rFonts w:asciiTheme="minorHAnsi" w:hAnsiTheme="minorHAnsi"/>
                <w:color w:val="000000"/>
                <w:lang w:eastAsia="en-GB"/>
              </w:rPr>
            </w:pPr>
            <w:r>
              <w:rPr>
                <w:rFonts w:asciiTheme="minorHAnsi" w:hAnsiTheme="minorHAnsi"/>
                <w:color w:val="000000"/>
                <w:lang w:eastAsia="en-GB"/>
              </w:rPr>
              <w:t>698</w:t>
            </w:r>
          </w:p>
        </w:tc>
        <w:tc>
          <w:tcPr>
            <w:tcW w:w="960" w:type="dxa"/>
            <w:tcBorders>
              <w:top w:val="nil"/>
              <w:left w:val="nil"/>
              <w:bottom w:val="nil"/>
              <w:right w:val="nil"/>
            </w:tcBorders>
            <w:shd w:val="clear" w:color="000000" w:fill="DAEEF3"/>
            <w:noWrap/>
            <w:vAlign w:val="center"/>
          </w:tcPr>
          <w:p w14:paraId="3E7EC05F" w14:textId="77777777" w:rsidR="00A76539" w:rsidRPr="00A76539" w:rsidRDefault="00A76539" w:rsidP="00A76539">
            <w:pPr>
              <w:jc w:val="right"/>
              <w:rPr>
                <w:rFonts w:asciiTheme="minorHAnsi" w:hAnsiTheme="minorHAnsi"/>
                <w:color w:val="000000"/>
                <w:lang w:eastAsia="en-GB"/>
              </w:rPr>
            </w:pPr>
          </w:p>
        </w:tc>
      </w:tr>
      <w:tr w:rsidR="00A76539" w:rsidRPr="00A76539" w14:paraId="104D5BEB"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5C5DA4AE" w14:textId="4DE9154D" w:rsidR="00A76539" w:rsidRPr="00A76539" w:rsidRDefault="002108F7" w:rsidP="002108F7">
            <w:pPr>
              <w:jc w:val="right"/>
              <w:rPr>
                <w:rFonts w:asciiTheme="minorHAnsi" w:hAnsiTheme="minorHAnsi"/>
                <w:b/>
                <w:bCs/>
                <w:color w:val="000000"/>
                <w:lang w:eastAsia="en-GB"/>
              </w:rPr>
            </w:pPr>
            <w:r>
              <w:rPr>
                <w:rFonts w:asciiTheme="minorHAnsi" w:hAnsiTheme="minorHAnsi"/>
                <w:b/>
                <w:bCs/>
                <w:color w:val="000000"/>
                <w:lang w:eastAsia="en-GB"/>
              </w:rPr>
              <w:t>7</w:t>
            </w:r>
            <w:r w:rsidR="00A76539" w:rsidRPr="00A76539">
              <w:rPr>
                <w:rFonts w:asciiTheme="minorHAnsi" w:hAnsiTheme="minorHAnsi"/>
                <w:b/>
                <w:bCs/>
                <w:color w:val="000000"/>
                <w:lang w:eastAsia="en-GB"/>
              </w:rPr>
              <w:t>,</w:t>
            </w:r>
            <w:r w:rsidR="006C7FE0">
              <w:rPr>
                <w:rFonts w:asciiTheme="minorHAnsi" w:hAnsiTheme="minorHAnsi"/>
                <w:b/>
                <w:bCs/>
                <w:color w:val="000000"/>
                <w:lang w:eastAsia="en-GB"/>
              </w:rPr>
              <w:t>735</w:t>
            </w:r>
          </w:p>
        </w:tc>
        <w:tc>
          <w:tcPr>
            <w:tcW w:w="7360" w:type="dxa"/>
            <w:tcBorders>
              <w:top w:val="nil"/>
              <w:left w:val="single" w:sz="4" w:space="0" w:color="FFFFFF"/>
              <w:bottom w:val="single" w:sz="4" w:space="0" w:color="FFFFFF"/>
              <w:right w:val="single" w:sz="4" w:space="0" w:color="FFFFFF"/>
            </w:tcBorders>
            <w:shd w:val="clear" w:color="000000" w:fill="B7DEE8"/>
            <w:noWrap/>
            <w:vAlign w:val="center"/>
            <w:hideMark/>
          </w:tcPr>
          <w:p w14:paraId="0F838819" w14:textId="77777777"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Total Income</w:t>
            </w:r>
          </w:p>
        </w:tc>
        <w:tc>
          <w:tcPr>
            <w:tcW w:w="960" w:type="dxa"/>
            <w:tcBorders>
              <w:top w:val="nil"/>
              <w:left w:val="nil"/>
              <w:bottom w:val="single" w:sz="4" w:space="0" w:color="FFFFFF"/>
              <w:right w:val="single" w:sz="4" w:space="0" w:color="FFFFFF"/>
            </w:tcBorders>
            <w:shd w:val="clear" w:color="000000" w:fill="B7DEE8"/>
            <w:noWrap/>
            <w:vAlign w:val="center"/>
          </w:tcPr>
          <w:p w14:paraId="4408D53D" w14:textId="1085A517" w:rsidR="00A76539" w:rsidRPr="00A76539" w:rsidRDefault="00A76539" w:rsidP="00A76539">
            <w:pPr>
              <w:jc w:val="right"/>
              <w:rPr>
                <w:rFonts w:asciiTheme="minorHAnsi" w:hAnsiTheme="minorHAnsi"/>
                <w:b/>
                <w:bCs/>
                <w:color w:val="000000"/>
                <w:lang w:eastAsia="en-GB"/>
              </w:rPr>
            </w:pPr>
          </w:p>
        </w:tc>
        <w:tc>
          <w:tcPr>
            <w:tcW w:w="960" w:type="dxa"/>
            <w:tcBorders>
              <w:top w:val="single" w:sz="4" w:space="0" w:color="FFFFFF"/>
              <w:left w:val="nil"/>
              <w:bottom w:val="single" w:sz="4" w:space="0" w:color="FFFFFF"/>
              <w:right w:val="nil"/>
            </w:tcBorders>
            <w:shd w:val="clear" w:color="000000" w:fill="B7DEE8"/>
            <w:noWrap/>
            <w:vAlign w:val="center"/>
          </w:tcPr>
          <w:p w14:paraId="21E95ACE" w14:textId="187AA178" w:rsidR="00A76539" w:rsidRPr="00A76539" w:rsidRDefault="00C96E4D" w:rsidP="00F54B62">
            <w:pPr>
              <w:jc w:val="right"/>
              <w:rPr>
                <w:rFonts w:asciiTheme="minorHAnsi" w:hAnsiTheme="minorHAnsi"/>
                <w:b/>
                <w:bCs/>
                <w:color w:val="000000"/>
                <w:lang w:eastAsia="en-GB"/>
              </w:rPr>
            </w:pPr>
            <w:r>
              <w:rPr>
                <w:rFonts w:asciiTheme="minorHAnsi" w:hAnsiTheme="minorHAnsi"/>
                <w:b/>
                <w:bCs/>
                <w:color w:val="000000"/>
                <w:lang w:eastAsia="en-GB"/>
              </w:rPr>
              <w:t>8,075</w:t>
            </w:r>
          </w:p>
        </w:tc>
      </w:tr>
      <w:tr w:rsidR="00A76539" w:rsidRPr="00A76539" w14:paraId="0AB5BEE6" w14:textId="77777777" w:rsidTr="00903A41">
        <w:trPr>
          <w:trHeight w:val="510"/>
        </w:trPr>
        <w:tc>
          <w:tcPr>
            <w:tcW w:w="960" w:type="dxa"/>
            <w:tcBorders>
              <w:top w:val="nil"/>
              <w:left w:val="nil"/>
              <w:bottom w:val="single" w:sz="4" w:space="0" w:color="FFFFFF"/>
              <w:right w:val="nil"/>
            </w:tcBorders>
            <w:shd w:val="clear" w:color="000000" w:fill="B7DEE8"/>
            <w:noWrap/>
            <w:vAlign w:val="center"/>
            <w:hideMark/>
          </w:tcPr>
          <w:p w14:paraId="02CBFA00" w14:textId="143F0C04" w:rsidR="00A76539" w:rsidRPr="00A76539" w:rsidRDefault="00682F16" w:rsidP="002108F7">
            <w:pPr>
              <w:jc w:val="right"/>
              <w:rPr>
                <w:rFonts w:asciiTheme="minorHAnsi" w:hAnsiTheme="minorHAnsi"/>
                <w:b/>
                <w:bCs/>
                <w:color w:val="000000"/>
                <w:lang w:eastAsia="en-GB"/>
              </w:rPr>
            </w:pPr>
            <w:r>
              <w:rPr>
                <w:rFonts w:asciiTheme="minorHAnsi" w:hAnsiTheme="minorHAnsi"/>
                <w:b/>
                <w:bCs/>
                <w:color w:val="000000"/>
                <w:lang w:eastAsia="en-GB"/>
              </w:rPr>
              <w:t>-</w:t>
            </w:r>
            <w:r w:rsidR="006C7FE0">
              <w:rPr>
                <w:rFonts w:asciiTheme="minorHAnsi" w:hAnsiTheme="minorHAnsi"/>
                <w:b/>
                <w:bCs/>
                <w:color w:val="000000"/>
                <w:lang w:eastAsia="en-GB"/>
              </w:rPr>
              <w:t>1,</w:t>
            </w:r>
            <w:r w:rsidR="005C223B">
              <w:rPr>
                <w:rFonts w:asciiTheme="minorHAnsi" w:hAnsiTheme="minorHAnsi"/>
                <w:b/>
                <w:bCs/>
                <w:color w:val="000000"/>
                <w:lang w:eastAsia="en-GB"/>
              </w:rPr>
              <w:t>92</w:t>
            </w:r>
            <w:r w:rsidR="006C7FE0">
              <w:rPr>
                <w:rFonts w:asciiTheme="minorHAnsi" w:hAnsiTheme="minorHAnsi"/>
                <w:b/>
                <w:bCs/>
                <w:color w:val="000000"/>
                <w:lang w:eastAsia="en-GB"/>
              </w:rPr>
              <w:t>8</w:t>
            </w:r>
          </w:p>
        </w:tc>
        <w:tc>
          <w:tcPr>
            <w:tcW w:w="7360" w:type="dxa"/>
            <w:tcBorders>
              <w:top w:val="nil"/>
              <w:left w:val="single" w:sz="4" w:space="0" w:color="FFFFFF"/>
              <w:bottom w:val="single" w:sz="4" w:space="0" w:color="FFFFFF"/>
              <w:right w:val="single" w:sz="4" w:space="0" w:color="FFFFFF"/>
            </w:tcBorders>
            <w:shd w:val="clear" w:color="000000" w:fill="B7DEE8"/>
            <w:vAlign w:val="center"/>
            <w:hideMark/>
          </w:tcPr>
          <w:p w14:paraId="66428B3E" w14:textId="5757AE2B" w:rsidR="00A76539" w:rsidRPr="00A76539" w:rsidRDefault="00A76539" w:rsidP="00354F45">
            <w:pPr>
              <w:rPr>
                <w:rFonts w:asciiTheme="minorHAnsi" w:hAnsiTheme="minorHAnsi"/>
                <w:b/>
                <w:bCs/>
                <w:color w:val="000000"/>
                <w:lang w:eastAsia="en-GB"/>
              </w:rPr>
            </w:pPr>
            <w:r w:rsidRPr="00A76539">
              <w:rPr>
                <w:rFonts w:asciiTheme="minorHAnsi" w:hAnsiTheme="minorHAnsi"/>
                <w:b/>
                <w:bCs/>
                <w:color w:val="000000"/>
                <w:lang w:eastAsia="en-GB"/>
              </w:rPr>
              <w:t xml:space="preserve">Net </w:t>
            </w:r>
            <w:r w:rsidR="00354F45">
              <w:rPr>
                <w:rFonts w:asciiTheme="minorHAnsi" w:hAnsiTheme="minorHAnsi"/>
                <w:b/>
                <w:bCs/>
                <w:color w:val="000000"/>
                <w:lang w:eastAsia="en-GB"/>
              </w:rPr>
              <w:t>expenditure</w:t>
            </w:r>
            <w:r w:rsidRPr="00A76539">
              <w:rPr>
                <w:rFonts w:asciiTheme="minorHAnsi" w:hAnsiTheme="minorHAnsi"/>
                <w:b/>
                <w:bCs/>
                <w:color w:val="000000"/>
                <w:lang w:eastAsia="en-GB"/>
              </w:rPr>
              <w:t xml:space="preserve">/ income (-) of HRA services as included in the </w:t>
            </w:r>
            <w:r w:rsidR="00354F45">
              <w:rPr>
                <w:rFonts w:asciiTheme="minorHAnsi" w:hAnsiTheme="minorHAnsi"/>
                <w:b/>
                <w:bCs/>
                <w:color w:val="000000"/>
                <w:lang w:eastAsia="en-GB"/>
              </w:rPr>
              <w:t xml:space="preserve">whole authority </w:t>
            </w:r>
            <w:r w:rsidRPr="00A76539">
              <w:rPr>
                <w:rFonts w:asciiTheme="minorHAnsi" w:hAnsiTheme="minorHAnsi"/>
                <w:b/>
                <w:bCs/>
                <w:color w:val="000000"/>
                <w:lang w:eastAsia="en-GB"/>
              </w:rPr>
              <w:t xml:space="preserve">Comprehensive Income </w:t>
            </w:r>
            <w:r w:rsidR="00704A70">
              <w:rPr>
                <w:rFonts w:asciiTheme="minorHAnsi" w:hAnsiTheme="minorHAnsi"/>
                <w:b/>
                <w:bCs/>
                <w:color w:val="000000"/>
                <w:lang w:eastAsia="en-GB"/>
              </w:rPr>
              <w:t>and</w:t>
            </w:r>
            <w:r w:rsidRPr="00A76539">
              <w:rPr>
                <w:rFonts w:asciiTheme="minorHAnsi" w:hAnsiTheme="minorHAnsi"/>
                <w:b/>
                <w:bCs/>
                <w:color w:val="000000"/>
                <w:lang w:eastAsia="en-GB"/>
              </w:rPr>
              <w:t xml:space="preserve"> Expenditure Statement</w:t>
            </w:r>
          </w:p>
        </w:tc>
        <w:tc>
          <w:tcPr>
            <w:tcW w:w="960" w:type="dxa"/>
            <w:tcBorders>
              <w:top w:val="nil"/>
              <w:left w:val="nil"/>
              <w:bottom w:val="nil"/>
              <w:right w:val="single" w:sz="4" w:space="0" w:color="FFFFFF"/>
            </w:tcBorders>
            <w:shd w:val="clear" w:color="000000" w:fill="B7DEE8"/>
            <w:noWrap/>
            <w:vAlign w:val="center"/>
          </w:tcPr>
          <w:p w14:paraId="21E4C10A" w14:textId="721B2165" w:rsidR="00A76539" w:rsidRPr="00A76539" w:rsidRDefault="00A76539">
            <w:pPr>
              <w:jc w:val="right"/>
              <w:rPr>
                <w:rFonts w:asciiTheme="minorHAnsi" w:hAnsiTheme="minorHAnsi"/>
                <w:b/>
                <w:bCs/>
                <w:color w:val="000000"/>
                <w:lang w:eastAsia="en-GB"/>
              </w:rPr>
            </w:pPr>
          </w:p>
        </w:tc>
        <w:tc>
          <w:tcPr>
            <w:tcW w:w="960" w:type="dxa"/>
            <w:tcBorders>
              <w:top w:val="nil"/>
              <w:left w:val="nil"/>
              <w:bottom w:val="single" w:sz="4" w:space="0" w:color="FFFFFF"/>
              <w:right w:val="nil"/>
            </w:tcBorders>
            <w:shd w:val="clear" w:color="000000" w:fill="B7DEE8"/>
            <w:noWrap/>
            <w:vAlign w:val="center"/>
          </w:tcPr>
          <w:p w14:paraId="5FCE5C3F" w14:textId="5ED2F9FF" w:rsidR="00A76539" w:rsidRPr="00A76539" w:rsidRDefault="00C96E4D" w:rsidP="00FA0B27">
            <w:pPr>
              <w:jc w:val="right"/>
              <w:rPr>
                <w:rFonts w:asciiTheme="minorHAnsi" w:hAnsiTheme="minorHAnsi"/>
                <w:b/>
                <w:bCs/>
                <w:color w:val="000000"/>
                <w:lang w:eastAsia="en-GB"/>
              </w:rPr>
            </w:pPr>
            <w:r>
              <w:rPr>
                <w:rFonts w:asciiTheme="minorHAnsi" w:hAnsiTheme="minorHAnsi"/>
                <w:b/>
                <w:bCs/>
                <w:color w:val="000000"/>
                <w:lang w:eastAsia="en-GB"/>
              </w:rPr>
              <w:t>-35</w:t>
            </w:r>
            <w:r w:rsidR="00121DFC">
              <w:rPr>
                <w:rFonts w:asciiTheme="minorHAnsi" w:hAnsiTheme="minorHAnsi"/>
                <w:b/>
                <w:bCs/>
                <w:color w:val="000000"/>
                <w:lang w:eastAsia="en-GB"/>
              </w:rPr>
              <w:t>5</w:t>
            </w:r>
          </w:p>
        </w:tc>
      </w:tr>
      <w:tr w:rsidR="00A76539" w:rsidRPr="00A76539" w14:paraId="564A07C8"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79692124" w14:textId="245D7557" w:rsidR="00A76539" w:rsidRPr="00A76539" w:rsidRDefault="006C7FE0" w:rsidP="002108F7">
            <w:pPr>
              <w:jc w:val="right"/>
              <w:rPr>
                <w:rFonts w:asciiTheme="minorHAnsi" w:hAnsiTheme="minorHAnsi"/>
                <w:color w:val="000000"/>
                <w:lang w:eastAsia="en-GB"/>
              </w:rPr>
            </w:pPr>
            <w:r>
              <w:rPr>
                <w:rFonts w:asciiTheme="minorHAnsi" w:hAnsiTheme="minorHAnsi"/>
                <w:color w:val="000000"/>
                <w:lang w:eastAsia="en-GB"/>
              </w:rPr>
              <w:t>189</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51296CFF" w14:textId="6EAD47C1"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 xml:space="preserve">HRA services share of Corporate </w:t>
            </w:r>
            <w:r w:rsidR="00704A70">
              <w:rPr>
                <w:rFonts w:asciiTheme="minorHAnsi" w:hAnsiTheme="minorHAnsi"/>
                <w:color w:val="000000"/>
                <w:lang w:eastAsia="en-GB"/>
              </w:rPr>
              <w:t>and</w:t>
            </w:r>
            <w:r w:rsidRPr="00A76539">
              <w:rPr>
                <w:rFonts w:asciiTheme="minorHAnsi" w:hAnsiTheme="minorHAnsi"/>
                <w:color w:val="000000"/>
                <w:lang w:eastAsia="en-GB"/>
              </w:rPr>
              <w:t xml:space="preserve"> Democratic core</w:t>
            </w:r>
          </w:p>
        </w:tc>
        <w:tc>
          <w:tcPr>
            <w:tcW w:w="960" w:type="dxa"/>
            <w:tcBorders>
              <w:top w:val="single" w:sz="4" w:space="0" w:color="FFFFFF"/>
              <w:left w:val="nil"/>
              <w:bottom w:val="single" w:sz="4" w:space="0" w:color="FFFFFF"/>
              <w:right w:val="single" w:sz="4" w:space="0" w:color="FFFFFF"/>
            </w:tcBorders>
            <w:shd w:val="clear" w:color="000000" w:fill="DAEEF3"/>
            <w:noWrap/>
            <w:vAlign w:val="center"/>
          </w:tcPr>
          <w:p w14:paraId="3D47437C" w14:textId="354B0399" w:rsidR="00A76539" w:rsidRPr="00A76539" w:rsidRDefault="00C96E4D" w:rsidP="000A74BA">
            <w:pPr>
              <w:jc w:val="right"/>
              <w:rPr>
                <w:rFonts w:asciiTheme="minorHAnsi" w:hAnsiTheme="minorHAnsi"/>
                <w:color w:val="000000"/>
                <w:lang w:eastAsia="en-GB"/>
              </w:rPr>
            </w:pPr>
            <w:r>
              <w:rPr>
                <w:rFonts w:asciiTheme="minorHAnsi" w:hAnsiTheme="minorHAnsi"/>
                <w:color w:val="000000"/>
                <w:lang w:eastAsia="en-GB"/>
              </w:rPr>
              <w:t>189</w:t>
            </w:r>
          </w:p>
        </w:tc>
        <w:tc>
          <w:tcPr>
            <w:tcW w:w="960" w:type="dxa"/>
            <w:tcBorders>
              <w:top w:val="nil"/>
              <w:left w:val="nil"/>
              <w:bottom w:val="nil"/>
              <w:right w:val="nil"/>
            </w:tcBorders>
            <w:shd w:val="clear" w:color="000000" w:fill="DAEEF3"/>
            <w:noWrap/>
            <w:vAlign w:val="center"/>
          </w:tcPr>
          <w:p w14:paraId="71F4C582" w14:textId="77777777" w:rsidR="00A76539" w:rsidRPr="00A76539" w:rsidRDefault="00A76539" w:rsidP="00A76539">
            <w:pPr>
              <w:jc w:val="right"/>
              <w:rPr>
                <w:rFonts w:asciiTheme="minorHAnsi" w:hAnsiTheme="minorHAnsi"/>
                <w:color w:val="000000"/>
                <w:lang w:eastAsia="en-GB"/>
              </w:rPr>
            </w:pPr>
          </w:p>
        </w:tc>
      </w:tr>
      <w:tr w:rsidR="00A76539" w:rsidRPr="00A76539" w14:paraId="7FADC1E1"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711971B9" w14:textId="073D6E13" w:rsidR="00A76539" w:rsidRPr="00A76539" w:rsidRDefault="00C211D1" w:rsidP="00A76539">
            <w:pPr>
              <w:jc w:val="right"/>
              <w:rPr>
                <w:rFonts w:asciiTheme="minorHAnsi" w:hAnsiTheme="minorHAnsi"/>
                <w:color w:val="000000"/>
                <w:lang w:eastAsia="en-GB"/>
              </w:rPr>
            </w:pPr>
            <w:r>
              <w:rPr>
                <w:rFonts w:asciiTheme="minorHAnsi" w:hAnsiTheme="minorHAnsi"/>
                <w:color w:val="000000"/>
                <w:lang w:eastAsia="en-GB"/>
              </w:rPr>
              <w:t>1</w:t>
            </w:r>
            <w:r w:rsidR="005C223B">
              <w:rPr>
                <w:rFonts w:asciiTheme="minorHAnsi" w:hAnsiTheme="minorHAnsi"/>
                <w:color w:val="000000"/>
                <w:lang w:eastAsia="en-GB"/>
              </w:rPr>
              <w:t>2</w:t>
            </w:r>
          </w:p>
        </w:tc>
        <w:tc>
          <w:tcPr>
            <w:tcW w:w="7360" w:type="dxa"/>
            <w:tcBorders>
              <w:top w:val="nil"/>
              <w:left w:val="single" w:sz="4" w:space="0" w:color="FFFFFF"/>
              <w:bottom w:val="single" w:sz="4" w:space="0" w:color="FFFFFF"/>
              <w:right w:val="single" w:sz="4" w:space="0" w:color="FFFFFF"/>
            </w:tcBorders>
            <w:shd w:val="clear" w:color="000000" w:fill="DAEEF3"/>
            <w:vAlign w:val="center"/>
            <w:hideMark/>
          </w:tcPr>
          <w:p w14:paraId="782CBFE3"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HRA services share of Non-Distributed Costs</w:t>
            </w:r>
          </w:p>
        </w:tc>
        <w:tc>
          <w:tcPr>
            <w:tcW w:w="960" w:type="dxa"/>
            <w:tcBorders>
              <w:top w:val="nil"/>
              <w:left w:val="nil"/>
              <w:bottom w:val="single" w:sz="4" w:space="0" w:color="FFFFFF"/>
              <w:right w:val="single" w:sz="4" w:space="0" w:color="FFFFFF"/>
            </w:tcBorders>
            <w:shd w:val="clear" w:color="000000" w:fill="DAEEF3"/>
            <w:noWrap/>
            <w:vAlign w:val="center"/>
          </w:tcPr>
          <w:p w14:paraId="67CA6711" w14:textId="39B7A9F4"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12</w:t>
            </w:r>
          </w:p>
        </w:tc>
        <w:tc>
          <w:tcPr>
            <w:tcW w:w="960" w:type="dxa"/>
            <w:tcBorders>
              <w:top w:val="nil"/>
              <w:left w:val="nil"/>
              <w:bottom w:val="nil"/>
              <w:right w:val="nil"/>
            </w:tcBorders>
            <w:shd w:val="clear" w:color="000000" w:fill="DAEEF3"/>
            <w:noWrap/>
            <w:vAlign w:val="center"/>
          </w:tcPr>
          <w:p w14:paraId="5AE0DDE7" w14:textId="77777777" w:rsidR="00A76539" w:rsidRPr="00A76539" w:rsidRDefault="00A76539" w:rsidP="00A76539">
            <w:pPr>
              <w:jc w:val="right"/>
              <w:rPr>
                <w:rFonts w:asciiTheme="minorHAnsi" w:hAnsiTheme="minorHAnsi"/>
                <w:color w:val="000000"/>
                <w:lang w:eastAsia="en-GB"/>
              </w:rPr>
            </w:pPr>
          </w:p>
        </w:tc>
      </w:tr>
      <w:tr w:rsidR="00A76539" w:rsidRPr="00A76539" w14:paraId="31EC1C68"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47F3C235" w14:textId="371E6169" w:rsidR="00A76539" w:rsidRPr="00A76539" w:rsidRDefault="00682F16" w:rsidP="002108F7">
            <w:pPr>
              <w:jc w:val="right"/>
              <w:rPr>
                <w:rFonts w:asciiTheme="minorHAnsi" w:hAnsiTheme="minorHAnsi"/>
                <w:b/>
                <w:bCs/>
                <w:color w:val="000000"/>
                <w:lang w:eastAsia="en-GB"/>
              </w:rPr>
            </w:pPr>
            <w:r>
              <w:rPr>
                <w:rFonts w:asciiTheme="minorHAnsi" w:hAnsiTheme="minorHAnsi"/>
                <w:b/>
                <w:bCs/>
                <w:color w:val="000000"/>
                <w:lang w:eastAsia="en-GB"/>
              </w:rPr>
              <w:t>-</w:t>
            </w:r>
            <w:r w:rsidR="006C7FE0">
              <w:rPr>
                <w:rFonts w:asciiTheme="minorHAnsi" w:hAnsiTheme="minorHAnsi"/>
                <w:b/>
                <w:bCs/>
                <w:color w:val="000000"/>
                <w:lang w:eastAsia="en-GB"/>
              </w:rPr>
              <w:t>1,727</w:t>
            </w:r>
          </w:p>
        </w:tc>
        <w:tc>
          <w:tcPr>
            <w:tcW w:w="7360" w:type="dxa"/>
            <w:tcBorders>
              <w:top w:val="nil"/>
              <w:left w:val="single" w:sz="4" w:space="0" w:color="FFFFFF"/>
              <w:bottom w:val="single" w:sz="4" w:space="0" w:color="FFFFFF"/>
              <w:right w:val="single" w:sz="4" w:space="0" w:color="FFFFFF"/>
            </w:tcBorders>
            <w:shd w:val="clear" w:color="000000" w:fill="B7DEE8"/>
            <w:vAlign w:val="center"/>
            <w:hideMark/>
          </w:tcPr>
          <w:p w14:paraId="6D6E53A0" w14:textId="77777777" w:rsidR="00A76539" w:rsidRPr="00A76539" w:rsidRDefault="00A76539" w:rsidP="00354F45">
            <w:pPr>
              <w:rPr>
                <w:rFonts w:asciiTheme="minorHAnsi" w:hAnsiTheme="minorHAnsi"/>
                <w:b/>
                <w:bCs/>
                <w:color w:val="000000"/>
                <w:lang w:eastAsia="en-GB"/>
              </w:rPr>
            </w:pPr>
            <w:r w:rsidRPr="00A76539">
              <w:rPr>
                <w:rFonts w:asciiTheme="minorHAnsi" w:hAnsiTheme="minorHAnsi"/>
                <w:b/>
                <w:bCs/>
                <w:color w:val="000000"/>
                <w:lang w:eastAsia="en-GB"/>
              </w:rPr>
              <w:t xml:space="preserve">Net </w:t>
            </w:r>
            <w:r w:rsidR="00354F45">
              <w:rPr>
                <w:rFonts w:asciiTheme="minorHAnsi" w:hAnsiTheme="minorHAnsi"/>
                <w:b/>
                <w:bCs/>
                <w:color w:val="000000"/>
                <w:lang w:eastAsia="en-GB"/>
              </w:rPr>
              <w:t>expenditure</w:t>
            </w:r>
            <w:r w:rsidRPr="00A76539">
              <w:rPr>
                <w:rFonts w:asciiTheme="minorHAnsi" w:hAnsiTheme="minorHAnsi"/>
                <w:b/>
                <w:bCs/>
                <w:color w:val="000000"/>
                <w:lang w:eastAsia="en-GB"/>
              </w:rPr>
              <w:t>/ income (-) of HRA Services</w:t>
            </w:r>
          </w:p>
        </w:tc>
        <w:tc>
          <w:tcPr>
            <w:tcW w:w="960" w:type="dxa"/>
            <w:tcBorders>
              <w:top w:val="nil"/>
              <w:left w:val="nil"/>
              <w:bottom w:val="single" w:sz="4" w:space="0" w:color="FFFFFF"/>
              <w:right w:val="single" w:sz="4" w:space="0" w:color="FFFFFF"/>
            </w:tcBorders>
            <w:shd w:val="clear" w:color="000000" w:fill="B7DEE8"/>
            <w:noWrap/>
            <w:vAlign w:val="center"/>
          </w:tcPr>
          <w:p w14:paraId="3C8B224D" w14:textId="59252238" w:rsidR="00A76539" w:rsidRPr="00A76539" w:rsidRDefault="00A76539">
            <w:pPr>
              <w:jc w:val="right"/>
              <w:rPr>
                <w:rFonts w:asciiTheme="minorHAnsi" w:hAnsiTheme="minorHAnsi"/>
                <w:b/>
                <w:bCs/>
                <w:color w:val="000000"/>
                <w:lang w:eastAsia="en-GB"/>
              </w:rPr>
            </w:pPr>
          </w:p>
        </w:tc>
        <w:tc>
          <w:tcPr>
            <w:tcW w:w="960" w:type="dxa"/>
            <w:tcBorders>
              <w:top w:val="single" w:sz="4" w:space="0" w:color="FFFFFF"/>
              <w:left w:val="nil"/>
              <w:bottom w:val="single" w:sz="4" w:space="0" w:color="FFFFFF"/>
              <w:right w:val="nil"/>
            </w:tcBorders>
            <w:shd w:val="clear" w:color="000000" w:fill="B7DEE8"/>
            <w:noWrap/>
            <w:vAlign w:val="center"/>
          </w:tcPr>
          <w:p w14:paraId="40AFC382" w14:textId="10D384F9" w:rsidR="00A76539" w:rsidRPr="00A76539" w:rsidRDefault="00C96E4D" w:rsidP="000A74BA">
            <w:pPr>
              <w:jc w:val="right"/>
              <w:rPr>
                <w:rFonts w:asciiTheme="minorHAnsi" w:hAnsiTheme="minorHAnsi"/>
                <w:b/>
                <w:bCs/>
                <w:color w:val="000000"/>
                <w:lang w:eastAsia="en-GB"/>
              </w:rPr>
            </w:pPr>
            <w:r>
              <w:rPr>
                <w:rFonts w:asciiTheme="minorHAnsi" w:hAnsiTheme="minorHAnsi"/>
                <w:b/>
                <w:bCs/>
                <w:color w:val="000000"/>
                <w:lang w:eastAsia="en-GB"/>
              </w:rPr>
              <w:t>-15</w:t>
            </w:r>
            <w:r w:rsidR="00121DFC">
              <w:rPr>
                <w:rFonts w:asciiTheme="minorHAnsi" w:hAnsiTheme="minorHAnsi"/>
                <w:b/>
                <w:bCs/>
                <w:color w:val="000000"/>
                <w:lang w:eastAsia="en-GB"/>
              </w:rPr>
              <w:t>4</w:t>
            </w:r>
          </w:p>
        </w:tc>
      </w:tr>
      <w:tr w:rsidR="00A76539" w:rsidRPr="00A76539" w14:paraId="2E6E9D4C" w14:textId="77777777" w:rsidTr="00903A41">
        <w:trPr>
          <w:trHeight w:val="510"/>
        </w:trPr>
        <w:tc>
          <w:tcPr>
            <w:tcW w:w="960" w:type="dxa"/>
            <w:tcBorders>
              <w:top w:val="nil"/>
              <w:left w:val="nil"/>
              <w:bottom w:val="nil"/>
              <w:right w:val="nil"/>
            </w:tcBorders>
            <w:shd w:val="clear" w:color="000000" w:fill="B7DEE8"/>
            <w:noWrap/>
            <w:vAlign w:val="center"/>
            <w:hideMark/>
          </w:tcPr>
          <w:p w14:paraId="4A0A94E0" w14:textId="77777777" w:rsidR="00A76539" w:rsidRPr="00A76539" w:rsidRDefault="00A76539" w:rsidP="00A76539">
            <w:pPr>
              <w:jc w:val="right"/>
              <w:rPr>
                <w:rFonts w:asciiTheme="minorHAnsi" w:hAnsiTheme="minorHAnsi"/>
                <w:b/>
                <w:bCs/>
                <w:color w:val="000000"/>
                <w:lang w:eastAsia="en-GB"/>
              </w:rPr>
            </w:pPr>
            <w:r w:rsidRPr="00A76539">
              <w:rPr>
                <w:rFonts w:asciiTheme="minorHAnsi" w:hAnsiTheme="minorHAnsi"/>
                <w:b/>
                <w:bCs/>
                <w:color w:val="000000"/>
                <w:lang w:eastAsia="en-GB"/>
              </w:rPr>
              <w:t> </w:t>
            </w:r>
          </w:p>
        </w:tc>
        <w:tc>
          <w:tcPr>
            <w:tcW w:w="7360" w:type="dxa"/>
            <w:tcBorders>
              <w:top w:val="nil"/>
              <w:left w:val="single" w:sz="4" w:space="0" w:color="FFFFFF"/>
              <w:bottom w:val="single" w:sz="4" w:space="0" w:color="FFFFFF"/>
              <w:right w:val="single" w:sz="4" w:space="0" w:color="FFFFFF"/>
            </w:tcBorders>
            <w:shd w:val="clear" w:color="000000" w:fill="DAEEF3"/>
            <w:vAlign w:val="center"/>
            <w:hideMark/>
          </w:tcPr>
          <w:p w14:paraId="12FE4013" w14:textId="09C5A593"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 xml:space="preserve">HRA Share of the operating income </w:t>
            </w:r>
            <w:r w:rsidR="00704A70">
              <w:rPr>
                <w:rFonts w:asciiTheme="minorHAnsi" w:hAnsiTheme="minorHAnsi"/>
                <w:b/>
                <w:bCs/>
                <w:color w:val="000000"/>
                <w:lang w:eastAsia="en-GB"/>
              </w:rPr>
              <w:t>and</w:t>
            </w:r>
            <w:r w:rsidRPr="00A76539">
              <w:rPr>
                <w:rFonts w:asciiTheme="minorHAnsi" w:hAnsiTheme="minorHAnsi"/>
                <w:b/>
                <w:bCs/>
                <w:color w:val="000000"/>
                <w:lang w:eastAsia="en-GB"/>
              </w:rPr>
              <w:t xml:space="preserve"> expenditure included in the </w:t>
            </w:r>
            <w:r w:rsidR="00354F45">
              <w:rPr>
                <w:rFonts w:asciiTheme="minorHAnsi" w:hAnsiTheme="minorHAnsi"/>
                <w:b/>
                <w:bCs/>
                <w:color w:val="000000"/>
                <w:lang w:eastAsia="en-GB"/>
              </w:rPr>
              <w:t xml:space="preserve">whole authority </w:t>
            </w:r>
            <w:r w:rsidRPr="00A76539">
              <w:rPr>
                <w:rFonts w:asciiTheme="minorHAnsi" w:hAnsiTheme="minorHAnsi"/>
                <w:b/>
                <w:bCs/>
                <w:color w:val="000000"/>
                <w:lang w:eastAsia="en-GB"/>
              </w:rPr>
              <w:t xml:space="preserve">Comprehensive Income </w:t>
            </w:r>
            <w:r w:rsidR="00704A70">
              <w:rPr>
                <w:rFonts w:asciiTheme="minorHAnsi" w:hAnsiTheme="minorHAnsi"/>
                <w:b/>
                <w:bCs/>
                <w:color w:val="000000"/>
                <w:lang w:eastAsia="en-GB"/>
              </w:rPr>
              <w:t>and</w:t>
            </w:r>
            <w:r w:rsidRPr="00A76539">
              <w:rPr>
                <w:rFonts w:asciiTheme="minorHAnsi" w:hAnsiTheme="minorHAnsi"/>
                <w:b/>
                <w:bCs/>
                <w:color w:val="000000"/>
                <w:lang w:eastAsia="en-GB"/>
              </w:rPr>
              <w:t xml:space="preserve"> Expenditure Statement:</w:t>
            </w:r>
          </w:p>
        </w:tc>
        <w:tc>
          <w:tcPr>
            <w:tcW w:w="960" w:type="dxa"/>
            <w:tcBorders>
              <w:top w:val="nil"/>
              <w:left w:val="nil"/>
              <w:bottom w:val="nil"/>
              <w:right w:val="single" w:sz="4" w:space="0" w:color="FFFFFF"/>
            </w:tcBorders>
            <w:shd w:val="clear" w:color="000000" w:fill="DAEEF3"/>
            <w:noWrap/>
            <w:vAlign w:val="center"/>
          </w:tcPr>
          <w:p w14:paraId="3EECE58E" w14:textId="77777777" w:rsidR="00A76539" w:rsidRPr="00A76539" w:rsidRDefault="00A76539" w:rsidP="00A76539">
            <w:pPr>
              <w:jc w:val="right"/>
              <w:rPr>
                <w:rFonts w:asciiTheme="minorHAnsi" w:hAnsiTheme="minorHAnsi"/>
                <w:b/>
                <w:bCs/>
                <w:color w:val="000000"/>
                <w:lang w:eastAsia="en-GB"/>
              </w:rPr>
            </w:pPr>
          </w:p>
        </w:tc>
        <w:tc>
          <w:tcPr>
            <w:tcW w:w="960" w:type="dxa"/>
            <w:tcBorders>
              <w:top w:val="nil"/>
              <w:left w:val="nil"/>
              <w:bottom w:val="nil"/>
              <w:right w:val="nil"/>
            </w:tcBorders>
            <w:shd w:val="clear" w:color="000000" w:fill="DAEEF3"/>
            <w:noWrap/>
            <w:vAlign w:val="center"/>
          </w:tcPr>
          <w:p w14:paraId="212F4B75" w14:textId="77777777" w:rsidR="00A76539" w:rsidRPr="00A76539" w:rsidRDefault="00A76539" w:rsidP="00A76539">
            <w:pPr>
              <w:jc w:val="right"/>
              <w:rPr>
                <w:rFonts w:asciiTheme="minorHAnsi" w:hAnsiTheme="minorHAnsi"/>
                <w:b/>
                <w:bCs/>
                <w:color w:val="000000"/>
                <w:lang w:eastAsia="en-GB"/>
              </w:rPr>
            </w:pPr>
          </w:p>
        </w:tc>
      </w:tr>
      <w:tr w:rsidR="00A76539" w:rsidRPr="00A76539" w14:paraId="5481D686" w14:textId="77777777" w:rsidTr="00903A41">
        <w:trPr>
          <w:trHeight w:val="300"/>
        </w:trPr>
        <w:tc>
          <w:tcPr>
            <w:tcW w:w="960" w:type="dxa"/>
            <w:tcBorders>
              <w:top w:val="single" w:sz="4" w:space="0" w:color="FFFFFF"/>
              <w:left w:val="nil"/>
              <w:bottom w:val="single" w:sz="4" w:space="0" w:color="FFFFFF"/>
              <w:right w:val="nil"/>
            </w:tcBorders>
            <w:shd w:val="clear" w:color="000000" w:fill="B7DEE8"/>
            <w:noWrap/>
            <w:vAlign w:val="center"/>
            <w:hideMark/>
          </w:tcPr>
          <w:p w14:paraId="6495459F" w14:textId="4C701059" w:rsidR="00A76539" w:rsidRPr="00A76539" w:rsidRDefault="002108F7" w:rsidP="000C2167">
            <w:pPr>
              <w:jc w:val="right"/>
              <w:rPr>
                <w:rFonts w:asciiTheme="minorHAnsi" w:hAnsiTheme="minorHAnsi"/>
                <w:color w:val="000000"/>
                <w:lang w:eastAsia="en-GB"/>
              </w:rPr>
            </w:pPr>
            <w:r>
              <w:rPr>
                <w:rFonts w:asciiTheme="minorHAnsi" w:hAnsiTheme="minorHAnsi"/>
                <w:color w:val="000000"/>
                <w:lang w:eastAsia="en-GB"/>
              </w:rPr>
              <w:t>-</w:t>
            </w:r>
            <w:r w:rsidR="006C7FE0">
              <w:rPr>
                <w:rFonts w:asciiTheme="minorHAnsi" w:hAnsiTheme="minorHAnsi"/>
                <w:color w:val="000000"/>
                <w:lang w:eastAsia="en-GB"/>
              </w:rPr>
              <w:t>70</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4D9CDCDF"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Gain on sale of HRA non-current assets</w:t>
            </w:r>
          </w:p>
        </w:tc>
        <w:tc>
          <w:tcPr>
            <w:tcW w:w="960" w:type="dxa"/>
            <w:tcBorders>
              <w:top w:val="single" w:sz="4" w:space="0" w:color="FFFFFF"/>
              <w:left w:val="nil"/>
              <w:bottom w:val="single" w:sz="4" w:space="0" w:color="FFFFFF"/>
              <w:right w:val="single" w:sz="4" w:space="0" w:color="FFFFFF"/>
            </w:tcBorders>
            <w:shd w:val="clear" w:color="000000" w:fill="DAEEF3"/>
            <w:noWrap/>
            <w:vAlign w:val="center"/>
          </w:tcPr>
          <w:p w14:paraId="15D2375F" w14:textId="3E6B8323"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-93</w:t>
            </w:r>
          </w:p>
        </w:tc>
        <w:tc>
          <w:tcPr>
            <w:tcW w:w="960" w:type="dxa"/>
            <w:tcBorders>
              <w:top w:val="nil"/>
              <w:left w:val="nil"/>
              <w:bottom w:val="nil"/>
              <w:right w:val="nil"/>
            </w:tcBorders>
            <w:shd w:val="clear" w:color="000000" w:fill="DAEEF3"/>
            <w:noWrap/>
            <w:vAlign w:val="center"/>
          </w:tcPr>
          <w:p w14:paraId="3CA3019E" w14:textId="77777777" w:rsidR="00A76539" w:rsidRPr="00A76539" w:rsidRDefault="00A76539" w:rsidP="00A76539">
            <w:pPr>
              <w:jc w:val="right"/>
              <w:rPr>
                <w:rFonts w:asciiTheme="minorHAnsi" w:hAnsiTheme="minorHAnsi"/>
                <w:color w:val="000000"/>
                <w:lang w:eastAsia="en-GB"/>
              </w:rPr>
            </w:pPr>
          </w:p>
        </w:tc>
      </w:tr>
      <w:tr w:rsidR="00A76539" w:rsidRPr="00A76539" w14:paraId="5A953999"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140FC180" w14:textId="16B70990" w:rsidR="00A76539" w:rsidRPr="00A76539" w:rsidRDefault="00C211D1" w:rsidP="00A76539">
            <w:pPr>
              <w:jc w:val="right"/>
              <w:rPr>
                <w:rFonts w:asciiTheme="minorHAnsi" w:hAnsiTheme="minorHAnsi"/>
                <w:color w:val="000000"/>
                <w:lang w:eastAsia="en-GB"/>
              </w:rPr>
            </w:pPr>
            <w:r>
              <w:rPr>
                <w:rFonts w:asciiTheme="minorHAnsi" w:hAnsiTheme="minorHAnsi"/>
                <w:color w:val="000000"/>
                <w:lang w:eastAsia="en-GB"/>
              </w:rPr>
              <w:t>1,16</w:t>
            </w:r>
            <w:r w:rsidR="005C223B">
              <w:rPr>
                <w:rFonts w:asciiTheme="minorHAnsi" w:hAnsiTheme="minorHAnsi"/>
                <w:color w:val="000000"/>
                <w:lang w:eastAsia="en-GB"/>
              </w:rPr>
              <w:t>9</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3B7F17C7" w14:textId="77777777"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Interest Payable and similar charges</w:t>
            </w:r>
          </w:p>
        </w:tc>
        <w:tc>
          <w:tcPr>
            <w:tcW w:w="960" w:type="dxa"/>
            <w:tcBorders>
              <w:top w:val="nil"/>
              <w:left w:val="nil"/>
              <w:bottom w:val="single" w:sz="4" w:space="0" w:color="FFFFFF"/>
              <w:right w:val="single" w:sz="4" w:space="0" w:color="FFFFFF"/>
            </w:tcBorders>
            <w:shd w:val="clear" w:color="000000" w:fill="DAEEF3"/>
            <w:noWrap/>
            <w:vAlign w:val="center"/>
          </w:tcPr>
          <w:p w14:paraId="15C003B0" w14:textId="328C344F" w:rsidR="00A76539" w:rsidRPr="00A76539" w:rsidRDefault="00C96E4D" w:rsidP="000A74BA">
            <w:pPr>
              <w:jc w:val="right"/>
              <w:rPr>
                <w:rFonts w:asciiTheme="minorHAnsi" w:hAnsiTheme="minorHAnsi"/>
                <w:color w:val="000000"/>
                <w:lang w:eastAsia="en-GB"/>
              </w:rPr>
            </w:pPr>
            <w:r>
              <w:rPr>
                <w:rFonts w:asciiTheme="minorHAnsi" w:hAnsiTheme="minorHAnsi"/>
                <w:color w:val="000000"/>
                <w:lang w:eastAsia="en-GB"/>
              </w:rPr>
              <w:t>1,170</w:t>
            </w:r>
          </w:p>
        </w:tc>
        <w:tc>
          <w:tcPr>
            <w:tcW w:w="960" w:type="dxa"/>
            <w:tcBorders>
              <w:top w:val="nil"/>
              <w:left w:val="nil"/>
              <w:bottom w:val="nil"/>
              <w:right w:val="nil"/>
            </w:tcBorders>
            <w:shd w:val="clear" w:color="000000" w:fill="DAEEF3"/>
            <w:noWrap/>
            <w:vAlign w:val="center"/>
          </w:tcPr>
          <w:p w14:paraId="025A3AFA" w14:textId="77777777" w:rsidR="00A76539" w:rsidRPr="00A76539" w:rsidRDefault="00A76539" w:rsidP="00A76539">
            <w:pPr>
              <w:jc w:val="right"/>
              <w:rPr>
                <w:rFonts w:asciiTheme="minorHAnsi" w:hAnsiTheme="minorHAnsi"/>
                <w:color w:val="000000"/>
                <w:lang w:eastAsia="en-GB"/>
              </w:rPr>
            </w:pPr>
          </w:p>
        </w:tc>
      </w:tr>
      <w:tr w:rsidR="00A76539" w:rsidRPr="00A76539" w14:paraId="5F975CFB"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29CF85F1" w14:textId="58927B48" w:rsidR="00A76539" w:rsidRPr="00A76539" w:rsidRDefault="00A76539" w:rsidP="002108F7">
            <w:pPr>
              <w:jc w:val="right"/>
              <w:rPr>
                <w:rFonts w:asciiTheme="minorHAnsi" w:hAnsiTheme="minorHAnsi"/>
                <w:color w:val="000000"/>
                <w:lang w:eastAsia="en-GB"/>
              </w:rPr>
            </w:pPr>
            <w:r w:rsidRPr="00A76539">
              <w:rPr>
                <w:rFonts w:asciiTheme="minorHAnsi" w:hAnsiTheme="minorHAnsi"/>
                <w:color w:val="000000"/>
                <w:lang w:eastAsia="en-GB"/>
              </w:rPr>
              <w:t>-</w:t>
            </w:r>
            <w:r w:rsidR="006C7FE0">
              <w:rPr>
                <w:rFonts w:asciiTheme="minorHAnsi" w:hAnsiTheme="minorHAnsi"/>
                <w:color w:val="000000"/>
                <w:lang w:eastAsia="en-GB"/>
              </w:rPr>
              <w:t>59</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1952337D" w14:textId="4EBB5BAE" w:rsidR="00A76539" w:rsidRPr="00A76539" w:rsidRDefault="00A76539" w:rsidP="00A76539">
            <w:pPr>
              <w:rPr>
                <w:rFonts w:asciiTheme="minorHAnsi" w:hAnsiTheme="minorHAnsi"/>
                <w:color w:val="000000"/>
                <w:lang w:eastAsia="en-GB"/>
              </w:rPr>
            </w:pPr>
            <w:r w:rsidRPr="00A76539">
              <w:rPr>
                <w:rFonts w:asciiTheme="minorHAnsi" w:hAnsiTheme="minorHAnsi"/>
                <w:color w:val="000000"/>
                <w:lang w:eastAsia="en-GB"/>
              </w:rPr>
              <w:t xml:space="preserve">Interest </w:t>
            </w:r>
            <w:r w:rsidR="00704A70">
              <w:rPr>
                <w:rFonts w:asciiTheme="minorHAnsi" w:hAnsiTheme="minorHAnsi"/>
                <w:color w:val="000000"/>
                <w:lang w:eastAsia="en-GB"/>
              </w:rPr>
              <w:t>and</w:t>
            </w:r>
            <w:r w:rsidRPr="00A76539">
              <w:rPr>
                <w:rFonts w:asciiTheme="minorHAnsi" w:hAnsiTheme="minorHAnsi"/>
                <w:color w:val="000000"/>
                <w:lang w:eastAsia="en-GB"/>
              </w:rPr>
              <w:t xml:space="preserve"> Investment Income</w:t>
            </w:r>
          </w:p>
        </w:tc>
        <w:tc>
          <w:tcPr>
            <w:tcW w:w="960" w:type="dxa"/>
            <w:tcBorders>
              <w:top w:val="nil"/>
              <w:left w:val="nil"/>
              <w:bottom w:val="single" w:sz="4" w:space="0" w:color="FFFFFF"/>
              <w:right w:val="single" w:sz="4" w:space="0" w:color="FFFFFF"/>
            </w:tcBorders>
            <w:shd w:val="clear" w:color="000000" w:fill="DAEEF3"/>
            <w:noWrap/>
            <w:vAlign w:val="center"/>
          </w:tcPr>
          <w:p w14:paraId="018DFA16" w14:textId="002DA557" w:rsidR="00A76539" w:rsidRPr="00A76539" w:rsidRDefault="00C96E4D" w:rsidP="002C5DB4">
            <w:pPr>
              <w:jc w:val="right"/>
              <w:rPr>
                <w:rFonts w:asciiTheme="minorHAnsi" w:hAnsiTheme="minorHAnsi"/>
                <w:color w:val="000000"/>
                <w:lang w:eastAsia="en-GB"/>
              </w:rPr>
            </w:pPr>
            <w:r>
              <w:rPr>
                <w:rFonts w:asciiTheme="minorHAnsi" w:hAnsiTheme="minorHAnsi"/>
                <w:color w:val="000000"/>
                <w:lang w:eastAsia="en-GB"/>
              </w:rPr>
              <w:t>-256</w:t>
            </w:r>
          </w:p>
        </w:tc>
        <w:tc>
          <w:tcPr>
            <w:tcW w:w="960" w:type="dxa"/>
            <w:tcBorders>
              <w:top w:val="nil"/>
              <w:left w:val="nil"/>
              <w:bottom w:val="nil"/>
              <w:right w:val="nil"/>
            </w:tcBorders>
            <w:shd w:val="clear" w:color="000000" w:fill="DAEEF3"/>
            <w:noWrap/>
            <w:vAlign w:val="center"/>
          </w:tcPr>
          <w:p w14:paraId="3EBFCFE5" w14:textId="77777777" w:rsidR="00A76539" w:rsidRPr="00A76539" w:rsidRDefault="00A76539" w:rsidP="00A76539">
            <w:pPr>
              <w:jc w:val="right"/>
              <w:rPr>
                <w:rFonts w:asciiTheme="minorHAnsi" w:hAnsiTheme="minorHAnsi"/>
                <w:color w:val="000000"/>
                <w:lang w:eastAsia="en-GB"/>
              </w:rPr>
            </w:pPr>
          </w:p>
        </w:tc>
      </w:tr>
      <w:tr w:rsidR="00A76539" w:rsidRPr="00A76539" w14:paraId="7787D10B"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4CD6F7DA" w14:textId="093B82CB" w:rsidR="00A76539" w:rsidRPr="00A76539" w:rsidRDefault="006C7FE0" w:rsidP="002108F7">
            <w:pPr>
              <w:jc w:val="right"/>
              <w:rPr>
                <w:rFonts w:asciiTheme="minorHAnsi" w:hAnsiTheme="minorHAnsi"/>
                <w:color w:val="000000"/>
                <w:lang w:eastAsia="en-GB"/>
              </w:rPr>
            </w:pPr>
            <w:r>
              <w:rPr>
                <w:rFonts w:asciiTheme="minorHAnsi" w:hAnsiTheme="minorHAnsi"/>
                <w:color w:val="000000"/>
                <w:lang w:eastAsia="en-GB"/>
              </w:rPr>
              <w:t>164</w:t>
            </w:r>
          </w:p>
        </w:tc>
        <w:tc>
          <w:tcPr>
            <w:tcW w:w="7360" w:type="dxa"/>
            <w:tcBorders>
              <w:top w:val="nil"/>
              <w:left w:val="single" w:sz="4" w:space="0" w:color="FFFFFF"/>
              <w:bottom w:val="single" w:sz="4" w:space="0" w:color="FFFFFF"/>
              <w:right w:val="single" w:sz="4" w:space="0" w:color="FFFFFF"/>
            </w:tcBorders>
            <w:shd w:val="clear" w:color="000000" w:fill="DAEEF3"/>
            <w:noWrap/>
            <w:vAlign w:val="center"/>
            <w:hideMark/>
          </w:tcPr>
          <w:p w14:paraId="6DEF4AE5" w14:textId="77777777" w:rsidR="00A76539" w:rsidRPr="00A76539" w:rsidRDefault="00354F45" w:rsidP="00A76539">
            <w:pPr>
              <w:rPr>
                <w:rFonts w:asciiTheme="minorHAnsi" w:hAnsiTheme="minorHAnsi"/>
                <w:color w:val="000000"/>
                <w:lang w:eastAsia="en-GB"/>
              </w:rPr>
            </w:pPr>
            <w:r>
              <w:rPr>
                <w:rFonts w:asciiTheme="minorHAnsi" w:hAnsiTheme="minorHAnsi"/>
                <w:color w:val="000000"/>
                <w:lang w:eastAsia="en-GB"/>
              </w:rPr>
              <w:t>Net interest on the Net Defined Benefit Asset/</w:t>
            </w:r>
            <w:proofErr w:type="gramStart"/>
            <w:r>
              <w:rPr>
                <w:rFonts w:asciiTheme="minorHAnsi" w:hAnsiTheme="minorHAnsi"/>
                <w:color w:val="000000"/>
                <w:lang w:eastAsia="en-GB"/>
              </w:rPr>
              <w:t>Liability(</w:t>
            </w:r>
            <w:proofErr w:type="gramEnd"/>
            <w:r>
              <w:rPr>
                <w:rFonts w:asciiTheme="minorHAnsi" w:hAnsiTheme="minorHAnsi"/>
                <w:color w:val="000000"/>
                <w:lang w:eastAsia="en-GB"/>
              </w:rPr>
              <w:t>-)</w:t>
            </w:r>
          </w:p>
        </w:tc>
        <w:tc>
          <w:tcPr>
            <w:tcW w:w="960" w:type="dxa"/>
            <w:tcBorders>
              <w:top w:val="nil"/>
              <w:left w:val="nil"/>
              <w:bottom w:val="single" w:sz="4" w:space="0" w:color="FFFFFF"/>
              <w:right w:val="single" w:sz="4" w:space="0" w:color="FFFFFF"/>
            </w:tcBorders>
            <w:shd w:val="clear" w:color="000000" w:fill="DAEEF3"/>
            <w:noWrap/>
            <w:vAlign w:val="center"/>
          </w:tcPr>
          <w:p w14:paraId="10193831" w14:textId="3021FA80" w:rsidR="00A76539" w:rsidRPr="00A76539" w:rsidRDefault="00C96E4D" w:rsidP="00A76539">
            <w:pPr>
              <w:jc w:val="right"/>
              <w:rPr>
                <w:rFonts w:asciiTheme="minorHAnsi" w:hAnsiTheme="minorHAnsi"/>
                <w:color w:val="000000"/>
                <w:lang w:eastAsia="en-GB"/>
              </w:rPr>
            </w:pPr>
            <w:r>
              <w:rPr>
                <w:rFonts w:asciiTheme="minorHAnsi" w:hAnsiTheme="minorHAnsi"/>
                <w:color w:val="000000"/>
                <w:lang w:eastAsia="en-GB"/>
              </w:rPr>
              <w:t>172</w:t>
            </w:r>
          </w:p>
        </w:tc>
        <w:tc>
          <w:tcPr>
            <w:tcW w:w="960" w:type="dxa"/>
            <w:tcBorders>
              <w:top w:val="nil"/>
              <w:left w:val="nil"/>
              <w:bottom w:val="nil"/>
              <w:right w:val="nil"/>
            </w:tcBorders>
            <w:shd w:val="clear" w:color="000000" w:fill="DAEEF3"/>
            <w:noWrap/>
            <w:vAlign w:val="center"/>
          </w:tcPr>
          <w:p w14:paraId="328D732A" w14:textId="77777777" w:rsidR="00A76539" w:rsidRPr="00A76539" w:rsidRDefault="00A76539" w:rsidP="00A76539">
            <w:pPr>
              <w:jc w:val="right"/>
              <w:rPr>
                <w:rFonts w:asciiTheme="minorHAnsi" w:hAnsiTheme="minorHAnsi"/>
                <w:color w:val="000000"/>
                <w:lang w:eastAsia="en-GB"/>
              </w:rPr>
            </w:pPr>
          </w:p>
        </w:tc>
      </w:tr>
      <w:tr w:rsidR="00A76539" w:rsidRPr="00A76539" w14:paraId="14A9DB34" w14:textId="77777777" w:rsidTr="00903A41">
        <w:trPr>
          <w:trHeight w:val="300"/>
        </w:trPr>
        <w:tc>
          <w:tcPr>
            <w:tcW w:w="960" w:type="dxa"/>
            <w:tcBorders>
              <w:top w:val="nil"/>
              <w:left w:val="nil"/>
              <w:bottom w:val="single" w:sz="4" w:space="0" w:color="FFFFFF"/>
              <w:right w:val="nil"/>
            </w:tcBorders>
            <w:shd w:val="clear" w:color="000000" w:fill="B7DEE8"/>
            <w:noWrap/>
            <w:vAlign w:val="center"/>
            <w:hideMark/>
          </w:tcPr>
          <w:p w14:paraId="306B9B71" w14:textId="0D4EB394" w:rsidR="00A76539" w:rsidRPr="00A76539" w:rsidRDefault="006C7FE0" w:rsidP="00A76539">
            <w:pPr>
              <w:jc w:val="right"/>
              <w:rPr>
                <w:rFonts w:asciiTheme="minorHAnsi" w:hAnsiTheme="minorHAnsi"/>
                <w:b/>
                <w:bCs/>
                <w:color w:val="000000"/>
                <w:lang w:eastAsia="en-GB"/>
              </w:rPr>
            </w:pPr>
            <w:r>
              <w:rPr>
                <w:rFonts w:asciiTheme="minorHAnsi" w:hAnsiTheme="minorHAnsi"/>
                <w:b/>
                <w:bCs/>
                <w:color w:val="000000"/>
                <w:lang w:eastAsia="en-GB"/>
              </w:rPr>
              <w:t>-523</w:t>
            </w:r>
          </w:p>
        </w:tc>
        <w:tc>
          <w:tcPr>
            <w:tcW w:w="7360" w:type="dxa"/>
            <w:tcBorders>
              <w:top w:val="nil"/>
              <w:left w:val="single" w:sz="4" w:space="0" w:color="FFFFFF"/>
              <w:bottom w:val="single" w:sz="4" w:space="0" w:color="FFFFFF"/>
              <w:right w:val="single" w:sz="4" w:space="0" w:color="FFFFFF"/>
            </w:tcBorders>
            <w:shd w:val="clear" w:color="000000" w:fill="B7DEE8"/>
            <w:noWrap/>
            <w:vAlign w:val="center"/>
            <w:hideMark/>
          </w:tcPr>
          <w:p w14:paraId="2B370F0D" w14:textId="77777777" w:rsidR="00A76539" w:rsidRPr="00A76539" w:rsidRDefault="00A76539" w:rsidP="00A76539">
            <w:pPr>
              <w:rPr>
                <w:rFonts w:asciiTheme="minorHAnsi" w:hAnsiTheme="minorHAnsi"/>
                <w:b/>
                <w:bCs/>
                <w:color w:val="000000"/>
                <w:lang w:eastAsia="en-GB"/>
              </w:rPr>
            </w:pPr>
            <w:r w:rsidRPr="00A76539">
              <w:rPr>
                <w:rFonts w:asciiTheme="minorHAnsi" w:hAnsiTheme="minorHAnsi"/>
                <w:b/>
                <w:bCs/>
                <w:color w:val="000000"/>
                <w:lang w:eastAsia="en-GB"/>
              </w:rPr>
              <w:t xml:space="preserve">Deficit/ </w:t>
            </w:r>
            <w:proofErr w:type="gramStart"/>
            <w:r w:rsidRPr="00A76539">
              <w:rPr>
                <w:rFonts w:asciiTheme="minorHAnsi" w:hAnsiTheme="minorHAnsi"/>
                <w:b/>
                <w:bCs/>
                <w:color w:val="000000"/>
                <w:lang w:eastAsia="en-GB"/>
              </w:rPr>
              <w:t>Surplus(</w:t>
            </w:r>
            <w:proofErr w:type="gramEnd"/>
            <w:r w:rsidRPr="00A76539">
              <w:rPr>
                <w:rFonts w:asciiTheme="minorHAnsi" w:hAnsiTheme="minorHAnsi"/>
                <w:b/>
                <w:bCs/>
                <w:color w:val="000000"/>
                <w:lang w:eastAsia="en-GB"/>
              </w:rPr>
              <w:t>-) for the year on HRA Services</w:t>
            </w:r>
          </w:p>
        </w:tc>
        <w:tc>
          <w:tcPr>
            <w:tcW w:w="960" w:type="dxa"/>
            <w:tcBorders>
              <w:top w:val="nil"/>
              <w:left w:val="nil"/>
              <w:bottom w:val="nil"/>
              <w:right w:val="single" w:sz="4" w:space="0" w:color="FFFFFF"/>
            </w:tcBorders>
            <w:shd w:val="clear" w:color="000000" w:fill="B7DEE8"/>
            <w:noWrap/>
            <w:vAlign w:val="center"/>
          </w:tcPr>
          <w:p w14:paraId="7A4926C2" w14:textId="2F5BF63E" w:rsidR="00A76539" w:rsidRPr="00A76539" w:rsidRDefault="00A76539" w:rsidP="00A76539">
            <w:pPr>
              <w:jc w:val="right"/>
              <w:rPr>
                <w:rFonts w:asciiTheme="minorHAnsi" w:hAnsiTheme="minorHAnsi"/>
                <w:b/>
                <w:bCs/>
                <w:color w:val="000000"/>
                <w:lang w:eastAsia="en-GB"/>
              </w:rPr>
            </w:pPr>
          </w:p>
        </w:tc>
        <w:tc>
          <w:tcPr>
            <w:tcW w:w="960" w:type="dxa"/>
            <w:tcBorders>
              <w:top w:val="single" w:sz="4" w:space="0" w:color="FFFFFF"/>
              <w:left w:val="nil"/>
              <w:bottom w:val="single" w:sz="4" w:space="0" w:color="FFFFFF"/>
              <w:right w:val="nil"/>
            </w:tcBorders>
            <w:shd w:val="clear" w:color="000000" w:fill="B7DEE8"/>
            <w:noWrap/>
            <w:vAlign w:val="center"/>
          </w:tcPr>
          <w:p w14:paraId="6360D3CA" w14:textId="396B51C6" w:rsidR="00A76539" w:rsidRPr="00A76539" w:rsidRDefault="00C96E4D" w:rsidP="0052715C">
            <w:pPr>
              <w:jc w:val="right"/>
              <w:rPr>
                <w:rFonts w:asciiTheme="minorHAnsi" w:hAnsiTheme="minorHAnsi"/>
                <w:b/>
                <w:bCs/>
                <w:color w:val="000000"/>
                <w:lang w:eastAsia="en-GB"/>
              </w:rPr>
            </w:pPr>
            <w:r>
              <w:rPr>
                <w:rFonts w:asciiTheme="minorHAnsi" w:hAnsiTheme="minorHAnsi"/>
                <w:b/>
                <w:bCs/>
                <w:color w:val="000000"/>
                <w:lang w:eastAsia="en-GB"/>
              </w:rPr>
              <w:t>8</w:t>
            </w:r>
            <w:r w:rsidR="00121DFC">
              <w:rPr>
                <w:rFonts w:asciiTheme="minorHAnsi" w:hAnsiTheme="minorHAnsi"/>
                <w:b/>
                <w:bCs/>
                <w:color w:val="000000"/>
                <w:lang w:eastAsia="en-GB"/>
              </w:rPr>
              <w:t>39</w:t>
            </w:r>
          </w:p>
        </w:tc>
      </w:tr>
    </w:tbl>
    <w:p w14:paraId="534B262B" w14:textId="77777777" w:rsidR="00601166" w:rsidRDefault="00601166" w:rsidP="00D7049A">
      <w:pPr>
        <w:widowControl w:val="0"/>
        <w:spacing w:before="60" w:after="60"/>
        <w:ind w:firstLine="720"/>
        <w:rPr>
          <w:rFonts w:ascii="Arial" w:hAnsi="Arial" w:cs="Arial"/>
          <w:b/>
        </w:rPr>
      </w:pPr>
    </w:p>
    <w:p w14:paraId="05041604" w14:textId="77777777" w:rsidR="00675F7B" w:rsidRPr="00A76539" w:rsidRDefault="00373DB0" w:rsidP="007C6C6F">
      <w:pPr>
        <w:pStyle w:val="Heading1"/>
      </w:pPr>
      <w:r w:rsidRPr="00A76539">
        <w:t>S</w:t>
      </w:r>
      <w:r w:rsidR="00A76539">
        <w:t>tatement of Movement on the HRA Balance</w:t>
      </w:r>
    </w:p>
    <w:p w14:paraId="08CD5B7E" w14:textId="77777777" w:rsidR="00675F7B" w:rsidRPr="004C6DC4" w:rsidRDefault="00675F7B" w:rsidP="00675F7B">
      <w:pPr>
        <w:rPr>
          <w:rFonts w:ascii="Arial" w:hAnsi="Arial" w:cs="Arial"/>
        </w:rPr>
      </w:pPr>
    </w:p>
    <w:tbl>
      <w:tblPr>
        <w:tblW w:w="10000" w:type="dxa"/>
        <w:tblInd w:w="93" w:type="dxa"/>
        <w:tblLook w:val="04A0" w:firstRow="1" w:lastRow="0" w:firstColumn="1" w:lastColumn="0" w:noHBand="0" w:noVBand="1"/>
        <w:tblCaption w:val="Statement of Movement on the Housing Revenue Account Balance"/>
        <w:tblDescription w:val="Statement of Movement on the Housing Revenue Account Balance"/>
      </w:tblPr>
      <w:tblGrid>
        <w:gridCol w:w="1520"/>
        <w:gridCol w:w="6980"/>
        <w:gridCol w:w="1500"/>
      </w:tblGrid>
      <w:tr w:rsidR="00A76539" w:rsidRPr="00A76539" w14:paraId="46AE298D"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493BA18D" w14:textId="5CC89E6B" w:rsidR="00A76539" w:rsidRPr="00A76539" w:rsidRDefault="00A76539" w:rsidP="00C211D1">
            <w:pPr>
              <w:jc w:val="right"/>
              <w:rPr>
                <w:rFonts w:ascii="Calibri" w:hAnsi="Calibri"/>
                <w:color w:val="000000"/>
                <w:lang w:eastAsia="en-GB"/>
              </w:rPr>
            </w:pPr>
            <w:r w:rsidRPr="00A76539">
              <w:rPr>
                <w:rFonts w:ascii="Calibri" w:hAnsi="Calibri"/>
                <w:color w:val="000000"/>
                <w:lang w:eastAsia="en-GB"/>
              </w:rPr>
              <w:t>20</w:t>
            </w:r>
            <w:r w:rsidR="005C223B">
              <w:rPr>
                <w:rFonts w:ascii="Calibri" w:hAnsi="Calibri"/>
                <w:color w:val="000000"/>
                <w:lang w:eastAsia="en-GB"/>
              </w:rPr>
              <w:t>2</w:t>
            </w:r>
            <w:r w:rsidR="006C7FE0">
              <w:rPr>
                <w:rFonts w:ascii="Calibri" w:hAnsi="Calibri"/>
                <w:color w:val="000000"/>
                <w:lang w:eastAsia="en-GB"/>
              </w:rPr>
              <w:t>1</w:t>
            </w:r>
            <w:r w:rsidRPr="00A76539">
              <w:rPr>
                <w:rFonts w:ascii="Calibri" w:hAnsi="Calibri"/>
                <w:color w:val="000000"/>
                <w:lang w:eastAsia="en-GB"/>
              </w:rPr>
              <w:t>-</w:t>
            </w:r>
            <w:r w:rsidR="00C211D1">
              <w:rPr>
                <w:rFonts w:ascii="Calibri" w:hAnsi="Calibri"/>
                <w:color w:val="000000"/>
                <w:lang w:eastAsia="en-GB"/>
              </w:rPr>
              <w:t>2</w:t>
            </w:r>
            <w:r w:rsidR="006C7FE0">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0FB18195"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27C4DF10" w14:textId="14678E59" w:rsidR="00A76539" w:rsidRPr="00A76539" w:rsidRDefault="00C211D1" w:rsidP="00C211D1">
            <w:pPr>
              <w:jc w:val="right"/>
              <w:rPr>
                <w:rFonts w:ascii="Calibri" w:hAnsi="Calibri"/>
                <w:color w:val="000000"/>
                <w:lang w:eastAsia="en-GB"/>
              </w:rPr>
            </w:pPr>
            <w:r>
              <w:rPr>
                <w:rFonts w:ascii="Calibri" w:hAnsi="Calibri"/>
                <w:color w:val="000000"/>
                <w:lang w:eastAsia="en-GB"/>
              </w:rPr>
              <w:t>202</w:t>
            </w:r>
            <w:r w:rsidR="006C7FE0">
              <w:rPr>
                <w:rFonts w:ascii="Calibri" w:hAnsi="Calibri"/>
                <w:color w:val="000000"/>
                <w:lang w:eastAsia="en-GB"/>
              </w:rPr>
              <w:t>2</w:t>
            </w:r>
            <w:r w:rsidR="00A76539" w:rsidRPr="00A76539">
              <w:rPr>
                <w:rFonts w:ascii="Calibri" w:hAnsi="Calibri"/>
                <w:color w:val="000000"/>
                <w:lang w:eastAsia="en-GB"/>
              </w:rPr>
              <w:t>-</w:t>
            </w:r>
            <w:r>
              <w:rPr>
                <w:rFonts w:ascii="Calibri" w:hAnsi="Calibri"/>
                <w:color w:val="000000"/>
                <w:lang w:eastAsia="en-GB"/>
              </w:rPr>
              <w:t>2</w:t>
            </w:r>
            <w:r w:rsidR="006C7FE0">
              <w:rPr>
                <w:rFonts w:ascii="Calibri" w:hAnsi="Calibri"/>
                <w:color w:val="000000"/>
                <w:lang w:eastAsia="en-GB"/>
              </w:rPr>
              <w:t>3</w:t>
            </w:r>
          </w:p>
        </w:tc>
      </w:tr>
      <w:tr w:rsidR="00A76539" w:rsidRPr="00A76539" w14:paraId="1550156D" w14:textId="77777777" w:rsidTr="00A76539">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227CDDAB" w14:textId="77777777" w:rsidR="00A76539" w:rsidRPr="00A76539" w:rsidRDefault="00A76539" w:rsidP="00A76539">
            <w:pPr>
              <w:jc w:val="right"/>
              <w:rPr>
                <w:rFonts w:ascii="Calibri" w:hAnsi="Calibri"/>
                <w:color w:val="000000"/>
                <w:lang w:eastAsia="en-GB"/>
              </w:rPr>
            </w:pPr>
            <w:r w:rsidRPr="00A76539">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2B509BA0"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4E6F0CEF" w14:textId="77777777" w:rsidR="00A76539" w:rsidRPr="00A76539" w:rsidRDefault="00A76539" w:rsidP="00A76539">
            <w:pPr>
              <w:jc w:val="right"/>
              <w:rPr>
                <w:rFonts w:ascii="Calibri" w:hAnsi="Calibri"/>
                <w:color w:val="000000"/>
                <w:lang w:eastAsia="en-GB"/>
              </w:rPr>
            </w:pPr>
            <w:r w:rsidRPr="00A76539">
              <w:rPr>
                <w:rFonts w:ascii="Calibri" w:hAnsi="Calibri"/>
                <w:color w:val="000000"/>
                <w:lang w:eastAsia="en-GB"/>
              </w:rPr>
              <w:t>£’000</w:t>
            </w:r>
          </w:p>
        </w:tc>
      </w:tr>
      <w:tr w:rsidR="00A76539" w:rsidRPr="00A76539" w14:paraId="6D5DE12D" w14:textId="77777777" w:rsidTr="006C7FE0">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3C52BFF4" w14:textId="659B59F8" w:rsidR="00A76539" w:rsidRPr="00A76539" w:rsidRDefault="00A76539" w:rsidP="00C211D1">
            <w:pPr>
              <w:jc w:val="right"/>
              <w:rPr>
                <w:rFonts w:ascii="Calibri" w:hAnsi="Calibri"/>
                <w:b/>
                <w:bCs/>
                <w:color w:val="000000"/>
                <w:lang w:eastAsia="en-GB"/>
              </w:rPr>
            </w:pPr>
            <w:r w:rsidRPr="00A76539">
              <w:rPr>
                <w:rFonts w:ascii="Calibri" w:hAnsi="Calibri"/>
                <w:b/>
                <w:bCs/>
                <w:color w:val="000000"/>
                <w:lang w:eastAsia="en-GB"/>
              </w:rPr>
              <w:t>-</w:t>
            </w:r>
            <w:r w:rsidR="005C223B">
              <w:rPr>
                <w:rFonts w:ascii="Calibri" w:hAnsi="Calibri"/>
                <w:b/>
                <w:bCs/>
                <w:color w:val="000000"/>
                <w:lang w:eastAsia="en-GB"/>
              </w:rPr>
              <w:t>7</w:t>
            </w:r>
            <w:r w:rsidR="006C7FE0">
              <w:rPr>
                <w:rFonts w:ascii="Calibri" w:hAnsi="Calibri"/>
                <w:b/>
                <w:bCs/>
                <w:color w:val="000000"/>
                <w:lang w:eastAsia="en-GB"/>
              </w:rPr>
              <w:t>50</w:t>
            </w:r>
          </w:p>
        </w:tc>
        <w:tc>
          <w:tcPr>
            <w:tcW w:w="6980" w:type="dxa"/>
            <w:tcBorders>
              <w:top w:val="nil"/>
              <w:left w:val="nil"/>
              <w:bottom w:val="single" w:sz="4" w:space="0" w:color="FFFFFF"/>
              <w:right w:val="single" w:sz="4" w:space="0" w:color="FFFFFF"/>
            </w:tcBorders>
            <w:shd w:val="clear" w:color="000000" w:fill="B7DEE8"/>
            <w:vAlign w:val="center"/>
            <w:hideMark/>
          </w:tcPr>
          <w:p w14:paraId="4D9AC6CF"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Balance on HRA at end of previous year</w:t>
            </w:r>
          </w:p>
        </w:tc>
        <w:tc>
          <w:tcPr>
            <w:tcW w:w="1500" w:type="dxa"/>
            <w:tcBorders>
              <w:top w:val="nil"/>
              <w:left w:val="nil"/>
              <w:bottom w:val="single" w:sz="4" w:space="0" w:color="FFFFFF"/>
              <w:right w:val="single" w:sz="4" w:space="0" w:color="FFFFFF"/>
            </w:tcBorders>
            <w:shd w:val="clear" w:color="000000" w:fill="B7DEE8"/>
            <w:vAlign w:val="center"/>
          </w:tcPr>
          <w:p w14:paraId="45C9E4DE" w14:textId="1D3DCD5F" w:rsidR="00A76539" w:rsidRPr="00A76539" w:rsidRDefault="00C96E4D" w:rsidP="00864738">
            <w:pPr>
              <w:jc w:val="right"/>
              <w:rPr>
                <w:rFonts w:ascii="Calibri" w:hAnsi="Calibri"/>
                <w:b/>
                <w:bCs/>
                <w:color w:val="000000"/>
                <w:lang w:eastAsia="en-GB"/>
              </w:rPr>
            </w:pPr>
            <w:r>
              <w:rPr>
                <w:rFonts w:ascii="Calibri" w:hAnsi="Calibri"/>
                <w:b/>
                <w:bCs/>
                <w:color w:val="000000"/>
                <w:lang w:eastAsia="en-GB"/>
              </w:rPr>
              <w:t>-750</w:t>
            </w:r>
          </w:p>
        </w:tc>
      </w:tr>
      <w:tr w:rsidR="00A76539" w:rsidRPr="00A76539" w14:paraId="6FDBA58C" w14:textId="77777777" w:rsidTr="00903A41">
        <w:trPr>
          <w:trHeight w:hRule="exac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59474F5" w14:textId="640FF690" w:rsidR="00A76539" w:rsidRPr="00A76539" w:rsidRDefault="006C7FE0" w:rsidP="00682F16">
            <w:pPr>
              <w:jc w:val="right"/>
              <w:rPr>
                <w:rFonts w:ascii="Calibri" w:hAnsi="Calibri"/>
                <w:color w:val="000000"/>
                <w:lang w:eastAsia="en-GB"/>
              </w:rPr>
            </w:pPr>
            <w:r>
              <w:rPr>
                <w:rFonts w:ascii="Calibri" w:hAnsi="Calibri"/>
                <w:color w:val="000000"/>
                <w:lang w:eastAsia="en-GB"/>
              </w:rPr>
              <w:t>-523</w:t>
            </w:r>
          </w:p>
        </w:tc>
        <w:tc>
          <w:tcPr>
            <w:tcW w:w="6980" w:type="dxa"/>
            <w:tcBorders>
              <w:top w:val="nil"/>
              <w:left w:val="nil"/>
              <w:bottom w:val="single" w:sz="4" w:space="0" w:color="FFFFFF"/>
              <w:right w:val="single" w:sz="4" w:space="0" w:color="FFFFFF"/>
            </w:tcBorders>
            <w:shd w:val="clear" w:color="000000" w:fill="DAEEF3"/>
            <w:vAlign w:val="center"/>
            <w:hideMark/>
          </w:tcPr>
          <w:p w14:paraId="6B57AD59"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Deficit/ surplus (-) for the year on the HRA Income and Expenditure Statement</w:t>
            </w:r>
          </w:p>
        </w:tc>
        <w:tc>
          <w:tcPr>
            <w:tcW w:w="1500" w:type="dxa"/>
            <w:tcBorders>
              <w:top w:val="nil"/>
              <w:left w:val="nil"/>
              <w:bottom w:val="single" w:sz="4" w:space="0" w:color="FFFFFF"/>
              <w:right w:val="single" w:sz="4" w:space="0" w:color="FFFFFF"/>
            </w:tcBorders>
            <w:shd w:val="clear" w:color="000000" w:fill="DAEEF3"/>
            <w:vAlign w:val="center"/>
          </w:tcPr>
          <w:p w14:paraId="1DA22113" w14:textId="70D5BD70" w:rsidR="00A76539" w:rsidRPr="00A76539" w:rsidRDefault="00C96E4D" w:rsidP="0052715C">
            <w:pPr>
              <w:jc w:val="right"/>
              <w:rPr>
                <w:rFonts w:ascii="Calibri" w:hAnsi="Calibri"/>
                <w:color w:val="000000"/>
                <w:lang w:eastAsia="en-GB"/>
              </w:rPr>
            </w:pPr>
            <w:r>
              <w:rPr>
                <w:rFonts w:ascii="Calibri" w:hAnsi="Calibri"/>
                <w:color w:val="000000"/>
                <w:lang w:eastAsia="en-GB"/>
              </w:rPr>
              <w:t>8</w:t>
            </w:r>
            <w:r w:rsidR="00121DFC">
              <w:rPr>
                <w:rFonts w:ascii="Calibri" w:hAnsi="Calibri"/>
                <w:color w:val="000000"/>
                <w:lang w:eastAsia="en-GB"/>
              </w:rPr>
              <w:t>39</w:t>
            </w:r>
          </w:p>
        </w:tc>
      </w:tr>
      <w:tr w:rsidR="00A76539" w:rsidRPr="00A76539" w14:paraId="543EA469"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86AEF48" w14:textId="0F3C2A38" w:rsidR="00A76539" w:rsidRPr="00A76539" w:rsidRDefault="005C223B" w:rsidP="002108F7">
            <w:pPr>
              <w:jc w:val="right"/>
              <w:rPr>
                <w:rFonts w:ascii="Calibri" w:hAnsi="Calibri"/>
                <w:color w:val="000000"/>
                <w:lang w:eastAsia="en-GB"/>
              </w:rPr>
            </w:pPr>
            <w:r>
              <w:rPr>
                <w:rFonts w:ascii="Calibri" w:hAnsi="Calibri"/>
                <w:color w:val="000000"/>
                <w:lang w:eastAsia="en-GB"/>
              </w:rPr>
              <w:t>-</w:t>
            </w:r>
            <w:r w:rsidR="006C7FE0">
              <w:rPr>
                <w:rFonts w:ascii="Calibri" w:hAnsi="Calibri"/>
                <w:color w:val="000000"/>
                <w:lang w:eastAsia="en-GB"/>
              </w:rPr>
              <w:t>283</w:t>
            </w:r>
          </w:p>
        </w:tc>
        <w:tc>
          <w:tcPr>
            <w:tcW w:w="6980" w:type="dxa"/>
            <w:tcBorders>
              <w:top w:val="nil"/>
              <w:left w:val="nil"/>
              <w:bottom w:val="single" w:sz="4" w:space="0" w:color="FFFFFF"/>
              <w:right w:val="single" w:sz="4" w:space="0" w:color="FFFFFF"/>
            </w:tcBorders>
            <w:shd w:val="clear" w:color="000000" w:fill="DAEEF3"/>
            <w:vAlign w:val="center"/>
            <w:hideMark/>
          </w:tcPr>
          <w:p w14:paraId="196A8E13"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Adjustments between accounting basis and funding basis under statute</w:t>
            </w:r>
          </w:p>
        </w:tc>
        <w:tc>
          <w:tcPr>
            <w:tcW w:w="1500" w:type="dxa"/>
            <w:tcBorders>
              <w:top w:val="nil"/>
              <w:left w:val="nil"/>
              <w:bottom w:val="single" w:sz="4" w:space="0" w:color="FFFFFF"/>
              <w:right w:val="single" w:sz="4" w:space="0" w:color="FFFFFF"/>
            </w:tcBorders>
            <w:shd w:val="clear" w:color="000000" w:fill="DAEEF3"/>
            <w:vAlign w:val="center"/>
          </w:tcPr>
          <w:p w14:paraId="27D93E7A" w14:textId="66F2ADC9" w:rsidR="00A76539" w:rsidRPr="00A76539" w:rsidRDefault="00C96E4D" w:rsidP="00F54B62">
            <w:pPr>
              <w:jc w:val="right"/>
              <w:rPr>
                <w:rFonts w:ascii="Calibri" w:hAnsi="Calibri"/>
                <w:color w:val="000000"/>
                <w:lang w:eastAsia="en-GB"/>
              </w:rPr>
            </w:pPr>
            <w:r>
              <w:rPr>
                <w:rFonts w:ascii="Calibri" w:hAnsi="Calibri"/>
                <w:color w:val="000000"/>
                <w:lang w:eastAsia="en-GB"/>
              </w:rPr>
              <w:t>-260</w:t>
            </w:r>
          </w:p>
        </w:tc>
      </w:tr>
      <w:tr w:rsidR="00A76539" w:rsidRPr="00A76539" w14:paraId="435A1DCC" w14:textId="77777777" w:rsidTr="00903A41">
        <w:trPr>
          <w:trHeight w:hRule="exac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02364509" w14:textId="3895F7F3" w:rsidR="00A76539" w:rsidRPr="00A76539" w:rsidRDefault="006C7FE0" w:rsidP="00A76539">
            <w:pPr>
              <w:jc w:val="right"/>
              <w:rPr>
                <w:rFonts w:ascii="Calibri" w:hAnsi="Calibri"/>
                <w:b/>
                <w:bCs/>
                <w:color w:val="000000"/>
                <w:lang w:eastAsia="en-GB"/>
              </w:rPr>
            </w:pPr>
            <w:r>
              <w:rPr>
                <w:rFonts w:ascii="Calibri" w:hAnsi="Calibri"/>
                <w:b/>
                <w:bCs/>
                <w:color w:val="000000"/>
                <w:lang w:eastAsia="en-GB"/>
              </w:rPr>
              <w:t>-806</w:t>
            </w:r>
          </w:p>
        </w:tc>
        <w:tc>
          <w:tcPr>
            <w:tcW w:w="6980" w:type="dxa"/>
            <w:tcBorders>
              <w:top w:val="nil"/>
              <w:left w:val="nil"/>
              <w:bottom w:val="single" w:sz="4" w:space="0" w:color="FFFFFF"/>
              <w:right w:val="single" w:sz="4" w:space="0" w:color="FFFFFF"/>
            </w:tcBorders>
            <w:shd w:val="clear" w:color="000000" w:fill="B7DEE8"/>
            <w:vAlign w:val="center"/>
            <w:hideMark/>
          </w:tcPr>
          <w:p w14:paraId="77032B87" w14:textId="77777777" w:rsidR="00A76539" w:rsidRPr="00A76539" w:rsidRDefault="00A76539" w:rsidP="00A76539">
            <w:pPr>
              <w:rPr>
                <w:rFonts w:ascii="Calibri" w:hAnsi="Calibri"/>
                <w:b/>
                <w:bCs/>
                <w:color w:val="000000"/>
                <w:lang w:eastAsia="en-GB"/>
              </w:rPr>
            </w:pPr>
            <w:r w:rsidRPr="00A76539">
              <w:rPr>
                <w:rFonts w:ascii="Calibri" w:hAnsi="Calibri"/>
                <w:b/>
                <w:bCs/>
                <w:color w:val="000000"/>
                <w:lang w:eastAsia="en-GB"/>
              </w:rPr>
              <w:t>Net decrease/increase (-) before transfers to/from reserves</w:t>
            </w:r>
          </w:p>
        </w:tc>
        <w:tc>
          <w:tcPr>
            <w:tcW w:w="1500" w:type="dxa"/>
            <w:tcBorders>
              <w:top w:val="nil"/>
              <w:left w:val="nil"/>
              <w:bottom w:val="single" w:sz="4" w:space="0" w:color="FFFFFF"/>
              <w:right w:val="single" w:sz="4" w:space="0" w:color="FFFFFF"/>
            </w:tcBorders>
            <w:shd w:val="clear" w:color="000000" w:fill="B7DEE8"/>
            <w:vAlign w:val="center"/>
          </w:tcPr>
          <w:p w14:paraId="4FA9E244" w14:textId="62811BA0" w:rsidR="00A76539" w:rsidRPr="00A76539" w:rsidRDefault="00C96E4D" w:rsidP="0052715C">
            <w:pPr>
              <w:jc w:val="right"/>
              <w:rPr>
                <w:rFonts w:ascii="Calibri" w:hAnsi="Calibri"/>
                <w:b/>
                <w:bCs/>
                <w:color w:val="000000"/>
                <w:lang w:eastAsia="en-GB"/>
              </w:rPr>
            </w:pPr>
            <w:r>
              <w:rPr>
                <w:rFonts w:ascii="Calibri" w:hAnsi="Calibri"/>
                <w:b/>
                <w:bCs/>
                <w:color w:val="000000"/>
                <w:lang w:eastAsia="en-GB"/>
              </w:rPr>
              <w:t>5</w:t>
            </w:r>
            <w:r w:rsidR="00121DFC">
              <w:rPr>
                <w:rFonts w:ascii="Calibri" w:hAnsi="Calibri"/>
                <w:b/>
                <w:bCs/>
                <w:color w:val="000000"/>
                <w:lang w:eastAsia="en-GB"/>
              </w:rPr>
              <w:t>79</w:t>
            </w:r>
          </w:p>
        </w:tc>
      </w:tr>
      <w:tr w:rsidR="00A76539" w:rsidRPr="00A76539" w14:paraId="6BF739E9"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733605CE" w14:textId="57BBB9BB" w:rsidR="00A76539" w:rsidRPr="00A76539" w:rsidRDefault="006C7FE0" w:rsidP="00682F16">
            <w:pPr>
              <w:jc w:val="right"/>
              <w:rPr>
                <w:rFonts w:ascii="Calibri" w:hAnsi="Calibri"/>
                <w:color w:val="000000"/>
                <w:lang w:eastAsia="en-GB"/>
              </w:rPr>
            </w:pPr>
            <w:r>
              <w:rPr>
                <w:rFonts w:ascii="Calibri" w:hAnsi="Calibri"/>
                <w:color w:val="000000"/>
                <w:lang w:eastAsia="en-GB"/>
              </w:rPr>
              <w:t>806</w:t>
            </w:r>
          </w:p>
        </w:tc>
        <w:tc>
          <w:tcPr>
            <w:tcW w:w="6980" w:type="dxa"/>
            <w:tcBorders>
              <w:top w:val="nil"/>
              <w:left w:val="nil"/>
              <w:bottom w:val="single" w:sz="4" w:space="0" w:color="FFFFFF"/>
              <w:right w:val="single" w:sz="4" w:space="0" w:color="FFFFFF"/>
            </w:tcBorders>
            <w:shd w:val="clear" w:color="000000" w:fill="DAEEF3"/>
            <w:vAlign w:val="center"/>
            <w:hideMark/>
          </w:tcPr>
          <w:p w14:paraId="7A89A2D9"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 xml:space="preserve">Transfers </w:t>
            </w:r>
            <w:proofErr w:type="gramStart"/>
            <w:r w:rsidRPr="00A76539">
              <w:rPr>
                <w:rFonts w:ascii="Calibri" w:hAnsi="Calibri"/>
                <w:color w:val="000000"/>
                <w:lang w:eastAsia="en-GB"/>
              </w:rPr>
              <w:t>from(</w:t>
            </w:r>
            <w:proofErr w:type="gramEnd"/>
            <w:r w:rsidRPr="00A76539">
              <w:rPr>
                <w:rFonts w:ascii="Calibri" w:hAnsi="Calibri"/>
                <w:color w:val="000000"/>
                <w:lang w:eastAsia="en-GB"/>
              </w:rPr>
              <w:t>-)/to earmarked reserves</w:t>
            </w:r>
          </w:p>
        </w:tc>
        <w:tc>
          <w:tcPr>
            <w:tcW w:w="1500" w:type="dxa"/>
            <w:tcBorders>
              <w:top w:val="nil"/>
              <w:left w:val="nil"/>
              <w:bottom w:val="single" w:sz="4" w:space="0" w:color="FFFFFF"/>
              <w:right w:val="single" w:sz="4" w:space="0" w:color="FFFFFF"/>
            </w:tcBorders>
            <w:shd w:val="clear" w:color="000000" w:fill="DAEEF3"/>
            <w:vAlign w:val="center"/>
          </w:tcPr>
          <w:p w14:paraId="0D395825" w14:textId="01AE1213" w:rsidR="00A76539" w:rsidRPr="00A76539" w:rsidRDefault="00C96E4D" w:rsidP="0052715C">
            <w:pPr>
              <w:jc w:val="right"/>
              <w:rPr>
                <w:rFonts w:ascii="Calibri" w:hAnsi="Calibri"/>
                <w:color w:val="000000"/>
                <w:lang w:eastAsia="en-GB"/>
              </w:rPr>
            </w:pPr>
            <w:r>
              <w:rPr>
                <w:rFonts w:ascii="Calibri" w:hAnsi="Calibri"/>
                <w:color w:val="000000"/>
                <w:lang w:eastAsia="en-GB"/>
              </w:rPr>
              <w:t>-5</w:t>
            </w:r>
            <w:r w:rsidR="00121DFC">
              <w:rPr>
                <w:rFonts w:ascii="Calibri" w:hAnsi="Calibri"/>
                <w:color w:val="000000"/>
                <w:lang w:eastAsia="en-GB"/>
              </w:rPr>
              <w:t>79</w:t>
            </w:r>
          </w:p>
        </w:tc>
      </w:tr>
      <w:tr w:rsidR="00A76539" w:rsidRPr="00A76539" w14:paraId="7CCF2C17"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0675A1E0" w14:textId="7B50B58C" w:rsidR="00A76539" w:rsidRPr="00A76539" w:rsidRDefault="006C7FE0" w:rsidP="00A76539">
            <w:pPr>
              <w:jc w:val="right"/>
              <w:rPr>
                <w:rFonts w:ascii="Calibri" w:hAnsi="Calibri"/>
                <w:b/>
                <w:bCs/>
                <w:color w:val="000000"/>
                <w:lang w:eastAsia="en-GB"/>
              </w:rPr>
            </w:pPr>
            <w:r>
              <w:rPr>
                <w:rFonts w:ascii="Calibri" w:hAnsi="Calibri"/>
                <w:b/>
                <w:bCs/>
                <w:color w:val="000000"/>
                <w:lang w:eastAsia="en-GB"/>
              </w:rPr>
              <w:t>0</w:t>
            </w:r>
          </w:p>
        </w:tc>
        <w:tc>
          <w:tcPr>
            <w:tcW w:w="6980" w:type="dxa"/>
            <w:tcBorders>
              <w:top w:val="nil"/>
              <w:left w:val="nil"/>
              <w:bottom w:val="single" w:sz="4" w:space="0" w:color="FFFFFF"/>
              <w:right w:val="single" w:sz="4" w:space="0" w:color="FFFFFF"/>
            </w:tcBorders>
            <w:shd w:val="clear" w:color="000000" w:fill="B7DEE8"/>
            <w:vAlign w:val="center"/>
            <w:hideMark/>
          </w:tcPr>
          <w:p w14:paraId="69CFB629" w14:textId="0B4E5C6B" w:rsidR="00A76539" w:rsidRPr="00A76539" w:rsidRDefault="00A76539" w:rsidP="00A76539">
            <w:pPr>
              <w:rPr>
                <w:rFonts w:ascii="Calibri" w:hAnsi="Calibri"/>
                <w:color w:val="000000"/>
                <w:lang w:eastAsia="en-GB"/>
              </w:rPr>
            </w:pPr>
            <w:proofErr w:type="gramStart"/>
            <w:r w:rsidRPr="00A76539">
              <w:rPr>
                <w:rFonts w:ascii="Calibri" w:hAnsi="Calibri"/>
                <w:color w:val="000000"/>
                <w:lang w:eastAsia="en-GB"/>
              </w:rPr>
              <w:t>Increase</w:t>
            </w:r>
            <w:r w:rsidR="001F6718">
              <w:rPr>
                <w:rFonts w:ascii="Calibri" w:hAnsi="Calibri"/>
                <w:color w:val="000000"/>
                <w:lang w:eastAsia="en-GB"/>
              </w:rPr>
              <w:t>(</w:t>
            </w:r>
            <w:proofErr w:type="gramEnd"/>
            <w:r w:rsidR="001F6718">
              <w:rPr>
                <w:rFonts w:ascii="Calibri" w:hAnsi="Calibri"/>
                <w:color w:val="000000"/>
                <w:lang w:eastAsia="en-GB"/>
              </w:rPr>
              <w:t>-)/Decrease</w:t>
            </w:r>
            <w:r w:rsidRPr="00A76539">
              <w:rPr>
                <w:rFonts w:ascii="Calibri" w:hAnsi="Calibri"/>
                <w:color w:val="000000"/>
                <w:lang w:eastAsia="en-GB"/>
              </w:rPr>
              <w:t xml:space="preserve"> in the year on the HRA</w:t>
            </w:r>
          </w:p>
        </w:tc>
        <w:tc>
          <w:tcPr>
            <w:tcW w:w="1500" w:type="dxa"/>
            <w:tcBorders>
              <w:top w:val="nil"/>
              <w:left w:val="nil"/>
              <w:bottom w:val="single" w:sz="4" w:space="0" w:color="FFFFFF"/>
              <w:right w:val="single" w:sz="4" w:space="0" w:color="FFFFFF"/>
            </w:tcBorders>
            <w:shd w:val="clear" w:color="000000" w:fill="B7DEE8"/>
            <w:vAlign w:val="center"/>
          </w:tcPr>
          <w:p w14:paraId="608C2E0A" w14:textId="4CD3F873" w:rsidR="00A76539" w:rsidRPr="00A76539" w:rsidRDefault="00C96E4D" w:rsidP="00FA0B27">
            <w:pPr>
              <w:jc w:val="right"/>
              <w:rPr>
                <w:rFonts w:ascii="Calibri" w:hAnsi="Calibri"/>
                <w:b/>
                <w:bCs/>
                <w:color w:val="000000"/>
                <w:lang w:eastAsia="en-GB"/>
              </w:rPr>
            </w:pPr>
            <w:r>
              <w:rPr>
                <w:rFonts w:ascii="Calibri" w:hAnsi="Calibri"/>
                <w:b/>
                <w:bCs/>
                <w:color w:val="000000"/>
                <w:lang w:eastAsia="en-GB"/>
              </w:rPr>
              <w:t>0</w:t>
            </w:r>
          </w:p>
        </w:tc>
      </w:tr>
      <w:tr w:rsidR="00A76539" w:rsidRPr="00A76539" w14:paraId="3C3AFE71" w14:textId="77777777" w:rsidTr="00903A41">
        <w:trPr>
          <w:trHeight w:hRule="exac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32DB753A" w14:textId="29ACB56E" w:rsidR="00A76539" w:rsidRPr="00A76539" w:rsidRDefault="00A76539" w:rsidP="002108F7">
            <w:pPr>
              <w:jc w:val="right"/>
              <w:rPr>
                <w:rFonts w:ascii="Calibri" w:hAnsi="Calibri"/>
                <w:b/>
                <w:bCs/>
                <w:color w:val="000000"/>
                <w:lang w:eastAsia="en-GB"/>
              </w:rPr>
            </w:pPr>
            <w:r w:rsidRPr="00A76539">
              <w:rPr>
                <w:rFonts w:ascii="Calibri" w:hAnsi="Calibri"/>
                <w:b/>
                <w:bCs/>
                <w:color w:val="000000"/>
                <w:lang w:eastAsia="en-GB"/>
              </w:rPr>
              <w:t>-</w:t>
            </w:r>
            <w:r w:rsidR="005C223B">
              <w:rPr>
                <w:rFonts w:ascii="Calibri" w:hAnsi="Calibri"/>
                <w:b/>
                <w:bCs/>
                <w:color w:val="000000"/>
                <w:lang w:eastAsia="en-GB"/>
              </w:rPr>
              <w:t>750</w:t>
            </w:r>
          </w:p>
        </w:tc>
        <w:tc>
          <w:tcPr>
            <w:tcW w:w="6980" w:type="dxa"/>
            <w:tcBorders>
              <w:top w:val="nil"/>
              <w:left w:val="nil"/>
              <w:bottom w:val="single" w:sz="4" w:space="0" w:color="FFFFFF"/>
              <w:right w:val="single" w:sz="4" w:space="0" w:color="FFFFFF"/>
            </w:tcBorders>
            <w:shd w:val="clear" w:color="000000" w:fill="B7DEE8"/>
            <w:vAlign w:val="center"/>
            <w:hideMark/>
          </w:tcPr>
          <w:p w14:paraId="282D0A1D" w14:textId="77777777" w:rsidR="00A76539" w:rsidRPr="00A76539" w:rsidRDefault="00A76539" w:rsidP="00A76539">
            <w:pPr>
              <w:rPr>
                <w:rFonts w:ascii="Calibri" w:hAnsi="Calibri"/>
                <w:color w:val="000000"/>
                <w:lang w:eastAsia="en-GB"/>
              </w:rPr>
            </w:pPr>
            <w:r w:rsidRPr="00A76539">
              <w:rPr>
                <w:rFonts w:ascii="Calibri" w:hAnsi="Calibri"/>
                <w:color w:val="000000"/>
                <w:lang w:eastAsia="en-GB"/>
              </w:rPr>
              <w:t>Balance on the HRA at end of current year</w:t>
            </w:r>
          </w:p>
        </w:tc>
        <w:tc>
          <w:tcPr>
            <w:tcW w:w="1500" w:type="dxa"/>
            <w:tcBorders>
              <w:top w:val="nil"/>
              <w:left w:val="nil"/>
              <w:bottom w:val="single" w:sz="4" w:space="0" w:color="FFFFFF"/>
              <w:right w:val="single" w:sz="4" w:space="0" w:color="FFFFFF"/>
            </w:tcBorders>
            <w:shd w:val="clear" w:color="000000" w:fill="B7DEE8"/>
            <w:vAlign w:val="center"/>
          </w:tcPr>
          <w:p w14:paraId="62E9BE6B" w14:textId="6EAE2441" w:rsidR="00A76539" w:rsidRPr="00A76539" w:rsidRDefault="00C96E4D" w:rsidP="00A76539">
            <w:pPr>
              <w:jc w:val="right"/>
              <w:rPr>
                <w:rFonts w:ascii="Calibri" w:hAnsi="Calibri"/>
                <w:b/>
                <w:bCs/>
                <w:color w:val="000000"/>
                <w:lang w:eastAsia="en-GB"/>
              </w:rPr>
            </w:pPr>
            <w:r>
              <w:rPr>
                <w:rFonts w:ascii="Calibri" w:hAnsi="Calibri"/>
                <w:b/>
                <w:bCs/>
                <w:color w:val="000000"/>
                <w:lang w:eastAsia="en-GB"/>
              </w:rPr>
              <w:t>-750</w:t>
            </w:r>
          </w:p>
        </w:tc>
      </w:tr>
    </w:tbl>
    <w:p w14:paraId="3E3FFA49" w14:textId="77777777" w:rsidR="00DE38E8" w:rsidRDefault="00DE38E8" w:rsidP="00E261C3">
      <w:pPr>
        <w:ind w:left="-142" w:firstLine="284"/>
        <w:rPr>
          <w:rFonts w:ascii="Arial" w:hAnsi="Arial" w:cs="Arial"/>
          <w:b/>
        </w:rPr>
      </w:pPr>
    </w:p>
    <w:p w14:paraId="37719611" w14:textId="77777777" w:rsidR="00D80A21" w:rsidRDefault="00D80A21" w:rsidP="00E261C3">
      <w:pPr>
        <w:ind w:left="-142" w:firstLine="284"/>
        <w:rPr>
          <w:rFonts w:ascii="Arial" w:hAnsi="Arial" w:cs="Arial"/>
          <w:b/>
        </w:rPr>
      </w:pPr>
    </w:p>
    <w:p w14:paraId="04017E4C" w14:textId="77777777" w:rsidR="00CD469B" w:rsidRPr="004467EC" w:rsidRDefault="00863611" w:rsidP="007C6C6F">
      <w:pPr>
        <w:pStyle w:val="Heading1"/>
      </w:pPr>
      <w:r w:rsidRPr="004467EC">
        <w:lastRenderedPageBreak/>
        <w:t>N</w:t>
      </w:r>
      <w:r w:rsidR="004467EC">
        <w:t>ote to the Movement on the HRA Statement</w:t>
      </w:r>
    </w:p>
    <w:p w14:paraId="4856D85D" w14:textId="77777777" w:rsidR="00311920" w:rsidRPr="004C6DC4" w:rsidRDefault="00311920" w:rsidP="00675F7B">
      <w:pPr>
        <w:rPr>
          <w:rFonts w:ascii="Arial" w:hAnsi="Arial" w:cs="Arial"/>
          <w:b/>
          <w:u w:val="single"/>
        </w:rPr>
      </w:pPr>
    </w:p>
    <w:tbl>
      <w:tblPr>
        <w:tblW w:w="10000" w:type="dxa"/>
        <w:tblInd w:w="93" w:type="dxa"/>
        <w:tblLook w:val="04A0" w:firstRow="1" w:lastRow="0" w:firstColumn="1" w:lastColumn="0" w:noHBand="0" w:noVBand="1"/>
        <w:tblCaption w:val="Note to the Movement on the Housing revenue Account Statement"/>
        <w:tblDescription w:val="Note to the Movement on the Housing revenue Account Statement"/>
      </w:tblPr>
      <w:tblGrid>
        <w:gridCol w:w="1520"/>
        <w:gridCol w:w="6980"/>
        <w:gridCol w:w="1500"/>
      </w:tblGrid>
      <w:tr w:rsidR="004467EC" w:rsidRPr="004467EC" w14:paraId="3E5DA76A"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46B74ED0" w14:textId="578CD599" w:rsidR="004467EC" w:rsidRPr="004467EC" w:rsidRDefault="004467EC" w:rsidP="00864738">
            <w:pPr>
              <w:jc w:val="right"/>
              <w:rPr>
                <w:rFonts w:ascii="Calibri" w:hAnsi="Calibri"/>
                <w:b/>
                <w:bCs/>
                <w:color w:val="000000"/>
                <w:lang w:eastAsia="en-GB"/>
              </w:rPr>
            </w:pPr>
            <w:r w:rsidRPr="004467EC">
              <w:rPr>
                <w:rFonts w:ascii="Calibri" w:hAnsi="Calibri"/>
                <w:b/>
                <w:bCs/>
                <w:color w:val="000000"/>
                <w:lang w:eastAsia="en-GB"/>
              </w:rPr>
              <w:t>20</w:t>
            </w:r>
            <w:r w:rsidR="005C223B">
              <w:rPr>
                <w:rFonts w:ascii="Calibri" w:hAnsi="Calibri"/>
                <w:b/>
                <w:bCs/>
                <w:color w:val="000000"/>
                <w:lang w:eastAsia="en-GB"/>
              </w:rPr>
              <w:t>2</w:t>
            </w:r>
            <w:r w:rsidR="006C7FE0">
              <w:rPr>
                <w:rFonts w:ascii="Calibri" w:hAnsi="Calibri"/>
                <w:b/>
                <w:bCs/>
                <w:color w:val="000000"/>
                <w:lang w:eastAsia="en-GB"/>
              </w:rPr>
              <w:t>1</w:t>
            </w:r>
            <w:r w:rsidRPr="004467EC">
              <w:rPr>
                <w:rFonts w:ascii="Calibri" w:hAnsi="Calibri"/>
                <w:b/>
                <w:bCs/>
                <w:color w:val="000000"/>
                <w:lang w:eastAsia="en-GB"/>
              </w:rPr>
              <w:t>-</w:t>
            </w:r>
            <w:r w:rsidR="00864738">
              <w:rPr>
                <w:rFonts w:ascii="Calibri" w:hAnsi="Calibri"/>
                <w:b/>
                <w:bCs/>
                <w:color w:val="000000"/>
                <w:lang w:eastAsia="en-GB"/>
              </w:rPr>
              <w:t>2</w:t>
            </w:r>
            <w:r w:rsidR="006C7FE0">
              <w:rPr>
                <w:rFonts w:ascii="Calibri" w:hAnsi="Calibri"/>
                <w:b/>
                <w:bCs/>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0157520A" w14:textId="77777777" w:rsidR="004467EC" w:rsidRPr="004467EC" w:rsidRDefault="004467EC" w:rsidP="004467EC">
            <w:pPr>
              <w:jc w:val="right"/>
              <w:rPr>
                <w:rFonts w:ascii="Calibri" w:hAnsi="Calibri"/>
                <w:b/>
                <w:bCs/>
                <w:color w:val="000000"/>
                <w:lang w:eastAsia="en-GB"/>
              </w:rPr>
            </w:pPr>
            <w:r w:rsidRPr="004467EC">
              <w:rPr>
                <w:rFonts w:ascii="Calibri" w:hAnsi="Calibri"/>
                <w:b/>
                <w:bCs/>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0DF30042" w14:textId="475F8A27" w:rsidR="004467EC" w:rsidRPr="004467EC" w:rsidRDefault="004467EC" w:rsidP="00864738">
            <w:pPr>
              <w:jc w:val="right"/>
              <w:rPr>
                <w:rFonts w:ascii="Calibri" w:hAnsi="Calibri"/>
                <w:b/>
                <w:bCs/>
                <w:color w:val="000000"/>
                <w:lang w:eastAsia="en-GB"/>
              </w:rPr>
            </w:pPr>
            <w:r w:rsidRPr="004467EC">
              <w:rPr>
                <w:rFonts w:ascii="Calibri" w:hAnsi="Calibri"/>
                <w:b/>
                <w:bCs/>
                <w:color w:val="000000"/>
                <w:lang w:eastAsia="en-GB"/>
              </w:rPr>
              <w:t>20</w:t>
            </w:r>
            <w:r w:rsidR="00864738">
              <w:rPr>
                <w:rFonts w:ascii="Calibri" w:hAnsi="Calibri"/>
                <w:b/>
                <w:bCs/>
                <w:color w:val="000000"/>
                <w:lang w:eastAsia="en-GB"/>
              </w:rPr>
              <w:t>2</w:t>
            </w:r>
            <w:r w:rsidR="006C7FE0">
              <w:rPr>
                <w:rFonts w:ascii="Calibri" w:hAnsi="Calibri"/>
                <w:b/>
                <w:bCs/>
                <w:color w:val="000000"/>
                <w:lang w:eastAsia="en-GB"/>
              </w:rPr>
              <w:t>2</w:t>
            </w:r>
            <w:r w:rsidRPr="004467EC">
              <w:rPr>
                <w:rFonts w:ascii="Calibri" w:hAnsi="Calibri"/>
                <w:b/>
                <w:bCs/>
                <w:color w:val="000000"/>
                <w:lang w:eastAsia="en-GB"/>
              </w:rPr>
              <w:t>-</w:t>
            </w:r>
            <w:r w:rsidR="000C2167">
              <w:rPr>
                <w:rFonts w:ascii="Calibri" w:hAnsi="Calibri"/>
                <w:b/>
                <w:bCs/>
                <w:color w:val="000000"/>
                <w:lang w:eastAsia="en-GB"/>
              </w:rPr>
              <w:t>2</w:t>
            </w:r>
            <w:r w:rsidR="006C7FE0">
              <w:rPr>
                <w:rFonts w:ascii="Calibri" w:hAnsi="Calibri"/>
                <w:b/>
                <w:bCs/>
                <w:color w:val="000000"/>
                <w:lang w:eastAsia="en-GB"/>
              </w:rPr>
              <w:t>3</w:t>
            </w:r>
          </w:p>
        </w:tc>
      </w:tr>
      <w:tr w:rsidR="004467EC" w:rsidRPr="004467EC" w14:paraId="30651E25" w14:textId="77777777" w:rsidTr="004467EC">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29EC5EC5" w14:textId="77777777" w:rsidR="004467EC" w:rsidRPr="004467EC" w:rsidRDefault="004467EC" w:rsidP="004467EC">
            <w:pPr>
              <w:jc w:val="right"/>
              <w:rPr>
                <w:rFonts w:ascii="Calibri" w:hAnsi="Calibri"/>
                <w:b/>
                <w:bCs/>
                <w:color w:val="000000"/>
                <w:lang w:eastAsia="en-GB"/>
              </w:rPr>
            </w:pPr>
            <w:r w:rsidRPr="004467EC">
              <w:rPr>
                <w:rFonts w:ascii="Calibri" w:hAnsi="Calibri"/>
                <w:b/>
                <w:bCs/>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6BFC71D9"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4EA87A35" w14:textId="77777777" w:rsidR="004467EC" w:rsidRPr="004467EC" w:rsidRDefault="004467EC" w:rsidP="004467EC">
            <w:pPr>
              <w:jc w:val="right"/>
              <w:rPr>
                <w:rFonts w:ascii="Calibri" w:hAnsi="Calibri"/>
                <w:b/>
                <w:bCs/>
                <w:color w:val="000000"/>
                <w:lang w:eastAsia="en-GB"/>
              </w:rPr>
            </w:pPr>
            <w:r w:rsidRPr="004467EC">
              <w:rPr>
                <w:rFonts w:ascii="Calibri" w:hAnsi="Calibri"/>
                <w:b/>
                <w:bCs/>
                <w:color w:val="000000"/>
                <w:lang w:eastAsia="en-GB"/>
              </w:rPr>
              <w:t>£’000</w:t>
            </w:r>
          </w:p>
        </w:tc>
      </w:tr>
      <w:tr w:rsidR="004467EC" w:rsidRPr="004467EC" w14:paraId="1D617E76" w14:textId="77777777" w:rsidTr="004467EC">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32423195" w14:textId="77777777" w:rsidR="004467EC" w:rsidRPr="004467EC" w:rsidRDefault="004467EC" w:rsidP="004467EC">
            <w:pPr>
              <w:jc w:val="right"/>
              <w:rPr>
                <w:rFonts w:ascii="Calibri" w:hAnsi="Calibri"/>
                <w:color w:val="000000"/>
                <w:lang w:eastAsia="en-GB"/>
              </w:rPr>
            </w:pPr>
            <w:r w:rsidRPr="004467EC">
              <w:rPr>
                <w:rFonts w:ascii="Calibri" w:hAnsi="Calibri"/>
                <w:color w:val="000000"/>
                <w:lang w:eastAsia="en-GB"/>
              </w:rPr>
              <w:t> </w:t>
            </w:r>
          </w:p>
        </w:tc>
        <w:tc>
          <w:tcPr>
            <w:tcW w:w="6980" w:type="dxa"/>
            <w:tcBorders>
              <w:top w:val="nil"/>
              <w:left w:val="nil"/>
              <w:bottom w:val="single" w:sz="4" w:space="0" w:color="FFFFFF"/>
              <w:right w:val="single" w:sz="4" w:space="0" w:color="FFFFFF"/>
            </w:tcBorders>
            <w:shd w:val="clear" w:color="000000" w:fill="B7DEE8"/>
            <w:vAlign w:val="center"/>
            <w:hideMark/>
          </w:tcPr>
          <w:p w14:paraId="3074E730"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Adjustments between Accounting basis and funding basis under statute</w:t>
            </w:r>
          </w:p>
        </w:tc>
        <w:tc>
          <w:tcPr>
            <w:tcW w:w="1500" w:type="dxa"/>
            <w:tcBorders>
              <w:top w:val="nil"/>
              <w:left w:val="nil"/>
              <w:bottom w:val="single" w:sz="4" w:space="0" w:color="FFFFFF"/>
              <w:right w:val="single" w:sz="4" w:space="0" w:color="FFFFFF"/>
            </w:tcBorders>
            <w:shd w:val="clear" w:color="000000" w:fill="B7DEE8"/>
            <w:vAlign w:val="center"/>
            <w:hideMark/>
          </w:tcPr>
          <w:p w14:paraId="0FD5EFE9" w14:textId="77777777" w:rsidR="004467EC" w:rsidRPr="004467EC" w:rsidRDefault="004467EC" w:rsidP="004467EC">
            <w:pPr>
              <w:jc w:val="right"/>
              <w:rPr>
                <w:rFonts w:ascii="Calibri" w:hAnsi="Calibri"/>
                <w:b/>
                <w:bCs/>
                <w:color w:val="000000"/>
                <w:lang w:eastAsia="en-GB"/>
              </w:rPr>
            </w:pPr>
            <w:r w:rsidRPr="004467EC">
              <w:rPr>
                <w:rFonts w:ascii="Calibri" w:hAnsi="Calibri"/>
                <w:b/>
                <w:bCs/>
                <w:color w:val="000000"/>
                <w:lang w:eastAsia="en-GB"/>
              </w:rPr>
              <w:t> </w:t>
            </w:r>
          </w:p>
        </w:tc>
      </w:tr>
      <w:tr w:rsidR="004467EC" w:rsidRPr="004467EC" w14:paraId="089AE1B1" w14:textId="77777777" w:rsidTr="00A93FEB">
        <w:trPr>
          <w:trHeight w:val="343"/>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03D2CEA" w14:textId="70E725DE" w:rsidR="004467EC" w:rsidRPr="004467EC" w:rsidRDefault="006C7FE0" w:rsidP="004467EC">
            <w:pPr>
              <w:jc w:val="right"/>
              <w:rPr>
                <w:rFonts w:ascii="Calibri" w:hAnsi="Calibri"/>
                <w:color w:val="000000"/>
                <w:lang w:eastAsia="en-GB"/>
              </w:rPr>
            </w:pPr>
            <w:r>
              <w:rPr>
                <w:rFonts w:ascii="Calibri" w:hAnsi="Calibri"/>
                <w:color w:val="000000"/>
                <w:lang w:eastAsia="en-GB"/>
              </w:rPr>
              <w:t>11</w:t>
            </w:r>
          </w:p>
        </w:tc>
        <w:tc>
          <w:tcPr>
            <w:tcW w:w="6980" w:type="dxa"/>
            <w:tcBorders>
              <w:top w:val="nil"/>
              <w:left w:val="nil"/>
              <w:bottom w:val="single" w:sz="4" w:space="0" w:color="FFFFFF"/>
              <w:right w:val="single" w:sz="4" w:space="0" w:color="FFFFFF"/>
            </w:tcBorders>
            <w:shd w:val="clear" w:color="000000" w:fill="DAEEF3"/>
            <w:vAlign w:val="center"/>
            <w:hideMark/>
          </w:tcPr>
          <w:p w14:paraId="05F0E1C1"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Accumulated Absences accrual</w:t>
            </w:r>
          </w:p>
        </w:tc>
        <w:tc>
          <w:tcPr>
            <w:tcW w:w="1500" w:type="dxa"/>
            <w:tcBorders>
              <w:top w:val="nil"/>
              <w:left w:val="nil"/>
              <w:bottom w:val="single" w:sz="4" w:space="0" w:color="FFFFFF"/>
              <w:right w:val="single" w:sz="4" w:space="0" w:color="FFFFFF"/>
            </w:tcBorders>
            <w:shd w:val="clear" w:color="000000" w:fill="DAEEF3"/>
            <w:vAlign w:val="center"/>
          </w:tcPr>
          <w:p w14:paraId="05116D4D" w14:textId="2546D6A0" w:rsidR="004467EC" w:rsidRPr="004467EC" w:rsidRDefault="00C96E4D" w:rsidP="004467EC">
            <w:pPr>
              <w:jc w:val="right"/>
              <w:rPr>
                <w:rFonts w:ascii="Calibri" w:hAnsi="Calibri"/>
                <w:color w:val="000000"/>
                <w:lang w:eastAsia="en-GB"/>
              </w:rPr>
            </w:pPr>
            <w:r>
              <w:rPr>
                <w:rFonts w:ascii="Calibri" w:hAnsi="Calibri"/>
                <w:color w:val="000000"/>
                <w:lang w:eastAsia="en-GB"/>
              </w:rPr>
              <w:t>16</w:t>
            </w:r>
          </w:p>
        </w:tc>
      </w:tr>
      <w:tr w:rsidR="004467EC" w:rsidRPr="004467EC" w14:paraId="2523D8F0"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8D0F80D" w14:textId="3A862365" w:rsidR="004467EC" w:rsidRPr="004467EC" w:rsidRDefault="006C7FE0" w:rsidP="00903A41">
            <w:pPr>
              <w:jc w:val="right"/>
              <w:rPr>
                <w:rFonts w:ascii="Calibri" w:hAnsi="Calibri"/>
                <w:color w:val="000000"/>
                <w:lang w:eastAsia="en-GB"/>
              </w:rPr>
            </w:pPr>
            <w:r>
              <w:rPr>
                <w:rFonts w:ascii="Calibri" w:hAnsi="Calibri"/>
                <w:color w:val="000000"/>
                <w:lang w:eastAsia="en-GB"/>
              </w:rPr>
              <w:t>70</w:t>
            </w:r>
          </w:p>
        </w:tc>
        <w:tc>
          <w:tcPr>
            <w:tcW w:w="6980" w:type="dxa"/>
            <w:tcBorders>
              <w:top w:val="nil"/>
              <w:left w:val="nil"/>
              <w:bottom w:val="single" w:sz="4" w:space="0" w:color="FFFFFF"/>
              <w:right w:val="single" w:sz="4" w:space="0" w:color="FFFFFF"/>
            </w:tcBorders>
            <w:shd w:val="clear" w:color="000000" w:fill="DAEEF3"/>
            <w:vAlign w:val="center"/>
            <w:hideMark/>
          </w:tcPr>
          <w:p w14:paraId="43C8DFC4"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Gain</w:t>
            </w:r>
            <w:r w:rsidR="0034379C">
              <w:rPr>
                <w:rFonts w:ascii="Calibri" w:hAnsi="Calibri"/>
                <w:color w:val="000000"/>
                <w:lang w:eastAsia="en-GB"/>
              </w:rPr>
              <w:t>/Loss (-)</w:t>
            </w:r>
            <w:r w:rsidRPr="004467EC">
              <w:rPr>
                <w:rFonts w:ascii="Calibri" w:hAnsi="Calibri"/>
                <w:color w:val="000000"/>
                <w:lang w:eastAsia="en-GB"/>
              </w:rPr>
              <w:t xml:space="preserve"> on sale of non-current assets</w:t>
            </w:r>
          </w:p>
        </w:tc>
        <w:tc>
          <w:tcPr>
            <w:tcW w:w="1500" w:type="dxa"/>
            <w:tcBorders>
              <w:top w:val="nil"/>
              <w:left w:val="nil"/>
              <w:bottom w:val="single" w:sz="4" w:space="0" w:color="FFFFFF"/>
              <w:right w:val="single" w:sz="4" w:space="0" w:color="FFFFFF"/>
            </w:tcBorders>
            <w:shd w:val="clear" w:color="000000" w:fill="DAEEF3"/>
            <w:vAlign w:val="center"/>
          </w:tcPr>
          <w:p w14:paraId="0C3D4244" w14:textId="24649D3F" w:rsidR="004467EC" w:rsidRPr="004467EC" w:rsidRDefault="00C96E4D" w:rsidP="004467EC">
            <w:pPr>
              <w:jc w:val="right"/>
              <w:rPr>
                <w:rFonts w:ascii="Calibri" w:hAnsi="Calibri"/>
                <w:color w:val="000000"/>
                <w:lang w:eastAsia="en-GB"/>
              </w:rPr>
            </w:pPr>
            <w:r>
              <w:rPr>
                <w:rFonts w:ascii="Calibri" w:hAnsi="Calibri"/>
                <w:color w:val="000000"/>
                <w:lang w:eastAsia="en-GB"/>
              </w:rPr>
              <w:t>93</w:t>
            </w:r>
          </w:p>
        </w:tc>
      </w:tr>
      <w:tr w:rsidR="004467EC" w:rsidRPr="004467EC" w14:paraId="3DC9305E"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B46256F" w14:textId="0F9621A2" w:rsidR="004467EC" w:rsidRPr="004467EC" w:rsidRDefault="004467EC" w:rsidP="002108F7">
            <w:pPr>
              <w:jc w:val="right"/>
              <w:rPr>
                <w:rFonts w:ascii="Calibri" w:hAnsi="Calibri"/>
                <w:color w:val="000000"/>
                <w:lang w:eastAsia="en-GB"/>
              </w:rPr>
            </w:pPr>
            <w:r w:rsidRPr="004467EC">
              <w:rPr>
                <w:rFonts w:ascii="Calibri" w:hAnsi="Calibri"/>
                <w:color w:val="000000"/>
                <w:lang w:eastAsia="en-GB"/>
              </w:rPr>
              <w:t>-</w:t>
            </w:r>
            <w:r w:rsidR="006C7FE0">
              <w:rPr>
                <w:rFonts w:ascii="Calibri" w:hAnsi="Calibri"/>
                <w:color w:val="000000"/>
                <w:lang w:eastAsia="en-GB"/>
              </w:rPr>
              <w:t>364</w:t>
            </w:r>
          </w:p>
        </w:tc>
        <w:tc>
          <w:tcPr>
            <w:tcW w:w="6980" w:type="dxa"/>
            <w:tcBorders>
              <w:top w:val="nil"/>
              <w:left w:val="nil"/>
              <w:bottom w:val="single" w:sz="4" w:space="0" w:color="FFFFFF"/>
              <w:right w:val="single" w:sz="4" w:space="0" w:color="FFFFFF"/>
            </w:tcBorders>
            <w:shd w:val="clear" w:color="000000" w:fill="DAEEF3"/>
            <w:vAlign w:val="center"/>
            <w:hideMark/>
          </w:tcPr>
          <w:p w14:paraId="7D1700A4"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HRA Share of contributions to/from the Pensions Reserve</w:t>
            </w:r>
          </w:p>
        </w:tc>
        <w:tc>
          <w:tcPr>
            <w:tcW w:w="1500" w:type="dxa"/>
            <w:tcBorders>
              <w:top w:val="nil"/>
              <w:left w:val="nil"/>
              <w:bottom w:val="single" w:sz="4" w:space="0" w:color="FFFFFF"/>
              <w:right w:val="single" w:sz="4" w:space="0" w:color="FFFFFF"/>
            </w:tcBorders>
            <w:shd w:val="clear" w:color="000000" w:fill="DAEEF3"/>
            <w:vAlign w:val="center"/>
          </w:tcPr>
          <w:p w14:paraId="76809460" w14:textId="0509903F" w:rsidR="004467EC" w:rsidRPr="004467EC" w:rsidRDefault="00C96E4D" w:rsidP="00F54B62">
            <w:pPr>
              <w:jc w:val="right"/>
              <w:rPr>
                <w:rFonts w:ascii="Calibri" w:hAnsi="Calibri"/>
                <w:color w:val="000000"/>
                <w:lang w:eastAsia="en-GB"/>
              </w:rPr>
            </w:pPr>
            <w:r>
              <w:rPr>
                <w:rFonts w:ascii="Calibri" w:hAnsi="Calibri"/>
                <w:color w:val="000000"/>
                <w:lang w:eastAsia="en-GB"/>
              </w:rPr>
              <w:t>-369</w:t>
            </w:r>
          </w:p>
        </w:tc>
      </w:tr>
      <w:tr w:rsidR="004467EC" w:rsidRPr="004467EC" w14:paraId="05FAE3FD"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6A516BF9" w14:textId="710000B4" w:rsidR="004467EC" w:rsidRPr="004467EC" w:rsidRDefault="005C223B" w:rsidP="002108F7">
            <w:pPr>
              <w:jc w:val="right"/>
              <w:rPr>
                <w:rFonts w:ascii="Calibri" w:hAnsi="Calibri"/>
                <w:b/>
                <w:bCs/>
                <w:color w:val="000000"/>
                <w:lang w:eastAsia="en-GB"/>
              </w:rPr>
            </w:pPr>
            <w:r>
              <w:rPr>
                <w:rFonts w:ascii="Calibri" w:hAnsi="Calibri"/>
                <w:b/>
                <w:bCs/>
                <w:color w:val="000000"/>
                <w:lang w:eastAsia="en-GB"/>
              </w:rPr>
              <w:t>-</w:t>
            </w:r>
            <w:r w:rsidR="006C7FE0">
              <w:rPr>
                <w:rFonts w:ascii="Calibri" w:hAnsi="Calibri"/>
                <w:b/>
                <w:bCs/>
                <w:color w:val="000000"/>
                <w:lang w:eastAsia="en-GB"/>
              </w:rPr>
              <w:t>283</w:t>
            </w:r>
          </w:p>
        </w:tc>
        <w:tc>
          <w:tcPr>
            <w:tcW w:w="6980" w:type="dxa"/>
            <w:tcBorders>
              <w:top w:val="nil"/>
              <w:left w:val="nil"/>
              <w:bottom w:val="single" w:sz="4" w:space="0" w:color="FFFFFF"/>
              <w:right w:val="single" w:sz="4" w:space="0" w:color="FFFFFF"/>
            </w:tcBorders>
            <w:shd w:val="clear" w:color="000000" w:fill="B7DEE8"/>
            <w:vAlign w:val="center"/>
            <w:hideMark/>
          </w:tcPr>
          <w:p w14:paraId="50A829E4"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5E5BE206" w14:textId="3FA5262C" w:rsidR="004467EC" w:rsidRPr="004467EC" w:rsidRDefault="00C96E4D" w:rsidP="00F54B62">
            <w:pPr>
              <w:jc w:val="right"/>
              <w:rPr>
                <w:rFonts w:ascii="Calibri" w:hAnsi="Calibri"/>
                <w:b/>
                <w:bCs/>
                <w:color w:val="000000"/>
                <w:lang w:eastAsia="en-GB"/>
              </w:rPr>
            </w:pPr>
            <w:r>
              <w:rPr>
                <w:rFonts w:ascii="Calibri" w:hAnsi="Calibri"/>
                <w:b/>
                <w:bCs/>
                <w:color w:val="000000"/>
                <w:lang w:eastAsia="en-GB"/>
              </w:rPr>
              <w:t>-260</w:t>
            </w:r>
          </w:p>
        </w:tc>
      </w:tr>
      <w:tr w:rsidR="004467EC" w:rsidRPr="004467EC" w14:paraId="1C8833DC"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0509124B"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 </w:t>
            </w:r>
          </w:p>
        </w:tc>
        <w:tc>
          <w:tcPr>
            <w:tcW w:w="6980" w:type="dxa"/>
            <w:tcBorders>
              <w:top w:val="nil"/>
              <w:left w:val="nil"/>
              <w:bottom w:val="single" w:sz="4" w:space="0" w:color="FFFFFF"/>
              <w:right w:val="single" w:sz="4" w:space="0" w:color="FFFFFF"/>
            </w:tcBorders>
            <w:shd w:val="clear" w:color="000000" w:fill="B7DEE8"/>
            <w:vAlign w:val="center"/>
            <w:hideMark/>
          </w:tcPr>
          <w:p w14:paraId="480F6F42"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Transfers to/from (-) Reserves</w:t>
            </w:r>
          </w:p>
        </w:tc>
        <w:tc>
          <w:tcPr>
            <w:tcW w:w="1500" w:type="dxa"/>
            <w:tcBorders>
              <w:top w:val="nil"/>
              <w:left w:val="nil"/>
              <w:bottom w:val="single" w:sz="4" w:space="0" w:color="FFFFFF"/>
              <w:right w:val="single" w:sz="4" w:space="0" w:color="FFFFFF"/>
            </w:tcBorders>
            <w:shd w:val="clear" w:color="000000" w:fill="B7DEE8"/>
            <w:vAlign w:val="center"/>
          </w:tcPr>
          <w:p w14:paraId="132C10AB" w14:textId="77777777" w:rsidR="004467EC" w:rsidRPr="004467EC" w:rsidRDefault="004467EC" w:rsidP="004467EC">
            <w:pPr>
              <w:rPr>
                <w:rFonts w:ascii="Calibri" w:hAnsi="Calibri"/>
                <w:b/>
                <w:bCs/>
                <w:color w:val="000000"/>
                <w:lang w:eastAsia="en-GB"/>
              </w:rPr>
            </w:pPr>
          </w:p>
        </w:tc>
      </w:tr>
      <w:tr w:rsidR="004467EC" w:rsidRPr="004467EC" w14:paraId="67C27CAE"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03A3A31" w14:textId="0B49B8B1" w:rsidR="004467EC" w:rsidRPr="004467EC" w:rsidRDefault="006C7FE0" w:rsidP="004467EC">
            <w:pPr>
              <w:jc w:val="right"/>
              <w:rPr>
                <w:rFonts w:ascii="Calibri" w:hAnsi="Calibri"/>
                <w:color w:val="000000"/>
                <w:lang w:eastAsia="en-GB"/>
              </w:rPr>
            </w:pPr>
            <w:r>
              <w:rPr>
                <w:rFonts w:ascii="Calibri" w:hAnsi="Calibri"/>
                <w:color w:val="000000"/>
                <w:lang w:eastAsia="en-GB"/>
              </w:rPr>
              <w:t>256</w:t>
            </w:r>
          </w:p>
        </w:tc>
        <w:tc>
          <w:tcPr>
            <w:tcW w:w="6980" w:type="dxa"/>
            <w:tcBorders>
              <w:top w:val="nil"/>
              <w:left w:val="nil"/>
              <w:bottom w:val="single" w:sz="4" w:space="0" w:color="FFFFFF"/>
              <w:right w:val="single" w:sz="4" w:space="0" w:color="FFFFFF"/>
            </w:tcBorders>
            <w:shd w:val="clear" w:color="000000" w:fill="DAEEF3"/>
            <w:vAlign w:val="center"/>
            <w:hideMark/>
          </w:tcPr>
          <w:p w14:paraId="44D73747"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Transfer to Major Repairs Reserve</w:t>
            </w:r>
          </w:p>
        </w:tc>
        <w:tc>
          <w:tcPr>
            <w:tcW w:w="1500" w:type="dxa"/>
            <w:tcBorders>
              <w:top w:val="nil"/>
              <w:left w:val="nil"/>
              <w:bottom w:val="single" w:sz="4" w:space="0" w:color="FFFFFF"/>
              <w:right w:val="single" w:sz="4" w:space="0" w:color="FFFFFF"/>
            </w:tcBorders>
            <w:shd w:val="clear" w:color="000000" w:fill="DAEEF3"/>
            <w:vAlign w:val="center"/>
          </w:tcPr>
          <w:p w14:paraId="0F707198" w14:textId="1A44018C" w:rsidR="004467EC" w:rsidRPr="004467EC" w:rsidRDefault="00C96E4D" w:rsidP="0052715C">
            <w:pPr>
              <w:jc w:val="right"/>
              <w:rPr>
                <w:rFonts w:ascii="Calibri" w:hAnsi="Calibri"/>
                <w:color w:val="000000"/>
                <w:lang w:eastAsia="en-GB"/>
              </w:rPr>
            </w:pPr>
            <w:r>
              <w:rPr>
                <w:rFonts w:ascii="Calibri" w:hAnsi="Calibri"/>
                <w:color w:val="000000"/>
                <w:lang w:eastAsia="en-GB"/>
              </w:rPr>
              <w:t>18</w:t>
            </w:r>
            <w:r w:rsidR="00121DFC">
              <w:rPr>
                <w:rFonts w:ascii="Calibri" w:hAnsi="Calibri"/>
                <w:color w:val="000000"/>
                <w:lang w:eastAsia="en-GB"/>
              </w:rPr>
              <w:t>7</w:t>
            </w:r>
          </w:p>
        </w:tc>
      </w:tr>
      <w:tr w:rsidR="004467EC" w:rsidRPr="004467EC" w14:paraId="4BA209C6"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B35FC59" w14:textId="6755518B" w:rsidR="004467EC" w:rsidRPr="004467EC" w:rsidRDefault="006C7FE0" w:rsidP="002108F7">
            <w:pPr>
              <w:jc w:val="right"/>
              <w:rPr>
                <w:rFonts w:ascii="Calibri" w:hAnsi="Calibri"/>
                <w:color w:val="000000"/>
                <w:lang w:eastAsia="en-GB"/>
              </w:rPr>
            </w:pPr>
            <w:r>
              <w:rPr>
                <w:rFonts w:ascii="Calibri" w:hAnsi="Calibri"/>
                <w:color w:val="000000"/>
                <w:lang w:eastAsia="en-GB"/>
              </w:rPr>
              <w:t>1,008</w:t>
            </w:r>
          </w:p>
        </w:tc>
        <w:tc>
          <w:tcPr>
            <w:tcW w:w="6980" w:type="dxa"/>
            <w:tcBorders>
              <w:top w:val="nil"/>
              <w:left w:val="nil"/>
              <w:bottom w:val="single" w:sz="4" w:space="0" w:color="FFFFFF"/>
              <w:right w:val="single" w:sz="4" w:space="0" w:color="FFFFFF"/>
            </w:tcBorders>
            <w:shd w:val="clear" w:color="000000" w:fill="DAEEF3"/>
            <w:vAlign w:val="center"/>
            <w:hideMark/>
          </w:tcPr>
          <w:p w14:paraId="511EB3B4"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Transfer from Capital Adjustment Account</w:t>
            </w:r>
          </w:p>
        </w:tc>
        <w:tc>
          <w:tcPr>
            <w:tcW w:w="1500" w:type="dxa"/>
            <w:tcBorders>
              <w:top w:val="nil"/>
              <w:left w:val="nil"/>
              <w:bottom w:val="single" w:sz="4" w:space="0" w:color="FFFFFF"/>
              <w:right w:val="single" w:sz="4" w:space="0" w:color="FFFFFF"/>
            </w:tcBorders>
            <w:shd w:val="clear" w:color="000000" w:fill="DAEEF3"/>
            <w:vAlign w:val="center"/>
          </w:tcPr>
          <w:p w14:paraId="21E0E446" w14:textId="7F23967A" w:rsidR="004467EC" w:rsidRPr="004467EC" w:rsidRDefault="00C96E4D" w:rsidP="002C5DB4">
            <w:pPr>
              <w:jc w:val="right"/>
              <w:rPr>
                <w:rFonts w:ascii="Calibri" w:hAnsi="Calibri"/>
                <w:color w:val="000000"/>
                <w:lang w:eastAsia="en-GB"/>
              </w:rPr>
            </w:pPr>
            <w:r>
              <w:rPr>
                <w:rFonts w:ascii="Calibri" w:hAnsi="Calibri"/>
                <w:color w:val="000000"/>
                <w:lang w:eastAsia="en-GB"/>
              </w:rPr>
              <w:t>188</w:t>
            </w:r>
          </w:p>
        </w:tc>
      </w:tr>
      <w:tr w:rsidR="004467EC" w:rsidRPr="004467EC" w14:paraId="0F6A5718" w14:textId="77777777" w:rsidTr="00903A41">
        <w:trPr>
          <w:trHeight w:hRule="exac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25DE18D" w14:textId="4A7FFCCD" w:rsidR="004467EC" w:rsidRPr="004467EC" w:rsidRDefault="006C7FE0" w:rsidP="004467EC">
            <w:pPr>
              <w:jc w:val="right"/>
              <w:rPr>
                <w:rFonts w:ascii="Calibri" w:hAnsi="Calibri"/>
                <w:color w:val="000000"/>
                <w:lang w:eastAsia="en-GB"/>
              </w:rPr>
            </w:pPr>
            <w:r>
              <w:rPr>
                <w:rFonts w:ascii="Calibri" w:hAnsi="Calibri"/>
                <w:color w:val="000000"/>
                <w:lang w:eastAsia="en-GB"/>
              </w:rPr>
              <w:t>-458</w:t>
            </w:r>
          </w:p>
        </w:tc>
        <w:tc>
          <w:tcPr>
            <w:tcW w:w="6980" w:type="dxa"/>
            <w:tcBorders>
              <w:top w:val="nil"/>
              <w:left w:val="nil"/>
              <w:bottom w:val="single" w:sz="4" w:space="0" w:color="FFFFFF"/>
              <w:right w:val="single" w:sz="4" w:space="0" w:color="FFFFFF"/>
            </w:tcBorders>
            <w:shd w:val="clear" w:color="000000" w:fill="DAEEF3"/>
            <w:vAlign w:val="center"/>
            <w:hideMark/>
          </w:tcPr>
          <w:p w14:paraId="06A291ED" w14:textId="77777777" w:rsidR="004467EC" w:rsidRPr="004467EC" w:rsidRDefault="004467EC" w:rsidP="004467EC">
            <w:pPr>
              <w:rPr>
                <w:rFonts w:ascii="Calibri" w:hAnsi="Calibri"/>
                <w:color w:val="000000"/>
                <w:lang w:eastAsia="en-GB"/>
              </w:rPr>
            </w:pPr>
            <w:r w:rsidRPr="004467EC">
              <w:rPr>
                <w:rFonts w:ascii="Calibri" w:hAnsi="Calibri"/>
                <w:color w:val="000000"/>
                <w:lang w:eastAsia="en-GB"/>
              </w:rPr>
              <w:t>Transfers to other Reserves</w:t>
            </w:r>
          </w:p>
        </w:tc>
        <w:tc>
          <w:tcPr>
            <w:tcW w:w="1500" w:type="dxa"/>
            <w:tcBorders>
              <w:top w:val="nil"/>
              <w:left w:val="nil"/>
              <w:bottom w:val="single" w:sz="4" w:space="0" w:color="FFFFFF"/>
              <w:right w:val="single" w:sz="4" w:space="0" w:color="FFFFFF"/>
            </w:tcBorders>
            <w:shd w:val="clear" w:color="000000" w:fill="DAEEF3"/>
            <w:vAlign w:val="center"/>
          </w:tcPr>
          <w:p w14:paraId="25C4F150" w14:textId="543DB950" w:rsidR="004467EC" w:rsidRPr="004467EC" w:rsidRDefault="00C96E4D" w:rsidP="00F54B62">
            <w:pPr>
              <w:jc w:val="right"/>
              <w:rPr>
                <w:rFonts w:ascii="Calibri" w:hAnsi="Calibri"/>
                <w:color w:val="000000"/>
                <w:lang w:eastAsia="en-GB"/>
              </w:rPr>
            </w:pPr>
            <w:r>
              <w:rPr>
                <w:rFonts w:ascii="Calibri" w:hAnsi="Calibri"/>
                <w:color w:val="000000"/>
                <w:lang w:eastAsia="en-GB"/>
              </w:rPr>
              <w:t>-954</w:t>
            </w:r>
          </w:p>
        </w:tc>
      </w:tr>
      <w:tr w:rsidR="004467EC" w:rsidRPr="004467EC" w14:paraId="2F57B2EF"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7D9BDCB3" w14:textId="543D7E6E" w:rsidR="004467EC" w:rsidRPr="004467EC" w:rsidRDefault="006C7FE0" w:rsidP="004467EC">
            <w:pPr>
              <w:jc w:val="right"/>
              <w:rPr>
                <w:rFonts w:ascii="Calibri" w:hAnsi="Calibri"/>
                <w:b/>
                <w:bCs/>
                <w:color w:val="000000"/>
                <w:lang w:eastAsia="en-GB"/>
              </w:rPr>
            </w:pPr>
            <w:r>
              <w:rPr>
                <w:rFonts w:ascii="Calibri" w:hAnsi="Calibri"/>
                <w:b/>
                <w:bCs/>
                <w:color w:val="000000"/>
                <w:lang w:eastAsia="en-GB"/>
              </w:rPr>
              <w:t>806</w:t>
            </w:r>
          </w:p>
        </w:tc>
        <w:tc>
          <w:tcPr>
            <w:tcW w:w="6980" w:type="dxa"/>
            <w:tcBorders>
              <w:top w:val="nil"/>
              <w:left w:val="nil"/>
              <w:bottom w:val="single" w:sz="4" w:space="0" w:color="FFFFFF"/>
              <w:right w:val="single" w:sz="4" w:space="0" w:color="FFFFFF"/>
            </w:tcBorders>
            <w:shd w:val="clear" w:color="000000" w:fill="B7DEE8"/>
            <w:vAlign w:val="center"/>
            <w:hideMark/>
          </w:tcPr>
          <w:p w14:paraId="5F6ECCF1" w14:textId="77777777" w:rsidR="004467EC" w:rsidRPr="004467EC" w:rsidRDefault="004467EC" w:rsidP="004467EC">
            <w:pPr>
              <w:rPr>
                <w:rFonts w:ascii="Calibri" w:hAnsi="Calibri"/>
                <w:b/>
                <w:bCs/>
                <w:color w:val="000000"/>
                <w:lang w:eastAsia="en-GB"/>
              </w:rPr>
            </w:pPr>
            <w:r w:rsidRPr="004467EC">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38B91497" w14:textId="4A26431A" w:rsidR="004467EC" w:rsidRPr="004467EC" w:rsidRDefault="00C96E4D" w:rsidP="0052715C">
            <w:pPr>
              <w:jc w:val="right"/>
              <w:rPr>
                <w:rFonts w:ascii="Calibri" w:hAnsi="Calibri"/>
                <w:b/>
                <w:bCs/>
                <w:color w:val="000000"/>
                <w:lang w:eastAsia="en-GB"/>
              </w:rPr>
            </w:pPr>
            <w:r>
              <w:rPr>
                <w:rFonts w:ascii="Calibri" w:hAnsi="Calibri"/>
                <w:b/>
                <w:bCs/>
                <w:color w:val="000000"/>
                <w:lang w:eastAsia="en-GB"/>
              </w:rPr>
              <w:t>-</w:t>
            </w:r>
            <w:r w:rsidR="00121DFC">
              <w:rPr>
                <w:rFonts w:ascii="Calibri" w:hAnsi="Calibri"/>
                <w:b/>
                <w:bCs/>
                <w:color w:val="000000"/>
                <w:lang w:eastAsia="en-GB"/>
              </w:rPr>
              <w:t>579</w:t>
            </w:r>
          </w:p>
        </w:tc>
      </w:tr>
    </w:tbl>
    <w:p w14:paraId="527838A4" w14:textId="09224E8C" w:rsidR="00675F7B" w:rsidRPr="004C6DC4" w:rsidRDefault="00C96E4D" w:rsidP="00826D6F">
      <w:pPr>
        <w:pStyle w:val="Footer"/>
        <w:widowControl w:val="0"/>
        <w:tabs>
          <w:tab w:val="clear" w:pos="4153"/>
          <w:tab w:val="clear" w:pos="8306"/>
        </w:tabs>
        <w:rPr>
          <w:rFonts w:ascii="Arial" w:hAnsi="Arial" w:cs="Arial"/>
          <w:szCs w:val="24"/>
        </w:rPr>
      </w:pPr>
      <w:r>
        <w:rPr>
          <w:rFonts w:ascii="Arial" w:hAnsi="Arial" w:cs="Arial"/>
          <w:szCs w:val="24"/>
        </w:rPr>
        <w:t xml:space="preserve">  </w:t>
      </w:r>
    </w:p>
    <w:p w14:paraId="6921BFCC" w14:textId="77777777" w:rsidR="00D7049A" w:rsidRPr="004467EC" w:rsidRDefault="00D7049A" w:rsidP="007C6C6F">
      <w:pPr>
        <w:pStyle w:val="Heading1"/>
      </w:pPr>
      <w:r w:rsidRPr="004467EC">
        <w:t>N</w:t>
      </w:r>
      <w:r w:rsidR="004467EC">
        <w:t>otes to the HRA Financial Statements</w:t>
      </w:r>
    </w:p>
    <w:p w14:paraId="4EC7D53E" w14:textId="77777777" w:rsidR="00CD469B" w:rsidRPr="00884683" w:rsidRDefault="00CD469B" w:rsidP="00D7049A">
      <w:pPr>
        <w:widowControl w:val="0"/>
        <w:spacing w:before="60"/>
        <w:rPr>
          <w:rFonts w:ascii="Arial" w:hAnsi="Arial" w:cs="Arial"/>
          <w:b/>
        </w:rPr>
      </w:pPr>
    </w:p>
    <w:p w14:paraId="634C8715" w14:textId="77777777" w:rsidR="005B17BB" w:rsidRPr="004467EC" w:rsidRDefault="005B17BB" w:rsidP="00F7121E">
      <w:pPr>
        <w:widowControl w:val="0"/>
        <w:spacing w:before="60"/>
        <w:jc w:val="both"/>
        <w:rPr>
          <w:rFonts w:asciiTheme="minorHAnsi" w:hAnsiTheme="minorHAnsi" w:cs="Arial"/>
          <w:sz w:val="22"/>
          <w:szCs w:val="22"/>
        </w:rPr>
      </w:pPr>
      <w:r w:rsidRPr="004467EC">
        <w:rPr>
          <w:rFonts w:asciiTheme="minorHAnsi" w:hAnsiTheme="minorHAnsi" w:cs="Arial"/>
          <w:sz w:val="22"/>
          <w:szCs w:val="22"/>
        </w:rPr>
        <w:t xml:space="preserve">The Housing Revenue Account reflects a statutory obligation to maintain a revenue account for local authority housing provision in accordance with part 6 of the Local Government and Housing Act 1989.  The Act sets the framework for “ring fencing” the Housing Revenue Account (HRA).  The account has to be </w:t>
      </w:r>
      <w:proofErr w:type="spellStart"/>
      <w:r w:rsidRPr="004467EC">
        <w:rPr>
          <w:rFonts w:asciiTheme="minorHAnsi" w:hAnsiTheme="minorHAnsi" w:cs="Arial"/>
          <w:sz w:val="22"/>
          <w:szCs w:val="22"/>
        </w:rPr>
        <w:t>self financing</w:t>
      </w:r>
      <w:proofErr w:type="spellEnd"/>
      <w:r w:rsidRPr="004467EC">
        <w:rPr>
          <w:rFonts w:asciiTheme="minorHAnsi" w:hAnsiTheme="minorHAnsi" w:cs="Arial"/>
          <w:sz w:val="22"/>
          <w:szCs w:val="22"/>
        </w:rPr>
        <w:t xml:space="preserve"> and there is a legal prohibition on cross subsidy to or from the General Fund.</w:t>
      </w:r>
    </w:p>
    <w:p w14:paraId="09E72F7C" w14:textId="77777777" w:rsidR="00921CE9" w:rsidRPr="004C6DC4" w:rsidRDefault="00921CE9" w:rsidP="00D7049A">
      <w:pPr>
        <w:widowControl w:val="0"/>
        <w:spacing w:before="60"/>
        <w:rPr>
          <w:rFonts w:ascii="Arial" w:hAnsi="Arial" w:cs="Arial"/>
        </w:rPr>
      </w:pPr>
      <w:r w:rsidRPr="004C6DC4">
        <w:rPr>
          <w:rFonts w:ascii="Arial" w:hAnsi="Arial" w:cs="Arial"/>
        </w:rPr>
        <w:tab/>
      </w:r>
    </w:p>
    <w:p w14:paraId="05156F62" w14:textId="77777777" w:rsidR="00D7049A" w:rsidRPr="00B54DCF" w:rsidRDefault="00C95130" w:rsidP="000A1198">
      <w:pPr>
        <w:widowControl w:val="0"/>
        <w:tabs>
          <w:tab w:val="left" w:pos="426"/>
        </w:tabs>
        <w:spacing w:after="120"/>
        <w:ind w:left="426" w:hanging="426"/>
        <w:jc w:val="both"/>
        <w:rPr>
          <w:rFonts w:asciiTheme="minorHAnsi" w:hAnsiTheme="minorHAnsi" w:cs="Arial"/>
          <w:sz w:val="24"/>
          <w:szCs w:val="24"/>
        </w:rPr>
      </w:pPr>
      <w:r w:rsidRPr="00B54DCF">
        <w:rPr>
          <w:rFonts w:asciiTheme="minorHAnsi" w:hAnsiTheme="minorHAnsi" w:cs="Arial"/>
          <w:b/>
          <w:sz w:val="24"/>
          <w:szCs w:val="24"/>
        </w:rPr>
        <w:t>1</w:t>
      </w:r>
      <w:r w:rsidR="00866246" w:rsidRPr="00B54DCF">
        <w:rPr>
          <w:rFonts w:asciiTheme="minorHAnsi" w:hAnsiTheme="minorHAnsi" w:cs="Arial"/>
          <w:sz w:val="24"/>
          <w:szCs w:val="24"/>
        </w:rPr>
        <w:tab/>
      </w:r>
      <w:r w:rsidR="00D7049A" w:rsidRPr="00B54DCF">
        <w:rPr>
          <w:rFonts w:asciiTheme="minorHAnsi" w:hAnsiTheme="minorHAnsi" w:cs="Arial"/>
          <w:b/>
          <w:bCs/>
          <w:sz w:val="24"/>
          <w:szCs w:val="24"/>
        </w:rPr>
        <w:t>N</w:t>
      </w:r>
      <w:r w:rsidR="00D7049A" w:rsidRPr="00B54DCF">
        <w:rPr>
          <w:rFonts w:asciiTheme="minorHAnsi" w:hAnsiTheme="minorHAnsi" w:cs="Arial"/>
          <w:b/>
          <w:sz w:val="24"/>
          <w:szCs w:val="24"/>
        </w:rPr>
        <w:t>umber of Dwellings</w:t>
      </w:r>
    </w:p>
    <w:tbl>
      <w:tblPr>
        <w:tblW w:w="10000" w:type="dxa"/>
        <w:tblInd w:w="93" w:type="dxa"/>
        <w:tblLook w:val="04A0" w:firstRow="1" w:lastRow="0" w:firstColumn="1" w:lastColumn="0" w:noHBand="0" w:noVBand="1"/>
        <w:tblCaption w:val="Number of Dwellings"/>
        <w:tblDescription w:val="Number of Dwellings"/>
      </w:tblPr>
      <w:tblGrid>
        <w:gridCol w:w="1520"/>
        <w:gridCol w:w="6980"/>
        <w:gridCol w:w="1500"/>
      </w:tblGrid>
      <w:tr w:rsidR="00B54DCF" w:rsidRPr="00B54DCF" w14:paraId="7ED5E1E0"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225EB315" w14:textId="57BF1D05" w:rsidR="00B54DCF" w:rsidRPr="00B54DCF" w:rsidRDefault="00B54DCF" w:rsidP="00864738">
            <w:pPr>
              <w:jc w:val="right"/>
              <w:rPr>
                <w:rFonts w:ascii="Calibri" w:hAnsi="Calibri"/>
                <w:color w:val="000000"/>
                <w:lang w:eastAsia="en-GB"/>
              </w:rPr>
            </w:pPr>
            <w:r w:rsidRPr="00B54DCF">
              <w:rPr>
                <w:rFonts w:ascii="Calibri" w:hAnsi="Calibri"/>
                <w:color w:val="000000"/>
                <w:lang w:eastAsia="en-GB"/>
              </w:rPr>
              <w:t>20</w:t>
            </w:r>
            <w:r w:rsidR="005C223B">
              <w:rPr>
                <w:rFonts w:ascii="Calibri" w:hAnsi="Calibri"/>
                <w:color w:val="000000"/>
                <w:lang w:eastAsia="en-GB"/>
              </w:rPr>
              <w:t>2</w:t>
            </w:r>
            <w:r w:rsidR="006C7FE0">
              <w:rPr>
                <w:rFonts w:ascii="Calibri" w:hAnsi="Calibri"/>
                <w:color w:val="000000"/>
                <w:lang w:eastAsia="en-GB"/>
              </w:rPr>
              <w:t>1</w:t>
            </w:r>
            <w:r w:rsidRPr="00B54DCF">
              <w:rPr>
                <w:rFonts w:ascii="Calibri" w:hAnsi="Calibri"/>
                <w:color w:val="000000"/>
                <w:lang w:eastAsia="en-GB"/>
              </w:rPr>
              <w:t>-</w:t>
            </w:r>
            <w:r w:rsidR="00864738">
              <w:rPr>
                <w:rFonts w:ascii="Calibri" w:hAnsi="Calibri"/>
                <w:color w:val="000000"/>
                <w:lang w:eastAsia="en-GB"/>
              </w:rPr>
              <w:t>2</w:t>
            </w:r>
            <w:r w:rsidR="006C7FE0">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2608F41D"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4089BAF3" w14:textId="744A447E" w:rsidR="00B54DCF" w:rsidRPr="00B54DCF" w:rsidRDefault="00864738" w:rsidP="00864738">
            <w:pPr>
              <w:jc w:val="right"/>
              <w:rPr>
                <w:rFonts w:ascii="Calibri" w:hAnsi="Calibri"/>
                <w:color w:val="000000"/>
                <w:lang w:eastAsia="en-GB"/>
              </w:rPr>
            </w:pPr>
            <w:r>
              <w:rPr>
                <w:rFonts w:ascii="Calibri" w:hAnsi="Calibri"/>
                <w:color w:val="000000"/>
                <w:lang w:eastAsia="en-GB"/>
              </w:rPr>
              <w:t>202</w:t>
            </w:r>
            <w:r w:rsidR="006C7FE0">
              <w:rPr>
                <w:rFonts w:ascii="Calibri" w:hAnsi="Calibri"/>
                <w:color w:val="000000"/>
                <w:lang w:eastAsia="en-GB"/>
              </w:rPr>
              <w:t>2</w:t>
            </w:r>
            <w:r w:rsidR="00B54DCF" w:rsidRPr="00B54DCF">
              <w:rPr>
                <w:rFonts w:ascii="Calibri" w:hAnsi="Calibri"/>
                <w:color w:val="000000"/>
                <w:lang w:eastAsia="en-GB"/>
              </w:rPr>
              <w:t>-</w:t>
            </w:r>
            <w:r w:rsidR="000C2167">
              <w:rPr>
                <w:rFonts w:ascii="Calibri" w:hAnsi="Calibri"/>
                <w:color w:val="000000"/>
                <w:lang w:eastAsia="en-GB"/>
              </w:rPr>
              <w:t>2</w:t>
            </w:r>
            <w:r w:rsidR="006C7FE0">
              <w:rPr>
                <w:rFonts w:ascii="Calibri" w:hAnsi="Calibri"/>
                <w:color w:val="000000"/>
                <w:lang w:eastAsia="en-GB"/>
              </w:rPr>
              <w:t>3</w:t>
            </w:r>
          </w:p>
        </w:tc>
      </w:tr>
      <w:tr w:rsidR="00B54DCF" w:rsidRPr="00B54DCF" w14:paraId="57BB8DE2" w14:textId="77777777" w:rsidTr="00B54DCF">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6E475A43" w14:textId="77777777" w:rsidR="00B54DCF" w:rsidRPr="00B54DCF" w:rsidRDefault="00B54DCF" w:rsidP="00B54DCF">
            <w:pPr>
              <w:jc w:val="right"/>
              <w:rPr>
                <w:rFonts w:ascii="Calibri" w:hAnsi="Calibri"/>
                <w:color w:val="000000"/>
                <w:lang w:eastAsia="en-GB"/>
              </w:rPr>
            </w:pPr>
            <w:r w:rsidRPr="00B54DCF">
              <w:rPr>
                <w:rFonts w:ascii="Calibri" w:hAnsi="Calibri"/>
                <w:color w:val="000000"/>
                <w:lang w:eastAsia="en-GB"/>
              </w:rPr>
              <w:t>Dwellings</w:t>
            </w:r>
          </w:p>
        </w:tc>
        <w:tc>
          <w:tcPr>
            <w:tcW w:w="6980" w:type="dxa"/>
            <w:tcBorders>
              <w:top w:val="nil"/>
              <w:left w:val="nil"/>
              <w:bottom w:val="single" w:sz="4" w:space="0" w:color="FFFFFF"/>
              <w:right w:val="single" w:sz="4" w:space="0" w:color="FFFFFF"/>
            </w:tcBorders>
            <w:shd w:val="clear" w:color="000000" w:fill="92CDDC"/>
            <w:vAlign w:val="center"/>
            <w:hideMark/>
          </w:tcPr>
          <w:p w14:paraId="425EC156"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482BE9F7" w14:textId="77777777" w:rsidR="00B54DCF" w:rsidRPr="00B54DCF" w:rsidRDefault="00B54DCF" w:rsidP="00B54DCF">
            <w:pPr>
              <w:jc w:val="right"/>
              <w:rPr>
                <w:rFonts w:ascii="Calibri" w:hAnsi="Calibri"/>
                <w:color w:val="000000"/>
                <w:lang w:eastAsia="en-GB"/>
              </w:rPr>
            </w:pPr>
            <w:r w:rsidRPr="00B54DCF">
              <w:rPr>
                <w:rFonts w:ascii="Calibri" w:hAnsi="Calibri"/>
                <w:color w:val="000000"/>
                <w:lang w:eastAsia="en-GB"/>
              </w:rPr>
              <w:t>Dwellings</w:t>
            </w:r>
          </w:p>
        </w:tc>
      </w:tr>
      <w:tr w:rsidR="00B54DCF" w:rsidRPr="00B54DCF" w14:paraId="6611AEAF" w14:textId="77777777" w:rsidTr="00B54DCF">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13EF92F" w14:textId="3ABE046A" w:rsidR="00B54DCF" w:rsidRPr="00B54DCF" w:rsidRDefault="00B54DCF" w:rsidP="00864738">
            <w:pPr>
              <w:jc w:val="right"/>
              <w:rPr>
                <w:rFonts w:ascii="Calibri" w:hAnsi="Calibri"/>
                <w:b/>
                <w:bCs/>
                <w:color w:val="000000"/>
                <w:lang w:eastAsia="en-GB"/>
              </w:rPr>
            </w:pPr>
            <w:r w:rsidRPr="00B54DCF">
              <w:rPr>
                <w:rFonts w:ascii="Calibri" w:hAnsi="Calibri"/>
                <w:b/>
                <w:bCs/>
                <w:color w:val="000000"/>
                <w:lang w:eastAsia="en-GB"/>
              </w:rPr>
              <w:t>1,8</w:t>
            </w:r>
            <w:r w:rsidR="005C223B">
              <w:rPr>
                <w:rFonts w:ascii="Calibri" w:hAnsi="Calibri"/>
                <w:b/>
                <w:bCs/>
                <w:color w:val="000000"/>
                <w:lang w:eastAsia="en-GB"/>
              </w:rPr>
              <w:t>0</w:t>
            </w:r>
            <w:r w:rsidR="006C7FE0">
              <w:rPr>
                <w:rFonts w:ascii="Calibri" w:hAnsi="Calibri"/>
                <w:b/>
                <w:bCs/>
                <w:color w:val="000000"/>
                <w:lang w:eastAsia="en-GB"/>
              </w:rPr>
              <w:t>2</w:t>
            </w:r>
          </w:p>
        </w:tc>
        <w:tc>
          <w:tcPr>
            <w:tcW w:w="6980" w:type="dxa"/>
            <w:tcBorders>
              <w:top w:val="nil"/>
              <w:left w:val="nil"/>
              <w:bottom w:val="single" w:sz="4" w:space="0" w:color="FFFFFF"/>
              <w:right w:val="single" w:sz="4" w:space="0" w:color="FFFFFF"/>
            </w:tcBorders>
            <w:shd w:val="clear" w:color="000000" w:fill="B7DEE8"/>
            <w:vAlign w:val="center"/>
            <w:hideMark/>
          </w:tcPr>
          <w:p w14:paraId="77EA50FE" w14:textId="77777777" w:rsidR="00B54DCF" w:rsidRPr="00B54DCF" w:rsidRDefault="00B54DCF" w:rsidP="00B54DCF">
            <w:pPr>
              <w:ind w:firstLineChars="100" w:firstLine="201"/>
              <w:rPr>
                <w:rFonts w:ascii="Calibri" w:hAnsi="Calibri"/>
                <w:b/>
                <w:bCs/>
                <w:color w:val="000000"/>
                <w:lang w:eastAsia="en-GB"/>
              </w:rPr>
            </w:pPr>
            <w:proofErr w:type="gramStart"/>
            <w:r w:rsidRPr="00B54DCF">
              <w:rPr>
                <w:rFonts w:ascii="Calibri" w:hAnsi="Calibri"/>
                <w:b/>
                <w:bCs/>
                <w:color w:val="000000"/>
                <w:lang w:eastAsia="en-GB"/>
              </w:rPr>
              <w:t>At</w:t>
            </w:r>
            <w:proofErr w:type="gramEnd"/>
            <w:r w:rsidRPr="00B54DCF">
              <w:rPr>
                <w:rFonts w:ascii="Calibri" w:hAnsi="Calibri"/>
                <w:b/>
                <w:bCs/>
                <w:color w:val="000000"/>
                <w:lang w:eastAsia="en-GB"/>
              </w:rPr>
              <w:t xml:space="preserve"> 1 April</w:t>
            </w:r>
          </w:p>
        </w:tc>
        <w:tc>
          <w:tcPr>
            <w:tcW w:w="1500" w:type="dxa"/>
            <w:tcBorders>
              <w:top w:val="nil"/>
              <w:left w:val="nil"/>
              <w:bottom w:val="single" w:sz="4" w:space="0" w:color="FFFFFF"/>
              <w:right w:val="single" w:sz="4" w:space="0" w:color="FFFFFF"/>
            </w:tcBorders>
            <w:shd w:val="clear" w:color="000000" w:fill="B7DEE8"/>
            <w:vAlign w:val="center"/>
            <w:hideMark/>
          </w:tcPr>
          <w:p w14:paraId="73322711" w14:textId="5DC9E286" w:rsidR="00B54DCF" w:rsidRPr="00B54DCF" w:rsidRDefault="00B54DCF" w:rsidP="00864738">
            <w:pPr>
              <w:jc w:val="right"/>
              <w:rPr>
                <w:rFonts w:ascii="Calibri" w:hAnsi="Calibri"/>
                <w:b/>
                <w:bCs/>
                <w:color w:val="000000"/>
                <w:lang w:eastAsia="en-GB"/>
              </w:rPr>
            </w:pPr>
            <w:r w:rsidRPr="00B54DCF">
              <w:rPr>
                <w:rFonts w:ascii="Calibri" w:hAnsi="Calibri"/>
                <w:b/>
                <w:bCs/>
                <w:color w:val="000000"/>
                <w:lang w:eastAsia="en-GB"/>
              </w:rPr>
              <w:t>1,</w:t>
            </w:r>
            <w:r w:rsidR="006C7FE0">
              <w:rPr>
                <w:rFonts w:ascii="Calibri" w:hAnsi="Calibri"/>
                <w:b/>
                <w:bCs/>
                <w:color w:val="000000"/>
                <w:lang w:eastAsia="en-GB"/>
              </w:rPr>
              <w:t>798</w:t>
            </w:r>
          </w:p>
        </w:tc>
      </w:tr>
      <w:tr w:rsidR="00B54DCF" w:rsidRPr="00B54DCF" w14:paraId="4C9DC54A"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F6764FC" w14:textId="1D554F79" w:rsidR="00B54DCF" w:rsidRPr="00B54DCF" w:rsidRDefault="006C7FE0" w:rsidP="00864738">
            <w:pPr>
              <w:jc w:val="right"/>
              <w:rPr>
                <w:rFonts w:ascii="Calibri" w:hAnsi="Calibri"/>
                <w:color w:val="000000"/>
                <w:lang w:eastAsia="en-GB"/>
              </w:rPr>
            </w:pPr>
            <w:r>
              <w:rPr>
                <w:rFonts w:ascii="Calibri" w:hAnsi="Calibri"/>
                <w:color w:val="000000"/>
                <w:lang w:eastAsia="en-GB"/>
              </w:rPr>
              <w:t>5</w:t>
            </w:r>
          </w:p>
        </w:tc>
        <w:tc>
          <w:tcPr>
            <w:tcW w:w="6980" w:type="dxa"/>
            <w:tcBorders>
              <w:top w:val="nil"/>
              <w:left w:val="nil"/>
              <w:bottom w:val="single" w:sz="4" w:space="0" w:color="FFFFFF"/>
              <w:right w:val="single" w:sz="4" w:space="0" w:color="FFFFFF"/>
            </w:tcBorders>
            <w:shd w:val="clear" w:color="000000" w:fill="DAEEF3"/>
            <w:vAlign w:val="center"/>
            <w:hideMark/>
          </w:tcPr>
          <w:p w14:paraId="4C9A0996"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 xml:space="preserve">Sold during year  </w:t>
            </w:r>
          </w:p>
        </w:tc>
        <w:tc>
          <w:tcPr>
            <w:tcW w:w="1500" w:type="dxa"/>
            <w:tcBorders>
              <w:top w:val="nil"/>
              <w:left w:val="nil"/>
              <w:bottom w:val="single" w:sz="4" w:space="0" w:color="FFFFFF"/>
              <w:right w:val="single" w:sz="4" w:space="0" w:color="FFFFFF"/>
            </w:tcBorders>
            <w:shd w:val="clear" w:color="000000" w:fill="DAEEF3"/>
            <w:vAlign w:val="center"/>
          </w:tcPr>
          <w:p w14:paraId="4C6EAADD" w14:textId="3D147344" w:rsidR="00B54DCF" w:rsidRPr="00B54DCF" w:rsidRDefault="007E7C5D" w:rsidP="00B54DCF">
            <w:pPr>
              <w:jc w:val="right"/>
              <w:rPr>
                <w:rFonts w:ascii="Calibri" w:hAnsi="Calibri"/>
                <w:color w:val="000000"/>
                <w:lang w:eastAsia="en-GB"/>
              </w:rPr>
            </w:pPr>
            <w:r>
              <w:rPr>
                <w:rFonts w:ascii="Calibri" w:hAnsi="Calibri"/>
                <w:color w:val="000000"/>
                <w:lang w:eastAsia="en-GB"/>
              </w:rPr>
              <w:t>10</w:t>
            </w:r>
          </w:p>
        </w:tc>
      </w:tr>
      <w:tr w:rsidR="00B54DCF" w:rsidRPr="00B54DCF" w14:paraId="52997CCD"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BA67C07" w14:textId="7CA762B8" w:rsidR="00B54DCF" w:rsidRPr="00B54DCF" w:rsidRDefault="006C7FE0" w:rsidP="00B54DCF">
            <w:pPr>
              <w:jc w:val="right"/>
              <w:rPr>
                <w:rFonts w:ascii="Calibri" w:hAnsi="Calibri"/>
                <w:color w:val="000000"/>
                <w:lang w:eastAsia="en-GB"/>
              </w:rPr>
            </w:pPr>
            <w:r>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1CF0F1B6"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Converted in year</w:t>
            </w:r>
          </w:p>
        </w:tc>
        <w:tc>
          <w:tcPr>
            <w:tcW w:w="1500" w:type="dxa"/>
            <w:tcBorders>
              <w:top w:val="nil"/>
              <w:left w:val="nil"/>
              <w:bottom w:val="single" w:sz="4" w:space="0" w:color="FFFFFF"/>
              <w:right w:val="single" w:sz="4" w:space="0" w:color="FFFFFF"/>
            </w:tcBorders>
            <w:shd w:val="clear" w:color="000000" w:fill="DAEEF3"/>
            <w:vAlign w:val="center"/>
          </w:tcPr>
          <w:p w14:paraId="62758C70" w14:textId="276578E8" w:rsidR="000C2167" w:rsidRPr="00B54DCF" w:rsidRDefault="007E7C5D" w:rsidP="000C2167">
            <w:pPr>
              <w:jc w:val="right"/>
              <w:rPr>
                <w:rFonts w:ascii="Calibri" w:hAnsi="Calibri"/>
                <w:color w:val="000000"/>
                <w:lang w:eastAsia="en-GB"/>
              </w:rPr>
            </w:pPr>
            <w:r>
              <w:rPr>
                <w:rFonts w:ascii="Calibri" w:hAnsi="Calibri"/>
                <w:color w:val="000000"/>
                <w:lang w:eastAsia="en-GB"/>
              </w:rPr>
              <w:t>0</w:t>
            </w:r>
          </w:p>
        </w:tc>
      </w:tr>
      <w:tr w:rsidR="00B54DCF" w:rsidRPr="00B54DCF" w14:paraId="7579926C"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555B5B0" w14:textId="0CF7130B" w:rsidR="00B54DCF" w:rsidRPr="00B54DCF" w:rsidRDefault="006C7FE0" w:rsidP="00B54DCF">
            <w:pPr>
              <w:jc w:val="right"/>
              <w:rPr>
                <w:rFonts w:ascii="Calibri" w:hAnsi="Calibri"/>
                <w:color w:val="000000"/>
                <w:lang w:eastAsia="en-GB"/>
              </w:rPr>
            </w:pPr>
            <w:r>
              <w:rPr>
                <w:rFonts w:ascii="Calibri" w:hAnsi="Calibri"/>
                <w:color w:val="000000"/>
                <w:lang w:eastAsia="en-GB"/>
              </w:rPr>
              <w:t>1</w:t>
            </w:r>
          </w:p>
        </w:tc>
        <w:tc>
          <w:tcPr>
            <w:tcW w:w="6980" w:type="dxa"/>
            <w:tcBorders>
              <w:top w:val="nil"/>
              <w:left w:val="nil"/>
              <w:bottom w:val="single" w:sz="4" w:space="0" w:color="FFFFFF"/>
              <w:right w:val="single" w:sz="4" w:space="0" w:color="FFFFFF"/>
            </w:tcBorders>
            <w:shd w:val="clear" w:color="000000" w:fill="DAEEF3"/>
            <w:vAlign w:val="center"/>
            <w:hideMark/>
          </w:tcPr>
          <w:p w14:paraId="24280C63"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Purchased/Built in year</w:t>
            </w:r>
          </w:p>
        </w:tc>
        <w:tc>
          <w:tcPr>
            <w:tcW w:w="1500" w:type="dxa"/>
            <w:tcBorders>
              <w:top w:val="nil"/>
              <w:left w:val="nil"/>
              <w:bottom w:val="single" w:sz="4" w:space="0" w:color="FFFFFF"/>
              <w:right w:val="single" w:sz="4" w:space="0" w:color="FFFFFF"/>
            </w:tcBorders>
            <w:shd w:val="clear" w:color="000000" w:fill="DAEEF3"/>
            <w:vAlign w:val="center"/>
          </w:tcPr>
          <w:p w14:paraId="2F6FF793" w14:textId="3A049E4D" w:rsidR="00B54DCF" w:rsidRPr="00B54DCF" w:rsidRDefault="007E7C5D" w:rsidP="00B54DCF">
            <w:pPr>
              <w:jc w:val="right"/>
              <w:rPr>
                <w:rFonts w:ascii="Calibri" w:hAnsi="Calibri"/>
                <w:color w:val="000000"/>
                <w:lang w:eastAsia="en-GB"/>
              </w:rPr>
            </w:pPr>
            <w:r>
              <w:rPr>
                <w:rFonts w:ascii="Calibri" w:hAnsi="Calibri"/>
                <w:color w:val="000000"/>
                <w:lang w:eastAsia="en-GB"/>
              </w:rPr>
              <w:t>0</w:t>
            </w:r>
          </w:p>
        </w:tc>
      </w:tr>
      <w:tr w:rsidR="00B54DCF" w:rsidRPr="00B54DCF" w14:paraId="773203DD"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3F33923" w14:textId="66C0C7D2" w:rsidR="00B54DCF" w:rsidRPr="00B54DCF" w:rsidRDefault="00B54DCF" w:rsidP="002108F7">
            <w:pPr>
              <w:jc w:val="right"/>
              <w:rPr>
                <w:rFonts w:ascii="Calibri" w:hAnsi="Calibri"/>
                <w:b/>
                <w:bCs/>
                <w:color w:val="000000"/>
                <w:lang w:eastAsia="en-GB"/>
              </w:rPr>
            </w:pPr>
            <w:r w:rsidRPr="00B54DCF">
              <w:rPr>
                <w:rFonts w:ascii="Calibri" w:hAnsi="Calibri"/>
                <w:b/>
                <w:bCs/>
                <w:color w:val="000000"/>
                <w:lang w:eastAsia="en-GB"/>
              </w:rPr>
              <w:t>1,</w:t>
            </w:r>
            <w:r w:rsidR="006C7FE0">
              <w:rPr>
                <w:rFonts w:ascii="Calibri" w:hAnsi="Calibri"/>
                <w:b/>
                <w:bCs/>
                <w:color w:val="000000"/>
                <w:lang w:eastAsia="en-GB"/>
              </w:rPr>
              <w:t>798</w:t>
            </w:r>
          </w:p>
        </w:tc>
        <w:tc>
          <w:tcPr>
            <w:tcW w:w="6980" w:type="dxa"/>
            <w:tcBorders>
              <w:top w:val="nil"/>
              <w:left w:val="nil"/>
              <w:bottom w:val="single" w:sz="4" w:space="0" w:color="FFFFFF"/>
              <w:right w:val="single" w:sz="4" w:space="0" w:color="FFFFFF"/>
            </w:tcBorders>
            <w:shd w:val="clear" w:color="000000" w:fill="B7DEE8"/>
            <w:vAlign w:val="center"/>
            <w:hideMark/>
          </w:tcPr>
          <w:p w14:paraId="34E3CFF4" w14:textId="77777777" w:rsidR="00B54DCF" w:rsidRPr="00B54DCF" w:rsidRDefault="00B54DCF" w:rsidP="00B54DCF">
            <w:pPr>
              <w:ind w:firstLineChars="100" w:firstLine="201"/>
              <w:rPr>
                <w:rFonts w:ascii="Calibri" w:hAnsi="Calibri"/>
                <w:b/>
                <w:bCs/>
                <w:color w:val="000000"/>
                <w:lang w:eastAsia="en-GB"/>
              </w:rPr>
            </w:pPr>
            <w:proofErr w:type="gramStart"/>
            <w:r w:rsidRPr="00B54DCF">
              <w:rPr>
                <w:rFonts w:ascii="Calibri" w:hAnsi="Calibri"/>
                <w:b/>
                <w:bCs/>
                <w:color w:val="000000"/>
                <w:lang w:eastAsia="en-GB"/>
              </w:rPr>
              <w:t>At</w:t>
            </w:r>
            <w:proofErr w:type="gramEnd"/>
            <w:r w:rsidRPr="00B54DCF">
              <w:rPr>
                <w:rFonts w:ascii="Calibri" w:hAnsi="Calibri"/>
                <w:b/>
                <w:bCs/>
                <w:color w:val="000000"/>
                <w:lang w:eastAsia="en-GB"/>
              </w:rPr>
              <w:t xml:space="preserve"> 31 March</w:t>
            </w:r>
          </w:p>
        </w:tc>
        <w:tc>
          <w:tcPr>
            <w:tcW w:w="1500" w:type="dxa"/>
            <w:tcBorders>
              <w:top w:val="nil"/>
              <w:left w:val="nil"/>
              <w:bottom w:val="single" w:sz="4" w:space="0" w:color="FFFFFF"/>
              <w:right w:val="single" w:sz="4" w:space="0" w:color="FFFFFF"/>
            </w:tcBorders>
            <w:shd w:val="clear" w:color="000000" w:fill="B7DEE8"/>
            <w:vAlign w:val="center"/>
          </w:tcPr>
          <w:p w14:paraId="22AD8E1F" w14:textId="13B17AA7" w:rsidR="00B54DCF" w:rsidRPr="00B54DCF" w:rsidRDefault="007E7C5D" w:rsidP="00B54DCF">
            <w:pPr>
              <w:jc w:val="right"/>
              <w:rPr>
                <w:rFonts w:ascii="Calibri" w:hAnsi="Calibri"/>
                <w:b/>
                <w:bCs/>
                <w:color w:val="000000"/>
                <w:lang w:eastAsia="en-GB"/>
              </w:rPr>
            </w:pPr>
            <w:r>
              <w:rPr>
                <w:rFonts w:ascii="Calibri" w:hAnsi="Calibri"/>
                <w:b/>
                <w:bCs/>
                <w:color w:val="000000"/>
                <w:lang w:eastAsia="en-GB"/>
              </w:rPr>
              <w:t>1,788</w:t>
            </w:r>
          </w:p>
        </w:tc>
      </w:tr>
    </w:tbl>
    <w:p w14:paraId="54CB35DC" w14:textId="77777777" w:rsidR="00D7049A" w:rsidRPr="004C6DC4" w:rsidRDefault="00D7049A" w:rsidP="00D7049A">
      <w:pPr>
        <w:pStyle w:val="Footer"/>
        <w:tabs>
          <w:tab w:val="clear" w:pos="4153"/>
          <w:tab w:val="clear" w:pos="8306"/>
        </w:tabs>
        <w:spacing w:after="60"/>
        <w:rPr>
          <w:rFonts w:ascii="Arial" w:hAnsi="Arial" w:cs="Arial"/>
          <w:szCs w:val="24"/>
        </w:rPr>
      </w:pPr>
    </w:p>
    <w:p w14:paraId="12DE2D70" w14:textId="77777777" w:rsidR="00D7049A" w:rsidRPr="00B54DCF" w:rsidRDefault="00C95130" w:rsidP="00C95130">
      <w:pPr>
        <w:spacing w:after="120"/>
        <w:rPr>
          <w:rFonts w:asciiTheme="minorHAnsi" w:hAnsiTheme="minorHAnsi" w:cs="Arial"/>
          <w:sz w:val="24"/>
          <w:szCs w:val="24"/>
        </w:rPr>
      </w:pPr>
      <w:r w:rsidRPr="00B54DCF">
        <w:rPr>
          <w:rFonts w:asciiTheme="minorHAnsi" w:hAnsiTheme="minorHAnsi" w:cs="Arial"/>
          <w:b/>
          <w:sz w:val="24"/>
          <w:szCs w:val="24"/>
        </w:rPr>
        <w:t xml:space="preserve">2     </w:t>
      </w:r>
      <w:r w:rsidR="00D7049A" w:rsidRPr="00B54DCF">
        <w:rPr>
          <w:rFonts w:asciiTheme="minorHAnsi" w:hAnsiTheme="minorHAnsi" w:cs="Arial"/>
          <w:b/>
          <w:sz w:val="24"/>
          <w:szCs w:val="24"/>
        </w:rPr>
        <w:t>Type of Dwelling</w:t>
      </w:r>
    </w:p>
    <w:tbl>
      <w:tblPr>
        <w:tblW w:w="10000" w:type="dxa"/>
        <w:tblInd w:w="93" w:type="dxa"/>
        <w:tblLook w:val="04A0" w:firstRow="1" w:lastRow="0" w:firstColumn="1" w:lastColumn="0" w:noHBand="0" w:noVBand="1"/>
        <w:tblCaption w:val="Type of Dwellings"/>
        <w:tblDescription w:val="Type of Dwellings"/>
      </w:tblPr>
      <w:tblGrid>
        <w:gridCol w:w="1520"/>
        <w:gridCol w:w="6980"/>
        <w:gridCol w:w="1500"/>
      </w:tblGrid>
      <w:tr w:rsidR="00B54DCF" w:rsidRPr="00B54DCF" w14:paraId="1ABC7422"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7081E678" w14:textId="0A2DABDA" w:rsidR="00B54DCF" w:rsidRPr="00B54DCF" w:rsidRDefault="00B54DCF" w:rsidP="00864738">
            <w:pPr>
              <w:jc w:val="right"/>
              <w:rPr>
                <w:rFonts w:ascii="Calibri" w:hAnsi="Calibri"/>
                <w:color w:val="000000"/>
                <w:lang w:eastAsia="en-GB"/>
              </w:rPr>
            </w:pPr>
            <w:r w:rsidRPr="00B54DCF">
              <w:rPr>
                <w:rFonts w:ascii="Calibri" w:hAnsi="Calibri"/>
                <w:color w:val="000000"/>
                <w:lang w:eastAsia="en-GB"/>
              </w:rPr>
              <w:t>20</w:t>
            </w:r>
            <w:r w:rsidR="005C223B">
              <w:rPr>
                <w:rFonts w:ascii="Calibri" w:hAnsi="Calibri"/>
                <w:color w:val="000000"/>
                <w:lang w:eastAsia="en-GB"/>
              </w:rPr>
              <w:t>2</w:t>
            </w:r>
            <w:r w:rsidR="006C7FE0">
              <w:rPr>
                <w:rFonts w:ascii="Calibri" w:hAnsi="Calibri"/>
                <w:color w:val="000000"/>
                <w:lang w:eastAsia="en-GB"/>
              </w:rPr>
              <w:t>1-</w:t>
            </w:r>
            <w:r w:rsidR="00864738">
              <w:rPr>
                <w:rFonts w:ascii="Calibri" w:hAnsi="Calibri"/>
                <w:color w:val="000000"/>
                <w:lang w:eastAsia="en-GB"/>
              </w:rPr>
              <w:t>2</w:t>
            </w:r>
            <w:r w:rsidR="006C7FE0">
              <w:rPr>
                <w:rFonts w:ascii="Calibri" w:hAnsi="Calibri"/>
                <w:color w:val="000000"/>
                <w:lang w:eastAsia="en-GB"/>
              </w:rPr>
              <w:t>2</w:t>
            </w:r>
          </w:p>
        </w:tc>
        <w:tc>
          <w:tcPr>
            <w:tcW w:w="6980" w:type="dxa"/>
            <w:tcBorders>
              <w:top w:val="single" w:sz="4" w:space="0" w:color="FFFFFF"/>
              <w:left w:val="nil"/>
              <w:bottom w:val="single" w:sz="4" w:space="0" w:color="FFFFFF"/>
              <w:right w:val="single" w:sz="4" w:space="0" w:color="FFFFFF"/>
            </w:tcBorders>
            <w:shd w:val="clear" w:color="000000" w:fill="92CDDC"/>
            <w:vAlign w:val="center"/>
            <w:hideMark/>
          </w:tcPr>
          <w:p w14:paraId="4273800E" w14:textId="77777777" w:rsidR="00B54DCF" w:rsidRPr="00B54DCF" w:rsidRDefault="00B54DCF" w:rsidP="00B54DCF">
            <w:pPr>
              <w:jc w:val="right"/>
              <w:rPr>
                <w:rFonts w:ascii="Calibri" w:hAnsi="Calibri"/>
                <w:color w:val="000000"/>
                <w:lang w:eastAsia="en-GB"/>
              </w:rPr>
            </w:pPr>
            <w:r w:rsidRPr="00B54DCF">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640479AB" w14:textId="6481D74C" w:rsidR="00B54DCF" w:rsidRPr="00B54DCF" w:rsidRDefault="00B54DCF" w:rsidP="00864738">
            <w:pPr>
              <w:jc w:val="right"/>
              <w:rPr>
                <w:rFonts w:ascii="Calibri" w:hAnsi="Calibri"/>
                <w:color w:val="000000"/>
                <w:lang w:eastAsia="en-GB"/>
              </w:rPr>
            </w:pPr>
            <w:r w:rsidRPr="00B54DCF">
              <w:rPr>
                <w:rFonts w:ascii="Calibri" w:hAnsi="Calibri"/>
                <w:color w:val="000000"/>
                <w:lang w:eastAsia="en-GB"/>
              </w:rPr>
              <w:t>20</w:t>
            </w:r>
            <w:r w:rsidR="00864738">
              <w:rPr>
                <w:rFonts w:ascii="Calibri" w:hAnsi="Calibri"/>
                <w:color w:val="000000"/>
                <w:lang w:eastAsia="en-GB"/>
              </w:rPr>
              <w:t>2</w:t>
            </w:r>
            <w:r w:rsidR="006C7FE0">
              <w:rPr>
                <w:rFonts w:ascii="Calibri" w:hAnsi="Calibri"/>
                <w:color w:val="000000"/>
                <w:lang w:eastAsia="en-GB"/>
              </w:rPr>
              <w:t>2</w:t>
            </w:r>
            <w:r w:rsidRPr="00B54DCF">
              <w:rPr>
                <w:rFonts w:ascii="Calibri" w:hAnsi="Calibri"/>
                <w:color w:val="000000"/>
                <w:lang w:eastAsia="en-GB"/>
              </w:rPr>
              <w:t>-</w:t>
            </w:r>
            <w:r w:rsidR="000C2167">
              <w:rPr>
                <w:rFonts w:ascii="Calibri" w:hAnsi="Calibri"/>
                <w:color w:val="000000"/>
                <w:lang w:eastAsia="en-GB"/>
              </w:rPr>
              <w:t>2</w:t>
            </w:r>
            <w:r w:rsidR="006C7FE0">
              <w:rPr>
                <w:rFonts w:ascii="Calibri" w:hAnsi="Calibri"/>
                <w:color w:val="000000"/>
                <w:lang w:eastAsia="en-GB"/>
              </w:rPr>
              <w:t>3</w:t>
            </w:r>
          </w:p>
        </w:tc>
      </w:tr>
      <w:tr w:rsidR="00B54DCF" w:rsidRPr="00B54DCF" w14:paraId="77E9EBFE" w14:textId="77777777" w:rsidTr="00B54DCF">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4ABFFC1D" w14:textId="77777777" w:rsidR="00B54DCF" w:rsidRPr="00B54DCF" w:rsidRDefault="00B54DCF" w:rsidP="00B54DCF">
            <w:pPr>
              <w:jc w:val="right"/>
              <w:rPr>
                <w:rFonts w:ascii="Calibri" w:hAnsi="Calibri"/>
                <w:color w:val="000000"/>
                <w:lang w:eastAsia="en-GB"/>
              </w:rPr>
            </w:pPr>
            <w:r w:rsidRPr="00B54DCF">
              <w:rPr>
                <w:rFonts w:ascii="Calibri" w:hAnsi="Calibri"/>
                <w:color w:val="000000"/>
                <w:lang w:eastAsia="en-GB"/>
              </w:rPr>
              <w:t>Dwellings</w:t>
            </w:r>
          </w:p>
        </w:tc>
        <w:tc>
          <w:tcPr>
            <w:tcW w:w="6980" w:type="dxa"/>
            <w:tcBorders>
              <w:top w:val="nil"/>
              <w:left w:val="nil"/>
              <w:bottom w:val="single" w:sz="4" w:space="0" w:color="FFFFFF"/>
              <w:right w:val="single" w:sz="4" w:space="0" w:color="FFFFFF"/>
            </w:tcBorders>
            <w:shd w:val="clear" w:color="000000" w:fill="92CDDC"/>
            <w:vAlign w:val="center"/>
            <w:hideMark/>
          </w:tcPr>
          <w:p w14:paraId="4237D47A" w14:textId="5F71C3F9" w:rsidR="00B54DCF" w:rsidRPr="006C7FE0" w:rsidRDefault="00B54DCF" w:rsidP="00B54DCF">
            <w:pPr>
              <w:rPr>
                <w:rFonts w:ascii="Calibri" w:hAnsi="Calibri"/>
                <w:b/>
                <w:bCs/>
                <w:color w:val="000000"/>
                <w:lang w:eastAsia="en-GB"/>
              </w:rPr>
            </w:pPr>
            <w:r w:rsidRPr="006C7FE0">
              <w:rPr>
                <w:rFonts w:ascii="Calibri" w:hAnsi="Calibri"/>
                <w:b/>
                <w:bCs/>
                <w:color w:val="000000"/>
                <w:lang w:eastAsia="en-GB"/>
              </w:rPr>
              <w:t xml:space="preserve">   </w:t>
            </w:r>
            <w:proofErr w:type="gramStart"/>
            <w:r w:rsidRPr="006C7FE0">
              <w:rPr>
                <w:rFonts w:ascii="Calibri" w:hAnsi="Calibri"/>
                <w:b/>
                <w:bCs/>
                <w:color w:val="000000"/>
                <w:lang w:eastAsia="en-GB"/>
              </w:rPr>
              <w:t>At</w:t>
            </w:r>
            <w:proofErr w:type="gramEnd"/>
            <w:r w:rsidR="006C7FE0" w:rsidRPr="006C7FE0">
              <w:rPr>
                <w:rFonts w:ascii="Calibri" w:hAnsi="Calibri"/>
                <w:b/>
                <w:bCs/>
                <w:color w:val="000000"/>
                <w:lang w:eastAsia="en-GB"/>
              </w:rPr>
              <w:t xml:space="preserve"> 1 April</w:t>
            </w:r>
          </w:p>
        </w:tc>
        <w:tc>
          <w:tcPr>
            <w:tcW w:w="1500" w:type="dxa"/>
            <w:tcBorders>
              <w:top w:val="nil"/>
              <w:left w:val="nil"/>
              <w:bottom w:val="single" w:sz="4" w:space="0" w:color="FFFFFF"/>
              <w:right w:val="single" w:sz="4" w:space="0" w:color="FFFFFF"/>
            </w:tcBorders>
            <w:shd w:val="clear" w:color="000000" w:fill="92CDDC"/>
            <w:vAlign w:val="center"/>
            <w:hideMark/>
          </w:tcPr>
          <w:p w14:paraId="72DF3465" w14:textId="77777777" w:rsidR="00B54DCF" w:rsidRPr="00B54DCF" w:rsidRDefault="00B54DCF" w:rsidP="00B54DCF">
            <w:pPr>
              <w:jc w:val="right"/>
              <w:rPr>
                <w:rFonts w:ascii="Calibri" w:hAnsi="Calibri"/>
                <w:color w:val="000000"/>
                <w:lang w:eastAsia="en-GB"/>
              </w:rPr>
            </w:pPr>
            <w:r w:rsidRPr="00B54DCF">
              <w:rPr>
                <w:rFonts w:ascii="Calibri" w:hAnsi="Calibri"/>
                <w:color w:val="000000"/>
                <w:lang w:eastAsia="en-GB"/>
              </w:rPr>
              <w:t>Dwellings</w:t>
            </w:r>
          </w:p>
        </w:tc>
      </w:tr>
      <w:tr w:rsidR="00B54DCF" w:rsidRPr="00B54DCF" w14:paraId="19027714"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40F5F4A" w14:textId="525EA513" w:rsidR="00B54DCF" w:rsidRPr="00B54DCF" w:rsidRDefault="006C7FE0" w:rsidP="00864738">
            <w:pPr>
              <w:jc w:val="right"/>
              <w:rPr>
                <w:rFonts w:ascii="Calibri" w:hAnsi="Calibri"/>
                <w:color w:val="000000"/>
                <w:lang w:eastAsia="en-GB"/>
              </w:rPr>
            </w:pPr>
            <w:r>
              <w:rPr>
                <w:rFonts w:ascii="Calibri" w:hAnsi="Calibri"/>
                <w:color w:val="000000"/>
                <w:lang w:eastAsia="en-GB"/>
              </w:rPr>
              <w:t>798</w:t>
            </w:r>
          </w:p>
        </w:tc>
        <w:tc>
          <w:tcPr>
            <w:tcW w:w="6980" w:type="dxa"/>
            <w:tcBorders>
              <w:top w:val="nil"/>
              <w:left w:val="nil"/>
              <w:bottom w:val="single" w:sz="4" w:space="0" w:color="FFFFFF"/>
              <w:right w:val="single" w:sz="4" w:space="0" w:color="FFFFFF"/>
            </w:tcBorders>
            <w:shd w:val="clear" w:color="000000" w:fill="DAEEF3"/>
            <w:vAlign w:val="center"/>
            <w:hideMark/>
          </w:tcPr>
          <w:p w14:paraId="3CC78901"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 xml:space="preserve">Houses </w:t>
            </w:r>
          </w:p>
        </w:tc>
        <w:tc>
          <w:tcPr>
            <w:tcW w:w="1500" w:type="dxa"/>
            <w:tcBorders>
              <w:top w:val="nil"/>
              <w:left w:val="nil"/>
              <w:bottom w:val="single" w:sz="4" w:space="0" w:color="FFFFFF"/>
              <w:right w:val="single" w:sz="4" w:space="0" w:color="FFFFFF"/>
            </w:tcBorders>
            <w:shd w:val="clear" w:color="000000" w:fill="DAEEF3"/>
            <w:vAlign w:val="center"/>
          </w:tcPr>
          <w:p w14:paraId="4DDFAD26" w14:textId="3B5B6B9C" w:rsidR="00B54DCF" w:rsidRPr="00B54DCF" w:rsidRDefault="007E7C5D" w:rsidP="00924587">
            <w:pPr>
              <w:jc w:val="right"/>
              <w:rPr>
                <w:rFonts w:ascii="Calibri" w:hAnsi="Calibri"/>
                <w:color w:val="000000"/>
                <w:lang w:eastAsia="en-GB"/>
              </w:rPr>
            </w:pPr>
            <w:r>
              <w:rPr>
                <w:rFonts w:ascii="Calibri" w:hAnsi="Calibri"/>
                <w:color w:val="000000"/>
                <w:lang w:eastAsia="en-GB"/>
              </w:rPr>
              <w:t>788</w:t>
            </w:r>
          </w:p>
        </w:tc>
      </w:tr>
      <w:tr w:rsidR="00B54DCF" w:rsidRPr="00B54DCF" w14:paraId="3F75D12E"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0E9EFFCD" w14:textId="0BCEA9B5" w:rsidR="00B54DCF" w:rsidRPr="00B54DCF" w:rsidRDefault="00864738" w:rsidP="00B54DCF">
            <w:pPr>
              <w:jc w:val="right"/>
              <w:rPr>
                <w:rFonts w:ascii="Calibri" w:hAnsi="Calibri"/>
                <w:color w:val="000000"/>
                <w:lang w:eastAsia="en-GB"/>
              </w:rPr>
            </w:pPr>
            <w:r>
              <w:rPr>
                <w:rFonts w:ascii="Calibri" w:hAnsi="Calibri"/>
                <w:color w:val="000000"/>
                <w:lang w:eastAsia="en-GB"/>
              </w:rPr>
              <w:t>28</w:t>
            </w:r>
            <w:r w:rsidR="005C223B">
              <w:rPr>
                <w:rFonts w:ascii="Calibri" w:hAnsi="Calibri"/>
                <w:color w:val="000000"/>
                <w:lang w:eastAsia="en-GB"/>
              </w:rPr>
              <w:t>7</w:t>
            </w:r>
          </w:p>
        </w:tc>
        <w:tc>
          <w:tcPr>
            <w:tcW w:w="6980" w:type="dxa"/>
            <w:tcBorders>
              <w:top w:val="nil"/>
              <w:left w:val="nil"/>
              <w:bottom w:val="single" w:sz="4" w:space="0" w:color="FFFFFF"/>
              <w:right w:val="single" w:sz="4" w:space="0" w:color="FFFFFF"/>
            </w:tcBorders>
            <w:shd w:val="clear" w:color="000000" w:fill="DAEEF3"/>
            <w:vAlign w:val="center"/>
            <w:hideMark/>
          </w:tcPr>
          <w:p w14:paraId="04C82488"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Bungalows</w:t>
            </w:r>
          </w:p>
        </w:tc>
        <w:tc>
          <w:tcPr>
            <w:tcW w:w="1500" w:type="dxa"/>
            <w:tcBorders>
              <w:top w:val="nil"/>
              <w:left w:val="nil"/>
              <w:bottom w:val="single" w:sz="4" w:space="0" w:color="FFFFFF"/>
              <w:right w:val="single" w:sz="4" w:space="0" w:color="FFFFFF"/>
            </w:tcBorders>
            <w:shd w:val="clear" w:color="000000" w:fill="DAEEF3"/>
            <w:vAlign w:val="center"/>
          </w:tcPr>
          <w:p w14:paraId="0D2E2CB5" w14:textId="51410E1C" w:rsidR="00B54DCF" w:rsidRPr="00B54DCF" w:rsidRDefault="007E7C5D" w:rsidP="00B54DCF">
            <w:pPr>
              <w:jc w:val="right"/>
              <w:rPr>
                <w:rFonts w:ascii="Calibri" w:hAnsi="Calibri"/>
                <w:color w:val="000000"/>
                <w:lang w:eastAsia="en-GB"/>
              </w:rPr>
            </w:pPr>
            <w:r>
              <w:rPr>
                <w:rFonts w:ascii="Calibri" w:hAnsi="Calibri"/>
                <w:color w:val="000000"/>
                <w:lang w:eastAsia="en-GB"/>
              </w:rPr>
              <w:t>287</w:t>
            </w:r>
          </w:p>
        </w:tc>
      </w:tr>
      <w:tr w:rsidR="00B54DCF" w:rsidRPr="00B54DCF" w14:paraId="0F191A77"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5E698BF" w14:textId="4F99901B" w:rsidR="00B54DCF" w:rsidRPr="00B54DCF" w:rsidRDefault="00B54DCF" w:rsidP="002108F7">
            <w:pPr>
              <w:jc w:val="right"/>
              <w:rPr>
                <w:rFonts w:ascii="Calibri" w:hAnsi="Calibri"/>
                <w:color w:val="000000"/>
                <w:lang w:eastAsia="en-GB"/>
              </w:rPr>
            </w:pPr>
            <w:r w:rsidRPr="00B54DCF">
              <w:rPr>
                <w:rFonts w:ascii="Calibri" w:hAnsi="Calibri"/>
                <w:color w:val="000000"/>
                <w:lang w:eastAsia="en-GB"/>
              </w:rPr>
              <w:t>71</w:t>
            </w:r>
            <w:r w:rsidR="005C223B">
              <w:rPr>
                <w:rFonts w:ascii="Calibri" w:hAnsi="Calibri"/>
                <w:color w:val="000000"/>
                <w:lang w:eastAsia="en-GB"/>
              </w:rPr>
              <w:t>3</w:t>
            </w:r>
          </w:p>
        </w:tc>
        <w:tc>
          <w:tcPr>
            <w:tcW w:w="6980" w:type="dxa"/>
            <w:tcBorders>
              <w:top w:val="nil"/>
              <w:left w:val="nil"/>
              <w:bottom w:val="single" w:sz="4" w:space="0" w:color="FFFFFF"/>
              <w:right w:val="single" w:sz="4" w:space="0" w:color="FFFFFF"/>
            </w:tcBorders>
            <w:shd w:val="clear" w:color="000000" w:fill="DAEEF3"/>
            <w:vAlign w:val="center"/>
            <w:hideMark/>
          </w:tcPr>
          <w:p w14:paraId="1A7E925C" w14:textId="77777777" w:rsidR="00B54DCF" w:rsidRPr="00B54DCF" w:rsidRDefault="00B54DCF" w:rsidP="00B54DCF">
            <w:pPr>
              <w:ind w:firstLineChars="100" w:firstLine="200"/>
              <w:rPr>
                <w:rFonts w:ascii="Calibri" w:hAnsi="Calibri"/>
                <w:color w:val="000000"/>
                <w:lang w:eastAsia="en-GB"/>
              </w:rPr>
            </w:pPr>
            <w:r w:rsidRPr="00B54DCF">
              <w:rPr>
                <w:rFonts w:ascii="Calibri" w:hAnsi="Calibri"/>
                <w:color w:val="000000"/>
                <w:lang w:eastAsia="en-GB"/>
              </w:rPr>
              <w:t xml:space="preserve">Flats and maisonettes </w:t>
            </w:r>
          </w:p>
        </w:tc>
        <w:tc>
          <w:tcPr>
            <w:tcW w:w="1500" w:type="dxa"/>
            <w:tcBorders>
              <w:top w:val="nil"/>
              <w:left w:val="nil"/>
              <w:bottom w:val="single" w:sz="4" w:space="0" w:color="FFFFFF"/>
              <w:right w:val="single" w:sz="4" w:space="0" w:color="FFFFFF"/>
            </w:tcBorders>
            <w:shd w:val="clear" w:color="000000" w:fill="DAEEF3"/>
            <w:vAlign w:val="center"/>
          </w:tcPr>
          <w:p w14:paraId="04C18507" w14:textId="39B17F25" w:rsidR="00B54DCF" w:rsidRPr="00B54DCF" w:rsidRDefault="007E7C5D" w:rsidP="002254D1">
            <w:pPr>
              <w:jc w:val="right"/>
              <w:rPr>
                <w:rFonts w:ascii="Calibri" w:hAnsi="Calibri"/>
                <w:color w:val="000000"/>
                <w:lang w:eastAsia="en-GB"/>
              </w:rPr>
            </w:pPr>
            <w:r>
              <w:rPr>
                <w:rFonts w:ascii="Calibri" w:hAnsi="Calibri"/>
                <w:color w:val="000000"/>
                <w:lang w:eastAsia="en-GB"/>
              </w:rPr>
              <w:t>713</w:t>
            </w:r>
          </w:p>
        </w:tc>
      </w:tr>
      <w:tr w:rsidR="00B54DCF" w:rsidRPr="00B54DCF" w14:paraId="67EE3745" w14:textId="77777777" w:rsidTr="00903A41">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118EE31" w14:textId="6F986FA5" w:rsidR="00B54DCF" w:rsidRPr="00B54DCF" w:rsidRDefault="00B54DCF" w:rsidP="002108F7">
            <w:pPr>
              <w:jc w:val="right"/>
              <w:rPr>
                <w:rFonts w:ascii="Calibri" w:hAnsi="Calibri"/>
                <w:b/>
                <w:bCs/>
                <w:color w:val="000000"/>
                <w:lang w:eastAsia="en-GB"/>
              </w:rPr>
            </w:pPr>
            <w:r w:rsidRPr="00B54DCF">
              <w:rPr>
                <w:rFonts w:ascii="Calibri" w:hAnsi="Calibri"/>
                <w:b/>
                <w:bCs/>
                <w:color w:val="000000"/>
                <w:lang w:eastAsia="en-GB"/>
              </w:rPr>
              <w:t>1,</w:t>
            </w:r>
            <w:r w:rsidR="006C7FE0">
              <w:rPr>
                <w:rFonts w:ascii="Calibri" w:hAnsi="Calibri"/>
                <w:b/>
                <w:bCs/>
                <w:color w:val="000000"/>
                <w:lang w:eastAsia="en-GB"/>
              </w:rPr>
              <w:t>798</w:t>
            </w:r>
          </w:p>
        </w:tc>
        <w:tc>
          <w:tcPr>
            <w:tcW w:w="6980" w:type="dxa"/>
            <w:tcBorders>
              <w:top w:val="nil"/>
              <w:left w:val="nil"/>
              <w:bottom w:val="single" w:sz="4" w:space="0" w:color="FFFFFF"/>
              <w:right w:val="single" w:sz="4" w:space="0" w:color="FFFFFF"/>
            </w:tcBorders>
            <w:shd w:val="clear" w:color="000000" w:fill="B7DEE8"/>
            <w:vAlign w:val="center"/>
            <w:hideMark/>
          </w:tcPr>
          <w:p w14:paraId="4476B906" w14:textId="05A80B3D" w:rsidR="00B54DCF" w:rsidRPr="00B54DCF" w:rsidRDefault="006C7FE0" w:rsidP="006C7FE0">
            <w:pPr>
              <w:rPr>
                <w:rFonts w:ascii="Calibri" w:hAnsi="Calibri"/>
                <w:b/>
                <w:bCs/>
                <w:color w:val="000000"/>
                <w:lang w:eastAsia="en-GB"/>
              </w:rPr>
            </w:pPr>
            <w:r>
              <w:rPr>
                <w:rFonts w:ascii="Calibri" w:hAnsi="Calibri"/>
                <w:b/>
                <w:bCs/>
                <w:color w:val="000000"/>
                <w:lang w:eastAsia="en-GB"/>
              </w:rPr>
              <w:t xml:space="preserve">   </w:t>
            </w:r>
            <w:proofErr w:type="gramStart"/>
            <w:r>
              <w:rPr>
                <w:rFonts w:ascii="Calibri" w:hAnsi="Calibri"/>
                <w:b/>
                <w:bCs/>
                <w:color w:val="000000"/>
                <w:lang w:eastAsia="en-GB"/>
              </w:rPr>
              <w:t>At</w:t>
            </w:r>
            <w:proofErr w:type="gramEnd"/>
            <w:r>
              <w:rPr>
                <w:rFonts w:ascii="Calibri" w:hAnsi="Calibri"/>
                <w:b/>
                <w:bCs/>
                <w:color w:val="000000"/>
                <w:lang w:eastAsia="en-GB"/>
              </w:rPr>
              <w:t xml:space="preserve"> 31 March</w:t>
            </w:r>
            <w:r w:rsidR="00B54DCF" w:rsidRPr="00B54DCF">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19A4F240" w14:textId="2B8E9233" w:rsidR="00B54DCF" w:rsidRPr="00B54DCF" w:rsidRDefault="007E7C5D" w:rsidP="00B54DCF">
            <w:pPr>
              <w:jc w:val="right"/>
              <w:rPr>
                <w:rFonts w:ascii="Calibri" w:hAnsi="Calibri"/>
                <w:b/>
                <w:bCs/>
                <w:color w:val="000000"/>
                <w:lang w:eastAsia="en-GB"/>
              </w:rPr>
            </w:pPr>
            <w:r>
              <w:rPr>
                <w:rFonts w:ascii="Calibri" w:hAnsi="Calibri"/>
                <w:b/>
                <w:bCs/>
                <w:color w:val="000000"/>
                <w:lang w:eastAsia="en-GB"/>
              </w:rPr>
              <w:t>1,788</w:t>
            </w:r>
          </w:p>
        </w:tc>
      </w:tr>
    </w:tbl>
    <w:p w14:paraId="38CB50D9" w14:textId="77777777" w:rsidR="00796DAD" w:rsidRDefault="00796DAD" w:rsidP="00C95130">
      <w:pPr>
        <w:widowControl w:val="0"/>
        <w:spacing w:after="120"/>
        <w:rPr>
          <w:rFonts w:asciiTheme="minorHAnsi" w:hAnsiTheme="minorHAnsi" w:cs="Arial"/>
          <w:b/>
          <w:bCs/>
          <w:sz w:val="24"/>
          <w:szCs w:val="24"/>
        </w:rPr>
      </w:pPr>
    </w:p>
    <w:p w14:paraId="6AE95531" w14:textId="77777777" w:rsidR="00D80A21" w:rsidRDefault="00D80A21" w:rsidP="00C95130">
      <w:pPr>
        <w:widowControl w:val="0"/>
        <w:spacing w:after="120"/>
        <w:rPr>
          <w:rFonts w:asciiTheme="minorHAnsi" w:hAnsiTheme="minorHAnsi" w:cs="Arial"/>
          <w:b/>
          <w:bCs/>
          <w:sz w:val="24"/>
          <w:szCs w:val="24"/>
        </w:rPr>
      </w:pPr>
    </w:p>
    <w:p w14:paraId="14763A21" w14:textId="77777777" w:rsidR="00D80A21" w:rsidRDefault="00D80A21" w:rsidP="00C95130">
      <w:pPr>
        <w:widowControl w:val="0"/>
        <w:spacing w:after="120"/>
        <w:rPr>
          <w:rFonts w:asciiTheme="minorHAnsi" w:hAnsiTheme="minorHAnsi" w:cs="Arial"/>
          <w:b/>
          <w:bCs/>
          <w:sz w:val="24"/>
          <w:szCs w:val="24"/>
        </w:rPr>
      </w:pPr>
    </w:p>
    <w:p w14:paraId="16A0CB3F" w14:textId="09C02393" w:rsidR="00C379F1" w:rsidRDefault="00C379F1" w:rsidP="00C95130">
      <w:pPr>
        <w:widowControl w:val="0"/>
        <w:spacing w:after="120"/>
        <w:rPr>
          <w:rFonts w:asciiTheme="minorHAnsi" w:hAnsiTheme="minorHAnsi" w:cs="Arial"/>
          <w:b/>
          <w:bCs/>
          <w:sz w:val="24"/>
          <w:szCs w:val="24"/>
        </w:rPr>
      </w:pPr>
    </w:p>
    <w:p w14:paraId="2B218489" w14:textId="77777777" w:rsidR="002F0019" w:rsidRDefault="002F0019" w:rsidP="00C95130">
      <w:pPr>
        <w:widowControl w:val="0"/>
        <w:spacing w:after="120"/>
        <w:rPr>
          <w:rFonts w:asciiTheme="minorHAnsi" w:hAnsiTheme="minorHAnsi" w:cs="Arial"/>
          <w:b/>
          <w:bCs/>
          <w:sz w:val="24"/>
          <w:szCs w:val="24"/>
        </w:rPr>
      </w:pPr>
    </w:p>
    <w:p w14:paraId="31A1FFC3" w14:textId="77777777" w:rsidR="00C379F1" w:rsidRDefault="00C379F1" w:rsidP="00C95130">
      <w:pPr>
        <w:widowControl w:val="0"/>
        <w:spacing w:after="120"/>
        <w:rPr>
          <w:rFonts w:asciiTheme="minorHAnsi" w:hAnsiTheme="minorHAnsi" w:cs="Arial"/>
          <w:b/>
          <w:bCs/>
          <w:sz w:val="24"/>
          <w:szCs w:val="24"/>
        </w:rPr>
      </w:pPr>
    </w:p>
    <w:p w14:paraId="2EDDA772" w14:textId="77777777" w:rsidR="00C379F1" w:rsidRDefault="00C379F1" w:rsidP="00C95130">
      <w:pPr>
        <w:widowControl w:val="0"/>
        <w:spacing w:after="120"/>
        <w:rPr>
          <w:rFonts w:asciiTheme="minorHAnsi" w:hAnsiTheme="minorHAnsi" w:cs="Arial"/>
          <w:b/>
          <w:bCs/>
          <w:sz w:val="24"/>
          <w:szCs w:val="24"/>
        </w:rPr>
      </w:pPr>
    </w:p>
    <w:p w14:paraId="6B991143" w14:textId="77777777" w:rsidR="00D7049A" w:rsidRPr="00B54DCF" w:rsidRDefault="00C95130" w:rsidP="00C95130">
      <w:pPr>
        <w:widowControl w:val="0"/>
        <w:spacing w:after="120"/>
        <w:rPr>
          <w:rFonts w:asciiTheme="minorHAnsi" w:hAnsiTheme="minorHAnsi" w:cs="Arial"/>
          <w:sz w:val="24"/>
          <w:szCs w:val="24"/>
        </w:rPr>
      </w:pPr>
      <w:r w:rsidRPr="00B54DCF">
        <w:rPr>
          <w:rFonts w:asciiTheme="minorHAnsi" w:hAnsiTheme="minorHAnsi" w:cs="Arial"/>
          <w:b/>
          <w:bCs/>
          <w:sz w:val="24"/>
          <w:szCs w:val="24"/>
        </w:rPr>
        <w:lastRenderedPageBreak/>
        <w:t xml:space="preserve">3     </w:t>
      </w:r>
      <w:r w:rsidR="00D7049A" w:rsidRPr="00B54DCF">
        <w:rPr>
          <w:rFonts w:asciiTheme="minorHAnsi" w:hAnsiTheme="minorHAnsi" w:cs="Arial"/>
          <w:b/>
          <w:bCs/>
          <w:sz w:val="24"/>
          <w:szCs w:val="24"/>
        </w:rPr>
        <w:t>Movement in Fixed Assets</w:t>
      </w:r>
    </w:p>
    <w:tbl>
      <w:tblPr>
        <w:tblW w:w="10505" w:type="dxa"/>
        <w:tblInd w:w="93" w:type="dxa"/>
        <w:tblLayout w:type="fixed"/>
        <w:tblLook w:val="04A0" w:firstRow="1" w:lastRow="0" w:firstColumn="1" w:lastColumn="0" w:noHBand="0" w:noVBand="1"/>
        <w:tblCaption w:val="Movement in the Housing Revenue Account Fixed Assets"/>
        <w:tblDescription w:val="Movement in the Housing Revenue Account Fixed Assets"/>
      </w:tblPr>
      <w:tblGrid>
        <w:gridCol w:w="2312"/>
        <w:gridCol w:w="1134"/>
        <w:gridCol w:w="1134"/>
        <w:gridCol w:w="1418"/>
        <w:gridCol w:w="1275"/>
        <w:gridCol w:w="993"/>
        <w:gridCol w:w="1275"/>
        <w:gridCol w:w="964"/>
      </w:tblGrid>
      <w:tr w:rsidR="0090135C" w:rsidRPr="00BB0D8A" w14:paraId="2636A46F" w14:textId="77777777" w:rsidTr="0090135C">
        <w:trPr>
          <w:cantSplit/>
          <w:trHeight w:val="300"/>
          <w:tblHeader/>
        </w:trPr>
        <w:tc>
          <w:tcPr>
            <w:tcW w:w="2312" w:type="dxa"/>
            <w:tcBorders>
              <w:top w:val="single" w:sz="4" w:space="0" w:color="FFFFFF" w:themeColor="background1"/>
              <w:left w:val="single" w:sz="4" w:space="0" w:color="FFFFFF"/>
              <w:right w:val="single" w:sz="4" w:space="0" w:color="FFFFFF"/>
            </w:tcBorders>
            <w:shd w:val="clear" w:color="000000" w:fill="92CDDC"/>
            <w:vAlign w:val="center"/>
          </w:tcPr>
          <w:p w14:paraId="70685EEE" w14:textId="77777777" w:rsidR="001679F1" w:rsidRPr="00BB0D8A" w:rsidRDefault="001679F1" w:rsidP="001679F1">
            <w:pPr>
              <w:rPr>
                <w:rFonts w:ascii="Calibri" w:hAnsi="Calibri"/>
                <w:color w:val="000000"/>
                <w:lang w:eastAsia="en-GB"/>
              </w:rPr>
            </w:pPr>
            <w:bookmarkStart w:id="14" w:name="_Hlk106881531"/>
          </w:p>
        </w:tc>
        <w:tc>
          <w:tcPr>
            <w:tcW w:w="1134" w:type="dxa"/>
            <w:tcBorders>
              <w:top w:val="single" w:sz="4" w:space="0" w:color="FFFFFF" w:themeColor="background1"/>
              <w:left w:val="nil"/>
              <w:bottom w:val="single" w:sz="4" w:space="0" w:color="FFFFFF"/>
            </w:tcBorders>
            <w:shd w:val="clear" w:color="000000" w:fill="92CDDC"/>
            <w:vAlign w:val="center"/>
          </w:tcPr>
          <w:p w14:paraId="6F0ECC64" w14:textId="77777777" w:rsidR="001679F1" w:rsidRPr="00BB0D8A" w:rsidRDefault="001679F1" w:rsidP="001679F1">
            <w:pPr>
              <w:jc w:val="right"/>
              <w:rPr>
                <w:rFonts w:ascii="Calibri" w:hAnsi="Calibri"/>
                <w:b/>
                <w:bCs/>
                <w:color w:val="000000"/>
                <w:lang w:eastAsia="en-GB"/>
              </w:rPr>
            </w:pPr>
          </w:p>
        </w:tc>
        <w:tc>
          <w:tcPr>
            <w:tcW w:w="1134" w:type="dxa"/>
            <w:tcBorders>
              <w:top w:val="single" w:sz="4" w:space="0" w:color="FFFFFF" w:themeColor="background1"/>
              <w:bottom w:val="single" w:sz="4" w:space="0" w:color="FFFFFF"/>
            </w:tcBorders>
            <w:shd w:val="clear" w:color="000000" w:fill="92CDDC"/>
            <w:vAlign w:val="center"/>
          </w:tcPr>
          <w:p w14:paraId="25C402F4" w14:textId="77777777" w:rsidR="001679F1" w:rsidRPr="00BB0D8A" w:rsidRDefault="001679F1" w:rsidP="001679F1">
            <w:pPr>
              <w:jc w:val="right"/>
              <w:rPr>
                <w:rFonts w:ascii="Calibri" w:hAnsi="Calibri"/>
                <w:b/>
                <w:bCs/>
                <w:color w:val="000000"/>
                <w:lang w:eastAsia="en-GB"/>
              </w:rPr>
            </w:pPr>
          </w:p>
        </w:tc>
        <w:tc>
          <w:tcPr>
            <w:tcW w:w="1418" w:type="dxa"/>
            <w:tcBorders>
              <w:top w:val="single" w:sz="4" w:space="0" w:color="FFFFFF"/>
              <w:bottom w:val="single" w:sz="4" w:space="0" w:color="FFFFFF"/>
            </w:tcBorders>
            <w:shd w:val="clear" w:color="000000" w:fill="92CDDC"/>
            <w:vAlign w:val="center"/>
          </w:tcPr>
          <w:p w14:paraId="6BB21066" w14:textId="40557658" w:rsidR="001679F1" w:rsidRPr="00BB1536" w:rsidRDefault="001679F1" w:rsidP="001679F1">
            <w:pPr>
              <w:jc w:val="right"/>
              <w:rPr>
                <w:rFonts w:ascii="Calibri" w:hAnsi="Calibri"/>
                <w:b/>
                <w:bCs/>
                <w:lang w:eastAsia="en-GB"/>
              </w:rPr>
            </w:pPr>
            <w:r>
              <w:rPr>
                <w:rFonts w:ascii="Calibri" w:hAnsi="Calibri"/>
                <w:b/>
                <w:bCs/>
                <w:color w:val="000000"/>
                <w:lang w:eastAsia="en-GB"/>
              </w:rPr>
              <w:t>Operational assets</w:t>
            </w:r>
          </w:p>
        </w:tc>
        <w:tc>
          <w:tcPr>
            <w:tcW w:w="1275" w:type="dxa"/>
            <w:tcBorders>
              <w:top w:val="single" w:sz="4" w:space="0" w:color="FFFFFF" w:themeColor="background1"/>
              <w:bottom w:val="single" w:sz="4" w:space="0" w:color="FFFFFF"/>
            </w:tcBorders>
            <w:shd w:val="clear" w:color="000000" w:fill="92CDDC"/>
            <w:vAlign w:val="center"/>
          </w:tcPr>
          <w:p w14:paraId="292BF704" w14:textId="3E4A05E6" w:rsidR="001679F1" w:rsidRDefault="001679F1" w:rsidP="001679F1">
            <w:pPr>
              <w:jc w:val="right"/>
              <w:rPr>
                <w:rFonts w:ascii="Calibri" w:hAnsi="Calibri"/>
                <w:b/>
                <w:bCs/>
                <w:color w:val="000000"/>
                <w:lang w:eastAsia="en-GB"/>
              </w:rPr>
            </w:pPr>
          </w:p>
        </w:tc>
        <w:tc>
          <w:tcPr>
            <w:tcW w:w="993" w:type="dxa"/>
            <w:tcBorders>
              <w:top w:val="single" w:sz="4" w:space="0" w:color="FFFFFF" w:themeColor="background1"/>
              <w:bottom w:val="single" w:sz="4" w:space="0" w:color="FFFFFF"/>
              <w:right w:val="single" w:sz="4" w:space="0" w:color="FFFFFF"/>
            </w:tcBorders>
            <w:shd w:val="clear" w:color="000000" w:fill="92CDDC"/>
            <w:vAlign w:val="center"/>
          </w:tcPr>
          <w:p w14:paraId="16B025E7" w14:textId="1CEE8F4C" w:rsidR="001679F1" w:rsidRPr="00BB0D8A" w:rsidRDefault="001679F1" w:rsidP="001679F1">
            <w:pPr>
              <w:jc w:val="right"/>
              <w:rPr>
                <w:rFonts w:ascii="Calibri" w:hAnsi="Calibri"/>
                <w:b/>
                <w:bCs/>
                <w:color w:val="000000"/>
                <w:lang w:eastAsia="en-GB"/>
              </w:rPr>
            </w:pPr>
          </w:p>
        </w:tc>
        <w:tc>
          <w:tcPr>
            <w:tcW w:w="1275" w:type="dxa"/>
            <w:tcBorders>
              <w:top w:val="single" w:sz="4" w:space="0" w:color="FFFFFF" w:themeColor="background1"/>
              <w:left w:val="nil"/>
              <w:bottom w:val="single" w:sz="4" w:space="0" w:color="FFFFFF"/>
              <w:right w:val="single" w:sz="4" w:space="0" w:color="FFFFFF"/>
            </w:tcBorders>
            <w:shd w:val="clear" w:color="000000" w:fill="92CDDC"/>
            <w:vAlign w:val="center"/>
          </w:tcPr>
          <w:p w14:paraId="7EAAD366" w14:textId="652DA968"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Non-Operational Assets</w:t>
            </w:r>
          </w:p>
        </w:tc>
        <w:tc>
          <w:tcPr>
            <w:tcW w:w="964" w:type="dxa"/>
            <w:tcBorders>
              <w:top w:val="single" w:sz="4" w:space="0" w:color="FFFFFF" w:themeColor="background1"/>
              <w:left w:val="nil"/>
            </w:tcBorders>
            <w:shd w:val="clear" w:color="000000" w:fill="92CDDC"/>
            <w:vAlign w:val="center"/>
          </w:tcPr>
          <w:p w14:paraId="7A7CF101" w14:textId="77777777" w:rsidR="001679F1" w:rsidRPr="00BB0D8A" w:rsidRDefault="001679F1" w:rsidP="001679F1">
            <w:pPr>
              <w:jc w:val="right"/>
              <w:rPr>
                <w:rFonts w:ascii="Calibri" w:hAnsi="Calibri"/>
                <w:b/>
                <w:bCs/>
                <w:color w:val="000000"/>
                <w:lang w:eastAsia="en-GB"/>
              </w:rPr>
            </w:pPr>
          </w:p>
        </w:tc>
      </w:tr>
      <w:tr w:rsidR="0090135C" w:rsidRPr="00BB0D8A" w14:paraId="2558E39C" w14:textId="77777777" w:rsidTr="0090135C">
        <w:trPr>
          <w:trHeight w:val="300"/>
        </w:trPr>
        <w:tc>
          <w:tcPr>
            <w:tcW w:w="2312" w:type="dxa"/>
            <w:tcBorders>
              <w:top w:val="nil"/>
              <w:left w:val="single" w:sz="4" w:space="0" w:color="FFFFFF"/>
              <w:right w:val="single" w:sz="4" w:space="0" w:color="FFFFFF"/>
            </w:tcBorders>
            <w:shd w:val="clear" w:color="000000" w:fill="92CDDC"/>
            <w:vAlign w:val="center"/>
          </w:tcPr>
          <w:p w14:paraId="61BA315C" w14:textId="77777777" w:rsidR="001679F1" w:rsidRPr="00BB0D8A" w:rsidRDefault="001679F1" w:rsidP="001679F1">
            <w:pPr>
              <w:rPr>
                <w:rFonts w:ascii="Calibri" w:hAnsi="Calibri"/>
                <w:color w:val="000000"/>
                <w:lang w:eastAsia="en-GB"/>
              </w:rPr>
            </w:pPr>
          </w:p>
        </w:tc>
        <w:tc>
          <w:tcPr>
            <w:tcW w:w="1134" w:type="dxa"/>
            <w:tcBorders>
              <w:top w:val="nil"/>
              <w:left w:val="nil"/>
              <w:bottom w:val="single" w:sz="4" w:space="0" w:color="FFFFFF"/>
              <w:right w:val="single" w:sz="4" w:space="0" w:color="FFFFFF"/>
            </w:tcBorders>
            <w:shd w:val="clear" w:color="000000" w:fill="92CDDC"/>
            <w:vAlign w:val="center"/>
          </w:tcPr>
          <w:p w14:paraId="3F0493A1" w14:textId="0DA20C7F"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Dwellings</w:t>
            </w:r>
          </w:p>
        </w:tc>
        <w:tc>
          <w:tcPr>
            <w:tcW w:w="1134" w:type="dxa"/>
            <w:tcBorders>
              <w:top w:val="nil"/>
              <w:left w:val="nil"/>
              <w:bottom w:val="single" w:sz="4" w:space="0" w:color="FFFFFF"/>
              <w:right w:val="single" w:sz="4" w:space="0" w:color="FFFFFF"/>
            </w:tcBorders>
            <w:shd w:val="clear" w:color="000000" w:fill="92CDDC"/>
            <w:vAlign w:val="center"/>
          </w:tcPr>
          <w:p w14:paraId="2DA04EF9" w14:textId="276F981F"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 xml:space="preserve">Other land </w:t>
            </w:r>
            <w:r>
              <w:rPr>
                <w:rFonts w:ascii="Calibri" w:hAnsi="Calibri"/>
                <w:b/>
                <w:bCs/>
                <w:color w:val="000000"/>
                <w:lang w:eastAsia="en-GB"/>
              </w:rPr>
              <w:t>and</w:t>
            </w:r>
            <w:r w:rsidRPr="00BB0D8A">
              <w:rPr>
                <w:rFonts w:ascii="Calibri" w:hAnsi="Calibri"/>
                <w:b/>
                <w:bCs/>
                <w:color w:val="000000"/>
                <w:lang w:eastAsia="en-GB"/>
              </w:rPr>
              <w:t xml:space="preserve"> buildings</w:t>
            </w:r>
          </w:p>
        </w:tc>
        <w:tc>
          <w:tcPr>
            <w:tcW w:w="1418" w:type="dxa"/>
            <w:tcBorders>
              <w:top w:val="single" w:sz="4" w:space="0" w:color="FFFFFF"/>
              <w:left w:val="nil"/>
              <w:bottom w:val="single" w:sz="4" w:space="0" w:color="FFFFFF"/>
              <w:right w:val="single" w:sz="4" w:space="0" w:color="FFFFFF" w:themeColor="background1"/>
            </w:tcBorders>
            <w:shd w:val="clear" w:color="000000" w:fill="92CDDC"/>
          </w:tcPr>
          <w:p w14:paraId="7A0264DE" w14:textId="274A49D0" w:rsidR="001679F1" w:rsidRPr="00BB1536" w:rsidRDefault="001679F1" w:rsidP="001679F1">
            <w:pPr>
              <w:jc w:val="right"/>
              <w:rPr>
                <w:rFonts w:ascii="Calibri" w:hAnsi="Calibri"/>
                <w:b/>
                <w:bCs/>
                <w:lang w:eastAsia="en-GB"/>
              </w:rPr>
            </w:pPr>
            <w:r w:rsidRPr="00BB1536">
              <w:rPr>
                <w:rFonts w:ascii="Calibri" w:hAnsi="Calibri"/>
                <w:b/>
                <w:bCs/>
                <w:lang w:eastAsia="en-GB"/>
              </w:rPr>
              <w:t xml:space="preserve">Vehicles, Plant, Furniture </w:t>
            </w:r>
            <w:r>
              <w:rPr>
                <w:rFonts w:ascii="Calibri" w:hAnsi="Calibri"/>
                <w:b/>
                <w:bCs/>
                <w:lang w:eastAsia="en-GB"/>
              </w:rPr>
              <w:t>and</w:t>
            </w:r>
            <w:r w:rsidRPr="00BB1536">
              <w:rPr>
                <w:rFonts w:ascii="Calibri" w:hAnsi="Calibri"/>
                <w:b/>
                <w:bCs/>
                <w:lang w:eastAsia="en-GB"/>
              </w:rPr>
              <w:t xml:space="preserve"> Equipment</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92CDDC"/>
          </w:tcPr>
          <w:p w14:paraId="48E4A49D" w14:textId="230E4E31" w:rsidR="001679F1" w:rsidRDefault="001679F1" w:rsidP="001679F1">
            <w:pPr>
              <w:jc w:val="right"/>
              <w:rPr>
                <w:rFonts w:ascii="Calibri" w:hAnsi="Calibri"/>
                <w:b/>
                <w:bCs/>
                <w:color w:val="000000"/>
                <w:lang w:eastAsia="en-GB"/>
              </w:rPr>
            </w:pPr>
            <w:r>
              <w:rPr>
                <w:rFonts w:ascii="Calibri" w:hAnsi="Calibri"/>
                <w:b/>
                <w:bCs/>
                <w:color w:val="000000"/>
                <w:lang w:eastAsia="en-GB"/>
              </w:rPr>
              <w:t>Community Assets</w:t>
            </w:r>
          </w:p>
        </w:tc>
        <w:tc>
          <w:tcPr>
            <w:tcW w:w="993" w:type="dxa"/>
            <w:tcBorders>
              <w:top w:val="nil"/>
              <w:left w:val="single" w:sz="4" w:space="0" w:color="FFFFFF" w:themeColor="background1"/>
              <w:bottom w:val="single" w:sz="4" w:space="0" w:color="FFFFFF"/>
              <w:right w:val="single" w:sz="4" w:space="0" w:color="FFFFFF"/>
            </w:tcBorders>
            <w:shd w:val="clear" w:color="000000" w:fill="92CDDC"/>
            <w:vAlign w:val="center"/>
          </w:tcPr>
          <w:p w14:paraId="068C0091" w14:textId="49901496"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Surplus assets not held for sale</w:t>
            </w:r>
          </w:p>
        </w:tc>
        <w:tc>
          <w:tcPr>
            <w:tcW w:w="1275" w:type="dxa"/>
            <w:tcBorders>
              <w:top w:val="nil"/>
              <w:left w:val="nil"/>
              <w:bottom w:val="single" w:sz="4" w:space="0" w:color="FFFFFF"/>
              <w:right w:val="single" w:sz="4" w:space="0" w:color="FFFFFF"/>
            </w:tcBorders>
            <w:shd w:val="clear" w:color="000000" w:fill="92CDDC"/>
            <w:vAlign w:val="center"/>
          </w:tcPr>
          <w:p w14:paraId="43FE72DF" w14:textId="580FB600"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 xml:space="preserve">Other land </w:t>
            </w:r>
            <w:r>
              <w:rPr>
                <w:rFonts w:ascii="Calibri" w:hAnsi="Calibri"/>
                <w:b/>
                <w:bCs/>
                <w:color w:val="000000"/>
                <w:lang w:eastAsia="en-GB"/>
              </w:rPr>
              <w:t>and</w:t>
            </w:r>
            <w:r w:rsidRPr="00BB0D8A">
              <w:rPr>
                <w:rFonts w:ascii="Calibri" w:hAnsi="Calibri"/>
                <w:b/>
                <w:bCs/>
                <w:color w:val="000000"/>
                <w:lang w:eastAsia="en-GB"/>
              </w:rPr>
              <w:t xml:space="preserve"> buildings</w:t>
            </w:r>
          </w:p>
        </w:tc>
        <w:tc>
          <w:tcPr>
            <w:tcW w:w="964" w:type="dxa"/>
            <w:tcBorders>
              <w:top w:val="nil"/>
              <w:left w:val="nil"/>
              <w:bottom w:val="single" w:sz="4" w:space="0" w:color="FFFFFF"/>
            </w:tcBorders>
            <w:shd w:val="clear" w:color="000000" w:fill="92CDDC"/>
            <w:vAlign w:val="center"/>
          </w:tcPr>
          <w:p w14:paraId="1389B7B2" w14:textId="582FE370"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Total</w:t>
            </w:r>
          </w:p>
        </w:tc>
      </w:tr>
      <w:tr w:rsidR="0090135C" w:rsidRPr="00BB0D8A" w14:paraId="2B05E710"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92CDDC"/>
            <w:vAlign w:val="center"/>
            <w:hideMark/>
          </w:tcPr>
          <w:p w14:paraId="16FCB65F" w14:textId="77777777" w:rsidR="001679F1" w:rsidRPr="00BB0D8A" w:rsidRDefault="001679F1" w:rsidP="001679F1">
            <w:pPr>
              <w:rPr>
                <w:rFonts w:ascii="Calibri" w:hAnsi="Calibri"/>
                <w:color w:val="000000"/>
                <w:lang w:eastAsia="en-GB"/>
              </w:rPr>
            </w:pPr>
            <w:r w:rsidRPr="00BB0D8A">
              <w:rPr>
                <w:rFonts w:ascii="Calibri" w:hAnsi="Calibri"/>
                <w:color w:val="000000"/>
                <w:lang w:eastAsia="en-GB"/>
              </w:rPr>
              <w:t> </w:t>
            </w:r>
          </w:p>
        </w:tc>
        <w:tc>
          <w:tcPr>
            <w:tcW w:w="1134" w:type="dxa"/>
            <w:tcBorders>
              <w:top w:val="nil"/>
              <w:left w:val="nil"/>
              <w:bottom w:val="single" w:sz="4" w:space="0" w:color="FFFFFF"/>
              <w:right w:val="single" w:sz="4" w:space="0" w:color="FFFFFF"/>
            </w:tcBorders>
            <w:shd w:val="clear" w:color="000000" w:fill="92CDDC"/>
            <w:vAlign w:val="center"/>
            <w:hideMark/>
          </w:tcPr>
          <w:p w14:paraId="77ED2A28" w14:textId="77777777"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£’000</w:t>
            </w:r>
          </w:p>
        </w:tc>
        <w:tc>
          <w:tcPr>
            <w:tcW w:w="1134" w:type="dxa"/>
            <w:tcBorders>
              <w:top w:val="nil"/>
              <w:left w:val="nil"/>
              <w:bottom w:val="single" w:sz="4" w:space="0" w:color="FFFFFF"/>
              <w:right w:val="single" w:sz="4" w:space="0" w:color="FFFFFF"/>
            </w:tcBorders>
            <w:shd w:val="clear" w:color="000000" w:fill="92CDDC"/>
            <w:vAlign w:val="center"/>
            <w:hideMark/>
          </w:tcPr>
          <w:p w14:paraId="607743F4" w14:textId="77777777"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£’000</w:t>
            </w:r>
          </w:p>
        </w:tc>
        <w:tc>
          <w:tcPr>
            <w:tcW w:w="1418" w:type="dxa"/>
            <w:tcBorders>
              <w:top w:val="single" w:sz="4" w:space="0" w:color="FFFFFF"/>
              <w:left w:val="nil"/>
              <w:bottom w:val="single" w:sz="4" w:space="0" w:color="FFFFFF"/>
              <w:right w:val="single" w:sz="4" w:space="0" w:color="FFFFFF" w:themeColor="background1"/>
            </w:tcBorders>
            <w:shd w:val="clear" w:color="000000" w:fill="92CDDC"/>
          </w:tcPr>
          <w:p w14:paraId="5A76D88E" w14:textId="77777777" w:rsidR="001679F1" w:rsidRPr="00BB1536" w:rsidRDefault="001679F1" w:rsidP="001679F1">
            <w:pPr>
              <w:jc w:val="right"/>
              <w:rPr>
                <w:rFonts w:ascii="Calibri" w:hAnsi="Calibri"/>
                <w:b/>
                <w:bCs/>
                <w:lang w:eastAsia="en-GB"/>
              </w:rPr>
            </w:pPr>
            <w:r w:rsidRPr="00BB1536">
              <w:rPr>
                <w:rFonts w:ascii="Calibri" w:hAnsi="Calibri"/>
                <w:b/>
                <w:bCs/>
                <w:lang w:eastAsia="en-GB"/>
              </w:rPr>
              <w:t>£’000</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92CDDC"/>
          </w:tcPr>
          <w:p w14:paraId="1C5EB587" w14:textId="77777777" w:rsidR="001679F1" w:rsidRPr="00BB0D8A" w:rsidRDefault="001679F1" w:rsidP="001679F1">
            <w:pPr>
              <w:jc w:val="right"/>
              <w:rPr>
                <w:rFonts w:ascii="Calibri" w:hAnsi="Calibri"/>
                <w:b/>
                <w:bCs/>
                <w:color w:val="000000"/>
                <w:lang w:eastAsia="en-GB"/>
              </w:rPr>
            </w:pPr>
            <w:r>
              <w:rPr>
                <w:rFonts w:ascii="Calibri" w:hAnsi="Calibri"/>
                <w:b/>
                <w:bCs/>
                <w:color w:val="000000"/>
                <w:lang w:eastAsia="en-GB"/>
              </w:rPr>
              <w:t>£’000</w:t>
            </w:r>
          </w:p>
        </w:tc>
        <w:tc>
          <w:tcPr>
            <w:tcW w:w="993" w:type="dxa"/>
            <w:tcBorders>
              <w:top w:val="nil"/>
              <w:left w:val="single" w:sz="4" w:space="0" w:color="FFFFFF" w:themeColor="background1"/>
              <w:bottom w:val="single" w:sz="4" w:space="0" w:color="FFFFFF"/>
              <w:right w:val="single" w:sz="4" w:space="0" w:color="FFFFFF"/>
            </w:tcBorders>
            <w:shd w:val="clear" w:color="000000" w:fill="92CDDC"/>
            <w:vAlign w:val="center"/>
            <w:hideMark/>
          </w:tcPr>
          <w:p w14:paraId="7866ABC5" w14:textId="77777777"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£’000</w:t>
            </w:r>
          </w:p>
        </w:tc>
        <w:tc>
          <w:tcPr>
            <w:tcW w:w="1275" w:type="dxa"/>
            <w:tcBorders>
              <w:top w:val="nil"/>
              <w:left w:val="nil"/>
              <w:bottom w:val="single" w:sz="4" w:space="0" w:color="FFFFFF"/>
              <w:right w:val="single" w:sz="4" w:space="0" w:color="FFFFFF"/>
            </w:tcBorders>
            <w:shd w:val="clear" w:color="000000" w:fill="92CDDC"/>
            <w:vAlign w:val="center"/>
            <w:hideMark/>
          </w:tcPr>
          <w:p w14:paraId="15D89975" w14:textId="77777777"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£’000</w:t>
            </w:r>
          </w:p>
        </w:tc>
        <w:tc>
          <w:tcPr>
            <w:tcW w:w="964" w:type="dxa"/>
            <w:tcBorders>
              <w:top w:val="nil"/>
              <w:left w:val="nil"/>
              <w:bottom w:val="single" w:sz="4" w:space="0" w:color="FFFFFF"/>
              <w:right w:val="single" w:sz="4" w:space="0" w:color="FFFFFF"/>
            </w:tcBorders>
            <w:shd w:val="clear" w:color="000000" w:fill="92CDDC"/>
            <w:vAlign w:val="center"/>
            <w:hideMark/>
          </w:tcPr>
          <w:p w14:paraId="3183DEC5" w14:textId="77777777" w:rsidR="001679F1" w:rsidRPr="00BB0D8A" w:rsidRDefault="001679F1" w:rsidP="001679F1">
            <w:pPr>
              <w:jc w:val="right"/>
              <w:rPr>
                <w:rFonts w:ascii="Calibri" w:hAnsi="Calibri"/>
                <w:b/>
                <w:bCs/>
                <w:color w:val="000000"/>
                <w:lang w:eastAsia="en-GB"/>
              </w:rPr>
            </w:pPr>
            <w:r w:rsidRPr="00BB0D8A">
              <w:rPr>
                <w:rFonts w:ascii="Calibri" w:hAnsi="Calibri"/>
                <w:b/>
                <w:bCs/>
                <w:color w:val="000000"/>
                <w:lang w:eastAsia="en-GB"/>
              </w:rPr>
              <w:t xml:space="preserve"> £’000</w:t>
            </w:r>
          </w:p>
        </w:tc>
      </w:tr>
      <w:tr w:rsidR="0090135C" w:rsidRPr="00BB0D8A" w14:paraId="0743EAA8"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B7DEE8"/>
            <w:vAlign w:val="center"/>
            <w:hideMark/>
          </w:tcPr>
          <w:p w14:paraId="1C7E0CD5" w14:textId="15CBD892" w:rsidR="001679F1" w:rsidRPr="00ED0BA1" w:rsidRDefault="001679F1" w:rsidP="001679F1">
            <w:pPr>
              <w:rPr>
                <w:rFonts w:ascii="Calibri" w:hAnsi="Calibri"/>
                <w:b/>
                <w:bCs/>
                <w:lang w:eastAsia="en-GB"/>
              </w:rPr>
            </w:pPr>
            <w:r w:rsidRPr="00ED0BA1">
              <w:rPr>
                <w:rFonts w:ascii="Calibri" w:hAnsi="Calibri"/>
                <w:b/>
                <w:bCs/>
                <w:lang w:eastAsia="en-GB"/>
              </w:rPr>
              <w:t>Net book value 31 March 20</w:t>
            </w:r>
            <w:r>
              <w:rPr>
                <w:rFonts w:ascii="Calibri" w:hAnsi="Calibri"/>
                <w:b/>
                <w:bCs/>
                <w:lang w:eastAsia="en-GB"/>
              </w:rPr>
              <w:t>2</w:t>
            </w:r>
            <w:r w:rsidR="000663F0">
              <w:rPr>
                <w:rFonts w:ascii="Calibri" w:hAnsi="Calibri"/>
                <w:b/>
                <w:bCs/>
                <w:lang w:eastAsia="en-GB"/>
              </w:rPr>
              <w:t>2</w:t>
            </w:r>
          </w:p>
        </w:tc>
        <w:tc>
          <w:tcPr>
            <w:tcW w:w="1134" w:type="dxa"/>
            <w:tcBorders>
              <w:top w:val="nil"/>
              <w:left w:val="nil"/>
              <w:bottom w:val="single" w:sz="4" w:space="0" w:color="FFFFFF"/>
              <w:right w:val="single" w:sz="4" w:space="0" w:color="FFFFFF"/>
            </w:tcBorders>
            <w:shd w:val="clear" w:color="000000" w:fill="B7DEE8"/>
            <w:vAlign w:val="center"/>
            <w:hideMark/>
          </w:tcPr>
          <w:p w14:paraId="2ABF0DD0" w14:textId="46FE4836" w:rsidR="001679F1" w:rsidRPr="00ED0BA1" w:rsidRDefault="000663F0" w:rsidP="001679F1">
            <w:pPr>
              <w:jc w:val="right"/>
              <w:rPr>
                <w:rFonts w:ascii="Calibri" w:hAnsi="Calibri"/>
                <w:b/>
                <w:bCs/>
                <w:lang w:eastAsia="en-GB"/>
              </w:rPr>
            </w:pPr>
            <w:r>
              <w:rPr>
                <w:rFonts w:ascii="Calibri" w:hAnsi="Calibri"/>
                <w:b/>
                <w:bCs/>
                <w:lang w:eastAsia="en-GB"/>
              </w:rPr>
              <w:t>105</w:t>
            </w:r>
            <w:r w:rsidR="001679F1" w:rsidRPr="00ED0BA1">
              <w:rPr>
                <w:rFonts w:ascii="Calibri" w:hAnsi="Calibri"/>
                <w:b/>
                <w:bCs/>
                <w:lang w:eastAsia="en-GB"/>
              </w:rPr>
              <w:t>,</w:t>
            </w:r>
            <w:r w:rsidR="005C223B">
              <w:rPr>
                <w:rFonts w:ascii="Calibri" w:hAnsi="Calibri"/>
                <w:b/>
                <w:bCs/>
                <w:lang w:eastAsia="en-GB"/>
              </w:rPr>
              <w:t>7</w:t>
            </w:r>
            <w:r>
              <w:rPr>
                <w:rFonts w:ascii="Calibri" w:hAnsi="Calibri"/>
                <w:b/>
                <w:bCs/>
                <w:lang w:eastAsia="en-GB"/>
              </w:rPr>
              <w:t>22</w:t>
            </w:r>
          </w:p>
        </w:tc>
        <w:tc>
          <w:tcPr>
            <w:tcW w:w="1134" w:type="dxa"/>
            <w:tcBorders>
              <w:top w:val="nil"/>
              <w:left w:val="nil"/>
              <w:bottom w:val="single" w:sz="4" w:space="0" w:color="FFFFFF"/>
              <w:right w:val="single" w:sz="4" w:space="0" w:color="FFFFFF"/>
            </w:tcBorders>
            <w:shd w:val="clear" w:color="000000" w:fill="B7DEE8"/>
            <w:vAlign w:val="center"/>
            <w:hideMark/>
          </w:tcPr>
          <w:p w14:paraId="7E81B482" w14:textId="538448E9" w:rsidR="001679F1" w:rsidRPr="00ED0BA1" w:rsidRDefault="005C223B" w:rsidP="001679F1">
            <w:pPr>
              <w:jc w:val="right"/>
              <w:rPr>
                <w:rFonts w:ascii="Calibri" w:hAnsi="Calibri"/>
                <w:b/>
                <w:bCs/>
                <w:lang w:eastAsia="en-GB"/>
              </w:rPr>
            </w:pPr>
            <w:r>
              <w:rPr>
                <w:rFonts w:ascii="Calibri" w:hAnsi="Calibri"/>
                <w:b/>
                <w:bCs/>
                <w:lang w:eastAsia="en-GB"/>
              </w:rPr>
              <w:t>1</w:t>
            </w:r>
            <w:r w:rsidR="001679F1" w:rsidRPr="00ED0BA1">
              <w:rPr>
                <w:rFonts w:ascii="Calibri" w:hAnsi="Calibri"/>
                <w:b/>
                <w:bCs/>
                <w:lang w:eastAsia="en-GB"/>
              </w:rPr>
              <w:t>,</w:t>
            </w:r>
            <w:r>
              <w:rPr>
                <w:rFonts w:ascii="Calibri" w:hAnsi="Calibri"/>
                <w:b/>
                <w:bCs/>
                <w:lang w:eastAsia="en-GB"/>
              </w:rPr>
              <w:t>9</w:t>
            </w:r>
            <w:r w:rsidR="000663F0">
              <w:rPr>
                <w:rFonts w:ascii="Calibri" w:hAnsi="Calibri"/>
                <w:b/>
                <w:bCs/>
                <w:lang w:eastAsia="en-GB"/>
              </w:rPr>
              <w:t>65</w:t>
            </w:r>
          </w:p>
        </w:tc>
        <w:tc>
          <w:tcPr>
            <w:tcW w:w="1418" w:type="dxa"/>
            <w:tcBorders>
              <w:top w:val="single" w:sz="4" w:space="0" w:color="FFFFFF"/>
              <w:left w:val="nil"/>
              <w:bottom w:val="single" w:sz="4" w:space="0" w:color="FFFFFF"/>
              <w:right w:val="single" w:sz="4" w:space="0" w:color="FFFFFF" w:themeColor="background1"/>
            </w:tcBorders>
            <w:shd w:val="clear" w:color="000000" w:fill="B7DEE8"/>
            <w:vAlign w:val="center"/>
          </w:tcPr>
          <w:p w14:paraId="50F6D829" w14:textId="09A98BED" w:rsidR="001679F1" w:rsidRPr="00BB1536" w:rsidRDefault="001679F1" w:rsidP="001679F1">
            <w:pPr>
              <w:jc w:val="right"/>
              <w:rPr>
                <w:rFonts w:ascii="Calibri" w:hAnsi="Calibri"/>
                <w:b/>
                <w:bCs/>
                <w:lang w:eastAsia="en-GB"/>
              </w:rPr>
            </w:pPr>
            <w:r w:rsidRPr="00BB1536">
              <w:rPr>
                <w:rFonts w:ascii="Calibri" w:hAnsi="Calibri"/>
                <w:b/>
                <w:bCs/>
                <w:lang w:eastAsia="en-GB"/>
              </w:rPr>
              <w:t>1</w:t>
            </w:r>
            <w:r w:rsidR="000663F0">
              <w:rPr>
                <w:rFonts w:ascii="Calibri" w:hAnsi="Calibri"/>
                <w:b/>
                <w:bCs/>
                <w:lang w:eastAsia="en-GB"/>
              </w:rPr>
              <w:t>17</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B7DEE8"/>
            <w:vAlign w:val="center"/>
          </w:tcPr>
          <w:p w14:paraId="28CF7D54" w14:textId="77777777" w:rsidR="001679F1" w:rsidRPr="00ED0BA1" w:rsidRDefault="001679F1" w:rsidP="001679F1">
            <w:pPr>
              <w:jc w:val="right"/>
              <w:rPr>
                <w:rFonts w:ascii="Calibri" w:hAnsi="Calibri"/>
                <w:b/>
                <w:bCs/>
                <w:lang w:eastAsia="en-GB"/>
              </w:rPr>
            </w:pPr>
            <w:r>
              <w:rPr>
                <w:rFonts w:ascii="Calibri" w:hAnsi="Calibri"/>
                <w:b/>
                <w:bCs/>
                <w:lang w:eastAsia="en-GB"/>
              </w:rPr>
              <w:t>15</w:t>
            </w:r>
          </w:p>
        </w:tc>
        <w:tc>
          <w:tcPr>
            <w:tcW w:w="993" w:type="dxa"/>
            <w:tcBorders>
              <w:top w:val="nil"/>
              <w:left w:val="single" w:sz="4" w:space="0" w:color="FFFFFF" w:themeColor="background1"/>
              <w:bottom w:val="single" w:sz="4" w:space="0" w:color="FFFFFF"/>
              <w:right w:val="single" w:sz="4" w:space="0" w:color="FFFFFF"/>
            </w:tcBorders>
            <w:shd w:val="clear" w:color="000000" w:fill="B7DEE8"/>
            <w:vAlign w:val="center"/>
            <w:hideMark/>
          </w:tcPr>
          <w:p w14:paraId="3B07D097" w14:textId="3B9DF329" w:rsidR="001679F1" w:rsidRPr="00ED0BA1" w:rsidRDefault="005C223B" w:rsidP="001679F1">
            <w:pPr>
              <w:jc w:val="right"/>
              <w:rPr>
                <w:rFonts w:ascii="Calibri" w:hAnsi="Calibri"/>
                <w:b/>
                <w:bCs/>
                <w:lang w:eastAsia="en-GB"/>
              </w:rPr>
            </w:pPr>
            <w:r>
              <w:rPr>
                <w:rFonts w:ascii="Calibri" w:hAnsi="Calibri"/>
                <w:b/>
                <w:bCs/>
                <w:lang w:eastAsia="en-GB"/>
              </w:rPr>
              <w:t>2</w:t>
            </w:r>
          </w:p>
        </w:tc>
        <w:tc>
          <w:tcPr>
            <w:tcW w:w="1275" w:type="dxa"/>
            <w:tcBorders>
              <w:top w:val="nil"/>
              <w:left w:val="nil"/>
              <w:bottom w:val="single" w:sz="4" w:space="0" w:color="FFFFFF"/>
              <w:right w:val="single" w:sz="4" w:space="0" w:color="FFFFFF"/>
            </w:tcBorders>
            <w:shd w:val="clear" w:color="000000" w:fill="B7DEE8"/>
            <w:vAlign w:val="center"/>
            <w:hideMark/>
          </w:tcPr>
          <w:p w14:paraId="35D9F8DD" w14:textId="77777777" w:rsidR="001679F1" w:rsidRPr="00ED0BA1" w:rsidRDefault="001679F1" w:rsidP="001679F1">
            <w:pPr>
              <w:jc w:val="right"/>
              <w:rPr>
                <w:rFonts w:ascii="Calibri" w:hAnsi="Calibri"/>
                <w:b/>
                <w:bCs/>
                <w:lang w:eastAsia="en-GB"/>
              </w:rPr>
            </w:pPr>
            <w:r>
              <w:rPr>
                <w:rFonts w:ascii="Calibri" w:hAnsi="Calibri"/>
                <w:b/>
                <w:bCs/>
                <w:lang w:eastAsia="en-GB"/>
              </w:rPr>
              <w:t>0</w:t>
            </w:r>
          </w:p>
        </w:tc>
        <w:tc>
          <w:tcPr>
            <w:tcW w:w="964" w:type="dxa"/>
            <w:tcBorders>
              <w:top w:val="nil"/>
              <w:left w:val="nil"/>
              <w:bottom w:val="single" w:sz="4" w:space="0" w:color="FFFFFF"/>
              <w:right w:val="single" w:sz="4" w:space="0" w:color="FFFFFF"/>
            </w:tcBorders>
            <w:shd w:val="clear" w:color="000000" w:fill="B7DEE8"/>
            <w:vAlign w:val="center"/>
            <w:hideMark/>
          </w:tcPr>
          <w:p w14:paraId="062CFF1F" w14:textId="133CCD96" w:rsidR="001679F1" w:rsidRPr="00260F72" w:rsidRDefault="000663F0" w:rsidP="001679F1">
            <w:pPr>
              <w:jc w:val="right"/>
              <w:rPr>
                <w:rFonts w:ascii="Calibri" w:hAnsi="Calibri"/>
                <w:b/>
                <w:bCs/>
                <w:lang w:eastAsia="en-GB"/>
              </w:rPr>
            </w:pPr>
            <w:r>
              <w:rPr>
                <w:rFonts w:ascii="Calibri" w:hAnsi="Calibri"/>
                <w:b/>
                <w:bCs/>
                <w:lang w:eastAsia="en-GB"/>
              </w:rPr>
              <w:t>107</w:t>
            </w:r>
            <w:r w:rsidR="001679F1" w:rsidRPr="00260F72">
              <w:rPr>
                <w:rFonts w:ascii="Calibri" w:hAnsi="Calibri"/>
                <w:b/>
                <w:bCs/>
                <w:lang w:eastAsia="en-GB"/>
              </w:rPr>
              <w:t>,</w:t>
            </w:r>
            <w:r>
              <w:rPr>
                <w:rFonts w:ascii="Calibri" w:hAnsi="Calibri"/>
                <w:b/>
                <w:bCs/>
                <w:lang w:eastAsia="en-GB"/>
              </w:rPr>
              <w:t>821</w:t>
            </w:r>
          </w:p>
        </w:tc>
      </w:tr>
      <w:tr w:rsidR="0090135C" w:rsidRPr="00BB0D8A" w14:paraId="628632EF"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538DF0D1" w14:textId="77777777" w:rsidR="001679F1" w:rsidRPr="00ED0BA1" w:rsidRDefault="001679F1" w:rsidP="001679F1">
            <w:pPr>
              <w:rPr>
                <w:rFonts w:ascii="Calibri" w:hAnsi="Calibri"/>
                <w:lang w:eastAsia="en-GB"/>
              </w:rPr>
            </w:pPr>
            <w:r w:rsidRPr="00ED0BA1">
              <w:rPr>
                <w:rFonts w:ascii="Calibri" w:hAnsi="Calibri"/>
                <w:bCs/>
                <w:lang w:eastAsia="en-GB"/>
              </w:rPr>
              <w:t>Revaluation Adjustment</w:t>
            </w:r>
          </w:p>
        </w:tc>
        <w:tc>
          <w:tcPr>
            <w:tcW w:w="1134" w:type="dxa"/>
            <w:tcBorders>
              <w:top w:val="nil"/>
              <w:left w:val="nil"/>
              <w:bottom w:val="single" w:sz="4" w:space="0" w:color="FFFFFF"/>
              <w:right w:val="single" w:sz="4" w:space="0" w:color="FFFFFF"/>
            </w:tcBorders>
            <w:shd w:val="clear" w:color="000000" w:fill="DAEEF3"/>
            <w:vAlign w:val="center"/>
          </w:tcPr>
          <w:p w14:paraId="075C6E33" w14:textId="3BA7DBC5" w:rsidR="001679F1" w:rsidRPr="00ED0BA1" w:rsidRDefault="00A3430F" w:rsidP="001679F1">
            <w:pPr>
              <w:jc w:val="right"/>
              <w:rPr>
                <w:rFonts w:ascii="Calibri" w:hAnsi="Calibri"/>
                <w:lang w:eastAsia="en-GB"/>
              </w:rPr>
            </w:pPr>
            <w:r>
              <w:rPr>
                <w:rFonts w:ascii="Calibri" w:hAnsi="Calibri"/>
                <w:lang w:eastAsia="en-GB"/>
              </w:rPr>
              <w:t>0</w:t>
            </w:r>
          </w:p>
        </w:tc>
        <w:tc>
          <w:tcPr>
            <w:tcW w:w="1134" w:type="dxa"/>
            <w:tcBorders>
              <w:top w:val="nil"/>
              <w:left w:val="nil"/>
              <w:bottom w:val="single" w:sz="4" w:space="0" w:color="FFFFFF"/>
              <w:right w:val="single" w:sz="4" w:space="0" w:color="FFFFFF"/>
            </w:tcBorders>
            <w:shd w:val="clear" w:color="000000" w:fill="DAEEF3"/>
            <w:vAlign w:val="center"/>
          </w:tcPr>
          <w:p w14:paraId="7FFC600F" w14:textId="31A6E51E" w:rsidR="001679F1" w:rsidRPr="00ED0BA1" w:rsidRDefault="00A3430F" w:rsidP="001679F1">
            <w:pPr>
              <w:jc w:val="right"/>
              <w:rPr>
                <w:rFonts w:ascii="Calibri" w:hAnsi="Calibri"/>
                <w:lang w:eastAsia="en-GB"/>
              </w:rPr>
            </w:pPr>
            <w:r>
              <w:rPr>
                <w:rFonts w:ascii="Calibri" w:hAnsi="Calibri"/>
                <w:lang w:eastAsia="en-GB"/>
              </w:rPr>
              <w:t>0</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0FFE0EDF" w14:textId="6AB06D7D" w:rsidR="001679F1" w:rsidRPr="00BB1536" w:rsidRDefault="00A3430F" w:rsidP="001679F1">
            <w:pPr>
              <w:jc w:val="right"/>
              <w:rPr>
                <w:rFonts w:ascii="Calibri" w:hAnsi="Calibri"/>
                <w:lang w:eastAsia="en-GB"/>
              </w:rPr>
            </w:pPr>
            <w:r>
              <w:rPr>
                <w:rFonts w:ascii="Calibri" w:hAnsi="Calibri"/>
                <w:lang w:eastAsia="en-GB"/>
              </w:rPr>
              <w:t>0</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208D3863" w14:textId="0D653A17" w:rsidR="001679F1" w:rsidRDefault="00A3430F" w:rsidP="001679F1">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64B8EA5B" w14:textId="7F724A7C" w:rsidR="001679F1" w:rsidRPr="00ED0BA1" w:rsidRDefault="00A3430F" w:rsidP="001679F1">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25038E56" w14:textId="5EA077D9" w:rsidR="001679F1" w:rsidRPr="00ED0BA1" w:rsidRDefault="00A3430F" w:rsidP="001679F1">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14783497" w14:textId="4D22A2F6" w:rsidR="001679F1" w:rsidRPr="00260F72" w:rsidRDefault="00A3430F" w:rsidP="001679F1">
            <w:pPr>
              <w:jc w:val="right"/>
              <w:rPr>
                <w:rFonts w:ascii="Calibri" w:hAnsi="Calibri"/>
                <w:lang w:eastAsia="en-GB"/>
              </w:rPr>
            </w:pPr>
            <w:r>
              <w:rPr>
                <w:rFonts w:ascii="Calibri" w:hAnsi="Calibri"/>
                <w:lang w:eastAsia="en-GB"/>
              </w:rPr>
              <w:t>0</w:t>
            </w:r>
          </w:p>
        </w:tc>
      </w:tr>
      <w:tr w:rsidR="0090135C" w:rsidRPr="00BB0D8A" w14:paraId="7DAFCBF2"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B7DEE8"/>
            <w:vAlign w:val="center"/>
            <w:hideMark/>
          </w:tcPr>
          <w:p w14:paraId="515CEFDD" w14:textId="5D5DA7EA" w:rsidR="001679F1" w:rsidRPr="00ED0BA1" w:rsidRDefault="001679F1" w:rsidP="001679F1">
            <w:pPr>
              <w:rPr>
                <w:rFonts w:ascii="Calibri" w:hAnsi="Calibri"/>
                <w:b/>
                <w:bCs/>
                <w:lang w:eastAsia="en-GB"/>
              </w:rPr>
            </w:pPr>
            <w:r w:rsidRPr="00ED0BA1">
              <w:rPr>
                <w:rFonts w:ascii="Calibri" w:hAnsi="Calibri"/>
                <w:b/>
                <w:bCs/>
                <w:lang w:eastAsia="en-GB"/>
              </w:rPr>
              <w:t>Net Book Value 1 April 20</w:t>
            </w:r>
            <w:r>
              <w:rPr>
                <w:rFonts w:ascii="Calibri" w:hAnsi="Calibri"/>
                <w:b/>
                <w:bCs/>
                <w:lang w:eastAsia="en-GB"/>
              </w:rPr>
              <w:t>2</w:t>
            </w:r>
            <w:r w:rsidR="000663F0">
              <w:rPr>
                <w:rFonts w:ascii="Calibri" w:hAnsi="Calibri"/>
                <w:b/>
                <w:bCs/>
                <w:lang w:eastAsia="en-GB"/>
              </w:rPr>
              <w:t>2</w:t>
            </w:r>
          </w:p>
        </w:tc>
        <w:tc>
          <w:tcPr>
            <w:tcW w:w="1134" w:type="dxa"/>
            <w:tcBorders>
              <w:top w:val="nil"/>
              <w:left w:val="nil"/>
              <w:bottom w:val="single" w:sz="4" w:space="0" w:color="FFFFFF"/>
              <w:right w:val="single" w:sz="4" w:space="0" w:color="FFFFFF"/>
            </w:tcBorders>
            <w:shd w:val="clear" w:color="000000" w:fill="B7DEE8"/>
            <w:vAlign w:val="center"/>
          </w:tcPr>
          <w:p w14:paraId="756AC07B" w14:textId="24FCB17A" w:rsidR="001679F1" w:rsidRPr="00ED0BA1" w:rsidRDefault="00A3430F" w:rsidP="001679F1">
            <w:pPr>
              <w:jc w:val="right"/>
              <w:rPr>
                <w:rFonts w:ascii="Calibri" w:hAnsi="Calibri"/>
                <w:lang w:eastAsia="en-GB"/>
              </w:rPr>
            </w:pPr>
            <w:r>
              <w:rPr>
                <w:rFonts w:ascii="Calibri" w:hAnsi="Calibri"/>
                <w:lang w:eastAsia="en-GB"/>
              </w:rPr>
              <w:t>105,722</w:t>
            </w:r>
          </w:p>
        </w:tc>
        <w:tc>
          <w:tcPr>
            <w:tcW w:w="1134" w:type="dxa"/>
            <w:tcBorders>
              <w:top w:val="nil"/>
              <w:left w:val="nil"/>
              <w:bottom w:val="single" w:sz="4" w:space="0" w:color="FFFFFF"/>
              <w:right w:val="single" w:sz="4" w:space="0" w:color="FFFFFF"/>
            </w:tcBorders>
            <w:shd w:val="clear" w:color="000000" w:fill="B7DEE8"/>
            <w:vAlign w:val="center"/>
          </w:tcPr>
          <w:p w14:paraId="1B672EAA" w14:textId="03A0ACDA" w:rsidR="001679F1" w:rsidRPr="00ED0BA1" w:rsidRDefault="00A3430F" w:rsidP="001679F1">
            <w:pPr>
              <w:jc w:val="right"/>
              <w:rPr>
                <w:rFonts w:ascii="Calibri" w:hAnsi="Calibri"/>
                <w:lang w:eastAsia="en-GB"/>
              </w:rPr>
            </w:pPr>
            <w:r>
              <w:rPr>
                <w:rFonts w:ascii="Calibri" w:hAnsi="Calibri"/>
                <w:lang w:eastAsia="en-GB"/>
              </w:rPr>
              <w:t>1,965</w:t>
            </w:r>
          </w:p>
        </w:tc>
        <w:tc>
          <w:tcPr>
            <w:tcW w:w="1418" w:type="dxa"/>
            <w:tcBorders>
              <w:top w:val="single" w:sz="4" w:space="0" w:color="FFFFFF"/>
              <w:left w:val="nil"/>
              <w:bottom w:val="single" w:sz="4" w:space="0" w:color="FFFFFF"/>
              <w:right w:val="single" w:sz="4" w:space="0" w:color="FFFFFF" w:themeColor="background1"/>
            </w:tcBorders>
            <w:shd w:val="clear" w:color="000000" w:fill="B7DEE8"/>
            <w:vAlign w:val="center"/>
          </w:tcPr>
          <w:p w14:paraId="6075EC86" w14:textId="68337FAD" w:rsidR="001679F1" w:rsidRPr="00BB1536" w:rsidRDefault="00A3430F" w:rsidP="001679F1">
            <w:pPr>
              <w:jc w:val="right"/>
              <w:rPr>
                <w:rFonts w:ascii="Calibri" w:hAnsi="Calibri"/>
                <w:lang w:eastAsia="en-GB"/>
              </w:rPr>
            </w:pPr>
            <w:r>
              <w:rPr>
                <w:rFonts w:ascii="Calibri" w:hAnsi="Calibri"/>
                <w:lang w:eastAsia="en-GB"/>
              </w:rPr>
              <w:t>117</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B7DEE8"/>
            <w:vAlign w:val="center"/>
          </w:tcPr>
          <w:p w14:paraId="26FFB66F" w14:textId="55CEF1AD" w:rsidR="001679F1" w:rsidRDefault="00A3430F" w:rsidP="001679F1">
            <w:pPr>
              <w:jc w:val="right"/>
              <w:rPr>
                <w:rFonts w:ascii="Calibri" w:hAnsi="Calibri"/>
                <w:lang w:eastAsia="en-GB"/>
              </w:rPr>
            </w:pPr>
            <w:r>
              <w:rPr>
                <w:rFonts w:ascii="Calibri" w:hAnsi="Calibri"/>
                <w:lang w:eastAsia="en-GB"/>
              </w:rPr>
              <w:t>15</w:t>
            </w:r>
          </w:p>
        </w:tc>
        <w:tc>
          <w:tcPr>
            <w:tcW w:w="993" w:type="dxa"/>
            <w:tcBorders>
              <w:top w:val="nil"/>
              <w:left w:val="single" w:sz="4" w:space="0" w:color="FFFFFF" w:themeColor="background1"/>
              <w:bottom w:val="single" w:sz="4" w:space="0" w:color="FFFFFF"/>
              <w:right w:val="single" w:sz="4" w:space="0" w:color="FFFFFF"/>
            </w:tcBorders>
            <w:shd w:val="clear" w:color="000000" w:fill="B7DEE8"/>
            <w:vAlign w:val="center"/>
          </w:tcPr>
          <w:p w14:paraId="3B068D6D" w14:textId="7F1A6FC8" w:rsidR="001679F1" w:rsidRPr="00ED0BA1" w:rsidRDefault="00A3430F" w:rsidP="001679F1">
            <w:pPr>
              <w:jc w:val="right"/>
              <w:rPr>
                <w:rFonts w:ascii="Calibri" w:hAnsi="Calibri"/>
                <w:lang w:eastAsia="en-GB"/>
              </w:rPr>
            </w:pPr>
            <w:r>
              <w:rPr>
                <w:rFonts w:ascii="Calibri" w:hAnsi="Calibri"/>
                <w:lang w:eastAsia="en-GB"/>
              </w:rPr>
              <w:t>2</w:t>
            </w:r>
          </w:p>
        </w:tc>
        <w:tc>
          <w:tcPr>
            <w:tcW w:w="1275" w:type="dxa"/>
            <w:tcBorders>
              <w:top w:val="nil"/>
              <w:left w:val="nil"/>
              <w:bottom w:val="single" w:sz="4" w:space="0" w:color="FFFFFF"/>
              <w:right w:val="single" w:sz="4" w:space="0" w:color="FFFFFF"/>
            </w:tcBorders>
            <w:shd w:val="clear" w:color="000000" w:fill="B7DEE8"/>
            <w:vAlign w:val="center"/>
          </w:tcPr>
          <w:p w14:paraId="056C64EB" w14:textId="343F481D" w:rsidR="001679F1" w:rsidRPr="00ED0BA1" w:rsidRDefault="00A3430F" w:rsidP="001679F1">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B7DEE8"/>
            <w:vAlign w:val="center"/>
          </w:tcPr>
          <w:p w14:paraId="49E81A8C" w14:textId="109245FE" w:rsidR="001679F1" w:rsidRDefault="00A3430F" w:rsidP="001679F1">
            <w:pPr>
              <w:jc w:val="right"/>
              <w:rPr>
                <w:rFonts w:ascii="Calibri" w:hAnsi="Calibri"/>
                <w:lang w:eastAsia="en-GB"/>
              </w:rPr>
            </w:pPr>
            <w:r>
              <w:rPr>
                <w:rFonts w:ascii="Calibri" w:hAnsi="Calibri"/>
                <w:lang w:eastAsia="en-GB"/>
              </w:rPr>
              <w:t>107</w:t>
            </w:r>
            <w:r w:rsidR="00451BC8">
              <w:rPr>
                <w:rFonts w:ascii="Calibri" w:hAnsi="Calibri"/>
                <w:lang w:eastAsia="en-GB"/>
              </w:rPr>
              <w:t>,</w:t>
            </w:r>
            <w:r>
              <w:rPr>
                <w:rFonts w:ascii="Calibri" w:hAnsi="Calibri"/>
                <w:lang w:eastAsia="en-GB"/>
              </w:rPr>
              <w:t>821</w:t>
            </w:r>
          </w:p>
          <w:p w14:paraId="2A684870" w14:textId="19220A0C" w:rsidR="00A3430F" w:rsidRPr="00260F72" w:rsidRDefault="00A3430F" w:rsidP="001679F1">
            <w:pPr>
              <w:jc w:val="right"/>
              <w:rPr>
                <w:rFonts w:ascii="Calibri" w:hAnsi="Calibri"/>
                <w:lang w:eastAsia="en-GB"/>
              </w:rPr>
            </w:pPr>
          </w:p>
        </w:tc>
      </w:tr>
      <w:tr w:rsidR="0090135C" w:rsidRPr="00BB0D8A" w14:paraId="09A13A8E" w14:textId="77777777" w:rsidTr="0090135C">
        <w:trPr>
          <w:trHeight w:val="300"/>
        </w:trPr>
        <w:tc>
          <w:tcPr>
            <w:tcW w:w="2312" w:type="dxa"/>
            <w:tcBorders>
              <w:top w:val="nil"/>
              <w:left w:val="single" w:sz="4" w:space="0" w:color="FFFFFF"/>
              <w:bottom w:val="single" w:sz="4" w:space="0" w:color="FFFFFF"/>
              <w:right w:val="nil"/>
            </w:tcBorders>
            <w:shd w:val="clear" w:color="000000" w:fill="DAEEF3"/>
            <w:vAlign w:val="center"/>
            <w:hideMark/>
          </w:tcPr>
          <w:p w14:paraId="5C300C42" w14:textId="0C242A7E" w:rsidR="001679F1" w:rsidRPr="00ED0BA1" w:rsidRDefault="001679F1" w:rsidP="001679F1">
            <w:pPr>
              <w:rPr>
                <w:rFonts w:ascii="Calibri" w:hAnsi="Calibri"/>
                <w:b/>
                <w:bCs/>
                <w:lang w:eastAsia="en-GB"/>
              </w:rPr>
            </w:pPr>
            <w:r w:rsidRPr="00ED0BA1">
              <w:rPr>
                <w:rFonts w:ascii="Calibri" w:hAnsi="Calibri"/>
                <w:b/>
                <w:bCs/>
                <w:lang w:eastAsia="en-GB"/>
              </w:rPr>
              <w:t>Movement in 20</w:t>
            </w:r>
            <w:r>
              <w:rPr>
                <w:rFonts w:ascii="Calibri" w:hAnsi="Calibri"/>
                <w:b/>
                <w:bCs/>
                <w:lang w:eastAsia="en-GB"/>
              </w:rPr>
              <w:t>2</w:t>
            </w:r>
            <w:r w:rsidR="000663F0">
              <w:rPr>
                <w:rFonts w:ascii="Calibri" w:hAnsi="Calibri"/>
                <w:b/>
                <w:bCs/>
                <w:lang w:eastAsia="en-GB"/>
              </w:rPr>
              <w:t>2</w:t>
            </w:r>
            <w:r w:rsidR="005C223B">
              <w:rPr>
                <w:rFonts w:ascii="Calibri" w:hAnsi="Calibri"/>
                <w:b/>
                <w:bCs/>
                <w:lang w:eastAsia="en-GB"/>
              </w:rPr>
              <w:t>-2</w:t>
            </w:r>
            <w:r w:rsidR="000663F0">
              <w:rPr>
                <w:rFonts w:ascii="Calibri" w:hAnsi="Calibri"/>
                <w:b/>
                <w:bCs/>
                <w:lang w:eastAsia="en-GB"/>
              </w:rPr>
              <w:t>3</w:t>
            </w:r>
          </w:p>
        </w:tc>
        <w:tc>
          <w:tcPr>
            <w:tcW w:w="1134" w:type="dxa"/>
            <w:tcBorders>
              <w:top w:val="nil"/>
              <w:left w:val="nil"/>
              <w:bottom w:val="single" w:sz="4" w:space="0" w:color="FFFFFF"/>
              <w:right w:val="nil"/>
            </w:tcBorders>
            <w:shd w:val="clear" w:color="000000" w:fill="DAEEF3"/>
            <w:vAlign w:val="center"/>
          </w:tcPr>
          <w:p w14:paraId="3A5317DE" w14:textId="77777777" w:rsidR="001679F1" w:rsidRPr="00ED0BA1" w:rsidRDefault="001679F1" w:rsidP="001679F1">
            <w:pPr>
              <w:rPr>
                <w:rFonts w:ascii="Calibri" w:hAnsi="Calibri"/>
                <w:lang w:eastAsia="en-GB"/>
              </w:rPr>
            </w:pPr>
          </w:p>
        </w:tc>
        <w:tc>
          <w:tcPr>
            <w:tcW w:w="1134" w:type="dxa"/>
            <w:tcBorders>
              <w:top w:val="nil"/>
              <w:left w:val="nil"/>
              <w:bottom w:val="single" w:sz="4" w:space="0" w:color="FFFFFF"/>
              <w:right w:val="nil"/>
            </w:tcBorders>
            <w:shd w:val="clear" w:color="000000" w:fill="DAEEF3"/>
            <w:vAlign w:val="center"/>
          </w:tcPr>
          <w:p w14:paraId="20C77BF6" w14:textId="77777777" w:rsidR="001679F1" w:rsidRPr="00ED0BA1" w:rsidRDefault="001679F1" w:rsidP="001679F1">
            <w:pPr>
              <w:rPr>
                <w:rFonts w:ascii="Calibri" w:hAnsi="Calibri"/>
                <w:lang w:eastAsia="en-GB"/>
              </w:rPr>
            </w:pP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1FEB5DD1" w14:textId="77777777" w:rsidR="001679F1" w:rsidRPr="00BB1536" w:rsidRDefault="001679F1" w:rsidP="001679F1">
            <w:pPr>
              <w:jc w:val="right"/>
              <w:rPr>
                <w:rFonts w:ascii="Calibri" w:hAnsi="Calibri"/>
                <w:lang w:eastAsia="en-GB"/>
              </w:rPr>
            </w:pP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237ADF6A" w14:textId="77777777" w:rsidR="001679F1" w:rsidRPr="00ED0BA1" w:rsidRDefault="001679F1" w:rsidP="001679F1">
            <w:pPr>
              <w:jc w:val="right"/>
              <w:rPr>
                <w:rFonts w:ascii="Calibri" w:hAnsi="Calibri"/>
                <w:lang w:eastAsia="en-GB"/>
              </w:rPr>
            </w:pPr>
          </w:p>
        </w:tc>
        <w:tc>
          <w:tcPr>
            <w:tcW w:w="993" w:type="dxa"/>
            <w:tcBorders>
              <w:top w:val="nil"/>
              <w:left w:val="single" w:sz="4" w:space="0" w:color="FFFFFF" w:themeColor="background1"/>
              <w:bottom w:val="single" w:sz="4" w:space="0" w:color="FFFFFF"/>
              <w:right w:val="nil"/>
            </w:tcBorders>
            <w:shd w:val="clear" w:color="000000" w:fill="DAEEF3"/>
            <w:vAlign w:val="center"/>
          </w:tcPr>
          <w:p w14:paraId="3BD999BC" w14:textId="77777777" w:rsidR="001679F1" w:rsidRPr="00ED0BA1" w:rsidRDefault="001679F1" w:rsidP="001679F1">
            <w:pPr>
              <w:rPr>
                <w:rFonts w:ascii="Calibri" w:hAnsi="Calibri"/>
                <w:lang w:eastAsia="en-GB"/>
              </w:rPr>
            </w:pPr>
          </w:p>
        </w:tc>
        <w:tc>
          <w:tcPr>
            <w:tcW w:w="1275" w:type="dxa"/>
            <w:tcBorders>
              <w:top w:val="nil"/>
              <w:left w:val="nil"/>
              <w:bottom w:val="single" w:sz="4" w:space="0" w:color="FFFFFF"/>
              <w:right w:val="nil"/>
            </w:tcBorders>
            <w:shd w:val="clear" w:color="000000" w:fill="DAEEF3"/>
            <w:vAlign w:val="center"/>
          </w:tcPr>
          <w:p w14:paraId="25EB8BED" w14:textId="77777777" w:rsidR="001679F1" w:rsidRPr="00ED0BA1" w:rsidRDefault="001679F1" w:rsidP="001679F1">
            <w:pPr>
              <w:rPr>
                <w:rFonts w:ascii="Calibri" w:hAnsi="Calibri"/>
                <w:lang w:eastAsia="en-GB"/>
              </w:rPr>
            </w:pPr>
          </w:p>
        </w:tc>
        <w:tc>
          <w:tcPr>
            <w:tcW w:w="964" w:type="dxa"/>
            <w:tcBorders>
              <w:top w:val="nil"/>
              <w:left w:val="nil"/>
              <w:bottom w:val="single" w:sz="4" w:space="0" w:color="FFFFFF"/>
              <w:right w:val="single" w:sz="4" w:space="0" w:color="FFFFFF"/>
            </w:tcBorders>
            <w:shd w:val="clear" w:color="000000" w:fill="DAEEF3"/>
            <w:vAlign w:val="center"/>
          </w:tcPr>
          <w:p w14:paraId="5863D9A3" w14:textId="77777777" w:rsidR="001679F1" w:rsidRPr="00260F72" w:rsidRDefault="001679F1" w:rsidP="001679F1">
            <w:pPr>
              <w:rPr>
                <w:rFonts w:ascii="Calibri" w:hAnsi="Calibri"/>
                <w:lang w:eastAsia="en-GB"/>
              </w:rPr>
            </w:pPr>
          </w:p>
        </w:tc>
      </w:tr>
      <w:tr w:rsidR="0090135C" w:rsidRPr="00BB0D8A" w14:paraId="6A004CF2"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09500220" w14:textId="77777777" w:rsidR="001679F1" w:rsidRPr="00ED0BA1" w:rsidRDefault="001679F1" w:rsidP="001679F1">
            <w:pPr>
              <w:rPr>
                <w:rFonts w:ascii="Calibri" w:hAnsi="Calibri"/>
                <w:lang w:eastAsia="en-GB"/>
              </w:rPr>
            </w:pPr>
            <w:r w:rsidRPr="00ED0BA1">
              <w:rPr>
                <w:rFonts w:ascii="Calibri" w:hAnsi="Calibri"/>
                <w:lang w:eastAsia="en-GB"/>
              </w:rPr>
              <w:t>Spending in Year</w:t>
            </w:r>
          </w:p>
        </w:tc>
        <w:tc>
          <w:tcPr>
            <w:tcW w:w="1134" w:type="dxa"/>
            <w:tcBorders>
              <w:top w:val="nil"/>
              <w:left w:val="nil"/>
              <w:bottom w:val="single" w:sz="4" w:space="0" w:color="FFFFFF"/>
              <w:right w:val="single" w:sz="4" w:space="0" w:color="FFFFFF"/>
            </w:tcBorders>
            <w:shd w:val="clear" w:color="000000" w:fill="DAEEF3"/>
            <w:vAlign w:val="center"/>
          </w:tcPr>
          <w:p w14:paraId="5D6E435D" w14:textId="0F4C722E" w:rsidR="001679F1" w:rsidRPr="00ED0BA1" w:rsidRDefault="00A3430F" w:rsidP="00451BC8">
            <w:pPr>
              <w:jc w:val="right"/>
              <w:rPr>
                <w:rFonts w:ascii="Calibri" w:hAnsi="Calibri"/>
                <w:lang w:eastAsia="en-GB"/>
              </w:rPr>
            </w:pPr>
            <w:r>
              <w:rPr>
                <w:rFonts w:ascii="Calibri" w:hAnsi="Calibri"/>
                <w:lang w:eastAsia="en-GB"/>
              </w:rPr>
              <w:t>3,24</w:t>
            </w:r>
            <w:r w:rsidR="00451BC8">
              <w:rPr>
                <w:rFonts w:ascii="Calibri" w:hAnsi="Calibri"/>
                <w:lang w:eastAsia="en-GB"/>
              </w:rPr>
              <w:t>8</w:t>
            </w:r>
          </w:p>
        </w:tc>
        <w:tc>
          <w:tcPr>
            <w:tcW w:w="1134" w:type="dxa"/>
            <w:tcBorders>
              <w:top w:val="nil"/>
              <w:left w:val="nil"/>
              <w:bottom w:val="single" w:sz="4" w:space="0" w:color="FFFFFF"/>
              <w:right w:val="single" w:sz="4" w:space="0" w:color="FFFFFF"/>
            </w:tcBorders>
            <w:shd w:val="clear" w:color="000000" w:fill="DAEEF3"/>
            <w:vAlign w:val="center"/>
          </w:tcPr>
          <w:p w14:paraId="6A1B3A66" w14:textId="107B3FF4" w:rsidR="001679F1" w:rsidRPr="00ED0BA1" w:rsidRDefault="00A3430F" w:rsidP="00451BC8">
            <w:pPr>
              <w:jc w:val="right"/>
              <w:rPr>
                <w:rFonts w:ascii="Calibri" w:hAnsi="Calibri"/>
                <w:lang w:eastAsia="en-GB"/>
              </w:rPr>
            </w:pPr>
            <w:r>
              <w:rPr>
                <w:rFonts w:ascii="Calibri" w:hAnsi="Calibri"/>
                <w:lang w:eastAsia="en-GB"/>
              </w:rPr>
              <w:t>173</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319C3F4F" w14:textId="3E75979E" w:rsidR="001679F1" w:rsidRPr="00BB1536" w:rsidRDefault="00A3430F" w:rsidP="00451BC8">
            <w:pPr>
              <w:jc w:val="right"/>
              <w:rPr>
                <w:rFonts w:ascii="Calibri" w:hAnsi="Calibri"/>
                <w:lang w:eastAsia="en-GB"/>
              </w:rPr>
            </w:pPr>
            <w:r>
              <w:rPr>
                <w:rFonts w:ascii="Calibri" w:hAnsi="Calibri"/>
                <w:lang w:eastAsia="en-GB"/>
              </w:rPr>
              <w:t>19</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523594E3" w14:textId="40466708" w:rsidR="001679F1" w:rsidRDefault="00A3430F"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6C9DA479" w14:textId="67EB878E" w:rsidR="001679F1" w:rsidRPr="00ED0BA1" w:rsidRDefault="00A3430F"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76BBB841" w14:textId="51BC30C5" w:rsidR="001679F1" w:rsidRPr="00ED0BA1" w:rsidRDefault="00A3430F"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1A989106" w14:textId="5C3C4E3C" w:rsidR="001679F1" w:rsidRPr="00260F72" w:rsidRDefault="00A3430F" w:rsidP="00451BC8">
            <w:pPr>
              <w:jc w:val="right"/>
              <w:rPr>
                <w:rFonts w:ascii="Calibri" w:hAnsi="Calibri"/>
                <w:lang w:eastAsia="en-GB"/>
              </w:rPr>
            </w:pPr>
            <w:r>
              <w:rPr>
                <w:rFonts w:ascii="Calibri" w:hAnsi="Calibri"/>
                <w:lang w:eastAsia="en-GB"/>
              </w:rPr>
              <w:t>3,44</w:t>
            </w:r>
            <w:r w:rsidR="00451BC8">
              <w:rPr>
                <w:rFonts w:ascii="Calibri" w:hAnsi="Calibri"/>
                <w:lang w:eastAsia="en-GB"/>
              </w:rPr>
              <w:t>0</w:t>
            </w:r>
          </w:p>
        </w:tc>
      </w:tr>
      <w:tr w:rsidR="0090135C" w:rsidRPr="00BB0D8A" w14:paraId="4D8BACB7"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2894E1D7" w14:textId="77777777" w:rsidR="001679F1" w:rsidRPr="00ED0BA1" w:rsidRDefault="001679F1" w:rsidP="001679F1">
            <w:pPr>
              <w:rPr>
                <w:rFonts w:ascii="Calibri" w:hAnsi="Calibri"/>
                <w:lang w:eastAsia="en-GB"/>
              </w:rPr>
            </w:pPr>
            <w:r w:rsidRPr="00ED0BA1">
              <w:rPr>
                <w:rFonts w:ascii="Calibri" w:hAnsi="Calibri"/>
                <w:lang w:eastAsia="en-GB"/>
              </w:rPr>
              <w:t>Disposals</w:t>
            </w:r>
          </w:p>
        </w:tc>
        <w:tc>
          <w:tcPr>
            <w:tcW w:w="1134" w:type="dxa"/>
            <w:tcBorders>
              <w:top w:val="nil"/>
              <w:left w:val="nil"/>
              <w:bottom w:val="single" w:sz="4" w:space="0" w:color="FFFFFF"/>
              <w:right w:val="single" w:sz="4" w:space="0" w:color="FFFFFF"/>
            </w:tcBorders>
            <w:shd w:val="clear" w:color="000000" w:fill="DAEEF3"/>
            <w:vAlign w:val="center"/>
          </w:tcPr>
          <w:p w14:paraId="72A8CD98" w14:textId="691C889C" w:rsidR="001679F1" w:rsidRPr="00ED0BA1" w:rsidRDefault="00A3430F" w:rsidP="00451BC8">
            <w:pPr>
              <w:jc w:val="right"/>
              <w:rPr>
                <w:rFonts w:ascii="Calibri" w:hAnsi="Calibri"/>
                <w:lang w:eastAsia="en-GB"/>
              </w:rPr>
            </w:pPr>
            <w:r>
              <w:rPr>
                <w:rFonts w:ascii="Calibri" w:hAnsi="Calibri"/>
                <w:lang w:eastAsia="en-GB"/>
              </w:rPr>
              <w:t>-753</w:t>
            </w:r>
          </w:p>
        </w:tc>
        <w:tc>
          <w:tcPr>
            <w:tcW w:w="1134" w:type="dxa"/>
            <w:tcBorders>
              <w:top w:val="nil"/>
              <w:left w:val="nil"/>
              <w:bottom w:val="single" w:sz="4" w:space="0" w:color="FFFFFF"/>
              <w:right w:val="single" w:sz="4" w:space="0" w:color="FFFFFF"/>
            </w:tcBorders>
            <w:shd w:val="clear" w:color="000000" w:fill="DAEEF3"/>
            <w:vAlign w:val="center"/>
          </w:tcPr>
          <w:p w14:paraId="50E42DEA" w14:textId="775F80D5" w:rsidR="00D63692" w:rsidRPr="00ED0BA1" w:rsidRDefault="00D63692" w:rsidP="00451BC8">
            <w:pPr>
              <w:jc w:val="right"/>
              <w:rPr>
                <w:rFonts w:ascii="Calibri" w:hAnsi="Calibri"/>
                <w:lang w:eastAsia="en-GB"/>
              </w:rPr>
            </w:pPr>
            <w:r>
              <w:rPr>
                <w:rFonts w:ascii="Calibri" w:hAnsi="Calibri"/>
                <w:lang w:eastAsia="en-GB"/>
              </w:rPr>
              <w:t>0</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5CC240D9" w14:textId="469231D4" w:rsidR="001679F1" w:rsidRPr="00BB1536" w:rsidRDefault="00D63692" w:rsidP="00451BC8">
            <w:pPr>
              <w:jc w:val="right"/>
              <w:rPr>
                <w:rFonts w:ascii="Calibri" w:hAnsi="Calibri"/>
                <w:lang w:eastAsia="en-GB"/>
              </w:rPr>
            </w:pPr>
            <w:r>
              <w:rPr>
                <w:rFonts w:ascii="Calibri" w:hAnsi="Calibri"/>
                <w:lang w:eastAsia="en-GB"/>
              </w:rPr>
              <w:t>0</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233EB2AE" w14:textId="5BFFB181" w:rsidR="001679F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37597BA1" w14:textId="24B45C8C" w:rsidR="001679F1" w:rsidRPr="00ED0BA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7EE88EB9" w14:textId="1452A5E5" w:rsidR="001679F1" w:rsidRPr="00ED0BA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3AB85B19" w14:textId="795B33F7" w:rsidR="001679F1" w:rsidRPr="00260F72" w:rsidRDefault="00D63692" w:rsidP="00451BC8">
            <w:pPr>
              <w:jc w:val="right"/>
              <w:rPr>
                <w:rFonts w:ascii="Calibri" w:hAnsi="Calibri"/>
                <w:lang w:eastAsia="en-GB"/>
              </w:rPr>
            </w:pPr>
            <w:r>
              <w:rPr>
                <w:rFonts w:ascii="Calibri" w:hAnsi="Calibri"/>
                <w:lang w:eastAsia="en-GB"/>
              </w:rPr>
              <w:t>-753</w:t>
            </w:r>
          </w:p>
        </w:tc>
      </w:tr>
      <w:tr w:rsidR="0090135C" w:rsidRPr="00BB0D8A" w14:paraId="74BCCD9C"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026DD222" w14:textId="77777777" w:rsidR="001679F1" w:rsidRPr="00ED0BA1" w:rsidRDefault="001679F1" w:rsidP="001679F1">
            <w:pPr>
              <w:rPr>
                <w:rFonts w:ascii="Calibri" w:hAnsi="Calibri"/>
                <w:lang w:eastAsia="en-GB"/>
              </w:rPr>
            </w:pPr>
            <w:r w:rsidRPr="00ED0BA1">
              <w:rPr>
                <w:rFonts w:ascii="Calibri" w:hAnsi="Calibri"/>
                <w:lang w:eastAsia="en-GB"/>
              </w:rPr>
              <w:t>Reclassification</w:t>
            </w:r>
          </w:p>
        </w:tc>
        <w:tc>
          <w:tcPr>
            <w:tcW w:w="1134" w:type="dxa"/>
            <w:tcBorders>
              <w:top w:val="nil"/>
              <w:left w:val="nil"/>
              <w:bottom w:val="single" w:sz="4" w:space="0" w:color="FFFFFF"/>
              <w:right w:val="single" w:sz="4" w:space="0" w:color="FFFFFF"/>
            </w:tcBorders>
            <w:shd w:val="clear" w:color="000000" w:fill="DAEEF3"/>
            <w:vAlign w:val="center"/>
          </w:tcPr>
          <w:p w14:paraId="4A231A2C" w14:textId="06B1B326" w:rsidR="001679F1" w:rsidRPr="00ED0BA1" w:rsidRDefault="00A3430F" w:rsidP="00451BC8">
            <w:pPr>
              <w:jc w:val="right"/>
              <w:rPr>
                <w:rFonts w:ascii="Calibri" w:hAnsi="Calibri"/>
                <w:lang w:eastAsia="en-GB"/>
              </w:rPr>
            </w:pPr>
            <w:r>
              <w:rPr>
                <w:rFonts w:ascii="Calibri" w:hAnsi="Calibri"/>
                <w:lang w:eastAsia="en-GB"/>
              </w:rPr>
              <w:t>0</w:t>
            </w:r>
          </w:p>
        </w:tc>
        <w:tc>
          <w:tcPr>
            <w:tcW w:w="1134" w:type="dxa"/>
            <w:tcBorders>
              <w:top w:val="nil"/>
              <w:left w:val="nil"/>
              <w:bottom w:val="single" w:sz="4" w:space="0" w:color="FFFFFF"/>
              <w:right w:val="single" w:sz="4" w:space="0" w:color="FFFFFF"/>
            </w:tcBorders>
            <w:shd w:val="clear" w:color="000000" w:fill="DAEEF3"/>
            <w:vAlign w:val="center"/>
          </w:tcPr>
          <w:p w14:paraId="3FAFF030" w14:textId="25DE709A" w:rsidR="001679F1" w:rsidRPr="00ED0BA1" w:rsidRDefault="00D63692" w:rsidP="00451BC8">
            <w:pPr>
              <w:jc w:val="right"/>
              <w:rPr>
                <w:rFonts w:ascii="Calibri" w:hAnsi="Calibri"/>
                <w:lang w:eastAsia="en-GB"/>
              </w:rPr>
            </w:pPr>
            <w:r>
              <w:rPr>
                <w:rFonts w:ascii="Calibri" w:hAnsi="Calibri"/>
                <w:lang w:eastAsia="en-GB"/>
              </w:rPr>
              <w:t>0</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5B9E48FD" w14:textId="718E7D63" w:rsidR="001679F1" w:rsidRPr="00BB1536" w:rsidRDefault="00D63692" w:rsidP="00451BC8">
            <w:pPr>
              <w:jc w:val="right"/>
              <w:rPr>
                <w:rFonts w:ascii="Calibri" w:hAnsi="Calibri"/>
                <w:lang w:eastAsia="en-GB"/>
              </w:rPr>
            </w:pPr>
            <w:r>
              <w:rPr>
                <w:rFonts w:ascii="Calibri" w:hAnsi="Calibri"/>
                <w:lang w:eastAsia="en-GB"/>
              </w:rPr>
              <w:t>0</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6262ECCC" w14:textId="7B498BCF" w:rsidR="001679F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0823349D" w14:textId="364F2F51" w:rsidR="001679F1" w:rsidRPr="00ED0BA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49A63118" w14:textId="41B302EE" w:rsidR="001679F1" w:rsidRPr="00ED0BA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07B63931" w14:textId="3AE57CFF" w:rsidR="001679F1" w:rsidRPr="00260F72" w:rsidRDefault="00D63692" w:rsidP="00451BC8">
            <w:pPr>
              <w:jc w:val="right"/>
              <w:rPr>
                <w:rFonts w:ascii="Calibri" w:hAnsi="Calibri"/>
                <w:lang w:eastAsia="en-GB"/>
              </w:rPr>
            </w:pPr>
            <w:r>
              <w:rPr>
                <w:rFonts w:ascii="Calibri" w:hAnsi="Calibri"/>
                <w:lang w:eastAsia="en-GB"/>
              </w:rPr>
              <w:t>0</w:t>
            </w:r>
          </w:p>
        </w:tc>
      </w:tr>
      <w:tr w:rsidR="0090135C" w:rsidRPr="00BB0D8A" w14:paraId="76994BB5"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0A28DE73" w14:textId="77777777" w:rsidR="001679F1" w:rsidRPr="00ED0BA1" w:rsidRDefault="001679F1" w:rsidP="001679F1">
            <w:pPr>
              <w:rPr>
                <w:rFonts w:ascii="Calibri" w:hAnsi="Calibri"/>
                <w:lang w:eastAsia="en-GB"/>
              </w:rPr>
            </w:pPr>
            <w:r w:rsidRPr="00ED0BA1">
              <w:rPr>
                <w:rFonts w:ascii="Calibri" w:hAnsi="Calibri"/>
                <w:lang w:eastAsia="en-GB"/>
              </w:rPr>
              <w:t>Transfers</w:t>
            </w:r>
          </w:p>
        </w:tc>
        <w:tc>
          <w:tcPr>
            <w:tcW w:w="1134" w:type="dxa"/>
            <w:tcBorders>
              <w:top w:val="nil"/>
              <w:left w:val="nil"/>
              <w:bottom w:val="single" w:sz="4" w:space="0" w:color="FFFFFF"/>
              <w:right w:val="single" w:sz="4" w:space="0" w:color="FFFFFF"/>
            </w:tcBorders>
            <w:shd w:val="clear" w:color="000000" w:fill="DAEEF3"/>
            <w:vAlign w:val="center"/>
          </w:tcPr>
          <w:p w14:paraId="5CEA9028" w14:textId="6A32708D" w:rsidR="001679F1" w:rsidRPr="00ED0BA1" w:rsidRDefault="00A3430F" w:rsidP="00451BC8">
            <w:pPr>
              <w:jc w:val="right"/>
              <w:rPr>
                <w:rFonts w:ascii="Calibri" w:hAnsi="Calibri"/>
                <w:lang w:eastAsia="en-GB"/>
              </w:rPr>
            </w:pPr>
            <w:r>
              <w:rPr>
                <w:rFonts w:ascii="Calibri" w:hAnsi="Calibri"/>
                <w:lang w:eastAsia="en-GB"/>
              </w:rPr>
              <w:t>0</w:t>
            </w:r>
          </w:p>
        </w:tc>
        <w:tc>
          <w:tcPr>
            <w:tcW w:w="1134" w:type="dxa"/>
            <w:tcBorders>
              <w:top w:val="nil"/>
              <w:left w:val="nil"/>
              <w:bottom w:val="single" w:sz="4" w:space="0" w:color="FFFFFF"/>
              <w:right w:val="single" w:sz="4" w:space="0" w:color="FFFFFF"/>
            </w:tcBorders>
            <w:shd w:val="clear" w:color="000000" w:fill="DAEEF3"/>
            <w:vAlign w:val="center"/>
          </w:tcPr>
          <w:p w14:paraId="2DA93915" w14:textId="61929C49" w:rsidR="001679F1" w:rsidRPr="00ED0BA1" w:rsidRDefault="00D63692" w:rsidP="00451BC8">
            <w:pPr>
              <w:jc w:val="right"/>
              <w:rPr>
                <w:rFonts w:ascii="Calibri" w:hAnsi="Calibri"/>
                <w:lang w:eastAsia="en-GB"/>
              </w:rPr>
            </w:pPr>
            <w:r>
              <w:rPr>
                <w:rFonts w:ascii="Calibri" w:hAnsi="Calibri"/>
                <w:lang w:eastAsia="en-GB"/>
              </w:rPr>
              <w:t>0</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4FFF9958" w14:textId="026D23F9" w:rsidR="001679F1" w:rsidRPr="00BB1536" w:rsidRDefault="00D63692" w:rsidP="00451BC8">
            <w:pPr>
              <w:jc w:val="right"/>
              <w:rPr>
                <w:rFonts w:ascii="Calibri" w:hAnsi="Calibri"/>
                <w:lang w:eastAsia="en-GB"/>
              </w:rPr>
            </w:pPr>
            <w:r>
              <w:rPr>
                <w:rFonts w:ascii="Calibri" w:hAnsi="Calibri"/>
                <w:lang w:eastAsia="en-GB"/>
              </w:rPr>
              <w:t>0</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1BAAA016" w14:textId="4F857E42" w:rsidR="001679F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7BCC1AAB" w14:textId="16D702B5" w:rsidR="001679F1" w:rsidRPr="00ED0BA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6028188A" w14:textId="0B843BE8" w:rsidR="001679F1" w:rsidRPr="00ED0BA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7D42613D" w14:textId="10F91CA1" w:rsidR="001679F1" w:rsidRPr="00260F72" w:rsidRDefault="00D63692" w:rsidP="00451BC8">
            <w:pPr>
              <w:jc w:val="right"/>
              <w:rPr>
                <w:rFonts w:ascii="Calibri" w:hAnsi="Calibri"/>
                <w:lang w:eastAsia="en-GB"/>
              </w:rPr>
            </w:pPr>
            <w:r>
              <w:rPr>
                <w:rFonts w:ascii="Calibri" w:hAnsi="Calibri"/>
                <w:lang w:eastAsia="en-GB"/>
              </w:rPr>
              <w:t>0</w:t>
            </w:r>
          </w:p>
        </w:tc>
      </w:tr>
      <w:tr w:rsidR="0090135C" w:rsidRPr="00BB0D8A" w14:paraId="0E4D7A5E" w14:textId="77777777" w:rsidTr="0090135C">
        <w:trPr>
          <w:trHeight w:val="525"/>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71FA43FB" w14:textId="77777777" w:rsidR="001679F1" w:rsidRPr="00ED0BA1" w:rsidRDefault="001679F1" w:rsidP="001679F1">
            <w:pPr>
              <w:rPr>
                <w:rFonts w:ascii="Calibri" w:hAnsi="Calibri"/>
                <w:lang w:eastAsia="en-GB"/>
              </w:rPr>
            </w:pPr>
            <w:r w:rsidRPr="00ED0BA1">
              <w:rPr>
                <w:rFonts w:ascii="Calibri" w:hAnsi="Calibri"/>
                <w:lang w:eastAsia="en-GB"/>
              </w:rPr>
              <w:t>Revaluation increase/decrease recognised in the Revaluation Reserve</w:t>
            </w:r>
          </w:p>
        </w:tc>
        <w:tc>
          <w:tcPr>
            <w:tcW w:w="1134" w:type="dxa"/>
            <w:tcBorders>
              <w:top w:val="nil"/>
              <w:left w:val="nil"/>
              <w:bottom w:val="single" w:sz="4" w:space="0" w:color="FFFFFF"/>
              <w:right w:val="single" w:sz="4" w:space="0" w:color="FFFFFF"/>
            </w:tcBorders>
            <w:shd w:val="clear" w:color="000000" w:fill="DAEEF3"/>
            <w:vAlign w:val="center"/>
          </w:tcPr>
          <w:p w14:paraId="290EDD4F" w14:textId="68093C4B" w:rsidR="001679F1" w:rsidRPr="009D7411" w:rsidRDefault="00451BC8" w:rsidP="00451BC8">
            <w:pPr>
              <w:jc w:val="right"/>
              <w:rPr>
                <w:rFonts w:ascii="Calibri" w:hAnsi="Calibri"/>
                <w:lang w:eastAsia="en-GB"/>
              </w:rPr>
            </w:pPr>
            <w:r>
              <w:rPr>
                <w:rFonts w:ascii="Calibri" w:hAnsi="Calibri"/>
                <w:lang w:eastAsia="en-GB"/>
              </w:rPr>
              <w:t>4,557</w:t>
            </w:r>
          </w:p>
        </w:tc>
        <w:tc>
          <w:tcPr>
            <w:tcW w:w="1134" w:type="dxa"/>
            <w:tcBorders>
              <w:top w:val="nil"/>
              <w:left w:val="nil"/>
              <w:bottom w:val="single" w:sz="4" w:space="0" w:color="FFFFFF"/>
              <w:right w:val="single" w:sz="4" w:space="0" w:color="FFFFFF"/>
            </w:tcBorders>
            <w:shd w:val="clear" w:color="000000" w:fill="DAEEF3"/>
            <w:vAlign w:val="center"/>
          </w:tcPr>
          <w:p w14:paraId="3A4CF38B" w14:textId="4E0B0F08" w:rsidR="001679F1" w:rsidRPr="009D7411" w:rsidRDefault="00D63692" w:rsidP="00451BC8">
            <w:pPr>
              <w:jc w:val="right"/>
              <w:rPr>
                <w:rFonts w:ascii="Calibri" w:hAnsi="Calibri"/>
                <w:lang w:eastAsia="en-GB"/>
              </w:rPr>
            </w:pPr>
            <w:r>
              <w:rPr>
                <w:rFonts w:ascii="Calibri" w:hAnsi="Calibri"/>
                <w:lang w:eastAsia="en-GB"/>
              </w:rPr>
              <w:t>-</w:t>
            </w:r>
            <w:r w:rsidR="00451BC8">
              <w:rPr>
                <w:rFonts w:ascii="Calibri" w:hAnsi="Calibri"/>
                <w:lang w:eastAsia="en-GB"/>
              </w:rPr>
              <w:t>9</w:t>
            </w:r>
            <w:r>
              <w:rPr>
                <w:rFonts w:ascii="Calibri" w:hAnsi="Calibri"/>
                <w:lang w:eastAsia="en-GB"/>
              </w:rPr>
              <w:t>4</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3527FF27" w14:textId="0A0D5C6F" w:rsidR="001679F1" w:rsidRPr="009D7411" w:rsidRDefault="00D63692" w:rsidP="00451BC8">
            <w:pPr>
              <w:jc w:val="right"/>
              <w:rPr>
                <w:rFonts w:ascii="Calibri" w:hAnsi="Calibri"/>
                <w:lang w:eastAsia="en-GB"/>
              </w:rPr>
            </w:pPr>
            <w:r>
              <w:rPr>
                <w:rFonts w:ascii="Calibri" w:hAnsi="Calibri"/>
                <w:lang w:eastAsia="en-GB"/>
              </w:rPr>
              <w:t xml:space="preserve">                    </w:t>
            </w:r>
            <w:r w:rsidR="00451BC8">
              <w:rPr>
                <w:rFonts w:ascii="Calibri" w:hAnsi="Calibri"/>
                <w:lang w:eastAsia="en-GB"/>
              </w:rPr>
              <w:t xml:space="preserve">   1</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5A7444F9" w14:textId="4F497FC5" w:rsidR="001679F1" w:rsidRPr="009D741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3986DB13" w14:textId="518F89C8" w:rsidR="001679F1" w:rsidRPr="009D741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058F40D9" w14:textId="6AFAE5C8" w:rsidR="001679F1" w:rsidRPr="009D741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63B7693F" w14:textId="0F3697EA" w:rsidR="001679F1" w:rsidRPr="009D7411" w:rsidRDefault="00451BC8" w:rsidP="00451BC8">
            <w:pPr>
              <w:jc w:val="right"/>
              <w:rPr>
                <w:rFonts w:ascii="Calibri" w:hAnsi="Calibri"/>
                <w:lang w:eastAsia="en-GB"/>
              </w:rPr>
            </w:pPr>
            <w:r>
              <w:rPr>
                <w:rFonts w:ascii="Calibri" w:hAnsi="Calibri"/>
                <w:lang w:eastAsia="en-GB"/>
              </w:rPr>
              <w:t>4,464</w:t>
            </w:r>
          </w:p>
        </w:tc>
      </w:tr>
      <w:tr w:rsidR="0090135C" w:rsidRPr="00BB0D8A" w14:paraId="0AADBE02" w14:textId="77777777" w:rsidTr="0090135C">
        <w:trPr>
          <w:trHeight w:val="81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4D5C31E1" w14:textId="77777777" w:rsidR="001679F1" w:rsidRPr="00ED0BA1" w:rsidRDefault="001679F1" w:rsidP="001679F1">
            <w:pPr>
              <w:rPr>
                <w:rFonts w:ascii="Calibri" w:hAnsi="Calibri"/>
                <w:lang w:eastAsia="en-GB"/>
              </w:rPr>
            </w:pPr>
            <w:r w:rsidRPr="00ED0BA1">
              <w:rPr>
                <w:rFonts w:ascii="Calibri" w:hAnsi="Calibri"/>
                <w:lang w:eastAsia="en-GB"/>
              </w:rPr>
              <w:t>Revaluation increase/</w:t>
            </w:r>
            <w:proofErr w:type="gramStart"/>
            <w:r w:rsidRPr="00ED0BA1">
              <w:rPr>
                <w:rFonts w:ascii="Calibri" w:hAnsi="Calibri"/>
                <w:lang w:eastAsia="en-GB"/>
              </w:rPr>
              <w:t>decrease  recognised</w:t>
            </w:r>
            <w:proofErr w:type="gramEnd"/>
            <w:r w:rsidRPr="00ED0BA1">
              <w:rPr>
                <w:rFonts w:ascii="Calibri" w:hAnsi="Calibri"/>
                <w:lang w:eastAsia="en-GB"/>
              </w:rPr>
              <w:t xml:space="preserve"> in the surplus/deficit on the provision of services</w:t>
            </w:r>
          </w:p>
        </w:tc>
        <w:tc>
          <w:tcPr>
            <w:tcW w:w="1134" w:type="dxa"/>
            <w:tcBorders>
              <w:top w:val="nil"/>
              <w:left w:val="nil"/>
              <w:bottom w:val="single" w:sz="4" w:space="0" w:color="FFFFFF"/>
              <w:right w:val="single" w:sz="4" w:space="0" w:color="FFFFFF"/>
            </w:tcBorders>
            <w:shd w:val="clear" w:color="000000" w:fill="DAEEF3"/>
            <w:vAlign w:val="center"/>
          </w:tcPr>
          <w:p w14:paraId="64F25463" w14:textId="5AEA872B" w:rsidR="001679F1" w:rsidRPr="009D7411" w:rsidRDefault="00451BC8" w:rsidP="00451BC8">
            <w:pPr>
              <w:jc w:val="right"/>
              <w:rPr>
                <w:rFonts w:ascii="Calibri" w:hAnsi="Calibri"/>
                <w:lang w:eastAsia="en-GB"/>
              </w:rPr>
            </w:pPr>
            <w:r>
              <w:rPr>
                <w:rFonts w:ascii="Calibri" w:hAnsi="Calibri"/>
                <w:lang w:eastAsia="en-GB"/>
              </w:rPr>
              <w:t>171</w:t>
            </w:r>
          </w:p>
        </w:tc>
        <w:tc>
          <w:tcPr>
            <w:tcW w:w="1134" w:type="dxa"/>
            <w:tcBorders>
              <w:top w:val="nil"/>
              <w:left w:val="nil"/>
              <w:bottom w:val="single" w:sz="4" w:space="0" w:color="FFFFFF"/>
              <w:right w:val="single" w:sz="4" w:space="0" w:color="FFFFFF"/>
            </w:tcBorders>
            <w:shd w:val="clear" w:color="000000" w:fill="DAEEF3"/>
            <w:vAlign w:val="center"/>
          </w:tcPr>
          <w:p w14:paraId="3F9C3707" w14:textId="34CEDC3D" w:rsidR="001679F1" w:rsidRPr="009D7411" w:rsidRDefault="00451BC8" w:rsidP="00451BC8">
            <w:pPr>
              <w:jc w:val="right"/>
              <w:rPr>
                <w:rFonts w:ascii="Calibri" w:hAnsi="Calibri"/>
                <w:lang w:eastAsia="en-GB"/>
              </w:rPr>
            </w:pPr>
            <w:r>
              <w:rPr>
                <w:rFonts w:ascii="Calibri" w:hAnsi="Calibri"/>
                <w:lang w:eastAsia="en-GB"/>
              </w:rPr>
              <w:t>2</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66F7D1F2" w14:textId="7EE3DA1C" w:rsidR="001679F1" w:rsidRPr="009D7411" w:rsidRDefault="00D63692" w:rsidP="00451BC8">
            <w:pPr>
              <w:jc w:val="right"/>
              <w:rPr>
                <w:rFonts w:ascii="Calibri" w:hAnsi="Calibri"/>
                <w:lang w:eastAsia="en-GB"/>
              </w:rPr>
            </w:pPr>
            <w:r>
              <w:rPr>
                <w:rFonts w:ascii="Calibri" w:hAnsi="Calibri"/>
                <w:lang w:eastAsia="en-GB"/>
              </w:rPr>
              <w:t>1</w:t>
            </w:r>
            <w:r w:rsidR="00451BC8">
              <w:rPr>
                <w:rFonts w:ascii="Calibri" w:hAnsi="Calibri"/>
                <w:lang w:eastAsia="en-GB"/>
              </w:rPr>
              <w:t>5</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4C3E18EA" w14:textId="51B78195" w:rsidR="001679F1" w:rsidRPr="009D741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054EA759" w14:textId="0AA5A80F" w:rsidR="001679F1" w:rsidRPr="009D741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3576A8BF" w14:textId="364E13D5" w:rsidR="001679F1" w:rsidRPr="009D741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24346FB2" w14:textId="69F4EB93" w:rsidR="001679F1" w:rsidRPr="009D7411" w:rsidRDefault="00451BC8" w:rsidP="00451BC8">
            <w:pPr>
              <w:jc w:val="right"/>
              <w:rPr>
                <w:rFonts w:ascii="Calibri" w:hAnsi="Calibri"/>
                <w:lang w:eastAsia="en-GB"/>
              </w:rPr>
            </w:pPr>
            <w:r>
              <w:rPr>
                <w:rFonts w:ascii="Calibri" w:hAnsi="Calibri"/>
                <w:lang w:eastAsia="en-GB"/>
              </w:rPr>
              <w:t>188</w:t>
            </w:r>
          </w:p>
        </w:tc>
      </w:tr>
      <w:tr w:rsidR="0090135C" w:rsidRPr="00BB0D8A" w14:paraId="6856FE30"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DAEEF3"/>
            <w:vAlign w:val="center"/>
            <w:hideMark/>
          </w:tcPr>
          <w:p w14:paraId="465F0AFF" w14:textId="77777777" w:rsidR="001679F1" w:rsidRPr="00ED0BA1" w:rsidRDefault="001679F1" w:rsidP="001679F1">
            <w:pPr>
              <w:rPr>
                <w:rFonts w:ascii="Calibri" w:hAnsi="Calibri"/>
                <w:lang w:eastAsia="en-GB"/>
              </w:rPr>
            </w:pPr>
            <w:r w:rsidRPr="00ED0BA1">
              <w:rPr>
                <w:rFonts w:ascii="Calibri" w:hAnsi="Calibri"/>
                <w:lang w:eastAsia="en-GB"/>
              </w:rPr>
              <w:t>Depreciation / Amortisation</w:t>
            </w:r>
          </w:p>
        </w:tc>
        <w:tc>
          <w:tcPr>
            <w:tcW w:w="1134" w:type="dxa"/>
            <w:tcBorders>
              <w:top w:val="nil"/>
              <w:left w:val="nil"/>
              <w:bottom w:val="single" w:sz="4" w:space="0" w:color="FFFFFF"/>
              <w:right w:val="single" w:sz="4" w:space="0" w:color="FFFFFF"/>
            </w:tcBorders>
            <w:shd w:val="clear" w:color="000000" w:fill="DAEEF3"/>
            <w:vAlign w:val="center"/>
          </w:tcPr>
          <w:p w14:paraId="4735C249" w14:textId="5A3AEA10" w:rsidR="001679F1" w:rsidRPr="00ED0BA1" w:rsidRDefault="00451BC8" w:rsidP="00451BC8">
            <w:pPr>
              <w:jc w:val="right"/>
              <w:rPr>
                <w:rFonts w:ascii="Calibri" w:hAnsi="Calibri"/>
                <w:lang w:eastAsia="en-GB"/>
              </w:rPr>
            </w:pPr>
            <w:r>
              <w:rPr>
                <w:rFonts w:ascii="Calibri" w:hAnsi="Calibri"/>
                <w:lang w:eastAsia="en-GB"/>
              </w:rPr>
              <w:t>-1,480</w:t>
            </w:r>
          </w:p>
        </w:tc>
        <w:tc>
          <w:tcPr>
            <w:tcW w:w="1134" w:type="dxa"/>
            <w:tcBorders>
              <w:top w:val="nil"/>
              <w:left w:val="nil"/>
              <w:bottom w:val="single" w:sz="4" w:space="0" w:color="FFFFFF"/>
              <w:right w:val="single" w:sz="4" w:space="0" w:color="FFFFFF"/>
            </w:tcBorders>
            <w:shd w:val="clear" w:color="000000" w:fill="DAEEF3"/>
            <w:vAlign w:val="center"/>
          </w:tcPr>
          <w:p w14:paraId="746B48B4" w14:textId="326DA2D5" w:rsidR="001679F1" w:rsidRPr="00ED0BA1" w:rsidRDefault="00451BC8" w:rsidP="00451BC8">
            <w:pPr>
              <w:jc w:val="right"/>
              <w:rPr>
                <w:rFonts w:ascii="Calibri" w:hAnsi="Calibri"/>
                <w:lang w:eastAsia="en-GB"/>
              </w:rPr>
            </w:pPr>
            <w:r>
              <w:rPr>
                <w:rFonts w:ascii="Calibri" w:hAnsi="Calibri"/>
                <w:lang w:eastAsia="en-GB"/>
              </w:rPr>
              <w:t>-64</w:t>
            </w:r>
          </w:p>
        </w:tc>
        <w:tc>
          <w:tcPr>
            <w:tcW w:w="1418" w:type="dxa"/>
            <w:tcBorders>
              <w:top w:val="single" w:sz="4" w:space="0" w:color="FFFFFF"/>
              <w:left w:val="nil"/>
              <w:bottom w:val="single" w:sz="4" w:space="0" w:color="FFFFFF"/>
              <w:right w:val="single" w:sz="4" w:space="0" w:color="FFFFFF" w:themeColor="background1"/>
            </w:tcBorders>
            <w:shd w:val="clear" w:color="000000" w:fill="DAEEF3"/>
            <w:vAlign w:val="center"/>
          </w:tcPr>
          <w:p w14:paraId="52D10798" w14:textId="111C23B2" w:rsidR="001679F1" w:rsidRPr="00BB1536" w:rsidRDefault="00451BC8" w:rsidP="00451BC8">
            <w:pPr>
              <w:jc w:val="right"/>
              <w:rPr>
                <w:rFonts w:ascii="Calibri" w:hAnsi="Calibri"/>
                <w:lang w:eastAsia="en-GB"/>
              </w:rPr>
            </w:pPr>
            <w:r>
              <w:rPr>
                <w:rFonts w:ascii="Calibri" w:hAnsi="Calibri"/>
                <w:lang w:eastAsia="en-GB"/>
              </w:rPr>
              <w:t>-16</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DAEEF3"/>
            <w:vAlign w:val="center"/>
          </w:tcPr>
          <w:p w14:paraId="381D22C4" w14:textId="07F302E1" w:rsidR="001679F1" w:rsidRDefault="00D63692" w:rsidP="00451BC8">
            <w:pPr>
              <w:jc w:val="right"/>
              <w:rPr>
                <w:rFonts w:ascii="Calibri" w:hAnsi="Calibri"/>
                <w:lang w:eastAsia="en-GB"/>
              </w:rPr>
            </w:pPr>
            <w:r>
              <w:rPr>
                <w:rFonts w:ascii="Calibri" w:hAnsi="Calibri"/>
                <w:lang w:eastAsia="en-GB"/>
              </w:rPr>
              <w:t>0</w:t>
            </w:r>
          </w:p>
        </w:tc>
        <w:tc>
          <w:tcPr>
            <w:tcW w:w="993" w:type="dxa"/>
            <w:tcBorders>
              <w:top w:val="nil"/>
              <w:left w:val="single" w:sz="4" w:space="0" w:color="FFFFFF" w:themeColor="background1"/>
              <w:bottom w:val="single" w:sz="4" w:space="0" w:color="FFFFFF"/>
              <w:right w:val="single" w:sz="4" w:space="0" w:color="FFFFFF"/>
            </w:tcBorders>
            <w:shd w:val="clear" w:color="000000" w:fill="DAEEF3"/>
            <w:vAlign w:val="center"/>
          </w:tcPr>
          <w:p w14:paraId="50CB9D28" w14:textId="102CF83B" w:rsidR="001679F1" w:rsidRPr="00ED0BA1" w:rsidRDefault="00D63692" w:rsidP="00451BC8">
            <w:pPr>
              <w:jc w:val="right"/>
              <w:rPr>
                <w:rFonts w:ascii="Calibri" w:hAnsi="Calibri"/>
                <w:lang w:eastAsia="en-GB"/>
              </w:rPr>
            </w:pPr>
            <w:r>
              <w:rPr>
                <w:rFonts w:ascii="Calibri" w:hAnsi="Calibri"/>
                <w:lang w:eastAsia="en-GB"/>
              </w:rPr>
              <w:t>0</w:t>
            </w:r>
          </w:p>
        </w:tc>
        <w:tc>
          <w:tcPr>
            <w:tcW w:w="1275" w:type="dxa"/>
            <w:tcBorders>
              <w:top w:val="nil"/>
              <w:left w:val="nil"/>
              <w:bottom w:val="single" w:sz="4" w:space="0" w:color="FFFFFF"/>
              <w:right w:val="single" w:sz="4" w:space="0" w:color="FFFFFF"/>
            </w:tcBorders>
            <w:shd w:val="clear" w:color="000000" w:fill="DAEEF3"/>
            <w:vAlign w:val="center"/>
          </w:tcPr>
          <w:p w14:paraId="2E58ED36" w14:textId="6C5B94B0" w:rsidR="001679F1" w:rsidRPr="00ED0BA1" w:rsidRDefault="00D63692" w:rsidP="00451BC8">
            <w:pPr>
              <w:jc w:val="right"/>
              <w:rPr>
                <w:rFonts w:ascii="Calibri" w:hAnsi="Calibri"/>
                <w:lang w:eastAsia="en-GB"/>
              </w:rPr>
            </w:pPr>
            <w:r>
              <w:rPr>
                <w:rFonts w:ascii="Calibri" w:hAnsi="Calibri"/>
                <w:lang w:eastAsia="en-GB"/>
              </w:rPr>
              <w:t>0</w:t>
            </w:r>
          </w:p>
        </w:tc>
        <w:tc>
          <w:tcPr>
            <w:tcW w:w="964" w:type="dxa"/>
            <w:tcBorders>
              <w:top w:val="nil"/>
              <w:left w:val="nil"/>
              <w:bottom w:val="single" w:sz="4" w:space="0" w:color="FFFFFF"/>
              <w:right w:val="single" w:sz="4" w:space="0" w:color="FFFFFF"/>
            </w:tcBorders>
            <w:shd w:val="clear" w:color="000000" w:fill="DAEEF3"/>
            <w:vAlign w:val="center"/>
          </w:tcPr>
          <w:p w14:paraId="2490F6C1" w14:textId="7306F17E" w:rsidR="001679F1" w:rsidRPr="00260F72" w:rsidRDefault="00451BC8" w:rsidP="00451BC8">
            <w:pPr>
              <w:jc w:val="right"/>
              <w:rPr>
                <w:rFonts w:ascii="Calibri" w:hAnsi="Calibri"/>
                <w:lang w:eastAsia="en-GB"/>
              </w:rPr>
            </w:pPr>
            <w:r>
              <w:rPr>
                <w:rFonts w:ascii="Calibri" w:hAnsi="Calibri"/>
                <w:lang w:eastAsia="en-GB"/>
              </w:rPr>
              <w:t>-1,560</w:t>
            </w:r>
          </w:p>
        </w:tc>
      </w:tr>
      <w:tr w:rsidR="0090135C" w:rsidRPr="00BB0D8A" w14:paraId="16DCD33D" w14:textId="77777777" w:rsidTr="0090135C">
        <w:trPr>
          <w:trHeight w:val="300"/>
        </w:trPr>
        <w:tc>
          <w:tcPr>
            <w:tcW w:w="2312" w:type="dxa"/>
            <w:tcBorders>
              <w:top w:val="nil"/>
              <w:left w:val="single" w:sz="4" w:space="0" w:color="FFFFFF"/>
              <w:bottom w:val="single" w:sz="4" w:space="0" w:color="FFFFFF"/>
              <w:right w:val="single" w:sz="4" w:space="0" w:color="FFFFFF"/>
            </w:tcBorders>
            <w:shd w:val="clear" w:color="000000" w:fill="B7DEE8"/>
            <w:vAlign w:val="center"/>
            <w:hideMark/>
          </w:tcPr>
          <w:p w14:paraId="6C625A7E" w14:textId="374E0156" w:rsidR="001679F1" w:rsidRPr="00ED0BA1" w:rsidRDefault="001679F1" w:rsidP="001679F1">
            <w:pPr>
              <w:rPr>
                <w:rFonts w:ascii="Calibri" w:hAnsi="Calibri"/>
                <w:b/>
                <w:bCs/>
                <w:lang w:eastAsia="en-GB"/>
              </w:rPr>
            </w:pPr>
            <w:r w:rsidRPr="00ED0BA1">
              <w:rPr>
                <w:rFonts w:ascii="Calibri" w:hAnsi="Calibri"/>
                <w:b/>
                <w:bCs/>
                <w:lang w:eastAsia="en-GB"/>
              </w:rPr>
              <w:t xml:space="preserve">Net book value </w:t>
            </w:r>
            <w:proofErr w:type="gramStart"/>
            <w:r w:rsidRPr="00ED0BA1">
              <w:rPr>
                <w:rFonts w:ascii="Calibri" w:hAnsi="Calibri"/>
                <w:b/>
                <w:bCs/>
                <w:lang w:eastAsia="en-GB"/>
              </w:rPr>
              <w:t>at</w:t>
            </w:r>
            <w:proofErr w:type="gramEnd"/>
            <w:r w:rsidRPr="00ED0BA1">
              <w:rPr>
                <w:rFonts w:ascii="Calibri" w:hAnsi="Calibri"/>
                <w:b/>
                <w:bCs/>
                <w:lang w:eastAsia="en-GB"/>
              </w:rPr>
              <w:t xml:space="preserve"> 31 March 20</w:t>
            </w:r>
            <w:r>
              <w:rPr>
                <w:rFonts w:ascii="Calibri" w:hAnsi="Calibri"/>
                <w:b/>
                <w:bCs/>
                <w:lang w:eastAsia="en-GB"/>
              </w:rPr>
              <w:t>2</w:t>
            </w:r>
            <w:r w:rsidR="000663F0">
              <w:rPr>
                <w:rFonts w:ascii="Calibri" w:hAnsi="Calibri"/>
                <w:b/>
                <w:bCs/>
                <w:lang w:eastAsia="en-GB"/>
              </w:rPr>
              <w:t>3</w:t>
            </w:r>
          </w:p>
        </w:tc>
        <w:tc>
          <w:tcPr>
            <w:tcW w:w="1134" w:type="dxa"/>
            <w:tcBorders>
              <w:top w:val="nil"/>
              <w:left w:val="nil"/>
              <w:bottom w:val="single" w:sz="4" w:space="0" w:color="FFFFFF"/>
              <w:right w:val="single" w:sz="4" w:space="0" w:color="FFFFFF"/>
            </w:tcBorders>
            <w:shd w:val="clear" w:color="000000" w:fill="B7DEE8"/>
            <w:vAlign w:val="center"/>
          </w:tcPr>
          <w:p w14:paraId="14367290" w14:textId="6A552FA6" w:rsidR="001679F1" w:rsidRPr="00ED0BA1" w:rsidRDefault="00A3430F" w:rsidP="00451BC8">
            <w:pPr>
              <w:jc w:val="right"/>
              <w:rPr>
                <w:rFonts w:ascii="Calibri" w:hAnsi="Calibri"/>
                <w:b/>
                <w:bCs/>
                <w:lang w:eastAsia="en-GB"/>
              </w:rPr>
            </w:pPr>
            <w:r>
              <w:rPr>
                <w:rFonts w:ascii="Calibri" w:hAnsi="Calibri"/>
                <w:b/>
                <w:bCs/>
                <w:lang w:eastAsia="en-GB"/>
              </w:rPr>
              <w:t>111,465</w:t>
            </w:r>
          </w:p>
        </w:tc>
        <w:tc>
          <w:tcPr>
            <w:tcW w:w="1134" w:type="dxa"/>
            <w:tcBorders>
              <w:top w:val="nil"/>
              <w:left w:val="nil"/>
              <w:bottom w:val="single" w:sz="4" w:space="0" w:color="FFFFFF"/>
              <w:right w:val="single" w:sz="4" w:space="0" w:color="FFFFFF"/>
            </w:tcBorders>
            <w:shd w:val="clear" w:color="000000" w:fill="B7DEE8"/>
            <w:vAlign w:val="center"/>
          </w:tcPr>
          <w:p w14:paraId="07D5A940" w14:textId="3D216E53" w:rsidR="001679F1" w:rsidRPr="008D421C" w:rsidRDefault="00D63692" w:rsidP="00451BC8">
            <w:pPr>
              <w:jc w:val="right"/>
              <w:rPr>
                <w:rFonts w:ascii="Calibri" w:hAnsi="Calibri"/>
                <w:b/>
                <w:bCs/>
                <w:lang w:eastAsia="en-GB"/>
              </w:rPr>
            </w:pPr>
            <w:r>
              <w:rPr>
                <w:rFonts w:ascii="Calibri" w:hAnsi="Calibri"/>
                <w:b/>
                <w:bCs/>
                <w:lang w:eastAsia="en-GB"/>
              </w:rPr>
              <w:t>1,982</w:t>
            </w:r>
          </w:p>
        </w:tc>
        <w:tc>
          <w:tcPr>
            <w:tcW w:w="1418" w:type="dxa"/>
            <w:tcBorders>
              <w:top w:val="single" w:sz="4" w:space="0" w:color="FFFFFF"/>
              <w:left w:val="nil"/>
              <w:bottom w:val="single" w:sz="4" w:space="0" w:color="FFFFFF"/>
              <w:right w:val="single" w:sz="4" w:space="0" w:color="FFFFFF" w:themeColor="background1"/>
            </w:tcBorders>
            <w:shd w:val="clear" w:color="000000" w:fill="B7DEE8"/>
            <w:vAlign w:val="center"/>
          </w:tcPr>
          <w:p w14:paraId="2ACAB2CD" w14:textId="6C740DD8" w:rsidR="001679F1" w:rsidRPr="00BB1536" w:rsidRDefault="00D63692" w:rsidP="00451BC8">
            <w:pPr>
              <w:jc w:val="right"/>
              <w:rPr>
                <w:rFonts w:ascii="Calibri" w:hAnsi="Calibri"/>
                <w:b/>
                <w:bCs/>
                <w:lang w:eastAsia="en-GB"/>
              </w:rPr>
            </w:pPr>
            <w:r>
              <w:rPr>
                <w:rFonts w:ascii="Calibri" w:hAnsi="Calibri"/>
                <w:b/>
                <w:bCs/>
                <w:lang w:eastAsia="en-GB"/>
              </w:rPr>
              <w:t>13</w:t>
            </w:r>
            <w:r w:rsidR="00451BC8">
              <w:rPr>
                <w:rFonts w:ascii="Calibri" w:hAnsi="Calibri"/>
                <w:b/>
                <w:bCs/>
                <w:lang w:eastAsia="en-GB"/>
              </w:rPr>
              <w:t>6</w:t>
            </w:r>
          </w:p>
        </w:tc>
        <w:tc>
          <w:tcPr>
            <w:tcW w:w="1275" w:type="dxa"/>
            <w:tcBorders>
              <w:top w:val="nil"/>
              <w:left w:val="single" w:sz="4" w:space="0" w:color="FFFFFF" w:themeColor="background1"/>
              <w:bottom w:val="single" w:sz="4" w:space="0" w:color="FFFFFF"/>
              <w:right w:val="single" w:sz="4" w:space="0" w:color="FFFFFF" w:themeColor="background1"/>
            </w:tcBorders>
            <w:shd w:val="clear" w:color="000000" w:fill="B7DEE8"/>
            <w:vAlign w:val="center"/>
          </w:tcPr>
          <w:p w14:paraId="3D3A1EF1" w14:textId="04149568" w:rsidR="001679F1" w:rsidRPr="008D421C" w:rsidRDefault="00D63692" w:rsidP="00451BC8">
            <w:pPr>
              <w:jc w:val="right"/>
              <w:rPr>
                <w:rFonts w:ascii="Calibri" w:hAnsi="Calibri"/>
                <w:b/>
                <w:bCs/>
                <w:lang w:eastAsia="en-GB"/>
              </w:rPr>
            </w:pPr>
            <w:r>
              <w:rPr>
                <w:rFonts w:ascii="Calibri" w:hAnsi="Calibri"/>
                <w:b/>
                <w:bCs/>
                <w:lang w:eastAsia="en-GB"/>
              </w:rPr>
              <w:t>15</w:t>
            </w:r>
          </w:p>
        </w:tc>
        <w:tc>
          <w:tcPr>
            <w:tcW w:w="993" w:type="dxa"/>
            <w:tcBorders>
              <w:top w:val="nil"/>
              <w:left w:val="single" w:sz="4" w:space="0" w:color="FFFFFF" w:themeColor="background1"/>
              <w:bottom w:val="single" w:sz="4" w:space="0" w:color="FFFFFF"/>
              <w:right w:val="single" w:sz="4" w:space="0" w:color="FFFFFF"/>
            </w:tcBorders>
            <w:shd w:val="clear" w:color="000000" w:fill="B7DEE8"/>
            <w:vAlign w:val="center"/>
          </w:tcPr>
          <w:p w14:paraId="79C1CD6D" w14:textId="283BAC6D" w:rsidR="001679F1" w:rsidRPr="008D421C" w:rsidRDefault="00D63692" w:rsidP="00451BC8">
            <w:pPr>
              <w:jc w:val="right"/>
              <w:rPr>
                <w:rFonts w:ascii="Calibri" w:hAnsi="Calibri"/>
                <w:b/>
                <w:bCs/>
                <w:lang w:eastAsia="en-GB"/>
              </w:rPr>
            </w:pPr>
            <w:r>
              <w:rPr>
                <w:rFonts w:ascii="Calibri" w:hAnsi="Calibri"/>
                <w:b/>
                <w:bCs/>
                <w:lang w:eastAsia="en-GB"/>
              </w:rPr>
              <w:t>2</w:t>
            </w:r>
          </w:p>
        </w:tc>
        <w:tc>
          <w:tcPr>
            <w:tcW w:w="1275" w:type="dxa"/>
            <w:tcBorders>
              <w:top w:val="nil"/>
              <w:left w:val="nil"/>
              <w:bottom w:val="single" w:sz="4" w:space="0" w:color="FFFFFF"/>
              <w:right w:val="single" w:sz="4" w:space="0" w:color="FFFFFF"/>
            </w:tcBorders>
            <w:shd w:val="clear" w:color="000000" w:fill="B7DEE8"/>
            <w:vAlign w:val="center"/>
          </w:tcPr>
          <w:p w14:paraId="1AF2D28D" w14:textId="10641AA1" w:rsidR="001679F1" w:rsidRPr="008D421C" w:rsidRDefault="00D63692" w:rsidP="00451BC8">
            <w:pPr>
              <w:jc w:val="right"/>
              <w:rPr>
                <w:rFonts w:ascii="Calibri" w:hAnsi="Calibri"/>
                <w:b/>
                <w:bCs/>
                <w:lang w:eastAsia="en-GB"/>
              </w:rPr>
            </w:pPr>
            <w:r>
              <w:rPr>
                <w:rFonts w:ascii="Calibri" w:hAnsi="Calibri"/>
                <w:b/>
                <w:bCs/>
                <w:lang w:eastAsia="en-GB"/>
              </w:rPr>
              <w:t>0</w:t>
            </w:r>
          </w:p>
        </w:tc>
        <w:tc>
          <w:tcPr>
            <w:tcW w:w="964" w:type="dxa"/>
            <w:tcBorders>
              <w:top w:val="nil"/>
              <w:left w:val="nil"/>
              <w:bottom w:val="single" w:sz="4" w:space="0" w:color="FFFFFF"/>
              <w:right w:val="single" w:sz="4" w:space="0" w:color="FFFFFF"/>
            </w:tcBorders>
            <w:shd w:val="clear" w:color="000000" w:fill="B7DEE8"/>
            <w:vAlign w:val="center"/>
          </w:tcPr>
          <w:p w14:paraId="708419C0" w14:textId="02BF9F9F" w:rsidR="001679F1" w:rsidRPr="008D421C" w:rsidRDefault="00D63692" w:rsidP="00451BC8">
            <w:pPr>
              <w:jc w:val="right"/>
              <w:rPr>
                <w:rFonts w:ascii="Calibri" w:hAnsi="Calibri"/>
                <w:b/>
                <w:bCs/>
                <w:lang w:eastAsia="en-GB"/>
              </w:rPr>
            </w:pPr>
            <w:r>
              <w:rPr>
                <w:rFonts w:ascii="Calibri" w:hAnsi="Calibri"/>
                <w:b/>
                <w:bCs/>
                <w:lang w:eastAsia="en-GB"/>
              </w:rPr>
              <w:t>113,60</w:t>
            </w:r>
            <w:r w:rsidR="00451BC8">
              <w:rPr>
                <w:rFonts w:ascii="Calibri" w:hAnsi="Calibri"/>
                <w:b/>
                <w:bCs/>
                <w:lang w:eastAsia="en-GB"/>
              </w:rPr>
              <w:t>0</w:t>
            </w:r>
          </w:p>
        </w:tc>
      </w:tr>
      <w:bookmarkEnd w:id="14"/>
    </w:tbl>
    <w:p w14:paraId="30A081A2" w14:textId="77777777" w:rsidR="00D7049A" w:rsidRDefault="00D7049A" w:rsidP="00D7049A">
      <w:pPr>
        <w:widowControl w:val="0"/>
        <w:ind w:left="720"/>
        <w:jc w:val="both"/>
        <w:rPr>
          <w:rFonts w:ascii="Arial" w:hAnsi="Arial" w:cs="Arial"/>
        </w:rPr>
      </w:pPr>
    </w:p>
    <w:p w14:paraId="1899FFB7" w14:textId="748FD43A" w:rsidR="00D7049A" w:rsidRPr="00BB0D8A" w:rsidRDefault="00D7049A" w:rsidP="00BB0D8A">
      <w:pPr>
        <w:widowControl w:val="0"/>
        <w:ind w:right="142"/>
        <w:jc w:val="both"/>
        <w:rPr>
          <w:rFonts w:asciiTheme="minorHAnsi" w:hAnsiTheme="minorHAnsi" w:cs="Arial"/>
          <w:sz w:val="22"/>
          <w:szCs w:val="22"/>
        </w:rPr>
      </w:pPr>
      <w:r w:rsidRPr="00BB0D8A">
        <w:rPr>
          <w:rFonts w:asciiTheme="minorHAnsi" w:hAnsiTheme="minorHAnsi" w:cs="Arial"/>
          <w:sz w:val="22"/>
          <w:szCs w:val="22"/>
        </w:rPr>
        <w:t>Housing properties were valued on the basis of 'Existing use value – Social Housing'</w:t>
      </w:r>
      <w:r w:rsidR="00C95995" w:rsidRPr="00BB0D8A">
        <w:rPr>
          <w:rFonts w:asciiTheme="minorHAnsi" w:hAnsiTheme="minorHAnsi" w:cs="Arial"/>
          <w:sz w:val="22"/>
          <w:szCs w:val="22"/>
        </w:rPr>
        <w:t xml:space="preserve">. </w:t>
      </w:r>
      <w:r w:rsidRPr="00BB0D8A">
        <w:rPr>
          <w:rFonts w:asciiTheme="minorHAnsi" w:hAnsiTheme="minorHAnsi" w:cs="Arial"/>
          <w:sz w:val="22"/>
          <w:szCs w:val="22"/>
        </w:rPr>
        <w:t xml:space="preserve">Depreciation for </w:t>
      </w:r>
      <w:r w:rsidR="00E37E8A" w:rsidRPr="00BB0D8A">
        <w:rPr>
          <w:rFonts w:asciiTheme="minorHAnsi" w:hAnsiTheme="minorHAnsi" w:cs="Arial"/>
          <w:sz w:val="22"/>
          <w:szCs w:val="22"/>
        </w:rPr>
        <w:t xml:space="preserve">operational </w:t>
      </w:r>
      <w:r w:rsidR="002973D1" w:rsidRPr="00BB0D8A">
        <w:rPr>
          <w:rFonts w:asciiTheme="minorHAnsi" w:hAnsiTheme="minorHAnsi" w:cs="Arial"/>
          <w:sz w:val="22"/>
          <w:szCs w:val="22"/>
        </w:rPr>
        <w:t xml:space="preserve">and </w:t>
      </w:r>
      <w:proofErr w:type="spellStart"/>
      <w:proofErr w:type="gramStart"/>
      <w:r w:rsidR="002973D1" w:rsidRPr="00BB0D8A">
        <w:rPr>
          <w:rFonts w:asciiTheme="minorHAnsi" w:hAnsiTheme="minorHAnsi" w:cs="Arial"/>
          <w:sz w:val="22"/>
          <w:szCs w:val="22"/>
        </w:rPr>
        <w:t>no</w:t>
      </w:r>
      <w:r w:rsidR="00E176E2" w:rsidRPr="00BB0D8A">
        <w:rPr>
          <w:rFonts w:asciiTheme="minorHAnsi" w:hAnsiTheme="minorHAnsi" w:cs="Arial"/>
          <w:sz w:val="22"/>
          <w:szCs w:val="22"/>
        </w:rPr>
        <w:t>n</w:t>
      </w:r>
      <w:r w:rsidR="002973D1" w:rsidRPr="00BB0D8A">
        <w:rPr>
          <w:rFonts w:asciiTheme="minorHAnsi" w:hAnsiTheme="minorHAnsi" w:cs="Arial"/>
          <w:sz w:val="22"/>
          <w:szCs w:val="22"/>
        </w:rPr>
        <w:t xml:space="preserve"> operational</w:t>
      </w:r>
      <w:proofErr w:type="spellEnd"/>
      <w:proofErr w:type="gramEnd"/>
      <w:r w:rsidR="002973D1" w:rsidRPr="00BB0D8A">
        <w:rPr>
          <w:rFonts w:asciiTheme="minorHAnsi" w:hAnsiTheme="minorHAnsi" w:cs="Arial"/>
          <w:sz w:val="22"/>
          <w:szCs w:val="22"/>
        </w:rPr>
        <w:t xml:space="preserve"> assets</w:t>
      </w:r>
      <w:r w:rsidRPr="00BB0D8A">
        <w:rPr>
          <w:rFonts w:asciiTheme="minorHAnsi" w:hAnsiTheme="minorHAnsi" w:cs="Arial"/>
          <w:sz w:val="22"/>
          <w:szCs w:val="22"/>
        </w:rPr>
        <w:t xml:space="preserve"> has been calculated using estimated useful lives</w:t>
      </w:r>
      <w:r w:rsidR="006F18AA" w:rsidRPr="00BB0D8A">
        <w:rPr>
          <w:rFonts w:asciiTheme="minorHAnsi" w:hAnsiTheme="minorHAnsi" w:cs="Arial"/>
          <w:sz w:val="22"/>
          <w:szCs w:val="22"/>
        </w:rPr>
        <w:t xml:space="preserve"> following</w:t>
      </w:r>
      <w:r w:rsidRPr="00BB0D8A">
        <w:rPr>
          <w:rFonts w:asciiTheme="minorHAnsi" w:hAnsiTheme="minorHAnsi" w:cs="Arial"/>
          <w:sz w:val="22"/>
          <w:szCs w:val="22"/>
        </w:rPr>
        <w:t xml:space="preserve"> assessment by the valuer.</w:t>
      </w:r>
      <w:r w:rsidR="00C95995" w:rsidRPr="00BB0D8A">
        <w:rPr>
          <w:rFonts w:asciiTheme="minorHAnsi" w:hAnsiTheme="minorHAnsi" w:cs="Arial"/>
          <w:sz w:val="22"/>
          <w:szCs w:val="22"/>
        </w:rPr>
        <w:t xml:space="preserve"> </w:t>
      </w:r>
      <w:r w:rsidR="00592370" w:rsidRPr="00BB0D8A">
        <w:rPr>
          <w:rFonts w:asciiTheme="minorHAnsi" w:hAnsiTheme="minorHAnsi" w:cs="Arial"/>
          <w:sz w:val="22"/>
          <w:szCs w:val="22"/>
        </w:rPr>
        <w:t xml:space="preserve"> During 20</w:t>
      </w:r>
      <w:r w:rsidR="00864738">
        <w:rPr>
          <w:rFonts w:asciiTheme="minorHAnsi" w:hAnsiTheme="minorHAnsi" w:cs="Arial"/>
          <w:sz w:val="22"/>
          <w:szCs w:val="22"/>
        </w:rPr>
        <w:t>2</w:t>
      </w:r>
      <w:r w:rsidR="000663F0">
        <w:rPr>
          <w:rFonts w:asciiTheme="minorHAnsi" w:hAnsiTheme="minorHAnsi" w:cs="Arial"/>
          <w:sz w:val="22"/>
          <w:szCs w:val="22"/>
        </w:rPr>
        <w:t>2</w:t>
      </w:r>
      <w:r w:rsidR="00592370" w:rsidRPr="00BB0D8A">
        <w:rPr>
          <w:rFonts w:asciiTheme="minorHAnsi" w:hAnsiTheme="minorHAnsi" w:cs="Arial"/>
          <w:sz w:val="22"/>
          <w:szCs w:val="22"/>
        </w:rPr>
        <w:t>-</w:t>
      </w:r>
      <w:r w:rsidR="000C2167">
        <w:rPr>
          <w:rFonts w:asciiTheme="minorHAnsi" w:hAnsiTheme="minorHAnsi" w:cs="Arial"/>
          <w:sz w:val="22"/>
          <w:szCs w:val="22"/>
        </w:rPr>
        <w:t>2</w:t>
      </w:r>
      <w:r w:rsidR="000663F0">
        <w:rPr>
          <w:rFonts w:asciiTheme="minorHAnsi" w:hAnsiTheme="minorHAnsi" w:cs="Arial"/>
          <w:sz w:val="22"/>
          <w:szCs w:val="22"/>
        </w:rPr>
        <w:t>3</w:t>
      </w:r>
      <w:r w:rsidR="00592370" w:rsidRPr="00BB0D8A">
        <w:rPr>
          <w:rFonts w:asciiTheme="minorHAnsi" w:hAnsiTheme="minorHAnsi" w:cs="Arial"/>
          <w:sz w:val="22"/>
          <w:szCs w:val="22"/>
        </w:rPr>
        <w:t xml:space="preserve"> the valuer has altered the property values in the</w:t>
      </w:r>
      <w:r w:rsidR="00AA0798" w:rsidRPr="00BB0D8A">
        <w:rPr>
          <w:rFonts w:asciiTheme="minorHAnsi" w:hAnsiTheme="minorHAnsi" w:cs="Arial"/>
          <w:sz w:val="22"/>
          <w:szCs w:val="22"/>
        </w:rPr>
        <w:t xml:space="preserve"> HRA reflecting the current condition</w:t>
      </w:r>
      <w:r w:rsidR="00592370" w:rsidRPr="00BB0D8A">
        <w:rPr>
          <w:rFonts w:asciiTheme="minorHAnsi" w:hAnsiTheme="minorHAnsi" w:cs="Arial"/>
          <w:sz w:val="22"/>
          <w:szCs w:val="22"/>
        </w:rPr>
        <w:t xml:space="preserve"> of the housing market</w:t>
      </w:r>
      <w:r w:rsidR="00DC5B52" w:rsidRPr="00BB0D8A">
        <w:rPr>
          <w:rFonts w:asciiTheme="minorHAnsi" w:hAnsiTheme="minorHAnsi" w:cs="Arial"/>
          <w:sz w:val="22"/>
          <w:szCs w:val="22"/>
        </w:rPr>
        <w:t>.</w:t>
      </w:r>
    </w:p>
    <w:p w14:paraId="66F3DD7B" w14:textId="77777777" w:rsidR="00ED3863" w:rsidRPr="00BB0D8A" w:rsidRDefault="00ED3863" w:rsidP="00BB0D8A">
      <w:pPr>
        <w:widowControl w:val="0"/>
        <w:jc w:val="both"/>
        <w:rPr>
          <w:rFonts w:asciiTheme="minorHAnsi" w:hAnsiTheme="minorHAnsi" w:cs="Arial"/>
          <w:sz w:val="22"/>
          <w:szCs w:val="22"/>
        </w:rPr>
      </w:pPr>
    </w:p>
    <w:p w14:paraId="348494E5" w14:textId="60CA03EB" w:rsidR="00ED3863" w:rsidRDefault="007E7C5D" w:rsidP="00BB0D8A">
      <w:pPr>
        <w:widowControl w:val="0"/>
        <w:ind w:right="142"/>
        <w:jc w:val="both"/>
        <w:rPr>
          <w:rFonts w:asciiTheme="minorHAnsi" w:hAnsiTheme="minorHAnsi" w:cs="Arial"/>
          <w:sz w:val="22"/>
          <w:szCs w:val="22"/>
        </w:rPr>
      </w:pPr>
      <w:r>
        <w:rPr>
          <w:rFonts w:asciiTheme="minorHAnsi" w:hAnsiTheme="minorHAnsi" w:cs="Arial"/>
          <w:sz w:val="22"/>
          <w:szCs w:val="22"/>
        </w:rPr>
        <w:t>10 p</w:t>
      </w:r>
      <w:r w:rsidR="003333BD" w:rsidRPr="00DD4752">
        <w:rPr>
          <w:rFonts w:asciiTheme="minorHAnsi" w:hAnsiTheme="minorHAnsi" w:cs="Arial"/>
          <w:sz w:val="22"/>
          <w:szCs w:val="22"/>
        </w:rPr>
        <w:t>roper</w:t>
      </w:r>
      <w:r w:rsidR="00866246" w:rsidRPr="00DD4752">
        <w:rPr>
          <w:rFonts w:asciiTheme="minorHAnsi" w:hAnsiTheme="minorHAnsi" w:cs="Arial"/>
          <w:sz w:val="22"/>
          <w:szCs w:val="22"/>
        </w:rPr>
        <w:t>ties</w:t>
      </w:r>
      <w:r w:rsidR="00866246" w:rsidRPr="00BB0D8A">
        <w:rPr>
          <w:rFonts w:asciiTheme="minorHAnsi" w:hAnsiTheme="minorHAnsi" w:cs="Arial"/>
          <w:sz w:val="22"/>
          <w:szCs w:val="22"/>
        </w:rPr>
        <w:t xml:space="preserve"> were sold in the year </w:t>
      </w:r>
      <w:r w:rsidR="003333BD" w:rsidRPr="00BB0D8A">
        <w:rPr>
          <w:rFonts w:asciiTheme="minorHAnsi" w:hAnsiTheme="minorHAnsi" w:cs="Arial"/>
          <w:sz w:val="22"/>
          <w:szCs w:val="22"/>
        </w:rPr>
        <w:t xml:space="preserve">under Right to Buy.  </w:t>
      </w:r>
      <w:r w:rsidR="008C4282" w:rsidRPr="00BB0D8A">
        <w:rPr>
          <w:rFonts w:asciiTheme="minorHAnsi" w:hAnsiTheme="minorHAnsi" w:cs="Arial"/>
          <w:sz w:val="22"/>
          <w:szCs w:val="22"/>
        </w:rPr>
        <w:t xml:space="preserve">In the Right to Buy situation the </w:t>
      </w:r>
      <w:r w:rsidR="00CE41D6" w:rsidRPr="00BB0D8A">
        <w:rPr>
          <w:rFonts w:asciiTheme="minorHAnsi" w:hAnsiTheme="minorHAnsi" w:cs="Arial"/>
          <w:sz w:val="22"/>
          <w:szCs w:val="22"/>
        </w:rPr>
        <w:t>Council</w:t>
      </w:r>
      <w:r w:rsidR="008C4282" w:rsidRPr="00BB0D8A">
        <w:rPr>
          <w:rFonts w:asciiTheme="minorHAnsi" w:hAnsiTheme="minorHAnsi" w:cs="Arial"/>
          <w:sz w:val="22"/>
          <w:szCs w:val="22"/>
        </w:rPr>
        <w:t xml:space="preserve"> is constrained by law from </w:t>
      </w:r>
      <w:r w:rsidR="00B473BF" w:rsidRPr="00BB0D8A">
        <w:rPr>
          <w:rFonts w:asciiTheme="minorHAnsi" w:hAnsiTheme="minorHAnsi" w:cs="Arial"/>
          <w:sz w:val="22"/>
          <w:szCs w:val="22"/>
        </w:rPr>
        <w:t>selling the dwellings at their market v</w:t>
      </w:r>
      <w:r w:rsidR="008C4282" w:rsidRPr="00BB0D8A">
        <w:rPr>
          <w:rFonts w:asciiTheme="minorHAnsi" w:hAnsiTheme="minorHAnsi" w:cs="Arial"/>
          <w:sz w:val="22"/>
          <w:szCs w:val="22"/>
        </w:rPr>
        <w:t>alue, the fair comparison is between the sale proceeds and the value subject to the statutory constraint, which results in no gains or losses.</w:t>
      </w:r>
      <w:r w:rsidR="00AA0798" w:rsidRPr="00BB0D8A">
        <w:rPr>
          <w:rFonts w:asciiTheme="minorHAnsi" w:hAnsiTheme="minorHAnsi" w:cs="Arial"/>
          <w:sz w:val="22"/>
          <w:szCs w:val="22"/>
        </w:rPr>
        <w:t xml:space="preserve">  </w:t>
      </w:r>
    </w:p>
    <w:p w14:paraId="41054761" w14:textId="02903B7E" w:rsidR="001B4D9E" w:rsidRDefault="001B4D9E" w:rsidP="00BB0D8A">
      <w:pPr>
        <w:widowControl w:val="0"/>
        <w:ind w:right="142"/>
        <w:jc w:val="both"/>
        <w:rPr>
          <w:rFonts w:asciiTheme="minorHAnsi" w:hAnsiTheme="minorHAnsi" w:cs="Arial"/>
          <w:sz w:val="22"/>
          <w:szCs w:val="22"/>
        </w:rPr>
      </w:pPr>
    </w:p>
    <w:p w14:paraId="72470FC9" w14:textId="2B358902" w:rsidR="001B4D9E" w:rsidRDefault="001B4D9E" w:rsidP="00BB0D8A">
      <w:pPr>
        <w:widowControl w:val="0"/>
        <w:ind w:right="142"/>
        <w:jc w:val="both"/>
        <w:rPr>
          <w:rFonts w:asciiTheme="minorHAnsi" w:hAnsiTheme="minorHAnsi" w:cs="Arial"/>
          <w:sz w:val="22"/>
          <w:szCs w:val="22"/>
        </w:rPr>
      </w:pPr>
    </w:p>
    <w:p w14:paraId="3FD5ED5D" w14:textId="0CFFE83F" w:rsidR="001B4D9E" w:rsidRDefault="001B4D9E" w:rsidP="00BB0D8A">
      <w:pPr>
        <w:widowControl w:val="0"/>
        <w:ind w:right="142"/>
        <w:jc w:val="both"/>
        <w:rPr>
          <w:rFonts w:asciiTheme="minorHAnsi" w:hAnsiTheme="minorHAnsi" w:cs="Arial"/>
          <w:sz w:val="22"/>
          <w:szCs w:val="22"/>
        </w:rPr>
      </w:pPr>
    </w:p>
    <w:p w14:paraId="507D7C19" w14:textId="790EA24C" w:rsidR="001B4D9E" w:rsidRDefault="001B4D9E" w:rsidP="00BB0D8A">
      <w:pPr>
        <w:widowControl w:val="0"/>
        <w:ind w:right="142"/>
        <w:jc w:val="both"/>
        <w:rPr>
          <w:rFonts w:asciiTheme="minorHAnsi" w:hAnsiTheme="minorHAnsi" w:cs="Arial"/>
          <w:sz w:val="22"/>
          <w:szCs w:val="22"/>
        </w:rPr>
      </w:pPr>
    </w:p>
    <w:p w14:paraId="417527EF" w14:textId="4689CC13" w:rsidR="001B4D9E" w:rsidRDefault="001B4D9E" w:rsidP="00BB0D8A">
      <w:pPr>
        <w:widowControl w:val="0"/>
        <w:ind w:right="142"/>
        <w:jc w:val="both"/>
        <w:rPr>
          <w:rFonts w:asciiTheme="minorHAnsi" w:hAnsiTheme="minorHAnsi" w:cs="Arial"/>
          <w:sz w:val="22"/>
          <w:szCs w:val="22"/>
        </w:rPr>
      </w:pPr>
    </w:p>
    <w:p w14:paraId="2F66BCFC" w14:textId="136CDF59" w:rsidR="001B4D9E" w:rsidRDefault="001B4D9E" w:rsidP="00BB0D8A">
      <w:pPr>
        <w:widowControl w:val="0"/>
        <w:ind w:right="142"/>
        <w:jc w:val="both"/>
        <w:rPr>
          <w:rFonts w:asciiTheme="minorHAnsi" w:hAnsiTheme="minorHAnsi" w:cs="Arial"/>
          <w:sz w:val="22"/>
          <w:szCs w:val="22"/>
        </w:rPr>
      </w:pPr>
    </w:p>
    <w:p w14:paraId="52C11DF7" w14:textId="55A77541" w:rsidR="001B4D9E" w:rsidRDefault="001B4D9E" w:rsidP="00BB0D8A">
      <w:pPr>
        <w:widowControl w:val="0"/>
        <w:ind w:right="142"/>
        <w:jc w:val="both"/>
        <w:rPr>
          <w:rFonts w:asciiTheme="minorHAnsi" w:hAnsiTheme="minorHAnsi" w:cs="Arial"/>
          <w:sz w:val="22"/>
          <w:szCs w:val="22"/>
        </w:rPr>
      </w:pPr>
    </w:p>
    <w:p w14:paraId="144A275E" w14:textId="7BD4F213" w:rsidR="001B4D9E" w:rsidRDefault="001B4D9E" w:rsidP="00BB0D8A">
      <w:pPr>
        <w:widowControl w:val="0"/>
        <w:ind w:right="142"/>
        <w:jc w:val="both"/>
        <w:rPr>
          <w:rFonts w:asciiTheme="minorHAnsi" w:hAnsiTheme="minorHAnsi" w:cs="Arial"/>
          <w:sz w:val="22"/>
          <w:szCs w:val="22"/>
        </w:rPr>
      </w:pPr>
    </w:p>
    <w:p w14:paraId="3357B432" w14:textId="46A8AE37" w:rsidR="001B4D9E" w:rsidRDefault="001B4D9E" w:rsidP="00BB0D8A">
      <w:pPr>
        <w:widowControl w:val="0"/>
        <w:ind w:right="142"/>
        <w:jc w:val="both"/>
        <w:rPr>
          <w:rFonts w:asciiTheme="minorHAnsi" w:hAnsiTheme="minorHAnsi" w:cs="Arial"/>
          <w:sz w:val="22"/>
          <w:szCs w:val="22"/>
        </w:rPr>
      </w:pPr>
    </w:p>
    <w:p w14:paraId="50305BD5" w14:textId="6A3FCAC6" w:rsidR="001B4D9E" w:rsidRDefault="001B4D9E" w:rsidP="00BB0D8A">
      <w:pPr>
        <w:widowControl w:val="0"/>
        <w:ind w:right="142"/>
        <w:jc w:val="both"/>
        <w:rPr>
          <w:rFonts w:asciiTheme="minorHAnsi" w:hAnsiTheme="minorHAnsi" w:cs="Arial"/>
          <w:sz w:val="22"/>
          <w:szCs w:val="22"/>
        </w:rPr>
      </w:pPr>
    </w:p>
    <w:p w14:paraId="2C530A50" w14:textId="08BF669F" w:rsidR="001B4D9E" w:rsidRDefault="001B4D9E" w:rsidP="00BB0D8A">
      <w:pPr>
        <w:widowControl w:val="0"/>
        <w:ind w:right="142"/>
        <w:jc w:val="both"/>
        <w:rPr>
          <w:rFonts w:asciiTheme="minorHAnsi" w:hAnsiTheme="minorHAnsi" w:cs="Arial"/>
          <w:sz w:val="22"/>
          <w:szCs w:val="22"/>
        </w:rPr>
      </w:pPr>
    </w:p>
    <w:p w14:paraId="31D0A726" w14:textId="2CA917ED" w:rsidR="001B4D9E" w:rsidRDefault="001B4D9E" w:rsidP="00BB0D8A">
      <w:pPr>
        <w:widowControl w:val="0"/>
        <w:ind w:right="142"/>
        <w:jc w:val="both"/>
        <w:rPr>
          <w:rFonts w:asciiTheme="minorHAnsi" w:hAnsiTheme="minorHAnsi" w:cs="Arial"/>
          <w:sz w:val="22"/>
          <w:szCs w:val="22"/>
        </w:rPr>
      </w:pPr>
    </w:p>
    <w:p w14:paraId="6E079EA2" w14:textId="77777777" w:rsidR="001B4D9E" w:rsidRPr="00BB0D8A" w:rsidRDefault="001B4D9E" w:rsidP="00BB0D8A">
      <w:pPr>
        <w:widowControl w:val="0"/>
        <w:ind w:right="142"/>
        <w:jc w:val="both"/>
        <w:rPr>
          <w:rFonts w:asciiTheme="minorHAnsi" w:hAnsiTheme="minorHAnsi" w:cs="Arial"/>
          <w:sz w:val="22"/>
          <w:szCs w:val="22"/>
        </w:rPr>
      </w:pPr>
    </w:p>
    <w:p w14:paraId="5D50ED88" w14:textId="77777777" w:rsidR="00DC5B52" w:rsidRDefault="00DC5B52" w:rsidP="00BB0D8A">
      <w:pPr>
        <w:widowControl w:val="0"/>
        <w:ind w:right="142"/>
        <w:jc w:val="both"/>
        <w:rPr>
          <w:rFonts w:ascii="Arial" w:hAnsi="Arial" w:cs="Arial"/>
        </w:rPr>
      </w:pPr>
    </w:p>
    <w:p w14:paraId="6B58209C" w14:textId="0C7452B8" w:rsidR="00BF1FB3" w:rsidRDefault="007E7C5D" w:rsidP="00BB0D8A">
      <w:pPr>
        <w:widowControl w:val="0"/>
        <w:jc w:val="both"/>
        <w:rPr>
          <w:rFonts w:asciiTheme="minorHAnsi" w:hAnsiTheme="minorHAnsi" w:cs="Arial"/>
          <w:b/>
          <w:sz w:val="24"/>
          <w:szCs w:val="24"/>
        </w:rPr>
      </w:pPr>
      <w:bookmarkStart w:id="15" w:name="_Hlk106881463"/>
      <w:r>
        <w:rPr>
          <w:rFonts w:asciiTheme="minorHAnsi" w:hAnsiTheme="minorHAnsi" w:cs="Arial"/>
          <w:b/>
          <w:sz w:val="24"/>
          <w:szCs w:val="24"/>
        </w:rPr>
        <w:lastRenderedPageBreak/>
        <w:t>4</w:t>
      </w:r>
      <w:r w:rsidR="00BF1FB3">
        <w:rPr>
          <w:rFonts w:asciiTheme="minorHAnsi" w:hAnsiTheme="minorHAnsi" w:cs="Arial"/>
          <w:b/>
          <w:sz w:val="24"/>
          <w:szCs w:val="24"/>
        </w:rPr>
        <w:t xml:space="preserve">      Intangible Asses</w:t>
      </w:r>
    </w:p>
    <w:p w14:paraId="79B2744E" w14:textId="3DD84146" w:rsidR="00BF1FB3" w:rsidRDefault="00BF1FB3" w:rsidP="00BB0D8A">
      <w:pPr>
        <w:widowControl w:val="0"/>
        <w:jc w:val="both"/>
        <w:rPr>
          <w:rFonts w:asciiTheme="minorHAnsi" w:hAnsiTheme="minorHAnsi" w:cs="Arial"/>
          <w:b/>
          <w:sz w:val="22"/>
          <w:szCs w:val="22"/>
        </w:rPr>
      </w:pPr>
      <w:r>
        <w:rPr>
          <w:rFonts w:asciiTheme="minorHAnsi" w:hAnsiTheme="minorHAnsi" w:cs="Arial"/>
          <w:b/>
          <w:sz w:val="22"/>
          <w:szCs w:val="22"/>
        </w:rPr>
        <w:tab/>
      </w:r>
    </w:p>
    <w:tbl>
      <w:tblPr>
        <w:tblW w:w="6394" w:type="dxa"/>
        <w:tblInd w:w="93" w:type="dxa"/>
        <w:tblLook w:val="04A0" w:firstRow="1" w:lastRow="0" w:firstColumn="1" w:lastColumn="0" w:noHBand="0" w:noVBand="1"/>
        <w:tblCaption w:val="Housing Revenue Accounts Intangible Assets"/>
        <w:tblDescription w:val="Housing Revenue Accounts Intangible Assets"/>
      </w:tblPr>
      <w:tblGrid>
        <w:gridCol w:w="280"/>
        <w:gridCol w:w="3820"/>
        <w:gridCol w:w="1160"/>
        <w:gridCol w:w="1134"/>
      </w:tblGrid>
      <w:tr w:rsidR="00BF1FB3" w:rsidRPr="007A388C" w14:paraId="7E12265F" w14:textId="77777777" w:rsidTr="00110931">
        <w:trPr>
          <w:cantSplit/>
          <w:trHeight w:val="300"/>
          <w:tblHeader/>
        </w:trPr>
        <w:tc>
          <w:tcPr>
            <w:tcW w:w="280" w:type="dxa"/>
            <w:tcBorders>
              <w:top w:val="nil"/>
              <w:left w:val="nil"/>
              <w:bottom w:val="nil"/>
              <w:right w:val="nil"/>
            </w:tcBorders>
            <w:shd w:val="clear" w:color="auto" w:fill="92CDDC" w:themeFill="accent5" w:themeFillTint="99"/>
            <w:noWrap/>
            <w:vAlign w:val="center"/>
            <w:hideMark/>
          </w:tcPr>
          <w:p w14:paraId="228F74A0"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nil"/>
              <w:right w:val="nil"/>
            </w:tcBorders>
            <w:shd w:val="clear" w:color="auto" w:fill="92CDDC" w:themeFill="accent5" w:themeFillTint="99"/>
            <w:noWrap/>
            <w:vAlign w:val="center"/>
            <w:hideMark/>
          </w:tcPr>
          <w:p w14:paraId="7479E468"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 </w:t>
            </w:r>
          </w:p>
        </w:tc>
        <w:tc>
          <w:tcPr>
            <w:tcW w:w="1160" w:type="dxa"/>
            <w:tcBorders>
              <w:top w:val="single" w:sz="4" w:space="0" w:color="FFFFFF"/>
              <w:left w:val="single" w:sz="4" w:space="0" w:color="FFFFFF"/>
              <w:bottom w:val="single" w:sz="4" w:space="0" w:color="FFFFFF"/>
              <w:right w:val="single" w:sz="4" w:space="0" w:color="FFFFFF"/>
            </w:tcBorders>
            <w:shd w:val="clear" w:color="auto" w:fill="92CDDC" w:themeFill="accent5" w:themeFillTint="99"/>
            <w:noWrap/>
            <w:vAlign w:val="center"/>
            <w:hideMark/>
          </w:tcPr>
          <w:p w14:paraId="150AFF08" w14:textId="3EE8B16A" w:rsidR="00BF1FB3" w:rsidRPr="007A388C" w:rsidRDefault="00BF1FB3" w:rsidP="00BF1FB3">
            <w:pPr>
              <w:jc w:val="center"/>
              <w:rPr>
                <w:rFonts w:ascii="Calibri" w:hAnsi="Calibri"/>
                <w:color w:val="000000"/>
                <w:lang w:eastAsia="en-GB"/>
              </w:rPr>
            </w:pPr>
            <w:r w:rsidRPr="007A388C">
              <w:rPr>
                <w:rFonts w:ascii="Calibri" w:hAnsi="Calibri"/>
                <w:color w:val="000000"/>
                <w:lang w:eastAsia="en-GB"/>
              </w:rPr>
              <w:t>20</w:t>
            </w:r>
            <w:r w:rsidR="005C223B">
              <w:rPr>
                <w:rFonts w:ascii="Calibri" w:hAnsi="Calibri"/>
                <w:color w:val="000000"/>
                <w:lang w:eastAsia="en-GB"/>
              </w:rPr>
              <w:t>2</w:t>
            </w:r>
            <w:r w:rsidR="00002BDE">
              <w:rPr>
                <w:rFonts w:ascii="Calibri" w:hAnsi="Calibri"/>
                <w:color w:val="000000"/>
                <w:lang w:eastAsia="en-GB"/>
              </w:rPr>
              <w:t>1</w:t>
            </w:r>
            <w:r w:rsidRPr="007A388C">
              <w:rPr>
                <w:rFonts w:ascii="Calibri" w:hAnsi="Calibri"/>
                <w:color w:val="000000"/>
                <w:lang w:eastAsia="en-GB"/>
              </w:rPr>
              <w:t>-</w:t>
            </w:r>
            <w:r>
              <w:rPr>
                <w:rFonts w:ascii="Calibri" w:hAnsi="Calibri"/>
                <w:color w:val="000000"/>
                <w:lang w:eastAsia="en-GB"/>
              </w:rPr>
              <w:t>2</w:t>
            </w:r>
            <w:r w:rsidR="00002BDE">
              <w:rPr>
                <w:rFonts w:ascii="Calibri" w:hAnsi="Calibri"/>
                <w:color w:val="000000"/>
                <w:lang w:eastAsia="en-GB"/>
              </w:rPr>
              <w:t>2</w:t>
            </w:r>
          </w:p>
        </w:tc>
        <w:tc>
          <w:tcPr>
            <w:tcW w:w="1134" w:type="dxa"/>
            <w:tcBorders>
              <w:top w:val="single" w:sz="4" w:space="0" w:color="FFFFFF"/>
              <w:left w:val="nil"/>
              <w:bottom w:val="single" w:sz="4" w:space="0" w:color="FFFFFF"/>
              <w:right w:val="single" w:sz="4" w:space="0" w:color="FFFFFF"/>
            </w:tcBorders>
            <w:shd w:val="clear" w:color="auto" w:fill="92CDDC" w:themeFill="accent5" w:themeFillTint="99"/>
            <w:noWrap/>
            <w:vAlign w:val="center"/>
            <w:hideMark/>
          </w:tcPr>
          <w:p w14:paraId="2F7A32EC" w14:textId="0B00461A" w:rsidR="00BF1FB3" w:rsidRPr="007A388C" w:rsidRDefault="00BF1FB3" w:rsidP="00BF1FB3">
            <w:pPr>
              <w:jc w:val="center"/>
              <w:rPr>
                <w:rFonts w:ascii="Calibri" w:hAnsi="Calibri"/>
                <w:color w:val="000000"/>
                <w:lang w:eastAsia="en-GB"/>
              </w:rPr>
            </w:pPr>
            <w:r w:rsidRPr="007A388C">
              <w:rPr>
                <w:rFonts w:ascii="Calibri" w:hAnsi="Calibri"/>
                <w:color w:val="000000"/>
                <w:lang w:eastAsia="en-GB"/>
              </w:rPr>
              <w:t>20</w:t>
            </w:r>
            <w:r>
              <w:rPr>
                <w:rFonts w:ascii="Calibri" w:hAnsi="Calibri"/>
                <w:color w:val="000000"/>
                <w:lang w:eastAsia="en-GB"/>
              </w:rPr>
              <w:t>2</w:t>
            </w:r>
            <w:r w:rsidR="00002BDE">
              <w:rPr>
                <w:rFonts w:ascii="Calibri" w:hAnsi="Calibri"/>
                <w:color w:val="000000"/>
                <w:lang w:eastAsia="en-GB"/>
              </w:rPr>
              <w:t>2</w:t>
            </w:r>
            <w:r w:rsidRPr="007A388C">
              <w:rPr>
                <w:rFonts w:ascii="Calibri" w:hAnsi="Calibri"/>
                <w:color w:val="000000"/>
                <w:lang w:eastAsia="en-GB"/>
              </w:rPr>
              <w:t>-</w:t>
            </w:r>
            <w:r>
              <w:rPr>
                <w:rFonts w:ascii="Calibri" w:hAnsi="Calibri"/>
                <w:color w:val="000000"/>
                <w:lang w:eastAsia="en-GB"/>
              </w:rPr>
              <w:t>2</w:t>
            </w:r>
            <w:r w:rsidR="00002BDE">
              <w:rPr>
                <w:rFonts w:ascii="Calibri" w:hAnsi="Calibri"/>
                <w:color w:val="000000"/>
                <w:lang w:eastAsia="en-GB"/>
              </w:rPr>
              <w:t>3</w:t>
            </w:r>
          </w:p>
        </w:tc>
      </w:tr>
      <w:tr w:rsidR="00BF1FB3" w:rsidRPr="007A388C" w14:paraId="0EB5D516" w14:textId="77777777" w:rsidTr="008A6A14">
        <w:trPr>
          <w:trHeight w:val="300"/>
        </w:trPr>
        <w:tc>
          <w:tcPr>
            <w:tcW w:w="280" w:type="dxa"/>
            <w:tcBorders>
              <w:top w:val="nil"/>
              <w:left w:val="nil"/>
              <w:bottom w:val="single" w:sz="4" w:space="0" w:color="FFFFFF"/>
              <w:right w:val="nil"/>
            </w:tcBorders>
            <w:shd w:val="clear" w:color="auto" w:fill="92CDDC" w:themeFill="accent5" w:themeFillTint="99"/>
            <w:noWrap/>
            <w:vAlign w:val="center"/>
            <w:hideMark/>
          </w:tcPr>
          <w:p w14:paraId="30BD6A73"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auto" w:fill="92CDDC" w:themeFill="accent5" w:themeFillTint="99"/>
            <w:noWrap/>
            <w:vAlign w:val="center"/>
            <w:hideMark/>
          </w:tcPr>
          <w:p w14:paraId="6DA97C44"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 </w:t>
            </w:r>
          </w:p>
        </w:tc>
        <w:tc>
          <w:tcPr>
            <w:tcW w:w="1160" w:type="dxa"/>
            <w:tcBorders>
              <w:top w:val="nil"/>
              <w:left w:val="nil"/>
              <w:bottom w:val="single" w:sz="4" w:space="0" w:color="FFFFFF"/>
              <w:right w:val="single" w:sz="4" w:space="0" w:color="FFFFFF"/>
            </w:tcBorders>
            <w:shd w:val="clear" w:color="auto" w:fill="92CDDC" w:themeFill="accent5" w:themeFillTint="99"/>
            <w:noWrap/>
            <w:vAlign w:val="center"/>
            <w:hideMark/>
          </w:tcPr>
          <w:p w14:paraId="245F278D" w14:textId="77777777" w:rsidR="00BF1FB3" w:rsidRPr="007A388C" w:rsidRDefault="00BF1FB3" w:rsidP="00BF1FB3">
            <w:pPr>
              <w:jc w:val="right"/>
              <w:rPr>
                <w:rFonts w:ascii="Calibri" w:hAnsi="Calibri"/>
                <w:color w:val="000000"/>
                <w:lang w:eastAsia="en-GB"/>
              </w:rPr>
            </w:pPr>
            <w:r w:rsidRPr="007A388C">
              <w:rPr>
                <w:rFonts w:ascii="Calibri" w:hAnsi="Calibri"/>
                <w:color w:val="000000"/>
                <w:lang w:eastAsia="en-GB"/>
              </w:rPr>
              <w:t>£’000</w:t>
            </w:r>
          </w:p>
        </w:tc>
        <w:tc>
          <w:tcPr>
            <w:tcW w:w="1134" w:type="dxa"/>
            <w:tcBorders>
              <w:top w:val="nil"/>
              <w:left w:val="nil"/>
              <w:bottom w:val="single" w:sz="4" w:space="0" w:color="FFFFFF"/>
              <w:right w:val="single" w:sz="4" w:space="0" w:color="FFFFFF"/>
            </w:tcBorders>
            <w:shd w:val="clear" w:color="auto" w:fill="92CDDC" w:themeFill="accent5" w:themeFillTint="99"/>
            <w:noWrap/>
            <w:vAlign w:val="center"/>
            <w:hideMark/>
          </w:tcPr>
          <w:p w14:paraId="63B415D1" w14:textId="77777777" w:rsidR="00BF1FB3" w:rsidRPr="007A388C" w:rsidRDefault="00BF1FB3" w:rsidP="00BF1FB3">
            <w:pPr>
              <w:jc w:val="right"/>
              <w:rPr>
                <w:rFonts w:ascii="Calibri" w:hAnsi="Calibri"/>
                <w:color w:val="000000"/>
                <w:lang w:eastAsia="en-GB"/>
              </w:rPr>
            </w:pPr>
            <w:r w:rsidRPr="007A388C">
              <w:rPr>
                <w:rFonts w:ascii="Calibri" w:hAnsi="Calibri"/>
                <w:color w:val="000000"/>
                <w:lang w:eastAsia="en-GB"/>
              </w:rPr>
              <w:t>£’000</w:t>
            </w:r>
          </w:p>
        </w:tc>
      </w:tr>
      <w:tr w:rsidR="00BF1FB3" w:rsidRPr="007A388C" w14:paraId="4BAE5C7B" w14:textId="77777777" w:rsidTr="008A6A14">
        <w:trPr>
          <w:trHeight w:val="300"/>
        </w:trPr>
        <w:tc>
          <w:tcPr>
            <w:tcW w:w="4100" w:type="dxa"/>
            <w:gridSpan w:val="2"/>
            <w:tcBorders>
              <w:top w:val="nil"/>
              <w:left w:val="single" w:sz="4" w:space="0" w:color="FFFFFF"/>
              <w:bottom w:val="single" w:sz="4" w:space="0" w:color="FFFFFF"/>
              <w:right w:val="single" w:sz="4" w:space="0" w:color="FFFFFF"/>
            </w:tcBorders>
            <w:shd w:val="clear" w:color="auto" w:fill="B6DDE8" w:themeFill="accent5" w:themeFillTint="66"/>
            <w:noWrap/>
            <w:vAlign w:val="center"/>
            <w:hideMark/>
          </w:tcPr>
          <w:p w14:paraId="70DB6826" w14:textId="77777777" w:rsidR="00BF1FB3" w:rsidRPr="007A388C" w:rsidRDefault="00BF1FB3" w:rsidP="00BF1FB3">
            <w:pPr>
              <w:rPr>
                <w:rFonts w:ascii="Calibri" w:hAnsi="Calibri"/>
                <w:b/>
                <w:bCs/>
                <w:color w:val="000000"/>
                <w:lang w:eastAsia="en-GB"/>
              </w:rPr>
            </w:pPr>
            <w:r w:rsidRPr="007A388C">
              <w:rPr>
                <w:rFonts w:ascii="Calibri" w:hAnsi="Calibri"/>
                <w:b/>
                <w:bCs/>
                <w:color w:val="000000"/>
                <w:lang w:eastAsia="en-GB"/>
              </w:rPr>
              <w:t>Net carrying amount at year start</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13D5B557" w14:textId="5B1E9EAB" w:rsidR="00BF1FB3" w:rsidRPr="007A388C" w:rsidRDefault="00002BDE" w:rsidP="00BF1FB3">
            <w:pPr>
              <w:jc w:val="right"/>
              <w:rPr>
                <w:rFonts w:ascii="Calibri" w:hAnsi="Calibri"/>
                <w:b/>
                <w:bCs/>
                <w:color w:val="000000"/>
                <w:lang w:eastAsia="en-GB"/>
              </w:rPr>
            </w:pPr>
            <w:r>
              <w:rPr>
                <w:rFonts w:ascii="Calibri" w:hAnsi="Calibri"/>
                <w:b/>
                <w:bCs/>
                <w:color w:val="000000"/>
                <w:lang w:eastAsia="en-GB"/>
              </w:rPr>
              <w:t>105</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5BA45DC6" w14:textId="4696944F" w:rsidR="00BF1FB3" w:rsidRPr="00046FC7" w:rsidRDefault="00702DE2" w:rsidP="00BF1FB3">
            <w:pPr>
              <w:jc w:val="right"/>
              <w:rPr>
                <w:rFonts w:ascii="Calibri" w:hAnsi="Calibri"/>
                <w:b/>
                <w:bCs/>
                <w:color w:val="000000"/>
                <w:highlight w:val="yellow"/>
                <w:lang w:eastAsia="en-GB"/>
              </w:rPr>
            </w:pPr>
            <w:r>
              <w:rPr>
                <w:rFonts w:ascii="Calibri" w:hAnsi="Calibri"/>
                <w:b/>
                <w:bCs/>
                <w:color w:val="000000"/>
                <w:lang w:eastAsia="en-GB"/>
              </w:rPr>
              <w:t>1</w:t>
            </w:r>
            <w:r w:rsidR="00002BDE">
              <w:rPr>
                <w:rFonts w:ascii="Calibri" w:hAnsi="Calibri"/>
                <w:b/>
                <w:bCs/>
                <w:color w:val="000000"/>
                <w:lang w:eastAsia="en-GB"/>
              </w:rPr>
              <w:t>27</w:t>
            </w:r>
          </w:p>
        </w:tc>
      </w:tr>
      <w:tr w:rsidR="00BF1FB3" w:rsidRPr="007A388C" w14:paraId="7F76C7C0" w14:textId="77777777" w:rsidTr="008A6A14">
        <w:trPr>
          <w:trHeight w:val="300"/>
        </w:trPr>
        <w:tc>
          <w:tcPr>
            <w:tcW w:w="4100" w:type="dxa"/>
            <w:gridSpan w:val="2"/>
            <w:tcBorders>
              <w:top w:val="nil"/>
              <w:left w:val="nil"/>
              <w:bottom w:val="nil"/>
              <w:right w:val="nil"/>
            </w:tcBorders>
            <w:shd w:val="clear" w:color="auto" w:fill="DAEEF3" w:themeFill="accent5" w:themeFillTint="33"/>
            <w:noWrap/>
            <w:vAlign w:val="center"/>
            <w:hideMark/>
          </w:tcPr>
          <w:p w14:paraId="7B1EB591"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Additions:</w:t>
            </w:r>
          </w:p>
        </w:tc>
        <w:tc>
          <w:tcPr>
            <w:tcW w:w="1160" w:type="dxa"/>
            <w:tcBorders>
              <w:top w:val="nil"/>
              <w:left w:val="nil"/>
              <w:bottom w:val="nil"/>
              <w:right w:val="nil"/>
            </w:tcBorders>
            <w:shd w:val="clear" w:color="auto" w:fill="DAEEF3" w:themeFill="accent5" w:themeFillTint="33"/>
            <w:noWrap/>
            <w:vAlign w:val="center"/>
            <w:hideMark/>
          </w:tcPr>
          <w:p w14:paraId="7B6DD50E" w14:textId="77777777" w:rsidR="00BF1FB3" w:rsidRPr="007A388C" w:rsidRDefault="00BF1FB3" w:rsidP="00BF1FB3">
            <w:pPr>
              <w:jc w:val="right"/>
              <w:rPr>
                <w:rFonts w:ascii="Calibri" w:hAnsi="Calibri"/>
                <w:color w:val="000000"/>
                <w:lang w:eastAsia="en-GB"/>
              </w:rPr>
            </w:pPr>
            <w:r w:rsidRPr="007A388C">
              <w:rPr>
                <w:rFonts w:ascii="Calibri" w:hAnsi="Calibri"/>
                <w:color w:val="000000"/>
                <w:lang w:eastAsia="en-GB"/>
              </w:rPr>
              <w:t> </w:t>
            </w:r>
          </w:p>
        </w:tc>
        <w:tc>
          <w:tcPr>
            <w:tcW w:w="1134" w:type="dxa"/>
            <w:tcBorders>
              <w:top w:val="nil"/>
              <w:left w:val="nil"/>
              <w:bottom w:val="nil"/>
              <w:right w:val="nil"/>
            </w:tcBorders>
            <w:shd w:val="clear" w:color="auto" w:fill="DAEEF3" w:themeFill="accent5" w:themeFillTint="33"/>
            <w:noWrap/>
            <w:vAlign w:val="center"/>
            <w:hideMark/>
          </w:tcPr>
          <w:p w14:paraId="74B283CA" w14:textId="77777777" w:rsidR="00BF1FB3" w:rsidRPr="007A388C" w:rsidRDefault="00BF1FB3" w:rsidP="00BF1FB3">
            <w:pPr>
              <w:jc w:val="right"/>
              <w:rPr>
                <w:rFonts w:ascii="Calibri" w:hAnsi="Calibri"/>
                <w:color w:val="000000"/>
                <w:lang w:eastAsia="en-GB"/>
              </w:rPr>
            </w:pPr>
            <w:r w:rsidRPr="007A388C">
              <w:rPr>
                <w:rFonts w:ascii="Calibri" w:hAnsi="Calibri"/>
                <w:color w:val="000000"/>
                <w:lang w:eastAsia="en-GB"/>
              </w:rPr>
              <w:t> </w:t>
            </w:r>
          </w:p>
        </w:tc>
      </w:tr>
      <w:tr w:rsidR="00BF1FB3" w:rsidRPr="007A388C" w14:paraId="7E9D82DB" w14:textId="77777777" w:rsidTr="008A6A14">
        <w:trPr>
          <w:trHeight w:val="300"/>
        </w:trPr>
        <w:tc>
          <w:tcPr>
            <w:tcW w:w="280" w:type="dxa"/>
            <w:tcBorders>
              <w:top w:val="nil"/>
              <w:left w:val="nil"/>
              <w:bottom w:val="single" w:sz="4" w:space="0" w:color="FFFFFF"/>
              <w:right w:val="nil"/>
            </w:tcBorders>
            <w:shd w:val="clear" w:color="auto" w:fill="DAEEF3" w:themeFill="accent5" w:themeFillTint="33"/>
            <w:noWrap/>
            <w:vAlign w:val="center"/>
            <w:hideMark/>
          </w:tcPr>
          <w:p w14:paraId="554C30ED"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 </w:t>
            </w:r>
          </w:p>
        </w:tc>
        <w:tc>
          <w:tcPr>
            <w:tcW w:w="3820" w:type="dxa"/>
            <w:tcBorders>
              <w:top w:val="nil"/>
              <w:left w:val="nil"/>
              <w:bottom w:val="single" w:sz="4" w:space="0" w:color="FFFFFF"/>
              <w:right w:val="single" w:sz="4" w:space="0" w:color="FFFFFF"/>
            </w:tcBorders>
            <w:shd w:val="clear" w:color="auto" w:fill="DAEEF3" w:themeFill="accent5" w:themeFillTint="33"/>
            <w:noWrap/>
            <w:vAlign w:val="center"/>
            <w:hideMark/>
          </w:tcPr>
          <w:p w14:paraId="66FDCE4F"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Purchases</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2F53524E" w14:textId="7BFAC886" w:rsidR="00BF1FB3" w:rsidRPr="007A388C" w:rsidRDefault="00002BDE" w:rsidP="00BF1FB3">
            <w:pPr>
              <w:jc w:val="right"/>
              <w:rPr>
                <w:rFonts w:ascii="Calibri" w:hAnsi="Calibri"/>
                <w:color w:val="000000"/>
                <w:lang w:eastAsia="en-GB"/>
              </w:rPr>
            </w:pPr>
            <w:r>
              <w:rPr>
                <w:rFonts w:ascii="Calibri" w:hAnsi="Calibri"/>
                <w:color w:val="000000"/>
                <w:lang w:eastAsia="en-GB"/>
              </w:rPr>
              <w:t>42</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1706E575" w14:textId="756B3CAF" w:rsidR="00BF1FB3" w:rsidRPr="00AF5FA0" w:rsidRDefault="00E513F9" w:rsidP="00BF1FB3">
            <w:pPr>
              <w:jc w:val="right"/>
              <w:rPr>
                <w:rFonts w:ascii="Calibri" w:hAnsi="Calibri"/>
                <w:lang w:eastAsia="en-GB"/>
              </w:rPr>
            </w:pPr>
            <w:r>
              <w:rPr>
                <w:rFonts w:ascii="Calibri" w:hAnsi="Calibri"/>
                <w:lang w:eastAsia="en-GB"/>
              </w:rPr>
              <w:t>7</w:t>
            </w:r>
          </w:p>
        </w:tc>
      </w:tr>
      <w:tr w:rsidR="00E513F9" w:rsidRPr="007A388C" w14:paraId="55AAB522" w14:textId="77777777" w:rsidTr="008A6A14">
        <w:trPr>
          <w:trHeight w:val="300"/>
        </w:trPr>
        <w:tc>
          <w:tcPr>
            <w:tcW w:w="280" w:type="dxa"/>
            <w:tcBorders>
              <w:top w:val="nil"/>
              <w:left w:val="nil"/>
              <w:bottom w:val="single" w:sz="4" w:space="0" w:color="FFFFFF"/>
              <w:right w:val="nil"/>
            </w:tcBorders>
            <w:shd w:val="clear" w:color="auto" w:fill="DAEEF3" w:themeFill="accent5" w:themeFillTint="33"/>
            <w:noWrap/>
            <w:vAlign w:val="center"/>
          </w:tcPr>
          <w:p w14:paraId="339B0869" w14:textId="77777777" w:rsidR="00E513F9" w:rsidRPr="007A388C" w:rsidRDefault="00E513F9" w:rsidP="00BF1FB3">
            <w:pPr>
              <w:rPr>
                <w:rFonts w:ascii="Calibri" w:hAnsi="Calibri"/>
                <w:color w:val="000000"/>
                <w:lang w:eastAsia="en-GB"/>
              </w:rPr>
            </w:pPr>
          </w:p>
        </w:tc>
        <w:tc>
          <w:tcPr>
            <w:tcW w:w="3820" w:type="dxa"/>
            <w:tcBorders>
              <w:top w:val="nil"/>
              <w:left w:val="nil"/>
              <w:bottom w:val="single" w:sz="4" w:space="0" w:color="FFFFFF"/>
              <w:right w:val="single" w:sz="4" w:space="0" w:color="FFFFFF"/>
            </w:tcBorders>
            <w:shd w:val="clear" w:color="auto" w:fill="DAEEF3" w:themeFill="accent5" w:themeFillTint="33"/>
            <w:noWrap/>
            <w:vAlign w:val="center"/>
          </w:tcPr>
          <w:p w14:paraId="5D9E737E" w14:textId="22BF4BE6" w:rsidR="00E513F9" w:rsidRPr="007A388C" w:rsidRDefault="00E513F9" w:rsidP="00BF1FB3">
            <w:pPr>
              <w:rPr>
                <w:rFonts w:ascii="Calibri" w:hAnsi="Calibri"/>
                <w:color w:val="000000"/>
                <w:lang w:eastAsia="en-GB"/>
              </w:rPr>
            </w:pPr>
            <w:r>
              <w:rPr>
                <w:rFonts w:ascii="Calibri" w:hAnsi="Calibri"/>
                <w:color w:val="000000"/>
                <w:lang w:eastAsia="en-GB"/>
              </w:rPr>
              <w:t>Transfer from VPE</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tcPr>
          <w:p w14:paraId="22C19054" w14:textId="0A81B3AC" w:rsidR="00E513F9" w:rsidRDefault="007F4F43" w:rsidP="00BF1FB3">
            <w:pPr>
              <w:jc w:val="right"/>
              <w:rPr>
                <w:rFonts w:ascii="Calibri" w:hAnsi="Calibri"/>
                <w:color w:val="000000"/>
                <w:lang w:eastAsia="en-GB"/>
              </w:rPr>
            </w:pPr>
            <w:r>
              <w:rPr>
                <w:rFonts w:ascii="Calibri" w:hAnsi="Calibri"/>
                <w:color w:val="000000"/>
                <w:lang w:eastAsia="en-GB"/>
              </w:rPr>
              <w:t>0</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76CA9B0A" w14:textId="0CD49656" w:rsidR="00E513F9" w:rsidRDefault="00971772" w:rsidP="00BF1FB3">
            <w:pPr>
              <w:jc w:val="right"/>
              <w:rPr>
                <w:rFonts w:ascii="Calibri" w:hAnsi="Calibri"/>
                <w:lang w:eastAsia="en-GB"/>
              </w:rPr>
            </w:pPr>
            <w:r>
              <w:rPr>
                <w:rFonts w:ascii="Calibri" w:hAnsi="Calibri"/>
                <w:lang w:eastAsia="en-GB"/>
              </w:rPr>
              <w:t>4</w:t>
            </w:r>
          </w:p>
        </w:tc>
      </w:tr>
      <w:tr w:rsidR="00BF1FB3" w:rsidRPr="007A388C" w14:paraId="3A69CDD5" w14:textId="77777777" w:rsidTr="008A6A14">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auto" w:fill="DAEEF3" w:themeFill="accent5" w:themeFillTint="33"/>
            <w:noWrap/>
            <w:vAlign w:val="center"/>
            <w:hideMark/>
          </w:tcPr>
          <w:p w14:paraId="7BB20517"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Disposals</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6698A016" w14:textId="41ADE111" w:rsidR="00BF1FB3" w:rsidRPr="007A388C" w:rsidRDefault="00BF1FB3" w:rsidP="00BF1FB3">
            <w:pPr>
              <w:jc w:val="right"/>
              <w:rPr>
                <w:rFonts w:ascii="Calibri" w:hAnsi="Calibri"/>
                <w:color w:val="000000"/>
                <w:lang w:eastAsia="en-GB"/>
              </w:rPr>
            </w:pPr>
            <w:r>
              <w:rPr>
                <w:rFonts w:ascii="Calibri" w:hAnsi="Calibri"/>
                <w:color w:val="000000"/>
                <w:lang w:eastAsia="en-GB"/>
              </w:rPr>
              <w:t>0</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3A967DED" w14:textId="750F1076" w:rsidR="00BF1FB3" w:rsidRPr="007A388C" w:rsidRDefault="00E513F9" w:rsidP="00BF1FB3">
            <w:pPr>
              <w:jc w:val="right"/>
              <w:rPr>
                <w:rFonts w:ascii="Calibri" w:hAnsi="Calibri"/>
                <w:color w:val="000000"/>
                <w:lang w:eastAsia="en-GB"/>
              </w:rPr>
            </w:pPr>
            <w:r>
              <w:rPr>
                <w:rFonts w:ascii="Calibri" w:hAnsi="Calibri"/>
                <w:color w:val="000000"/>
                <w:lang w:eastAsia="en-GB"/>
              </w:rPr>
              <w:t>0</w:t>
            </w:r>
          </w:p>
        </w:tc>
      </w:tr>
      <w:tr w:rsidR="00BF1FB3" w:rsidRPr="007A388C" w14:paraId="32F47B75" w14:textId="77777777" w:rsidTr="008A6A14">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auto" w:fill="DAEEF3" w:themeFill="accent5" w:themeFillTint="33"/>
            <w:noWrap/>
            <w:vAlign w:val="center"/>
            <w:hideMark/>
          </w:tcPr>
          <w:p w14:paraId="531FA4DC"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Amortisation in period</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08B5D4FE" w14:textId="55874241" w:rsidR="00BF1FB3" w:rsidRPr="007A388C" w:rsidRDefault="00002BDE" w:rsidP="00BF1FB3">
            <w:pPr>
              <w:jc w:val="right"/>
              <w:rPr>
                <w:rFonts w:ascii="Calibri" w:hAnsi="Calibri"/>
                <w:color w:val="000000"/>
                <w:lang w:eastAsia="en-GB"/>
              </w:rPr>
            </w:pPr>
            <w:r>
              <w:rPr>
                <w:rFonts w:ascii="Calibri" w:hAnsi="Calibri"/>
                <w:color w:val="000000"/>
                <w:lang w:eastAsia="en-GB"/>
              </w:rPr>
              <w:t>-20</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47481257" w14:textId="4DFF9BA5" w:rsidR="00BF1FB3" w:rsidRPr="007A388C" w:rsidRDefault="00E513F9" w:rsidP="00BF1FB3">
            <w:pPr>
              <w:jc w:val="right"/>
              <w:rPr>
                <w:rFonts w:ascii="Calibri" w:hAnsi="Calibri"/>
                <w:color w:val="000000"/>
                <w:lang w:eastAsia="en-GB"/>
              </w:rPr>
            </w:pPr>
            <w:r>
              <w:rPr>
                <w:rFonts w:ascii="Calibri" w:hAnsi="Calibri"/>
                <w:color w:val="000000"/>
                <w:lang w:eastAsia="en-GB"/>
              </w:rPr>
              <w:t>-31</w:t>
            </w:r>
          </w:p>
        </w:tc>
      </w:tr>
      <w:tr w:rsidR="00BF1FB3" w:rsidRPr="007A388C" w14:paraId="5E517186" w14:textId="77777777" w:rsidTr="008A6A14">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auto" w:fill="DAEEF3" w:themeFill="accent5" w:themeFillTint="33"/>
            <w:noWrap/>
            <w:vAlign w:val="center"/>
            <w:hideMark/>
          </w:tcPr>
          <w:p w14:paraId="683107E6" w14:textId="77777777" w:rsidR="00BF1FB3" w:rsidRPr="007A388C" w:rsidRDefault="00BF1FB3" w:rsidP="00BF1FB3">
            <w:pPr>
              <w:rPr>
                <w:rFonts w:ascii="Calibri" w:hAnsi="Calibri"/>
                <w:color w:val="000000"/>
                <w:lang w:eastAsia="en-GB"/>
              </w:rPr>
            </w:pPr>
            <w:r w:rsidRPr="007A388C">
              <w:rPr>
                <w:rFonts w:ascii="Calibri" w:hAnsi="Calibri"/>
                <w:color w:val="000000"/>
                <w:lang w:eastAsia="en-GB"/>
              </w:rPr>
              <w:t>Amortisation De-recognition- Disposals</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00A7D8C6" w14:textId="2E0E9D30" w:rsidR="00BF1FB3" w:rsidRPr="007A388C" w:rsidRDefault="00BF1FB3" w:rsidP="00BF1FB3">
            <w:pPr>
              <w:jc w:val="right"/>
              <w:rPr>
                <w:rFonts w:ascii="Calibri" w:hAnsi="Calibri"/>
                <w:color w:val="000000"/>
                <w:lang w:eastAsia="en-GB"/>
              </w:rPr>
            </w:pPr>
            <w:r>
              <w:rPr>
                <w:rFonts w:ascii="Calibri" w:hAnsi="Calibri"/>
                <w:color w:val="000000"/>
                <w:lang w:eastAsia="en-GB"/>
              </w:rPr>
              <w:t>0</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4536B1D7" w14:textId="5DF77075" w:rsidR="00BF1FB3" w:rsidRPr="007A388C" w:rsidRDefault="00E513F9" w:rsidP="00BF1FB3">
            <w:pPr>
              <w:jc w:val="right"/>
              <w:rPr>
                <w:rFonts w:ascii="Calibri" w:hAnsi="Calibri"/>
                <w:color w:val="000000"/>
                <w:lang w:eastAsia="en-GB"/>
              </w:rPr>
            </w:pPr>
            <w:r>
              <w:rPr>
                <w:rFonts w:ascii="Calibri" w:hAnsi="Calibri"/>
                <w:color w:val="000000"/>
                <w:lang w:eastAsia="en-GB"/>
              </w:rPr>
              <w:t>0</w:t>
            </w:r>
          </w:p>
        </w:tc>
      </w:tr>
      <w:tr w:rsidR="00BF1FB3" w:rsidRPr="007A388C" w14:paraId="53B1CE40" w14:textId="77777777" w:rsidTr="008A6A14">
        <w:trPr>
          <w:trHeight w:val="300"/>
        </w:trPr>
        <w:tc>
          <w:tcPr>
            <w:tcW w:w="4100" w:type="dxa"/>
            <w:gridSpan w:val="2"/>
            <w:tcBorders>
              <w:top w:val="single" w:sz="4" w:space="0" w:color="FFFFFF"/>
              <w:left w:val="single" w:sz="4" w:space="0" w:color="FFFFFF"/>
              <w:bottom w:val="single" w:sz="4" w:space="0" w:color="FFFFFF"/>
              <w:right w:val="single" w:sz="4" w:space="0" w:color="FFFFFF"/>
            </w:tcBorders>
            <w:shd w:val="clear" w:color="auto" w:fill="B6DDE8" w:themeFill="accent5" w:themeFillTint="66"/>
            <w:noWrap/>
            <w:vAlign w:val="center"/>
            <w:hideMark/>
          </w:tcPr>
          <w:p w14:paraId="4CAF0AAD" w14:textId="77777777" w:rsidR="00BF1FB3" w:rsidRPr="007A388C" w:rsidRDefault="00BF1FB3" w:rsidP="00BF1FB3">
            <w:pPr>
              <w:rPr>
                <w:rFonts w:ascii="Calibri" w:hAnsi="Calibri"/>
                <w:b/>
                <w:bCs/>
                <w:color w:val="000000"/>
                <w:lang w:eastAsia="en-GB"/>
              </w:rPr>
            </w:pPr>
            <w:r w:rsidRPr="007A388C">
              <w:rPr>
                <w:rFonts w:ascii="Calibri" w:hAnsi="Calibri"/>
                <w:b/>
                <w:bCs/>
                <w:color w:val="000000"/>
                <w:lang w:eastAsia="en-GB"/>
              </w:rPr>
              <w:t>Net Carrying Amount at year end</w:t>
            </w:r>
          </w:p>
        </w:tc>
        <w:tc>
          <w:tcPr>
            <w:tcW w:w="1160" w:type="dxa"/>
            <w:tcBorders>
              <w:top w:val="nil"/>
              <w:left w:val="nil"/>
              <w:bottom w:val="single" w:sz="4" w:space="0" w:color="FFFFFF"/>
              <w:right w:val="single" w:sz="4" w:space="0" w:color="FFFFFF"/>
            </w:tcBorders>
            <w:shd w:val="clear" w:color="auto" w:fill="B6DDE8" w:themeFill="accent5" w:themeFillTint="66"/>
            <w:noWrap/>
            <w:vAlign w:val="center"/>
            <w:hideMark/>
          </w:tcPr>
          <w:p w14:paraId="6C317168" w14:textId="3CD751B0" w:rsidR="00BF1FB3" w:rsidRPr="007A388C" w:rsidRDefault="000C31F4" w:rsidP="00BF1FB3">
            <w:pPr>
              <w:jc w:val="right"/>
              <w:rPr>
                <w:rFonts w:ascii="Calibri" w:hAnsi="Calibri"/>
                <w:b/>
                <w:bCs/>
                <w:color w:val="000000"/>
                <w:lang w:eastAsia="en-GB"/>
              </w:rPr>
            </w:pPr>
            <w:r>
              <w:rPr>
                <w:rFonts w:ascii="Calibri" w:hAnsi="Calibri"/>
                <w:b/>
                <w:bCs/>
                <w:color w:val="000000"/>
                <w:lang w:eastAsia="en-GB"/>
              </w:rPr>
              <w:t>1</w:t>
            </w:r>
            <w:r w:rsidR="00002BDE">
              <w:rPr>
                <w:rFonts w:ascii="Calibri" w:hAnsi="Calibri"/>
                <w:b/>
                <w:bCs/>
                <w:color w:val="000000"/>
                <w:lang w:eastAsia="en-GB"/>
              </w:rPr>
              <w:t>27</w:t>
            </w:r>
          </w:p>
        </w:tc>
        <w:tc>
          <w:tcPr>
            <w:tcW w:w="1134" w:type="dxa"/>
            <w:tcBorders>
              <w:top w:val="nil"/>
              <w:left w:val="nil"/>
              <w:bottom w:val="single" w:sz="4" w:space="0" w:color="FFFFFF"/>
              <w:right w:val="single" w:sz="4" w:space="0" w:color="FFFFFF"/>
            </w:tcBorders>
            <w:shd w:val="clear" w:color="auto" w:fill="B6DDE8" w:themeFill="accent5" w:themeFillTint="66"/>
            <w:noWrap/>
            <w:vAlign w:val="center"/>
          </w:tcPr>
          <w:p w14:paraId="7F03E695" w14:textId="30D557B4" w:rsidR="00BF1FB3" w:rsidRPr="00E513F9" w:rsidRDefault="00E513F9" w:rsidP="00BF1FB3">
            <w:pPr>
              <w:jc w:val="right"/>
              <w:rPr>
                <w:rFonts w:ascii="Calibri" w:hAnsi="Calibri"/>
                <w:b/>
                <w:bCs/>
                <w:color w:val="000000"/>
                <w:lang w:eastAsia="en-GB"/>
              </w:rPr>
            </w:pPr>
            <w:r w:rsidRPr="00E513F9">
              <w:rPr>
                <w:rFonts w:ascii="Calibri" w:hAnsi="Calibri"/>
                <w:b/>
                <w:bCs/>
                <w:color w:val="000000"/>
                <w:lang w:eastAsia="en-GB"/>
              </w:rPr>
              <w:t>10</w:t>
            </w:r>
            <w:r w:rsidR="00971772">
              <w:rPr>
                <w:rFonts w:ascii="Calibri" w:hAnsi="Calibri"/>
                <w:b/>
                <w:bCs/>
                <w:color w:val="000000"/>
                <w:lang w:eastAsia="en-GB"/>
              </w:rPr>
              <w:t>7</w:t>
            </w:r>
          </w:p>
        </w:tc>
      </w:tr>
      <w:bookmarkEnd w:id="15"/>
    </w:tbl>
    <w:p w14:paraId="48214C51" w14:textId="77777777" w:rsidR="00F143AC" w:rsidRPr="00BB0D8A" w:rsidRDefault="00F143AC" w:rsidP="00BB0D8A">
      <w:pPr>
        <w:widowControl w:val="0"/>
        <w:jc w:val="both"/>
        <w:rPr>
          <w:rFonts w:asciiTheme="minorHAnsi" w:hAnsiTheme="minorHAnsi" w:cs="Arial"/>
          <w:sz w:val="22"/>
          <w:szCs w:val="22"/>
        </w:rPr>
      </w:pPr>
    </w:p>
    <w:p w14:paraId="4079A76D" w14:textId="4B1F12E3" w:rsidR="00D7049A" w:rsidRPr="00BB0D8A" w:rsidRDefault="007E7C5D" w:rsidP="00A35FD2">
      <w:pPr>
        <w:pStyle w:val="xl24"/>
        <w:widowControl w:val="0"/>
        <w:tabs>
          <w:tab w:val="left" w:pos="426"/>
        </w:tabs>
        <w:spacing w:before="0" w:beforeAutospacing="0" w:after="120" w:afterAutospacing="0"/>
        <w:jc w:val="both"/>
        <w:rPr>
          <w:rFonts w:asciiTheme="minorHAnsi" w:eastAsia="Times New Roman" w:hAnsiTheme="minorHAnsi" w:cs="Arial"/>
          <w:bCs/>
          <w:u w:val="single"/>
        </w:rPr>
      </w:pPr>
      <w:r>
        <w:rPr>
          <w:rFonts w:asciiTheme="minorHAnsi" w:eastAsia="Times New Roman" w:hAnsiTheme="minorHAnsi" w:cs="Arial"/>
          <w:b/>
        </w:rPr>
        <w:t>5</w:t>
      </w:r>
      <w:r w:rsidR="00866246" w:rsidRPr="00BB0D8A">
        <w:rPr>
          <w:rFonts w:asciiTheme="minorHAnsi" w:eastAsia="Times New Roman" w:hAnsiTheme="minorHAnsi" w:cs="Arial"/>
          <w:b/>
        </w:rPr>
        <w:tab/>
      </w:r>
      <w:r w:rsidR="00D7049A" w:rsidRPr="00BB0D8A">
        <w:rPr>
          <w:rFonts w:asciiTheme="minorHAnsi" w:eastAsia="Times New Roman" w:hAnsiTheme="minorHAnsi" w:cs="Arial"/>
          <w:b/>
        </w:rPr>
        <w:t>Vacant Possession Value of Dwellings</w:t>
      </w:r>
    </w:p>
    <w:p w14:paraId="1618DEEF" w14:textId="2521242D" w:rsidR="00D7049A" w:rsidRPr="00BB0D8A" w:rsidRDefault="003A4C23" w:rsidP="00A35FD2">
      <w:pPr>
        <w:pStyle w:val="xl24"/>
        <w:widowControl w:val="0"/>
        <w:tabs>
          <w:tab w:val="left" w:pos="0"/>
        </w:tabs>
        <w:spacing w:before="0" w:beforeAutospacing="0" w:after="0" w:afterAutospacing="0"/>
        <w:ind w:hanging="142"/>
        <w:jc w:val="both"/>
        <w:rPr>
          <w:rFonts w:asciiTheme="minorHAnsi" w:eastAsia="Times New Roman" w:hAnsiTheme="minorHAnsi" w:cs="Arial"/>
          <w:bCs/>
          <w:sz w:val="22"/>
          <w:szCs w:val="22"/>
        </w:rPr>
      </w:pPr>
      <w:r w:rsidRPr="004C6DC4">
        <w:rPr>
          <w:rFonts w:ascii="Arial" w:eastAsia="Times New Roman" w:hAnsi="Arial" w:cs="Arial"/>
          <w:bCs/>
          <w:sz w:val="20"/>
          <w:szCs w:val="20"/>
        </w:rPr>
        <w:tab/>
      </w:r>
      <w:r w:rsidR="00D7049A" w:rsidRPr="00BB0D8A">
        <w:rPr>
          <w:rFonts w:asciiTheme="minorHAnsi" w:eastAsia="Times New Roman" w:hAnsiTheme="minorHAnsi" w:cs="Arial"/>
          <w:bCs/>
          <w:sz w:val="22"/>
          <w:szCs w:val="22"/>
        </w:rPr>
        <w:t>The vacant possession value of dwelling</w:t>
      </w:r>
      <w:r w:rsidR="00864738">
        <w:rPr>
          <w:rFonts w:asciiTheme="minorHAnsi" w:eastAsia="Times New Roman" w:hAnsiTheme="minorHAnsi" w:cs="Arial"/>
          <w:bCs/>
          <w:sz w:val="22"/>
          <w:szCs w:val="22"/>
        </w:rPr>
        <w:t xml:space="preserve">s within the HRA </w:t>
      </w:r>
      <w:proofErr w:type="gramStart"/>
      <w:r w:rsidR="00864738">
        <w:rPr>
          <w:rFonts w:asciiTheme="minorHAnsi" w:eastAsia="Times New Roman" w:hAnsiTheme="minorHAnsi" w:cs="Arial"/>
          <w:bCs/>
          <w:sz w:val="22"/>
          <w:szCs w:val="22"/>
        </w:rPr>
        <w:t>at</w:t>
      </w:r>
      <w:proofErr w:type="gramEnd"/>
      <w:r w:rsidR="00864738">
        <w:rPr>
          <w:rFonts w:asciiTheme="minorHAnsi" w:eastAsia="Times New Roman" w:hAnsiTheme="minorHAnsi" w:cs="Arial"/>
          <w:bCs/>
          <w:sz w:val="22"/>
          <w:szCs w:val="22"/>
        </w:rPr>
        <w:t xml:space="preserve"> 1 April 202</w:t>
      </w:r>
      <w:r w:rsidR="00002BDE">
        <w:rPr>
          <w:rFonts w:asciiTheme="minorHAnsi" w:eastAsia="Times New Roman" w:hAnsiTheme="minorHAnsi" w:cs="Arial"/>
          <w:bCs/>
          <w:sz w:val="22"/>
          <w:szCs w:val="22"/>
        </w:rPr>
        <w:t>2</w:t>
      </w:r>
      <w:r w:rsidR="00D7049A" w:rsidRPr="00BB0D8A">
        <w:rPr>
          <w:rFonts w:asciiTheme="minorHAnsi" w:eastAsia="Times New Roman" w:hAnsiTheme="minorHAnsi" w:cs="Arial"/>
          <w:bCs/>
          <w:sz w:val="22"/>
          <w:szCs w:val="22"/>
        </w:rPr>
        <w:t xml:space="preserve"> </w:t>
      </w:r>
      <w:r w:rsidR="00D7049A" w:rsidRPr="008A6A14">
        <w:rPr>
          <w:rFonts w:asciiTheme="minorHAnsi" w:eastAsia="Times New Roman" w:hAnsiTheme="minorHAnsi" w:cs="Arial"/>
          <w:bCs/>
          <w:sz w:val="22"/>
          <w:szCs w:val="22"/>
        </w:rPr>
        <w:t>was £</w:t>
      </w:r>
      <w:r w:rsidR="00AC1B91" w:rsidRPr="008A6A14">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54</w:t>
      </w:r>
      <w:r w:rsidR="00CB74A2" w:rsidRPr="008A6A14">
        <w:rPr>
          <w:rFonts w:asciiTheme="minorHAnsi" w:eastAsia="Times New Roman" w:hAnsiTheme="minorHAnsi" w:cs="Arial"/>
          <w:bCs/>
          <w:sz w:val="22"/>
          <w:szCs w:val="22"/>
        </w:rPr>
        <w:t>m</w:t>
      </w:r>
      <w:r w:rsidR="005D685D" w:rsidRPr="00FD444A">
        <w:rPr>
          <w:rFonts w:asciiTheme="minorHAnsi" w:eastAsia="Times New Roman" w:hAnsiTheme="minorHAnsi" w:cs="Arial"/>
          <w:bCs/>
          <w:sz w:val="22"/>
          <w:szCs w:val="22"/>
        </w:rPr>
        <w:t xml:space="preserve"> and at 31</w:t>
      </w:r>
      <w:r w:rsidR="008227D2">
        <w:rPr>
          <w:rFonts w:asciiTheme="minorHAnsi" w:eastAsia="Times New Roman" w:hAnsiTheme="minorHAnsi" w:cs="Arial"/>
          <w:bCs/>
          <w:sz w:val="22"/>
          <w:szCs w:val="22"/>
        </w:rPr>
        <w:t xml:space="preserve"> </w:t>
      </w:r>
      <w:r w:rsidR="00C75B01" w:rsidRPr="00FD444A">
        <w:rPr>
          <w:rFonts w:asciiTheme="minorHAnsi" w:eastAsia="Times New Roman" w:hAnsiTheme="minorHAnsi" w:cs="Arial"/>
          <w:bCs/>
          <w:sz w:val="22"/>
          <w:szCs w:val="22"/>
        </w:rPr>
        <w:t>March 20</w:t>
      </w:r>
      <w:r w:rsidR="000C2167">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3</w:t>
      </w:r>
      <w:r w:rsidR="00C75B01" w:rsidRPr="00FD444A">
        <w:rPr>
          <w:rFonts w:asciiTheme="minorHAnsi" w:eastAsia="Times New Roman" w:hAnsiTheme="minorHAnsi" w:cs="Arial"/>
          <w:bCs/>
          <w:sz w:val="22"/>
          <w:szCs w:val="22"/>
        </w:rPr>
        <w:t xml:space="preserve"> had </w:t>
      </w:r>
      <w:r w:rsidR="008A6A14" w:rsidRPr="00C96E4D">
        <w:rPr>
          <w:rFonts w:asciiTheme="minorHAnsi" w:eastAsia="Times New Roman" w:hAnsiTheme="minorHAnsi" w:cs="Arial"/>
          <w:bCs/>
          <w:sz w:val="22"/>
          <w:szCs w:val="22"/>
        </w:rPr>
        <w:t>increased</w:t>
      </w:r>
      <w:r w:rsidR="00E40F69" w:rsidRPr="00C96E4D">
        <w:rPr>
          <w:rFonts w:asciiTheme="minorHAnsi" w:eastAsia="Times New Roman" w:hAnsiTheme="minorHAnsi" w:cs="Arial"/>
          <w:bCs/>
          <w:sz w:val="22"/>
          <w:szCs w:val="22"/>
        </w:rPr>
        <w:t xml:space="preserve"> to £</w:t>
      </w:r>
      <w:r w:rsidR="00A07BD8" w:rsidRPr="00C96E4D">
        <w:rPr>
          <w:rFonts w:asciiTheme="minorHAnsi" w:eastAsia="Times New Roman" w:hAnsiTheme="minorHAnsi" w:cs="Arial"/>
          <w:bCs/>
          <w:sz w:val="22"/>
          <w:szCs w:val="22"/>
        </w:rPr>
        <w:t>2</w:t>
      </w:r>
      <w:r w:rsidR="00C96E4D" w:rsidRPr="00C96E4D">
        <w:rPr>
          <w:rFonts w:asciiTheme="minorHAnsi" w:eastAsia="Times New Roman" w:hAnsiTheme="minorHAnsi" w:cs="Arial"/>
          <w:bCs/>
          <w:sz w:val="22"/>
          <w:szCs w:val="22"/>
        </w:rPr>
        <w:t>65</w:t>
      </w:r>
      <w:r w:rsidR="00C75B01" w:rsidRPr="00C96E4D">
        <w:rPr>
          <w:rFonts w:asciiTheme="minorHAnsi" w:eastAsia="Times New Roman" w:hAnsiTheme="minorHAnsi" w:cs="Arial"/>
          <w:bCs/>
          <w:sz w:val="22"/>
          <w:szCs w:val="22"/>
        </w:rPr>
        <w:t>m</w:t>
      </w:r>
      <w:r w:rsidR="00D7049A" w:rsidRPr="00C96E4D">
        <w:rPr>
          <w:rFonts w:asciiTheme="minorHAnsi" w:eastAsia="Times New Roman" w:hAnsiTheme="minorHAnsi" w:cs="Arial"/>
          <w:bCs/>
          <w:sz w:val="22"/>
          <w:szCs w:val="22"/>
        </w:rPr>
        <w:t>.</w:t>
      </w:r>
    </w:p>
    <w:p w14:paraId="532D4499" w14:textId="77777777" w:rsidR="00BB0D8A" w:rsidRPr="00D902B6" w:rsidRDefault="00BB0D8A" w:rsidP="00A35FD2">
      <w:pPr>
        <w:pStyle w:val="xl24"/>
        <w:widowControl w:val="0"/>
        <w:tabs>
          <w:tab w:val="left" w:pos="284"/>
          <w:tab w:val="left" w:pos="426"/>
        </w:tabs>
        <w:spacing w:before="0" w:beforeAutospacing="0" w:after="0" w:afterAutospacing="0"/>
        <w:jc w:val="both"/>
        <w:rPr>
          <w:rFonts w:asciiTheme="minorHAnsi" w:eastAsia="Times New Roman" w:hAnsiTheme="minorHAnsi" w:cs="Arial"/>
          <w:b/>
          <w:bCs/>
          <w:sz w:val="20"/>
          <w:szCs w:val="20"/>
        </w:rPr>
      </w:pPr>
    </w:p>
    <w:p w14:paraId="0AAD9041" w14:textId="32B366DF" w:rsidR="00D7049A" w:rsidRDefault="007E7C5D" w:rsidP="00A35FD2">
      <w:pPr>
        <w:pStyle w:val="xl24"/>
        <w:widowControl w:val="0"/>
        <w:tabs>
          <w:tab w:val="left" w:pos="284"/>
          <w:tab w:val="left" w:pos="426"/>
        </w:tabs>
        <w:spacing w:before="0" w:beforeAutospacing="0" w:after="0" w:afterAutospacing="0"/>
        <w:jc w:val="both"/>
        <w:rPr>
          <w:rFonts w:asciiTheme="minorHAnsi" w:eastAsia="Times New Roman" w:hAnsiTheme="minorHAnsi" w:cs="Arial"/>
          <w:b/>
        </w:rPr>
      </w:pPr>
      <w:r>
        <w:rPr>
          <w:rFonts w:asciiTheme="minorHAnsi" w:eastAsia="Times New Roman" w:hAnsiTheme="minorHAnsi" w:cs="Arial"/>
          <w:b/>
          <w:bCs/>
        </w:rPr>
        <w:t>6</w:t>
      </w:r>
      <w:r w:rsidR="00866246" w:rsidRPr="00BB0D8A">
        <w:rPr>
          <w:rFonts w:asciiTheme="minorHAnsi" w:eastAsia="Times New Roman" w:hAnsiTheme="minorHAnsi" w:cs="Arial"/>
          <w:bCs/>
        </w:rPr>
        <w:tab/>
      </w:r>
      <w:r w:rsidR="00866246" w:rsidRPr="00BB0D8A">
        <w:rPr>
          <w:rFonts w:asciiTheme="minorHAnsi" w:eastAsia="Times New Roman" w:hAnsiTheme="minorHAnsi" w:cs="Arial"/>
          <w:bCs/>
        </w:rPr>
        <w:tab/>
      </w:r>
      <w:r w:rsidR="00D7049A" w:rsidRPr="00BB0D8A">
        <w:rPr>
          <w:rFonts w:asciiTheme="minorHAnsi" w:eastAsia="Times New Roman" w:hAnsiTheme="minorHAnsi" w:cs="Arial"/>
          <w:b/>
        </w:rPr>
        <w:t>Economic Cost of Providing Council Housing</w:t>
      </w:r>
    </w:p>
    <w:p w14:paraId="3F83CBF4" w14:textId="72EDFEC8" w:rsidR="00B473BF" w:rsidRPr="00BB0D8A" w:rsidRDefault="00D7049A" w:rsidP="00A35FD2">
      <w:pPr>
        <w:pStyle w:val="xl24"/>
        <w:widowControl w:val="0"/>
        <w:tabs>
          <w:tab w:val="left" w:pos="0"/>
        </w:tabs>
        <w:spacing w:before="0" w:beforeAutospacing="0" w:after="0" w:afterAutospacing="0"/>
        <w:ind w:right="142"/>
        <w:jc w:val="both"/>
        <w:rPr>
          <w:rFonts w:asciiTheme="minorHAnsi" w:eastAsia="Times New Roman" w:hAnsiTheme="minorHAnsi" w:cs="Arial"/>
          <w:bCs/>
          <w:sz w:val="22"/>
          <w:szCs w:val="22"/>
        </w:rPr>
      </w:pPr>
      <w:r w:rsidRPr="00BB0D8A">
        <w:rPr>
          <w:rFonts w:asciiTheme="minorHAnsi" w:eastAsia="Times New Roman" w:hAnsiTheme="minorHAnsi" w:cs="Arial"/>
          <w:bCs/>
          <w:sz w:val="22"/>
          <w:szCs w:val="22"/>
        </w:rPr>
        <w:t xml:space="preserve">The valuation </w:t>
      </w:r>
      <w:proofErr w:type="gramStart"/>
      <w:r w:rsidRPr="008A6A14">
        <w:rPr>
          <w:rFonts w:asciiTheme="minorHAnsi" w:eastAsia="Times New Roman" w:hAnsiTheme="minorHAnsi" w:cs="Arial"/>
          <w:bCs/>
          <w:sz w:val="22"/>
          <w:szCs w:val="22"/>
        </w:rPr>
        <w:t>at</w:t>
      </w:r>
      <w:proofErr w:type="gramEnd"/>
      <w:r w:rsidRPr="008A6A14">
        <w:rPr>
          <w:rFonts w:asciiTheme="minorHAnsi" w:eastAsia="Times New Roman" w:hAnsiTheme="minorHAnsi" w:cs="Arial"/>
          <w:bCs/>
          <w:sz w:val="22"/>
          <w:szCs w:val="22"/>
        </w:rPr>
        <w:t xml:space="preserve"> 1 April 20</w:t>
      </w:r>
      <w:r w:rsidR="00864738" w:rsidRPr="008A6A14">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2</w:t>
      </w:r>
      <w:r w:rsidRPr="008A6A14">
        <w:rPr>
          <w:rFonts w:asciiTheme="minorHAnsi" w:eastAsia="Times New Roman" w:hAnsiTheme="minorHAnsi" w:cs="Arial"/>
          <w:bCs/>
          <w:sz w:val="22"/>
          <w:szCs w:val="22"/>
        </w:rPr>
        <w:t xml:space="preserve"> of £</w:t>
      </w:r>
      <w:r w:rsidR="00002BDE">
        <w:rPr>
          <w:rFonts w:asciiTheme="minorHAnsi" w:eastAsia="Times New Roman" w:hAnsiTheme="minorHAnsi" w:cs="Arial"/>
          <w:bCs/>
          <w:sz w:val="22"/>
          <w:szCs w:val="22"/>
        </w:rPr>
        <w:t>106</w:t>
      </w:r>
      <w:r w:rsidR="003D3346" w:rsidRPr="008A6A14">
        <w:rPr>
          <w:rFonts w:asciiTheme="minorHAnsi" w:eastAsia="Times New Roman" w:hAnsiTheme="minorHAnsi" w:cs="Arial"/>
          <w:bCs/>
          <w:sz w:val="22"/>
          <w:szCs w:val="22"/>
        </w:rPr>
        <w:t>m</w:t>
      </w:r>
      <w:r w:rsidR="00074407" w:rsidRPr="008A6A14">
        <w:rPr>
          <w:rFonts w:asciiTheme="minorHAnsi" w:eastAsia="Times New Roman" w:hAnsiTheme="minorHAnsi" w:cs="Arial"/>
          <w:bCs/>
          <w:sz w:val="22"/>
          <w:szCs w:val="22"/>
        </w:rPr>
        <w:t xml:space="preserve"> </w:t>
      </w:r>
      <w:r w:rsidR="00C75B01" w:rsidRPr="008A6A14">
        <w:rPr>
          <w:rFonts w:asciiTheme="minorHAnsi" w:eastAsia="Times New Roman" w:hAnsiTheme="minorHAnsi" w:cs="Arial"/>
          <w:bCs/>
          <w:sz w:val="22"/>
          <w:szCs w:val="22"/>
        </w:rPr>
        <w:t>and at 31 March 20</w:t>
      </w:r>
      <w:r w:rsidR="000C2167" w:rsidRPr="008A6A14">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3</w:t>
      </w:r>
      <w:r w:rsidR="00C75B01" w:rsidRPr="008A6A14">
        <w:rPr>
          <w:rFonts w:asciiTheme="minorHAnsi" w:eastAsia="Times New Roman" w:hAnsiTheme="minorHAnsi" w:cs="Arial"/>
          <w:bCs/>
          <w:sz w:val="22"/>
          <w:szCs w:val="22"/>
        </w:rPr>
        <w:t xml:space="preserve"> </w:t>
      </w:r>
      <w:r w:rsidR="00C75B01" w:rsidRPr="00C96E4D">
        <w:rPr>
          <w:rFonts w:asciiTheme="minorHAnsi" w:eastAsia="Times New Roman" w:hAnsiTheme="minorHAnsi" w:cs="Arial"/>
          <w:bCs/>
          <w:sz w:val="22"/>
          <w:szCs w:val="22"/>
        </w:rPr>
        <w:t>of £</w:t>
      </w:r>
      <w:r w:rsidR="00C91BA9" w:rsidRPr="00C96E4D">
        <w:rPr>
          <w:rFonts w:asciiTheme="minorHAnsi" w:eastAsia="Times New Roman" w:hAnsiTheme="minorHAnsi" w:cs="Arial"/>
          <w:bCs/>
          <w:sz w:val="22"/>
          <w:szCs w:val="22"/>
        </w:rPr>
        <w:t>1</w:t>
      </w:r>
      <w:r w:rsidR="00C96E4D" w:rsidRPr="00C96E4D">
        <w:rPr>
          <w:rFonts w:asciiTheme="minorHAnsi" w:eastAsia="Times New Roman" w:hAnsiTheme="minorHAnsi" w:cs="Arial"/>
          <w:bCs/>
          <w:sz w:val="22"/>
          <w:szCs w:val="22"/>
        </w:rPr>
        <w:t>11</w:t>
      </w:r>
      <w:r w:rsidR="00C75B01" w:rsidRPr="00C96E4D">
        <w:rPr>
          <w:rFonts w:asciiTheme="minorHAnsi" w:eastAsia="Times New Roman" w:hAnsiTheme="minorHAnsi" w:cs="Arial"/>
          <w:bCs/>
          <w:sz w:val="22"/>
          <w:szCs w:val="22"/>
        </w:rPr>
        <w:t xml:space="preserve">m </w:t>
      </w:r>
      <w:r w:rsidRPr="00C96E4D">
        <w:rPr>
          <w:rFonts w:asciiTheme="minorHAnsi" w:eastAsia="Times New Roman" w:hAnsiTheme="minorHAnsi" w:cs="Arial"/>
          <w:bCs/>
          <w:sz w:val="22"/>
          <w:szCs w:val="22"/>
        </w:rPr>
        <w:t>is</w:t>
      </w:r>
      <w:r w:rsidRPr="00C91BA9">
        <w:rPr>
          <w:rFonts w:asciiTheme="minorHAnsi" w:eastAsia="Times New Roman" w:hAnsiTheme="minorHAnsi" w:cs="Arial"/>
          <w:bCs/>
          <w:sz w:val="22"/>
          <w:szCs w:val="22"/>
        </w:rPr>
        <w:t xml:space="preserve"> lower than the vacant possession value on the open market of £</w:t>
      </w:r>
      <w:r w:rsidR="00FD444A" w:rsidRPr="00C91BA9">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54</w:t>
      </w:r>
      <w:r w:rsidR="003D3346" w:rsidRPr="00C91BA9">
        <w:rPr>
          <w:rFonts w:asciiTheme="minorHAnsi" w:eastAsia="Times New Roman" w:hAnsiTheme="minorHAnsi" w:cs="Arial"/>
          <w:bCs/>
          <w:sz w:val="22"/>
          <w:szCs w:val="22"/>
        </w:rPr>
        <w:t>m</w:t>
      </w:r>
      <w:r w:rsidR="00C75B01" w:rsidRPr="00C91BA9">
        <w:rPr>
          <w:rFonts w:asciiTheme="minorHAnsi" w:eastAsia="Times New Roman" w:hAnsiTheme="minorHAnsi" w:cs="Arial"/>
          <w:bCs/>
          <w:sz w:val="22"/>
          <w:szCs w:val="22"/>
        </w:rPr>
        <w:t xml:space="preserve"> </w:t>
      </w:r>
      <w:r w:rsidR="00C75B01" w:rsidRPr="00C96E4D">
        <w:rPr>
          <w:rFonts w:asciiTheme="minorHAnsi" w:eastAsia="Times New Roman" w:hAnsiTheme="minorHAnsi" w:cs="Arial"/>
          <w:bCs/>
          <w:sz w:val="22"/>
          <w:szCs w:val="22"/>
        </w:rPr>
        <w:t>and £</w:t>
      </w:r>
      <w:r w:rsidR="00FD444A" w:rsidRPr="00C96E4D">
        <w:rPr>
          <w:rFonts w:asciiTheme="minorHAnsi" w:eastAsia="Times New Roman" w:hAnsiTheme="minorHAnsi" w:cs="Arial"/>
          <w:bCs/>
          <w:sz w:val="22"/>
          <w:szCs w:val="22"/>
        </w:rPr>
        <w:t>2</w:t>
      </w:r>
      <w:r w:rsidR="00C96E4D" w:rsidRPr="00C96E4D">
        <w:rPr>
          <w:rFonts w:asciiTheme="minorHAnsi" w:eastAsia="Times New Roman" w:hAnsiTheme="minorHAnsi" w:cs="Arial"/>
          <w:bCs/>
          <w:sz w:val="22"/>
          <w:szCs w:val="22"/>
        </w:rPr>
        <w:t>65</w:t>
      </w:r>
      <w:r w:rsidR="00C75B01" w:rsidRPr="00C96E4D">
        <w:rPr>
          <w:rFonts w:asciiTheme="minorHAnsi" w:eastAsia="Times New Roman" w:hAnsiTheme="minorHAnsi" w:cs="Arial"/>
          <w:bCs/>
          <w:sz w:val="22"/>
          <w:szCs w:val="22"/>
        </w:rPr>
        <w:t>m respectively</w:t>
      </w:r>
      <w:r w:rsidR="00074407" w:rsidRPr="008A6A14">
        <w:rPr>
          <w:rFonts w:asciiTheme="minorHAnsi" w:eastAsia="Times New Roman" w:hAnsiTheme="minorHAnsi" w:cs="Arial"/>
          <w:bCs/>
          <w:sz w:val="22"/>
          <w:szCs w:val="22"/>
        </w:rPr>
        <w:t>.</w:t>
      </w:r>
      <w:r w:rsidR="00074407" w:rsidRPr="00BB0D8A">
        <w:rPr>
          <w:rFonts w:asciiTheme="minorHAnsi" w:eastAsia="Times New Roman" w:hAnsiTheme="minorHAnsi" w:cs="Arial"/>
          <w:bCs/>
          <w:sz w:val="22"/>
          <w:szCs w:val="22"/>
        </w:rPr>
        <w:t xml:space="preserve">  </w:t>
      </w:r>
    </w:p>
    <w:p w14:paraId="3E342E47" w14:textId="77777777" w:rsidR="00B473BF" w:rsidRPr="00D902B6" w:rsidRDefault="00B473BF" w:rsidP="00A35FD2">
      <w:pPr>
        <w:pStyle w:val="xl24"/>
        <w:widowControl w:val="0"/>
        <w:tabs>
          <w:tab w:val="left" w:pos="0"/>
        </w:tabs>
        <w:spacing w:before="0" w:beforeAutospacing="0" w:after="0" w:afterAutospacing="0"/>
        <w:ind w:right="142"/>
        <w:jc w:val="both"/>
        <w:rPr>
          <w:rFonts w:asciiTheme="minorHAnsi" w:eastAsia="Times New Roman" w:hAnsiTheme="minorHAnsi" w:cs="Arial"/>
          <w:bCs/>
          <w:sz w:val="20"/>
          <w:szCs w:val="20"/>
        </w:rPr>
      </w:pPr>
    </w:p>
    <w:p w14:paraId="72E01D13" w14:textId="77777777" w:rsidR="00D7049A" w:rsidRPr="00BB0D8A" w:rsidRDefault="00074407" w:rsidP="00A35FD2">
      <w:pPr>
        <w:pStyle w:val="xl24"/>
        <w:widowControl w:val="0"/>
        <w:tabs>
          <w:tab w:val="left" w:pos="0"/>
        </w:tabs>
        <w:spacing w:before="0" w:beforeAutospacing="0" w:after="0" w:afterAutospacing="0"/>
        <w:ind w:right="142"/>
        <w:jc w:val="both"/>
        <w:rPr>
          <w:rFonts w:asciiTheme="minorHAnsi" w:eastAsia="Times New Roman" w:hAnsiTheme="minorHAnsi" w:cs="Arial"/>
          <w:bCs/>
          <w:sz w:val="22"/>
          <w:szCs w:val="22"/>
        </w:rPr>
      </w:pPr>
      <w:r w:rsidRPr="00BB0D8A">
        <w:rPr>
          <w:rFonts w:asciiTheme="minorHAnsi" w:eastAsia="Times New Roman" w:hAnsiTheme="minorHAnsi" w:cs="Arial"/>
          <w:bCs/>
          <w:sz w:val="22"/>
          <w:szCs w:val="22"/>
        </w:rPr>
        <w:t>T</w:t>
      </w:r>
      <w:r w:rsidR="00D7049A" w:rsidRPr="00BB0D8A">
        <w:rPr>
          <w:rFonts w:asciiTheme="minorHAnsi" w:eastAsia="Times New Roman" w:hAnsiTheme="minorHAnsi" w:cs="Arial"/>
          <w:bCs/>
          <w:sz w:val="22"/>
          <w:szCs w:val="22"/>
        </w:rPr>
        <w:t>he difference between the vacant possession value of dwellings and the ope</w:t>
      </w:r>
      <w:r w:rsidR="00B203E2" w:rsidRPr="00BB0D8A">
        <w:rPr>
          <w:rFonts w:asciiTheme="minorHAnsi" w:eastAsia="Times New Roman" w:hAnsiTheme="minorHAnsi" w:cs="Arial"/>
          <w:bCs/>
          <w:sz w:val="22"/>
          <w:szCs w:val="22"/>
        </w:rPr>
        <w:t xml:space="preserve">ning balance sheet value within </w:t>
      </w:r>
      <w:r w:rsidR="009B6F6C" w:rsidRPr="00BB0D8A">
        <w:rPr>
          <w:rFonts w:asciiTheme="minorHAnsi" w:eastAsia="Times New Roman" w:hAnsiTheme="minorHAnsi" w:cs="Arial"/>
          <w:bCs/>
          <w:sz w:val="22"/>
          <w:szCs w:val="22"/>
        </w:rPr>
        <w:t>the HRA</w:t>
      </w:r>
      <w:r w:rsidR="00D7049A" w:rsidRPr="00BB0D8A">
        <w:rPr>
          <w:rFonts w:asciiTheme="minorHAnsi" w:eastAsia="Times New Roman" w:hAnsiTheme="minorHAnsi" w:cs="Arial"/>
          <w:bCs/>
          <w:sz w:val="22"/>
          <w:szCs w:val="22"/>
        </w:rPr>
        <w:t xml:space="preserve"> represents the economic cost to </w:t>
      </w:r>
      <w:r w:rsidR="00633753" w:rsidRPr="00BB0D8A">
        <w:rPr>
          <w:rFonts w:asciiTheme="minorHAnsi" w:eastAsia="Times New Roman" w:hAnsiTheme="minorHAnsi" w:cs="Arial"/>
          <w:bCs/>
          <w:sz w:val="22"/>
          <w:szCs w:val="22"/>
        </w:rPr>
        <w:t>the Council</w:t>
      </w:r>
      <w:r w:rsidR="00D7049A" w:rsidRPr="00BB0D8A">
        <w:rPr>
          <w:rFonts w:asciiTheme="minorHAnsi" w:eastAsia="Times New Roman" w:hAnsiTheme="minorHAnsi" w:cs="Arial"/>
          <w:bCs/>
          <w:sz w:val="22"/>
          <w:szCs w:val="22"/>
        </w:rPr>
        <w:t xml:space="preserve"> of providing council housing at less than open market rents.</w:t>
      </w:r>
    </w:p>
    <w:p w14:paraId="1AC86674" w14:textId="77777777" w:rsidR="00231FA9" w:rsidRPr="00D902B6" w:rsidRDefault="00231FA9" w:rsidP="00A35FD2">
      <w:pPr>
        <w:pStyle w:val="xl24"/>
        <w:widowControl w:val="0"/>
        <w:tabs>
          <w:tab w:val="left" w:pos="0"/>
        </w:tabs>
        <w:spacing w:before="0" w:beforeAutospacing="0" w:after="0" w:afterAutospacing="0"/>
        <w:ind w:right="142"/>
        <w:jc w:val="both"/>
        <w:rPr>
          <w:rFonts w:asciiTheme="minorHAnsi" w:eastAsia="Times New Roman" w:hAnsiTheme="minorHAnsi" w:cs="Arial"/>
          <w:bCs/>
          <w:sz w:val="20"/>
          <w:szCs w:val="20"/>
        </w:rPr>
      </w:pPr>
    </w:p>
    <w:p w14:paraId="150F300F" w14:textId="584583A0" w:rsidR="00231FA9" w:rsidRPr="00BB0D8A" w:rsidRDefault="00231FA9" w:rsidP="00A35FD2">
      <w:pPr>
        <w:pStyle w:val="xl24"/>
        <w:widowControl w:val="0"/>
        <w:tabs>
          <w:tab w:val="left" w:pos="0"/>
        </w:tabs>
        <w:spacing w:before="0" w:beforeAutospacing="0" w:after="0" w:afterAutospacing="0"/>
        <w:ind w:right="142"/>
        <w:jc w:val="both"/>
        <w:rPr>
          <w:rFonts w:asciiTheme="minorHAnsi" w:eastAsia="Times New Roman" w:hAnsiTheme="minorHAnsi" w:cs="Arial"/>
          <w:bCs/>
          <w:sz w:val="22"/>
          <w:szCs w:val="22"/>
        </w:rPr>
      </w:pPr>
      <w:r w:rsidRPr="00BB0D8A">
        <w:rPr>
          <w:rFonts w:asciiTheme="minorHAnsi" w:eastAsia="Times New Roman" w:hAnsiTheme="minorHAnsi" w:cs="Arial"/>
          <w:bCs/>
          <w:sz w:val="22"/>
          <w:szCs w:val="22"/>
        </w:rPr>
        <w:t xml:space="preserve">The adjustment factor for the economic cost of providing Council Housing </w:t>
      </w:r>
      <w:r w:rsidR="00CB74A2" w:rsidRPr="00BB0D8A">
        <w:rPr>
          <w:rFonts w:asciiTheme="minorHAnsi" w:eastAsia="Times New Roman" w:hAnsiTheme="minorHAnsi" w:cs="Arial"/>
          <w:bCs/>
          <w:sz w:val="22"/>
          <w:szCs w:val="22"/>
        </w:rPr>
        <w:t xml:space="preserve">for the East Midlands of </w:t>
      </w:r>
      <w:r w:rsidR="008C3F59">
        <w:rPr>
          <w:rFonts w:asciiTheme="minorHAnsi" w:eastAsia="Times New Roman" w:hAnsiTheme="minorHAnsi" w:cs="Arial"/>
          <w:bCs/>
          <w:sz w:val="22"/>
          <w:szCs w:val="22"/>
        </w:rPr>
        <w:t>42</w:t>
      </w:r>
      <w:r w:rsidR="00CB74A2" w:rsidRPr="00BB0D8A">
        <w:rPr>
          <w:rFonts w:asciiTheme="minorHAnsi" w:eastAsia="Times New Roman" w:hAnsiTheme="minorHAnsi" w:cs="Arial"/>
          <w:bCs/>
          <w:sz w:val="22"/>
          <w:szCs w:val="22"/>
        </w:rPr>
        <w:t>% has been used as noted in</w:t>
      </w:r>
      <w:r w:rsidRPr="00BB0D8A">
        <w:rPr>
          <w:rFonts w:asciiTheme="minorHAnsi" w:eastAsia="Times New Roman" w:hAnsiTheme="minorHAnsi" w:cs="Arial"/>
          <w:bCs/>
          <w:sz w:val="22"/>
          <w:szCs w:val="22"/>
        </w:rPr>
        <w:t xml:space="preserve"> the</w:t>
      </w:r>
      <w:r w:rsidR="00E40F69" w:rsidRPr="00BB0D8A">
        <w:rPr>
          <w:rFonts w:asciiTheme="minorHAnsi" w:eastAsia="Times New Roman" w:hAnsiTheme="minorHAnsi" w:cs="Arial"/>
          <w:bCs/>
          <w:sz w:val="22"/>
          <w:szCs w:val="22"/>
        </w:rPr>
        <w:t xml:space="preserve"> latest</w:t>
      </w:r>
      <w:r w:rsidRPr="00BB0D8A">
        <w:rPr>
          <w:rFonts w:asciiTheme="minorHAnsi" w:eastAsia="Times New Roman" w:hAnsiTheme="minorHAnsi" w:cs="Arial"/>
          <w:bCs/>
          <w:sz w:val="22"/>
          <w:szCs w:val="22"/>
        </w:rPr>
        <w:t xml:space="preserve"> Department of Communities </w:t>
      </w:r>
      <w:r w:rsidR="00704A70">
        <w:rPr>
          <w:rFonts w:asciiTheme="minorHAnsi" w:eastAsia="Times New Roman" w:hAnsiTheme="minorHAnsi" w:cs="Arial"/>
          <w:bCs/>
          <w:sz w:val="22"/>
          <w:szCs w:val="22"/>
        </w:rPr>
        <w:t>and</w:t>
      </w:r>
      <w:r w:rsidRPr="00BB0D8A">
        <w:rPr>
          <w:rFonts w:asciiTheme="minorHAnsi" w:eastAsia="Times New Roman" w:hAnsiTheme="minorHAnsi" w:cs="Arial"/>
          <w:bCs/>
          <w:sz w:val="22"/>
          <w:szCs w:val="22"/>
        </w:rPr>
        <w:t xml:space="preserve"> Local Government’s Guidance on Stock V</w:t>
      </w:r>
      <w:r w:rsidR="00CB74A2" w:rsidRPr="00BB0D8A">
        <w:rPr>
          <w:rFonts w:asciiTheme="minorHAnsi" w:eastAsia="Times New Roman" w:hAnsiTheme="minorHAnsi" w:cs="Arial"/>
          <w:bCs/>
          <w:sz w:val="22"/>
          <w:szCs w:val="22"/>
        </w:rPr>
        <w:t>aluations</w:t>
      </w:r>
      <w:r w:rsidR="00E40F69" w:rsidRPr="00BB0D8A">
        <w:rPr>
          <w:rFonts w:asciiTheme="minorHAnsi" w:eastAsia="Times New Roman" w:hAnsiTheme="minorHAnsi" w:cs="Arial"/>
          <w:bCs/>
          <w:sz w:val="22"/>
          <w:szCs w:val="22"/>
        </w:rPr>
        <w:t xml:space="preserve"> as available at the time the accounts were closed</w:t>
      </w:r>
      <w:r w:rsidR="007C1E98">
        <w:rPr>
          <w:rFonts w:asciiTheme="minorHAnsi" w:eastAsia="Times New Roman" w:hAnsiTheme="minorHAnsi" w:cs="Arial"/>
          <w:bCs/>
          <w:sz w:val="22"/>
          <w:szCs w:val="22"/>
        </w:rPr>
        <w:t>.</w:t>
      </w:r>
    </w:p>
    <w:p w14:paraId="02B3609B" w14:textId="77777777" w:rsidR="009730BB" w:rsidRPr="004C6DC4" w:rsidRDefault="009730BB" w:rsidP="00A35FD2">
      <w:pPr>
        <w:pStyle w:val="xl24"/>
        <w:widowControl w:val="0"/>
        <w:spacing w:before="0" w:beforeAutospacing="0" w:after="0" w:afterAutospacing="0"/>
        <w:ind w:left="426" w:right="142"/>
        <w:jc w:val="both"/>
        <w:rPr>
          <w:rFonts w:ascii="Arial" w:eastAsia="Times New Roman" w:hAnsi="Arial" w:cs="Arial"/>
          <w:bCs/>
          <w:sz w:val="20"/>
          <w:szCs w:val="20"/>
        </w:rPr>
      </w:pPr>
    </w:p>
    <w:p w14:paraId="368DD3C8" w14:textId="32CD576C" w:rsidR="00CF0900" w:rsidRPr="00BB0D8A" w:rsidRDefault="007E7C5D" w:rsidP="00A35FD2">
      <w:pPr>
        <w:pStyle w:val="xl24"/>
        <w:widowControl w:val="0"/>
        <w:tabs>
          <w:tab w:val="left" w:pos="426"/>
        </w:tabs>
        <w:spacing w:before="0" w:beforeAutospacing="0" w:after="120" w:afterAutospacing="0"/>
        <w:jc w:val="both"/>
        <w:rPr>
          <w:rFonts w:asciiTheme="minorHAnsi" w:eastAsia="Times New Roman" w:hAnsiTheme="minorHAnsi" w:cs="Arial"/>
          <w:b/>
          <w:bCs/>
        </w:rPr>
      </w:pPr>
      <w:r>
        <w:rPr>
          <w:rFonts w:asciiTheme="minorHAnsi" w:eastAsia="Times New Roman" w:hAnsiTheme="minorHAnsi" w:cs="Arial"/>
          <w:b/>
          <w:bCs/>
        </w:rPr>
        <w:t>7</w:t>
      </w:r>
      <w:r w:rsidR="00CF0900" w:rsidRPr="00BB0D8A">
        <w:rPr>
          <w:rFonts w:asciiTheme="minorHAnsi" w:eastAsia="Times New Roman" w:hAnsiTheme="minorHAnsi" w:cs="Arial"/>
          <w:b/>
          <w:bCs/>
        </w:rPr>
        <w:tab/>
        <w:t>Impairments</w:t>
      </w:r>
    </w:p>
    <w:p w14:paraId="7A025F58" w14:textId="1EBB55DF" w:rsidR="00CF0900" w:rsidRDefault="00CF0900" w:rsidP="00A35FD2">
      <w:pPr>
        <w:pStyle w:val="xl24"/>
        <w:widowControl w:val="0"/>
        <w:tabs>
          <w:tab w:val="left" w:pos="0"/>
        </w:tabs>
        <w:spacing w:before="0" w:beforeAutospacing="0" w:after="120" w:afterAutospacing="0"/>
        <w:jc w:val="both"/>
        <w:rPr>
          <w:rFonts w:asciiTheme="minorHAnsi" w:eastAsia="Times New Roman" w:hAnsiTheme="minorHAnsi" w:cs="Arial"/>
          <w:bCs/>
          <w:sz w:val="22"/>
          <w:szCs w:val="22"/>
        </w:rPr>
      </w:pPr>
      <w:r w:rsidRPr="007E2CDB">
        <w:rPr>
          <w:rFonts w:asciiTheme="minorHAnsi" w:eastAsia="Times New Roman" w:hAnsiTheme="minorHAnsi" w:cs="Arial"/>
          <w:bCs/>
          <w:sz w:val="22"/>
          <w:szCs w:val="22"/>
        </w:rPr>
        <w:t xml:space="preserve">An impairment is a reduction in the value of a non-current asset due to revaluation, deterioration or any reduction in the carrying value of the non-current </w:t>
      </w:r>
      <w:r w:rsidRPr="00C96E4D">
        <w:rPr>
          <w:rFonts w:asciiTheme="minorHAnsi" w:eastAsia="Times New Roman" w:hAnsiTheme="minorHAnsi" w:cs="Arial"/>
          <w:bCs/>
          <w:sz w:val="22"/>
          <w:szCs w:val="22"/>
        </w:rPr>
        <w:t>asset</w:t>
      </w:r>
      <w:r w:rsidR="00C5776B" w:rsidRPr="00C96E4D">
        <w:rPr>
          <w:rFonts w:asciiTheme="minorHAnsi" w:eastAsia="Times New Roman" w:hAnsiTheme="minorHAnsi" w:cs="Arial"/>
          <w:bCs/>
          <w:sz w:val="22"/>
          <w:szCs w:val="22"/>
        </w:rPr>
        <w:t xml:space="preserve">. </w:t>
      </w:r>
      <w:r w:rsidR="00146802" w:rsidRPr="00C96E4D">
        <w:rPr>
          <w:rFonts w:asciiTheme="minorHAnsi" w:eastAsia="Times New Roman" w:hAnsiTheme="minorHAnsi" w:cs="Arial"/>
          <w:bCs/>
          <w:sz w:val="22"/>
          <w:szCs w:val="22"/>
        </w:rPr>
        <w:t>No impairmen</w:t>
      </w:r>
      <w:r w:rsidR="00B356EC" w:rsidRPr="00C96E4D">
        <w:rPr>
          <w:rFonts w:asciiTheme="minorHAnsi" w:eastAsia="Times New Roman" w:hAnsiTheme="minorHAnsi" w:cs="Arial"/>
          <w:bCs/>
          <w:sz w:val="22"/>
          <w:szCs w:val="22"/>
        </w:rPr>
        <w:t>t losses were identified</w:t>
      </w:r>
      <w:r w:rsidR="00B356EC" w:rsidRPr="00311499">
        <w:rPr>
          <w:rFonts w:asciiTheme="minorHAnsi" w:eastAsia="Times New Roman" w:hAnsiTheme="minorHAnsi" w:cs="Arial"/>
          <w:bCs/>
          <w:sz w:val="22"/>
          <w:szCs w:val="22"/>
        </w:rPr>
        <w:t xml:space="preserve"> in 20</w:t>
      </w:r>
      <w:r w:rsidR="00864738">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2</w:t>
      </w:r>
      <w:r w:rsidR="002D5F70" w:rsidRPr="00311499">
        <w:rPr>
          <w:rFonts w:asciiTheme="minorHAnsi" w:eastAsia="Times New Roman" w:hAnsiTheme="minorHAnsi" w:cs="Arial"/>
          <w:bCs/>
          <w:sz w:val="22"/>
          <w:szCs w:val="22"/>
        </w:rPr>
        <w:t>-</w:t>
      </w:r>
      <w:r w:rsidR="000C2167" w:rsidRPr="00311499">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3</w:t>
      </w:r>
      <w:r w:rsidR="00146802" w:rsidRPr="00311499">
        <w:rPr>
          <w:rFonts w:asciiTheme="minorHAnsi" w:eastAsia="Times New Roman" w:hAnsiTheme="minorHAnsi" w:cs="Arial"/>
          <w:bCs/>
          <w:sz w:val="22"/>
          <w:szCs w:val="22"/>
        </w:rPr>
        <w:t>.</w:t>
      </w:r>
    </w:p>
    <w:p w14:paraId="4810B2F2" w14:textId="30C957D8" w:rsidR="00CB74A2" w:rsidRPr="00BB0D8A" w:rsidRDefault="002F0019" w:rsidP="00C76AD3">
      <w:pPr>
        <w:pStyle w:val="xl24"/>
        <w:widowControl w:val="0"/>
        <w:numPr>
          <w:ilvl w:val="0"/>
          <w:numId w:val="48"/>
        </w:numPr>
        <w:spacing w:before="0" w:beforeAutospacing="0" w:after="120" w:afterAutospacing="0"/>
        <w:ind w:left="426" w:hanging="426"/>
        <w:rPr>
          <w:rFonts w:asciiTheme="minorHAnsi" w:hAnsiTheme="minorHAnsi" w:cs="Arial"/>
          <w:b/>
        </w:rPr>
      </w:pPr>
      <w:r>
        <w:rPr>
          <w:rFonts w:asciiTheme="minorHAnsi" w:hAnsiTheme="minorHAnsi" w:cs="Arial"/>
          <w:b/>
        </w:rPr>
        <w:t>C</w:t>
      </w:r>
      <w:r w:rsidR="00CB74A2" w:rsidRPr="00BB0D8A">
        <w:rPr>
          <w:rFonts w:asciiTheme="minorHAnsi" w:hAnsiTheme="minorHAnsi" w:cs="Arial"/>
          <w:b/>
        </w:rPr>
        <w:t>apital Expenditure:</w:t>
      </w:r>
    </w:p>
    <w:p w14:paraId="43ADD10B" w14:textId="77777777" w:rsidR="00B3169F" w:rsidRPr="00BB0D8A" w:rsidRDefault="00B3169F" w:rsidP="00CB74A2">
      <w:pPr>
        <w:pStyle w:val="xl24"/>
        <w:widowControl w:val="0"/>
        <w:tabs>
          <w:tab w:val="left" w:pos="426"/>
        </w:tabs>
        <w:spacing w:before="0" w:beforeAutospacing="0" w:after="120" w:afterAutospacing="0"/>
        <w:rPr>
          <w:rFonts w:asciiTheme="minorHAnsi" w:hAnsiTheme="minorHAnsi" w:cs="Arial"/>
          <w:sz w:val="22"/>
          <w:szCs w:val="22"/>
        </w:rPr>
      </w:pPr>
      <w:r w:rsidRPr="00BB0D8A">
        <w:rPr>
          <w:rFonts w:asciiTheme="minorHAnsi" w:hAnsiTheme="minorHAnsi" w:cs="Arial"/>
          <w:b/>
          <w:sz w:val="22"/>
          <w:szCs w:val="22"/>
        </w:rPr>
        <w:t>Financing of Capital Expenditure</w:t>
      </w:r>
    </w:p>
    <w:tbl>
      <w:tblPr>
        <w:tblW w:w="10000" w:type="dxa"/>
        <w:tblInd w:w="93" w:type="dxa"/>
        <w:tblLook w:val="04A0" w:firstRow="1" w:lastRow="0" w:firstColumn="1" w:lastColumn="0" w:noHBand="0" w:noVBand="1"/>
        <w:tblCaption w:val="Housing revenue Account Financing of Capital Expenditure"/>
        <w:tblDescription w:val="Housing revenue Account Financing of Capital Expenditure"/>
      </w:tblPr>
      <w:tblGrid>
        <w:gridCol w:w="1520"/>
        <w:gridCol w:w="6980"/>
        <w:gridCol w:w="1500"/>
      </w:tblGrid>
      <w:tr w:rsidR="00BB0D8A" w:rsidRPr="00BB0D8A" w14:paraId="731E3BF6"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7E3978BF" w14:textId="34424C07" w:rsidR="00BB0D8A" w:rsidRPr="00BB0D8A" w:rsidRDefault="00BB0D8A" w:rsidP="00864738">
            <w:pPr>
              <w:jc w:val="right"/>
              <w:rPr>
                <w:rFonts w:ascii="Calibri" w:hAnsi="Calibri"/>
                <w:color w:val="000000"/>
                <w:lang w:eastAsia="en-GB"/>
              </w:rPr>
            </w:pPr>
            <w:r w:rsidRPr="00BB0D8A">
              <w:rPr>
                <w:rFonts w:ascii="Calibri" w:hAnsi="Calibri"/>
                <w:color w:val="000000"/>
                <w:lang w:eastAsia="en-GB"/>
              </w:rPr>
              <w:t>20</w:t>
            </w:r>
            <w:r w:rsidR="000C31F4">
              <w:rPr>
                <w:rFonts w:ascii="Calibri" w:hAnsi="Calibri"/>
                <w:color w:val="000000"/>
                <w:lang w:eastAsia="en-GB"/>
              </w:rPr>
              <w:t>2</w:t>
            </w:r>
            <w:r w:rsidR="00002BDE">
              <w:rPr>
                <w:rFonts w:ascii="Calibri" w:hAnsi="Calibri"/>
                <w:color w:val="000000"/>
                <w:lang w:eastAsia="en-GB"/>
              </w:rPr>
              <w:t>1</w:t>
            </w:r>
            <w:r w:rsidRPr="00BB0D8A">
              <w:rPr>
                <w:rFonts w:ascii="Calibri" w:hAnsi="Calibri"/>
                <w:color w:val="000000"/>
                <w:lang w:eastAsia="en-GB"/>
              </w:rPr>
              <w:t>-</w:t>
            </w:r>
            <w:r w:rsidR="0086473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7DDA2AD9" w14:textId="77777777" w:rsidR="00BB0D8A" w:rsidRPr="00BB0D8A" w:rsidRDefault="00BB0D8A" w:rsidP="00BB0D8A">
            <w:pPr>
              <w:rPr>
                <w:rFonts w:ascii="Calibri" w:hAnsi="Calibri"/>
                <w:color w:val="000000"/>
                <w:lang w:eastAsia="en-GB"/>
              </w:rPr>
            </w:pPr>
            <w:r w:rsidRPr="00BB0D8A">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35AAC397" w14:textId="2D2AA91A" w:rsidR="00BB0D8A" w:rsidRPr="00BB0D8A" w:rsidRDefault="00864738" w:rsidP="00864738">
            <w:pPr>
              <w:jc w:val="right"/>
              <w:rPr>
                <w:rFonts w:ascii="Calibri" w:hAnsi="Calibri"/>
                <w:color w:val="000000"/>
                <w:lang w:eastAsia="en-GB"/>
              </w:rPr>
            </w:pPr>
            <w:r>
              <w:rPr>
                <w:rFonts w:ascii="Calibri" w:hAnsi="Calibri"/>
                <w:color w:val="000000"/>
                <w:lang w:eastAsia="en-GB"/>
              </w:rPr>
              <w:t>202</w:t>
            </w:r>
            <w:r w:rsidR="00002BDE">
              <w:rPr>
                <w:rFonts w:ascii="Calibri" w:hAnsi="Calibri"/>
                <w:color w:val="000000"/>
                <w:lang w:eastAsia="en-GB"/>
              </w:rPr>
              <w:t>2</w:t>
            </w:r>
            <w:r w:rsidR="00BB0D8A" w:rsidRPr="00BB0D8A">
              <w:rPr>
                <w:rFonts w:ascii="Calibri" w:hAnsi="Calibri"/>
                <w:color w:val="000000"/>
                <w:lang w:eastAsia="en-GB"/>
              </w:rPr>
              <w:t>-</w:t>
            </w:r>
            <w:r w:rsidR="000C2167">
              <w:rPr>
                <w:rFonts w:ascii="Calibri" w:hAnsi="Calibri"/>
                <w:color w:val="000000"/>
                <w:lang w:eastAsia="en-GB"/>
              </w:rPr>
              <w:t>2</w:t>
            </w:r>
            <w:r w:rsidR="00002BDE">
              <w:rPr>
                <w:rFonts w:ascii="Calibri" w:hAnsi="Calibri"/>
                <w:color w:val="000000"/>
                <w:lang w:eastAsia="en-GB"/>
              </w:rPr>
              <w:t>3</w:t>
            </w:r>
          </w:p>
        </w:tc>
      </w:tr>
      <w:tr w:rsidR="00BB0D8A" w:rsidRPr="00BB0D8A" w14:paraId="0BFFA603" w14:textId="77777777" w:rsidTr="00BB0D8A">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69EF50D7" w14:textId="77777777" w:rsidR="00BB0D8A" w:rsidRPr="00BB0D8A" w:rsidRDefault="00BB0D8A" w:rsidP="00BB0D8A">
            <w:pPr>
              <w:jc w:val="right"/>
              <w:rPr>
                <w:rFonts w:ascii="Calibri" w:hAnsi="Calibri"/>
                <w:color w:val="000000"/>
                <w:lang w:eastAsia="en-GB"/>
              </w:rPr>
            </w:pPr>
            <w:r w:rsidRPr="00BB0D8A">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1CFD2757" w14:textId="77777777" w:rsidR="00BB0D8A" w:rsidRPr="00BB0D8A" w:rsidRDefault="00BB0D8A" w:rsidP="00BB0D8A">
            <w:pPr>
              <w:rPr>
                <w:rFonts w:ascii="Calibri" w:hAnsi="Calibri"/>
                <w:color w:val="000000"/>
                <w:lang w:eastAsia="en-GB"/>
              </w:rPr>
            </w:pPr>
            <w:r w:rsidRPr="00BB0D8A">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36DB0946" w14:textId="77777777" w:rsidR="00BB0D8A" w:rsidRPr="00BB0D8A" w:rsidRDefault="00BB0D8A" w:rsidP="00BB0D8A">
            <w:pPr>
              <w:jc w:val="right"/>
              <w:rPr>
                <w:rFonts w:ascii="Calibri" w:hAnsi="Calibri"/>
                <w:color w:val="000000"/>
                <w:lang w:eastAsia="en-GB"/>
              </w:rPr>
            </w:pPr>
            <w:r w:rsidRPr="00BB0D8A">
              <w:rPr>
                <w:rFonts w:ascii="Calibri" w:hAnsi="Calibri"/>
                <w:color w:val="000000"/>
                <w:lang w:eastAsia="en-GB"/>
              </w:rPr>
              <w:t>£’000</w:t>
            </w:r>
          </w:p>
        </w:tc>
      </w:tr>
      <w:tr w:rsidR="00BB0D8A" w:rsidRPr="00BB0D8A" w14:paraId="44B00400"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99083EC" w14:textId="748F6E45" w:rsidR="00BB0D8A" w:rsidRPr="00BB0D8A" w:rsidRDefault="00002BDE" w:rsidP="00864738">
            <w:pPr>
              <w:jc w:val="right"/>
              <w:rPr>
                <w:rFonts w:ascii="Calibri" w:hAnsi="Calibri"/>
                <w:color w:val="000000"/>
                <w:lang w:eastAsia="en-GB"/>
              </w:rPr>
            </w:pPr>
            <w:r>
              <w:rPr>
                <w:rFonts w:ascii="Calibri" w:hAnsi="Calibri"/>
                <w:color w:val="000000"/>
                <w:lang w:eastAsia="en-GB"/>
              </w:rPr>
              <w:t>1,913</w:t>
            </w:r>
          </w:p>
        </w:tc>
        <w:tc>
          <w:tcPr>
            <w:tcW w:w="6980" w:type="dxa"/>
            <w:tcBorders>
              <w:top w:val="nil"/>
              <w:left w:val="nil"/>
              <w:bottom w:val="single" w:sz="4" w:space="0" w:color="FFFFFF"/>
              <w:right w:val="single" w:sz="4" w:space="0" w:color="FFFFFF"/>
            </w:tcBorders>
            <w:shd w:val="clear" w:color="000000" w:fill="DAEEF3"/>
            <w:vAlign w:val="center"/>
            <w:hideMark/>
          </w:tcPr>
          <w:p w14:paraId="6821F5D5"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bCs/>
                <w:color w:val="000000"/>
                <w:lang w:eastAsia="en-GB"/>
              </w:rPr>
              <w:t>Dwellings</w:t>
            </w:r>
          </w:p>
        </w:tc>
        <w:tc>
          <w:tcPr>
            <w:tcW w:w="1500" w:type="dxa"/>
            <w:tcBorders>
              <w:top w:val="nil"/>
              <w:left w:val="nil"/>
              <w:bottom w:val="single" w:sz="4" w:space="0" w:color="FFFFFF"/>
              <w:right w:val="single" w:sz="4" w:space="0" w:color="FFFFFF"/>
            </w:tcBorders>
            <w:shd w:val="clear" w:color="000000" w:fill="DAEEF3"/>
            <w:vAlign w:val="center"/>
          </w:tcPr>
          <w:p w14:paraId="79E0EB4E" w14:textId="0F4B11D9" w:rsidR="00BB0D8A" w:rsidRPr="00BB0D8A" w:rsidRDefault="007E7C5D" w:rsidP="00F143AC">
            <w:pPr>
              <w:jc w:val="right"/>
              <w:rPr>
                <w:rFonts w:ascii="Calibri" w:hAnsi="Calibri"/>
                <w:color w:val="000000"/>
                <w:lang w:eastAsia="en-GB"/>
              </w:rPr>
            </w:pPr>
            <w:r>
              <w:rPr>
                <w:rFonts w:ascii="Calibri" w:hAnsi="Calibri"/>
                <w:color w:val="000000"/>
                <w:lang w:eastAsia="en-GB"/>
              </w:rPr>
              <w:t>3,42</w:t>
            </w:r>
            <w:r w:rsidR="00C96E4D">
              <w:rPr>
                <w:rFonts w:ascii="Calibri" w:hAnsi="Calibri"/>
                <w:color w:val="000000"/>
                <w:lang w:eastAsia="en-GB"/>
              </w:rPr>
              <w:t>2</w:t>
            </w:r>
          </w:p>
        </w:tc>
      </w:tr>
      <w:tr w:rsidR="00F143AC" w:rsidRPr="00BB0D8A" w14:paraId="371C45BD" w14:textId="77777777" w:rsidTr="00F143AC">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2F9646CC" w14:textId="569F61E7" w:rsidR="00F143AC" w:rsidRPr="00F143AC" w:rsidRDefault="000C31F4" w:rsidP="00AC1B91">
            <w:pPr>
              <w:jc w:val="right"/>
              <w:rPr>
                <w:rFonts w:ascii="Calibri" w:hAnsi="Calibri"/>
                <w:bCs/>
                <w:color w:val="000000"/>
                <w:lang w:eastAsia="en-GB"/>
              </w:rPr>
            </w:pPr>
            <w:r>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3326CEEF" w14:textId="4DB08612" w:rsidR="00F143AC" w:rsidRPr="00F143AC" w:rsidRDefault="00F143AC" w:rsidP="00BB0D8A">
            <w:pPr>
              <w:ind w:firstLineChars="100" w:firstLine="200"/>
              <w:rPr>
                <w:rFonts w:ascii="Calibri" w:hAnsi="Calibri"/>
                <w:bCs/>
                <w:color w:val="000000"/>
                <w:lang w:eastAsia="en-GB"/>
              </w:rPr>
            </w:pPr>
            <w:r w:rsidRPr="00F143AC">
              <w:rPr>
                <w:rFonts w:ascii="Calibri" w:hAnsi="Calibri"/>
                <w:bCs/>
                <w:color w:val="000000"/>
                <w:lang w:eastAsia="en-GB"/>
              </w:rPr>
              <w:t xml:space="preserve">Other Land </w:t>
            </w:r>
            <w:r w:rsidR="00704A70">
              <w:rPr>
                <w:rFonts w:ascii="Calibri" w:hAnsi="Calibri"/>
                <w:bCs/>
                <w:color w:val="000000"/>
                <w:lang w:eastAsia="en-GB"/>
              </w:rPr>
              <w:t>and</w:t>
            </w:r>
            <w:r w:rsidRPr="00F143AC">
              <w:rPr>
                <w:rFonts w:ascii="Calibri" w:hAnsi="Calibri"/>
                <w:bCs/>
                <w:color w:val="000000"/>
                <w:lang w:eastAsia="en-GB"/>
              </w:rPr>
              <w:t xml:space="preserve"> Buildings</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72DD83F5" w14:textId="3AA35133" w:rsidR="00F143AC" w:rsidRPr="00F143AC" w:rsidRDefault="007E7C5D" w:rsidP="00BB0D8A">
            <w:pPr>
              <w:jc w:val="right"/>
              <w:rPr>
                <w:rFonts w:ascii="Calibri" w:hAnsi="Calibri"/>
                <w:bCs/>
                <w:color w:val="000000"/>
                <w:lang w:eastAsia="en-GB"/>
              </w:rPr>
            </w:pPr>
            <w:r>
              <w:rPr>
                <w:rFonts w:ascii="Calibri" w:hAnsi="Calibri"/>
                <w:bCs/>
                <w:color w:val="000000"/>
                <w:lang w:eastAsia="en-GB"/>
              </w:rPr>
              <w:t>0</w:t>
            </w:r>
          </w:p>
        </w:tc>
      </w:tr>
      <w:tr w:rsidR="00142ADB" w:rsidRPr="00BB0D8A" w14:paraId="04242D32" w14:textId="77777777" w:rsidTr="00F143AC">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46532C85" w14:textId="60B46B66" w:rsidR="00142ADB" w:rsidRDefault="00002BDE" w:rsidP="00AC1B91">
            <w:pPr>
              <w:jc w:val="right"/>
              <w:rPr>
                <w:rFonts w:ascii="Calibri" w:hAnsi="Calibri"/>
                <w:bCs/>
                <w:color w:val="000000"/>
                <w:lang w:eastAsia="en-GB"/>
              </w:rPr>
            </w:pPr>
            <w:r>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7FDFCE7E" w14:textId="4233DA27" w:rsidR="00142ADB" w:rsidRPr="00F143AC" w:rsidRDefault="00142ADB" w:rsidP="00BB0D8A">
            <w:pPr>
              <w:ind w:firstLineChars="100" w:firstLine="200"/>
              <w:rPr>
                <w:rFonts w:ascii="Calibri" w:hAnsi="Calibri"/>
                <w:bCs/>
                <w:color w:val="000000"/>
                <w:lang w:eastAsia="en-GB"/>
              </w:rPr>
            </w:pPr>
            <w:r>
              <w:rPr>
                <w:rFonts w:ascii="Calibri" w:hAnsi="Calibri"/>
                <w:bCs/>
                <w:color w:val="000000"/>
                <w:lang w:eastAsia="en-GB"/>
              </w:rPr>
              <w:t xml:space="preserve">Vehicles, Plant and Equipment </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4801B25B" w14:textId="0E56BBE5" w:rsidR="00142ADB" w:rsidRDefault="007E7C5D" w:rsidP="00BB0D8A">
            <w:pPr>
              <w:jc w:val="right"/>
              <w:rPr>
                <w:rFonts w:ascii="Calibri" w:hAnsi="Calibri"/>
                <w:bCs/>
                <w:color w:val="000000"/>
                <w:lang w:eastAsia="en-GB"/>
              </w:rPr>
            </w:pPr>
            <w:r>
              <w:rPr>
                <w:rFonts w:ascii="Calibri" w:hAnsi="Calibri"/>
                <w:bCs/>
                <w:color w:val="000000"/>
                <w:lang w:eastAsia="en-GB"/>
              </w:rPr>
              <w:t>25</w:t>
            </w:r>
          </w:p>
        </w:tc>
      </w:tr>
      <w:tr w:rsidR="008A6A14" w:rsidRPr="008A6A14" w14:paraId="18D60FB4" w14:textId="77777777" w:rsidTr="008A6A14">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0C5472FF" w14:textId="29593838" w:rsidR="008A6A14" w:rsidRPr="008A6A14" w:rsidRDefault="00002BDE" w:rsidP="00AC1B91">
            <w:pPr>
              <w:jc w:val="right"/>
              <w:rPr>
                <w:rFonts w:ascii="Calibri" w:hAnsi="Calibri"/>
                <w:bCs/>
                <w:color w:val="000000"/>
                <w:lang w:eastAsia="en-GB"/>
              </w:rPr>
            </w:pPr>
            <w:r>
              <w:rPr>
                <w:rFonts w:ascii="Calibri" w:hAnsi="Calibri"/>
                <w:bCs/>
                <w:color w:val="000000"/>
                <w:lang w:eastAsia="en-GB"/>
              </w:rPr>
              <w:t>42</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1ECC6952" w14:textId="530D4AC8" w:rsidR="008A6A14" w:rsidRPr="008A6A14" w:rsidRDefault="008A6A14" w:rsidP="00BB0D8A">
            <w:pPr>
              <w:ind w:firstLineChars="100" w:firstLine="200"/>
              <w:rPr>
                <w:rFonts w:ascii="Calibri" w:hAnsi="Calibri"/>
                <w:bCs/>
                <w:color w:val="000000"/>
                <w:lang w:eastAsia="en-GB"/>
              </w:rPr>
            </w:pPr>
            <w:r>
              <w:rPr>
                <w:rFonts w:ascii="Calibri" w:hAnsi="Calibri"/>
                <w:bCs/>
                <w:color w:val="000000"/>
                <w:lang w:eastAsia="en-GB"/>
              </w:rPr>
              <w:t>IT Software</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22F1299C" w14:textId="1CB216F3" w:rsidR="008A6A14" w:rsidRPr="008A6A14" w:rsidRDefault="007E7C5D" w:rsidP="00BB0D8A">
            <w:pPr>
              <w:jc w:val="right"/>
              <w:rPr>
                <w:rFonts w:ascii="Calibri" w:hAnsi="Calibri"/>
                <w:bCs/>
                <w:color w:val="000000"/>
                <w:lang w:eastAsia="en-GB"/>
              </w:rPr>
            </w:pPr>
            <w:r>
              <w:rPr>
                <w:rFonts w:ascii="Calibri" w:hAnsi="Calibri"/>
                <w:bCs/>
                <w:color w:val="000000"/>
                <w:lang w:eastAsia="en-GB"/>
              </w:rPr>
              <w:t>0</w:t>
            </w:r>
          </w:p>
        </w:tc>
      </w:tr>
      <w:tr w:rsidR="00BB0D8A" w:rsidRPr="00BB0D8A" w14:paraId="74A10AAC"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2AC47B0" w14:textId="69E5D76A" w:rsidR="00BB0D8A" w:rsidRPr="00BB0D8A" w:rsidRDefault="00002BDE" w:rsidP="00AC1B91">
            <w:pPr>
              <w:jc w:val="right"/>
              <w:rPr>
                <w:rFonts w:ascii="Calibri" w:hAnsi="Calibri"/>
                <w:b/>
                <w:bCs/>
                <w:color w:val="000000"/>
                <w:lang w:eastAsia="en-GB"/>
              </w:rPr>
            </w:pPr>
            <w:r>
              <w:rPr>
                <w:rFonts w:ascii="Calibri" w:hAnsi="Calibri"/>
                <w:b/>
                <w:bCs/>
                <w:color w:val="000000"/>
                <w:lang w:eastAsia="en-GB"/>
              </w:rPr>
              <w:t>1,955</w:t>
            </w:r>
          </w:p>
        </w:tc>
        <w:tc>
          <w:tcPr>
            <w:tcW w:w="6980" w:type="dxa"/>
            <w:tcBorders>
              <w:top w:val="nil"/>
              <w:left w:val="nil"/>
              <w:bottom w:val="single" w:sz="4" w:space="0" w:color="FFFFFF"/>
              <w:right w:val="single" w:sz="4" w:space="0" w:color="FFFFFF"/>
            </w:tcBorders>
            <w:shd w:val="clear" w:color="000000" w:fill="B7DEE8"/>
            <w:vAlign w:val="center"/>
            <w:hideMark/>
          </w:tcPr>
          <w:p w14:paraId="36471796"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60609781" w14:textId="4C1CE756" w:rsidR="00BB0D8A" w:rsidRPr="00BB0D8A" w:rsidRDefault="007E7C5D" w:rsidP="00BB0D8A">
            <w:pPr>
              <w:jc w:val="right"/>
              <w:rPr>
                <w:rFonts w:ascii="Calibri" w:hAnsi="Calibri"/>
                <w:b/>
                <w:bCs/>
                <w:color w:val="000000"/>
                <w:lang w:eastAsia="en-GB"/>
              </w:rPr>
            </w:pPr>
            <w:r>
              <w:rPr>
                <w:rFonts w:ascii="Calibri" w:hAnsi="Calibri"/>
                <w:b/>
                <w:bCs/>
                <w:color w:val="000000"/>
                <w:lang w:eastAsia="en-GB"/>
              </w:rPr>
              <w:t>3,44</w:t>
            </w:r>
            <w:r w:rsidR="00C96E4D">
              <w:rPr>
                <w:rFonts w:ascii="Calibri" w:hAnsi="Calibri"/>
                <w:b/>
                <w:bCs/>
                <w:color w:val="000000"/>
                <w:lang w:eastAsia="en-GB"/>
              </w:rPr>
              <w:t>7</w:t>
            </w:r>
          </w:p>
        </w:tc>
      </w:tr>
      <w:tr w:rsidR="00BB0D8A" w:rsidRPr="00BB0D8A" w14:paraId="57A60056"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1236E61" w14:textId="25BB58FD" w:rsidR="00BB0D8A" w:rsidRPr="00BB0D8A" w:rsidRDefault="000C31F4" w:rsidP="00BB0D8A">
            <w:pPr>
              <w:jc w:val="right"/>
              <w:rPr>
                <w:rFonts w:ascii="Calibri" w:hAnsi="Calibri"/>
                <w:color w:val="000000"/>
                <w:lang w:eastAsia="en-GB"/>
              </w:rPr>
            </w:pPr>
            <w:r>
              <w:rPr>
                <w:rFonts w:ascii="Calibri" w:hAnsi="Calibri"/>
                <w:color w:val="000000"/>
                <w:lang w:eastAsia="en-GB"/>
              </w:rPr>
              <w:t>8</w:t>
            </w:r>
            <w:r w:rsidR="00002BDE">
              <w:rPr>
                <w:rFonts w:ascii="Calibri" w:hAnsi="Calibri"/>
                <w:color w:val="000000"/>
                <w:lang w:eastAsia="en-GB"/>
              </w:rPr>
              <w:t>06</w:t>
            </w:r>
          </w:p>
        </w:tc>
        <w:tc>
          <w:tcPr>
            <w:tcW w:w="6980" w:type="dxa"/>
            <w:tcBorders>
              <w:top w:val="nil"/>
              <w:left w:val="nil"/>
              <w:bottom w:val="single" w:sz="4" w:space="0" w:color="FFFFFF"/>
              <w:right w:val="single" w:sz="4" w:space="0" w:color="FFFFFF"/>
            </w:tcBorders>
            <w:shd w:val="clear" w:color="000000" w:fill="DAEEF3"/>
            <w:vAlign w:val="center"/>
            <w:hideMark/>
          </w:tcPr>
          <w:p w14:paraId="274E6FDB"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bCs/>
                <w:color w:val="000000"/>
                <w:lang w:eastAsia="en-GB"/>
              </w:rPr>
              <w:t>Capital Receipts Reserve</w:t>
            </w:r>
          </w:p>
        </w:tc>
        <w:tc>
          <w:tcPr>
            <w:tcW w:w="1500" w:type="dxa"/>
            <w:tcBorders>
              <w:top w:val="nil"/>
              <w:left w:val="nil"/>
              <w:bottom w:val="single" w:sz="4" w:space="0" w:color="FFFFFF"/>
              <w:right w:val="single" w:sz="4" w:space="0" w:color="FFFFFF"/>
            </w:tcBorders>
            <w:shd w:val="clear" w:color="000000" w:fill="DAEEF3"/>
            <w:vAlign w:val="center"/>
          </w:tcPr>
          <w:p w14:paraId="0725FEA0" w14:textId="25730BF5" w:rsidR="00BB0D8A" w:rsidRPr="00BB0D8A" w:rsidRDefault="007E7C5D" w:rsidP="00BB0D8A">
            <w:pPr>
              <w:jc w:val="right"/>
              <w:rPr>
                <w:rFonts w:ascii="Calibri" w:hAnsi="Calibri"/>
                <w:color w:val="000000"/>
                <w:lang w:eastAsia="en-GB"/>
              </w:rPr>
            </w:pPr>
            <w:r>
              <w:rPr>
                <w:rFonts w:ascii="Calibri" w:hAnsi="Calibri"/>
                <w:color w:val="000000"/>
                <w:lang w:eastAsia="en-GB"/>
              </w:rPr>
              <w:t>1,13</w:t>
            </w:r>
            <w:r w:rsidR="00737094">
              <w:rPr>
                <w:rFonts w:ascii="Calibri" w:hAnsi="Calibri"/>
                <w:color w:val="000000"/>
                <w:lang w:eastAsia="en-GB"/>
              </w:rPr>
              <w:t>0</w:t>
            </w:r>
          </w:p>
        </w:tc>
      </w:tr>
      <w:tr w:rsidR="00BB0D8A" w:rsidRPr="00BB0D8A" w14:paraId="0AE22A28"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1667D6A2" w14:textId="77777777" w:rsidR="00BB0D8A" w:rsidRPr="00BB0D8A" w:rsidRDefault="00BB0D8A" w:rsidP="00BB0D8A">
            <w:pPr>
              <w:jc w:val="right"/>
              <w:rPr>
                <w:rFonts w:ascii="Calibri" w:hAnsi="Calibri"/>
                <w:color w:val="000000"/>
                <w:lang w:eastAsia="en-GB"/>
              </w:rPr>
            </w:pPr>
            <w:r w:rsidRPr="00BB0D8A">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28A1D434"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bCs/>
                <w:color w:val="000000"/>
                <w:lang w:eastAsia="en-GB"/>
              </w:rPr>
              <w:t>HRA Working Balance</w:t>
            </w:r>
          </w:p>
        </w:tc>
        <w:tc>
          <w:tcPr>
            <w:tcW w:w="1500" w:type="dxa"/>
            <w:tcBorders>
              <w:top w:val="nil"/>
              <w:left w:val="nil"/>
              <w:bottom w:val="single" w:sz="4" w:space="0" w:color="FFFFFF"/>
              <w:right w:val="single" w:sz="4" w:space="0" w:color="FFFFFF"/>
            </w:tcBorders>
            <w:shd w:val="clear" w:color="000000" w:fill="DAEEF3"/>
            <w:vAlign w:val="center"/>
          </w:tcPr>
          <w:p w14:paraId="63569014" w14:textId="349971D0" w:rsidR="00BB0D8A" w:rsidRPr="00BB0D8A" w:rsidRDefault="007E7C5D" w:rsidP="00BB0D8A">
            <w:pPr>
              <w:jc w:val="right"/>
              <w:rPr>
                <w:rFonts w:ascii="Calibri" w:hAnsi="Calibri"/>
                <w:color w:val="000000"/>
                <w:lang w:eastAsia="en-GB"/>
              </w:rPr>
            </w:pPr>
            <w:r>
              <w:rPr>
                <w:rFonts w:ascii="Calibri" w:hAnsi="Calibri"/>
                <w:color w:val="000000"/>
                <w:lang w:eastAsia="en-GB"/>
              </w:rPr>
              <w:t>0</w:t>
            </w:r>
          </w:p>
        </w:tc>
      </w:tr>
      <w:tr w:rsidR="00BB0D8A" w:rsidRPr="00BB0D8A" w14:paraId="172D81E9" w14:textId="77777777" w:rsidTr="007E7C5D">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17800AC" w14:textId="43542F16" w:rsidR="00BB0D8A" w:rsidRPr="00BB0D8A" w:rsidRDefault="00BB0D8A" w:rsidP="00AC1B91">
            <w:pPr>
              <w:jc w:val="right"/>
              <w:rPr>
                <w:rFonts w:ascii="Calibri" w:hAnsi="Calibri"/>
                <w:color w:val="000000"/>
                <w:lang w:eastAsia="en-GB"/>
              </w:rPr>
            </w:pPr>
            <w:r w:rsidRPr="00BB0D8A">
              <w:rPr>
                <w:rFonts w:ascii="Calibri" w:hAnsi="Calibri"/>
                <w:bCs/>
                <w:color w:val="000000"/>
                <w:lang w:eastAsia="en-GB"/>
              </w:rPr>
              <w:t>1</w:t>
            </w:r>
            <w:r w:rsidR="00146802">
              <w:rPr>
                <w:rFonts w:ascii="Calibri" w:hAnsi="Calibri"/>
                <w:bCs/>
                <w:color w:val="000000"/>
                <w:lang w:eastAsia="en-GB"/>
              </w:rPr>
              <w:t>,</w:t>
            </w:r>
            <w:r w:rsidR="00002BDE">
              <w:rPr>
                <w:rFonts w:ascii="Calibri" w:hAnsi="Calibri"/>
                <w:bCs/>
                <w:color w:val="000000"/>
                <w:lang w:eastAsia="en-GB"/>
              </w:rPr>
              <w:t>112</w:t>
            </w:r>
          </w:p>
        </w:tc>
        <w:tc>
          <w:tcPr>
            <w:tcW w:w="6980" w:type="dxa"/>
            <w:tcBorders>
              <w:top w:val="nil"/>
              <w:left w:val="nil"/>
              <w:bottom w:val="single" w:sz="4" w:space="0" w:color="FFFFFF"/>
              <w:right w:val="single" w:sz="4" w:space="0" w:color="FFFFFF"/>
            </w:tcBorders>
            <w:shd w:val="clear" w:color="000000" w:fill="DAEEF3"/>
            <w:vAlign w:val="center"/>
            <w:hideMark/>
          </w:tcPr>
          <w:p w14:paraId="13BE8C8C"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bCs/>
                <w:color w:val="000000"/>
                <w:lang w:eastAsia="en-GB"/>
              </w:rPr>
              <w:t>Major Repairs Reserve</w:t>
            </w:r>
          </w:p>
        </w:tc>
        <w:tc>
          <w:tcPr>
            <w:tcW w:w="1500" w:type="dxa"/>
            <w:tcBorders>
              <w:top w:val="nil"/>
              <w:left w:val="nil"/>
              <w:bottom w:val="single" w:sz="4" w:space="0" w:color="FFFFFF"/>
              <w:right w:val="single" w:sz="4" w:space="0" w:color="FFFFFF"/>
            </w:tcBorders>
            <w:shd w:val="clear" w:color="000000" w:fill="DAEEF3"/>
            <w:vAlign w:val="center"/>
          </w:tcPr>
          <w:p w14:paraId="102283F8" w14:textId="6F799D5B" w:rsidR="00BB0D8A" w:rsidRPr="00BB0D8A" w:rsidRDefault="007E7C5D" w:rsidP="00BB0D8A">
            <w:pPr>
              <w:jc w:val="right"/>
              <w:rPr>
                <w:rFonts w:ascii="Calibri" w:hAnsi="Calibri"/>
                <w:color w:val="000000"/>
                <w:lang w:eastAsia="en-GB"/>
              </w:rPr>
            </w:pPr>
            <w:r>
              <w:rPr>
                <w:rFonts w:ascii="Calibri" w:hAnsi="Calibri"/>
                <w:color w:val="000000"/>
                <w:lang w:eastAsia="en-GB"/>
              </w:rPr>
              <w:t>1,943</w:t>
            </w:r>
          </w:p>
        </w:tc>
      </w:tr>
      <w:tr w:rsidR="00BB0D8A" w:rsidRPr="00BB0D8A" w14:paraId="7D6CF792" w14:textId="77777777" w:rsidTr="007E7C5D">
        <w:trPr>
          <w:trHeight w:val="300"/>
        </w:trPr>
        <w:tc>
          <w:tcPr>
            <w:tcW w:w="1520" w:type="dxa"/>
            <w:tcBorders>
              <w:top w:val="single" w:sz="4" w:space="0" w:color="FFFFFF"/>
              <w:left w:val="single" w:sz="4" w:space="0" w:color="FFFFFF"/>
              <w:bottom w:val="single" w:sz="4" w:space="0" w:color="FFFFFF"/>
              <w:right w:val="single" w:sz="4" w:space="0" w:color="FFFFFF"/>
            </w:tcBorders>
            <w:shd w:val="clear" w:color="000000" w:fill="DAEEF3"/>
            <w:vAlign w:val="center"/>
            <w:hideMark/>
          </w:tcPr>
          <w:p w14:paraId="47DD7FB1" w14:textId="1AA54730" w:rsidR="00BB0D8A" w:rsidRPr="00BB0D8A" w:rsidRDefault="00002BDE" w:rsidP="00AC1B91">
            <w:pPr>
              <w:jc w:val="right"/>
              <w:rPr>
                <w:rFonts w:ascii="Calibri" w:hAnsi="Calibri"/>
                <w:color w:val="000000"/>
                <w:lang w:eastAsia="en-GB"/>
              </w:rPr>
            </w:pPr>
            <w:r>
              <w:rPr>
                <w:rFonts w:ascii="Calibri" w:hAnsi="Calibri"/>
                <w:color w:val="000000"/>
                <w:lang w:eastAsia="en-GB"/>
              </w:rPr>
              <w:t>37</w:t>
            </w:r>
          </w:p>
        </w:tc>
        <w:tc>
          <w:tcPr>
            <w:tcW w:w="6980" w:type="dxa"/>
            <w:tcBorders>
              <w:top w:val="single" w:sz="4" w:space="0" w:color="FFFFFF"/>
              <w:left w:val="nil"/>
              <w:bottom w:val="single" w:sz="4" w:space="0" w:color="FFFFFF"/>
              <w:right w:val="single" w:sz="4" w:space="0" w:color="FFFFFF"/>
            </w:tcBorders>
            <w:shd w:val="clear" w:color="000000" w:fill="DAEEF3"/>
            <w:vAlign w:val="center"/>
            <w:hideMark/>
          </w:tcPr>
          <w:p w14:paraId="17787E0C" w14:textId="2305CF83" w:rsidR="00BB0D8A" w:rsidRPr="00BB0D8A" w:rsidRDefault="00BB0D8A" w:rsidP="00BB0D8A">
            <w:pPr>
              <w:rPr>
                <w:rFonts w:ascii="Calibri" w:hAnsi="Calibri"/>
                <w:color w:val="000000"/>
                <w:lang w:eastAsia="en-GB"/>
              </w:rPr>
            </w:pPr>
            <w:r w:rsidRPr="00BB0D8A">
              <w:rPr>
                <w:rFonts w:ascii="Calibri" w:hAnsi="Calibri"/>
                <w:bCs/>
                <w:color w:val="000000"/>
                <w:lang w:eastAsia="en-GB"/>
              </w:rPr>
              <w:t xml:space="preserve">  </w:t>
            </w:r>
            <w:r w:rsidR="007E7C5D">
              <w:rPr>
                <w:rFonts w:ascii="Calibri" w:hAnsi="Calibri"/>
                <w:bCs/>
                <w:color w:val="000000"/>
                <w:lang w:eastAsia="en-GB"/>
              </w:rPr>
              <w:t xml:space="preserve">  </w:t>
            </w:r>
            <w:r w:rsidRPr="00BB0D8A">
              <w:rPr>
                <w:rFonts w:ascii="Calibri" w:hAnsi="Calibri"/>
                <w:bCs/>
                <w:color w:val="000000"/>
                <w:lang w:eastAsia="en-GB"/>
              </w:rPr>
              <w:t xml:space="preserve">Development </w:t>
            </w:r>
            <w:r w:rsidR="00704A70">
              <w:rPr>
                <w:rFonts w:ascii="Calibri" w:hAnsi="Calibri"/>
                <w:bCs/>
                <w:color w:val="000000"/>
                <w:lang w:eastAsia="en-GB"/>
              </w:rPr>
              <w:t>and</w:t>
            </w:r>
            <w:r w:rsidRPr="00BB0D8A">
              <w:rPr>
                <w:rFonts w:ascii="Calibri" w:hAnsi="Calibri"/>
                <w:bCs/>
                <w:color w:val="000000"/>
                <w:lang w:eastAsia="en-GB"/>
              </w:rPr>
              <w:t xml:space="preserve"> Regeneration Reserve</w:t>
            </w:r>
          </w:p>
        </w:tc>
        <w:tc>
          <w:tcPr>
            <w:tcW w:w="1500" w:type="dxa"/>
            <w:tcBorders>
              <w:top w:val="single" w:sz="4" w:space="0" w:color="FFFFFF"/>
              <w:left w:val="nil"/>
              <w:bottom w:val="single" w:sz="4" w:space="0" w:color="FFFFFF"/>
              <w:right w:val="single" w:sz="4" w:space="0" w:color="FFFFFF"/>
            </w:tcBorders>
            <w:shd w:val="clear" w:color="000000" w:fill="DAEEF3"/>
            <w:vAlign w:val="center"/>
          </w:tcPr>
          <w:p w14:paraId="0488568C" w14:textId="49AC8154" w:rsidR="00BB0D8A" w:rsidRPr="00BB0D8A" w:rsidRDefault="00C96E4D" w:rsidP="00BB0D8A">
            <w:pPr>
              <w:jc w:val="right"/>
              <w:rPr>
                <w:rFonts w:ascii="Calibri" w:hAnsi="Calibri"/>
                <w:color w:val="000000"/>
                <w:lang w:eastAsia="en-GB"/>
              </w:rPr>
            </w:pPr>
            <w:r>
              <w:rPr>
                <w:rFonts w:ascii="Calibri" w:hAnsi="Calibri"/>
                <w:color w:val="000000"/>
                <w:lang w:eastAsia="en-GB"/>
              </w:rPr>
              <w:t>7</w:t>
            </w:r>
          </w:p>
        </w:tc>
      </w:tr>
      <w:tr w:rsidR="007E7C5D" w:rsidRPr="00BB0D8A" w14:paraId="0F4C6678" w14:textId="77777777" w:rsidTr="007E7C5D">
        <w:trPr>
          <w:trHeight w:val="300"/>
        </w:trPr>
        <w:tc>
          <w:tcPr>
            <w:tcW w:w="1520" w:type="dxa"/>
            <w:tcBorders>
              <w:top w:val="single" w:sz="4" w:space="0" w:color="FFFFFF"/>
              <w:left w:val="single" w:sz="4" w:space="0" w:color="FFFFFF"/>
              <w:bottom w:val="single" w:sz="4" w:space="0" w:color="FFFFFF"/>
              <w:right w:val="single" w:sz="4" w:space="0" w:color="FFFFFF"/>
            </w:tcBorders>
            <w:shd w:val="clear" w:color="000000" w:fill="DAEEF3"/>
            <w:vAlign w:val="center"/>
          </w:tcPr>
          <w:p w14:paraId="00A0E7AD" w14:textId="0103CDDC" w:rsidR="007E7C5D" w:rsidRDefault="007E7C5D" w:rsidP="00BB0D8A">
            <w:pPr>
              <w:jc w:val="right"/>
              <w:rPr>
                <w:rFonts w:ascii="Calibri" w:hAnsi="Calibri"/>
                <w:color w:val="000000"/>
                <w:lang w:eastAsia="en-GB"/>
              </w:rPr>
            </w:pPr>
            <w:r>
              <w:rPr>
                <w:rFonts w:ascii="Calibri" w:hAnsi="Calibri"/>
                <w:color w:val="000000"/>
                <w:lang w:eastAsia="en-GB"/>
              </w:rPr>
              <w:t>0</w:t>
            </w:r>
          </w:p>
        </w:tc>
        <w:tc>
          <w:tcPr>
            <w:tcW w:w="6980" w:type="dxa"/>
            <w:tcBorders>
              <w:top w:val="single" w:sz="4" w:space="0" w:color="FFFFFF"/>
              <w:left w:val="nil"/>
              <w:bottom w:val="single" w:sz="4" w:space="0" w:color="FFFFFF"/>
              <w:right w:val="single" w:sz="4" w:space="0" w:color="FFFFFF"/>
            </w:tcBorders>
            <w:shd w:val="clear" w:color="000000" w:fill="DAEEF3"/>
            <w:vAlign w:val="center"/>
          </w:tcPr>
          <w:p w14:paraId="37E47B97" w14:textId="626A24B3" w:rsidR="007E7C5D" w:rsidRPr="00BB0D8A" w:rsidRDefault="007E7C5D" w:rsidP="00BB0D8A">
            <w:pPr>
              <w:rPr>
                <w:rFonts w:ascii="Calibri" w:hAnsi="Calibri"/>
                <w:bCs/>
                <w:color w:val="000000"/>
                <w:lang w:eastAsia="en-GB"/>
              </w:rPr>
            </w:pPr>
            <w:r>
              <w:rPr>
                <w:rFonts w:ascii="Calibri" w:hAnsi="Calibri"/>
                <w:bCs/>
                <w:color w:val="000000"/>
                <w:lang w:eastAsia="en-GB"/>
              </w:rPr>
              <w:t xml:space="preserve">    Grant</w:t>
            </w:r>
          </w:p>
        </w:tc>
        <w:tc>
          <w:tcPr>
            <w:tcW w:w="1500" w:type="dxa"/>
            <w:tcBorders>
              <w:top w:val="single" w:sz="4" w:space="0" w:color="FFFFFF"/>
              <w:left w:val="nil"/>
              <w:bottom w:val="single" w:sz="4" w:space="0" w:color="FFFFFF"/>
              <w:right w:val="single" w:sz="4" w:space="0" w:color="FFFFFF"/>
            </w:tcBorders>
            <w:shd w:val="clear" w:color="000000" w:fill="DAEEF3"/>
            <w:vAlign w:val="center"/>
          </w:tcPr>
          <w:p w14:paraId="53661BFC" w14:textId="01D73F51" w:rsidR="007E7C5D" w:rsidRDefault="007E7C5D" w:rsidP="00BB0D8A">
            <w:pPr>
              <w:jc w:val="right"/>
              <w:rPr>
                <w:rFonts w:ascii="Calibri" w:hAnsi="Calibri"/>
                <w:color w:val="000000"/>
                <w:lang w:eastAsia="en-GB"/>
              </w:rPr>
            </w:pPr>
            <w:r>
              <w:rPr>
                <w:rFonts w:ascii="Calibri" w:hAnsi="Calibri"/>
                <w:color w:val="000000"/>
                <w:lang w:eastAsia="en-GB"/>
              </w:rPr>
              <w:t>294</w:t>
            </w:r>
          </w:p>
        </w:tc>
      </w:tr>
      <w:tr w:rsidR="00BB0D8A" w:rsidRPr="00BB0D8A" w14:paraId="01560C43"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8629D84" w14:textId="77777777" w:rsidR="00BB0D8A" w:rsidRPr="00BB0D8A" w:rsidRDefault="00AC1B91" w:rsidP="00BB0D8A">
            <w:pPr>
              <w:jc w:val="right"/>
              <w:rPr>
                <w:rFonts w:ascii="Calibri" w:hAnsi="Calibri"/>
                <w:color w:val="000000"/>
                <w:lang w:eastAsia="en-GB"/>
              </w:rPr>
            </w:pPr>
            <w:r>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5A41A5FF" w14:textId="5C263E01" w:rsidR="00BB0D8A" w:rsidRPr="00BB0D8A" w:rsidRDefault="00BB0D8A" w:rsidP="00BB0D8A">
            <w:pPr>
              <w:rPr>
                <w:rFonts w:ascii="Calibri" w:hAnsi="Calibri"/>
                <w:color w:val="000000"/>
                <w:lang w:eastAsia="en-GB"/>
              </w:rPr>
            </w:pPr>
            <w:r w:rsidRPr="00BB0D8A">
              <w:rPr>
                <w:rFonts w:ascii="Calibri" w:hAnsi="Calibri"/>
                <w:bCs/>
                <w:color w:val="000000"/>
                <w:lang w:eastAsia="en-GB"/>
              </w:rPr>
              <w:t xml:space="preserve">  </w:t>
            </w:r>
            <w:r w:rsidR="007E7C5D">
              <w:rPr>
                <w:rFonts w:ascii="Calibri" w:hAnsi="Calibri"/>
                <w:bCs/>
                <w:color w:val="000000"/>
                <w:lang w:eastAsia="en-GB"/>
              </w:rPr>
              <w:t xml:space="preserve">  </w:t>
            </w:r>
            <w:r w:rsidRPr="00BB0D8A">
              <w:rPr>
                <w:rFonts w:ascii="Calibri" w:hAnsi="Calibri"/>
                <w:bCs/>
                <w:color w:val="000000"/>
                <w:lang w:eastAsia="en-GB"/>
              </w:rPr>
              <w:t>Contribution from Third Party</w:t>
            </w:r>
          </w:p>
        </w:tc>
        <w:tc>
          <w:tcPr>
            <w:tcW w:w="1500" w:type="dxa"/>
            <w:tcBorders>
              <w:top w:val="nil"/>
              <w:left w:val="nil"/>
              <w:bottom w:val="single" w:sz="4" w:space="0" w:color="FFFFFF"/>
              <w:right w:val="single" w:sz="4" w:space="0" w:color="FFFFFF"/>
            </w:tcBorders>
            <w:shd w:val="clear" w:color="000000" w:fill="DAEEF3"/>
            <w:vAlign w:val="center"/>
          </w:tcPr>
          <w:p w14:paraId="238A07B2" w14:textId="1296FA64" w:rsidR="00BB0D8A" w:rsidRPr="00BB0D8A" w:rsidRDefault="00737094" w:rsidP="00BB0D8A">
            <w:pPr>
              <w:jc w:val="right"/>
              <w:rPr>
                <w:rFonts w:ascii="Calibri" w:hAnsi="Calibri"/>
                <w:color w:val="000000"/>
                <w:lang w:eastAsia="en-GB"/>
              </w:rPr>
            </w:pPr>
            <w:r>
              <w:rPr>
                <w:rFonts w:ascii="Calibri" w:hAnsi="Calibri"/>
                <w:color w:val="000000"/>
                <w:lang w:eastAsia="en-GB"/>
              </w:rPr>
              <w:t>73</w:t>
            </w:r>
          </w:p>
        </w:tc>
      </w:tr>
      <w:tr w:rsidR="00BB0D8A" w:rsidRPr="00BB0D8A" w14:paraId="13006867"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D211C96" w14:textId="6A19FCDB" w:rsidR="00BB0D8A" w:rsidRPr="00BB0D8A" w:rsidRDefault="00002BDE" w:rsidP="00AC1B91">
            <w:pPr>
              <w:jc w:val="right"/>
              <w:rPr>
                <w:rFonts w:ascii="Calibri" w:hAnsi="Calibri"/>
                <w:b/>
                <w:bCs/>
                <w:color w:val="000000"/>
                <w:lang w:eastAsia="en-GB"/>
              </w:rPr>
            </w:pPr>
            <w:r>
              <w:rPr>
                <w:rFonts w:ascii="Calibri" w:hAnsi="Calibri"/>
                <w:b/>
                <w:bCs/>
                <w:color w:val="000000"/>
                <w:lang w:eastAsia="en-GB"/>
              </w:rPr>
              <w:t>1,955</w:t>
            </w:r>
          </w:p>
        </w:tc>
        <w:tc>
          <w:tcPr>
            <w:tcW w:w="6980" w:type="dxa"/>
            <w:tcBorders>
              <w:top w:val="nil"/>
              <w:left w:val="nil"/>
              <w:bottom w:val="single" w:sz="4" w:space="0" w:color="FFFFFF"/>
              <w:right w:val="single" w:sz="4" w:space="0" w:color="FFFFFF"/>
            </w:tcBorders>
            <w:shd w:val="clear" w:color="000000" w:fill="B7DEE8"/>
            <w:vAlign w:val="center"/>
            <w:hideMark/>
          </w:tcPr>
          <w:p w14:paraId="5A5293D0" w14:textId="77777777" w:rsidR="00BB0D8A" w:rsidRPr="00BB0D8A" w:rsidRDefault="00BB0D8A" w:rsidP="00BB0D8A">
            <w:pPr>
              <w:rPr>
                <w:rFonts w:ascii="Calibri" w:hAnsi="Calibri"/>
                <w:color w:val="000000"/>
                <w:lang w:eastAsia="en-GB"/>
              </w:rPr>
            </w:pPr>
            <w:r w:rsidRPr="00BB0D8A">
              <w:rPr>
                <w:rFonts w:ascii="Calibri" w:hAnsi="Calibri"/>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2CFD7864" w14:textId="2F1071ED" w:rsidR="00BB0D8A" w:rsidRPr="00BB0D8A" w:rsidRDefault="007E7C5D" w:rsidP="00BB0D8A">
            <w:pPr>
              <w:jc w:val="right"/>
              <w:rPr>
                <w:rFonts w:ascii="Calibri" w:hAnsi="Calibri"/>
                <w:b/>
                <w:bCs/>
                <w:color w:val="000000"/>
                <w:lang w:eastAsia="en-GB"/>
              </w:rPr>
            </w:pPr>
            <w:r>
              <w:rPr>
                <w:rFonts w:ascii="Calibri" w:hAnsi="Calibri"/>
                <w:b/>
                <w:bCs/>
                <w:color w:val="000000"/>
                <w:lang w:eastAsia="en-GB"/>
              </w:rPr>
              <w:t>3,44</w:t>
            </w:r>
            <w:r w:rsidR="00C96E4D">
              <w:rPr>
                <w:rFonts w:ascii="Calibri" w:hAnsi="Calibri"/>
                <w:b/>
                <w:bCs/>
                <w:color w:val="000000"/>
                <w:lang w:eastAsia="en-GB"/>
              </w:rPr>
              <w:t>7</w:t>
            </w:r>
          </w:p>
        </w:tc>
      </w:tr>
    </w:tbl>
    <w:p w14:paraId="65F2C1C3" w14:textId="77777777" w:rsidR="001B4D9E" w:rsidRDefault="001B4D9E" w:rsidP="003A4C23">
      <w:pPr>
        <w:pStyle w:val="xl24"/>
        <w:widowControl w:val="0"/>
        <w:tabs>
          <w:tab w:val="left" w:pos="426"/>
        </w:tabs>
        <w:spacing w:before="0" w:beforeAutospacing="0" w:after="120" w:afterAutospacing="0"/>
        <w:rPr>
          <w:rFonts w:asciiTheme="minorHAnsi" w:eastAsia="Times New Roman" w:hAnsiTheme="minorHAnsi" w:cs="Arial"/>
          <w:b/>
          <w:bCs/>
          <w:sz w:val="22"/>
          <w:szCs w:val="22"/>
        </w:rPr>
      </w:pPr>
    </w:p>
    <w:p w14:paraId="67912619" w14:textId="355DAE41" w:rsidR="00CB60AA" w:rsidRPr="00BB0D8A" w:rsidRDefault="00CB60AA" w:rsidP="003A4C23">
      <w:pPr>
        <w:pStyle w:val="xl24"/>
        <w:widowControl w:val="0"/>
        <w:tabs>
          <w:tab w:val="left" w:pos="426"/>
        </w:tabs>
        <w:spacing w:before="0" w:beforeAutospacing="0" w:after="120" w:afterAutospacing="0"/>
        <w:rPr>
          <w:rFonts w:asciiTheme="minorHAnsi" w:eastAsia="Times New Roman" w:hAnsiTheme="minorHAnsi" w:cs="Arial"/>
          <w:b/>
          <w:bCs/>
          <w:sz w:val="22"/>
          <w:szCs w:val="22"/>
          <w:u w:val="single"/>
        </w:rPr>
      </w:pPr>
      <w:r w:rsidRPr="00BB0D8A">
        <w:rPr>
          <w:rFonts w:asciiTheme="minorHAnsi" w:eastAsia="Times New Roman" w:hAnsiTheme="minorHAnsi" w:cs="Arial"/>
          <w:b/>
          <w:bCs/>
          <w:sz w:val="22"/>
          <w:szCs w:val="22"/>
        </w:rPr>
        <w:lastRenderedPageBreak/>
        <w:t>Summary of Capital Expenditure</w:t>
      </w:r>
      <w:r w:rsidRPr="00BB0D8A">
        <w:rPr>
          <w:rFonts w:asciiTheme="minorHAnsi" w:eastAsia="Times New Roman" w:hAnsiTheme="minorHAnsi" w:cs="Arial"/>
          <w:b/>
          <w:bCs/>
          <w:sz w:val="22"/>
          <w:szCs w:val="22"/>
        </w:rPr>
        <w:tab/>
      </w:r>
    </w:p>
    <w:tbl>
      <w:tblPr>
        <w:tblW w:w="10000" w:type="dxa"/>
        <w:tblInd w:w="93" w:type="dxa"/>
        <w:tblLook w:val="04A0" w:firstRow="1" w:lastRow="0" w:firstColumn="1" w:lastColumn="0" w:noHBand="0" w:noVBand="1"/>
        <w:tblCaption w:val="Housing Revenue Account Summary of Capital Expenditure"/>
        <w:tblDescription w:val="Housing Revenue Account Summary of Capital Expenditure"/>
      </w:tblPr>
      <w:tblGrid>
        <w:gridCol w:w="1520"/>
        <w:gridCol w:w="6980"/>
        <w:gridCol w:w="1500"/>
      </w:tblGrid>
      <w:tr w:rsidR="00BB0D8A" w:rsidRPr="00BB0D8A" w14:paraId="434B1701"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466F81D2" w14:textId="6F66C1FF" w:rsidR="00BB0D8A" w:rsidRPr="00BB0D8A" w:rsidRDefault="00BB0D8A" w:rsidP="00864738">
            <w:pPr>
              <w:jc w:val="right"/>
              <w:rPr>
                <w:rFonts w:ascii="Calibri" w:hAnsi="Calibri"/>
                <w:color w:val="000000"/>
                <w:lang w:eastAsia="en-GB"/>
              </w:rPr>
            </w:pPr>
            <w:r w:rsidRPr="00BB0D8A">
              <w:rPr>
                <w:rFonts w:ascii="Calibri" w:hAnsi="Calibri"/>
                <w:color w:val="000000"/>
                <w:lang w:eastAsia="en-GB"/>
              </w:rPr>
              <w:t>20</w:t>
            </w:r>
            <w:r w:rsidR="000C31F4">
              <w:rPr>
                <w:rFonts w:ascii="Calibri" w:hAnsi="Calibri"/>
                <w:color w:val="000000"/>
                <w:lang w:eastAsia="en-GB"/>
              </w:rPr>
              <w:t>2</w:t>
            </w:r>
            <w:r w:rsidR="00002BDE">
              <w:rPr>
                <w:rFonts w:ascii="Calibri" w:hAnsi="Calibri"/>
                <w:color w:val="000000"/>
                <w:lang w:eastAsia="en-GB"/>
              </w:rPr>
              <w:t>1</w:t>
            </w:r>
            <w:r w:rsidRPr="00BB0D8A">
              <w:rPr>
                <w:rFonts w:ascii="Calibri" w:hAnsi="Calibri"/>
                <w:color w:val="000000"/>
                <w:lang w:eastAsia="en-GB"/>
              </w:rPr>
              <w:t>-</w:t>
            </w:r>
            <w:r w:rsidR="0086473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3ED42EFB" w14:textId="77777777" w:rsidR="00BB0D8A" w:rsidRPr="00BB0D8A" w:rsidRDefault="00BB0D8A" w:rsidP="00BB0D8A">
            <w:pPr>
              <w:rPr>
                <w:rFonts w:ascii="Calibri" w:hAnsi="Calibri"/>
                <w:color w:val="000000"/>
                <w:lang w:eastAsia="en-GB"/>
              </w:rPr>
            </w:pPr>
            <w:r w:rsidRPr="00BB0D8A">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6D1B16EB" w14:textId="7686182C" w:rsidR="00BB0D8A" w:rsidRPr="00BB0D8A" w:rsidRDefault="00BB0D8A" w:rsidP="00864738">
            <w:pPr>
              <w:jc w:val="right"/>
              <w:rPr>
                <w:rFonts w:ascii="Calibri" w:hAnsi="Calibri"/>
                <w:color w:val="000000"/>
                <w:lang w:eastAsia="en-GB"/>
              </w:rPr>
            </w:pPr>
            <w:r w:rsidRPr="00BB0D8A">
              <w:rPr>
                <w:rFonts w:ascii="Calibri" w:hAnsi="Calibri"/>
                <w:color w:val="000000"/>
                <w:lang w:eastAsia="en-GB"/>
              </w:rPr>
              <w:t>20</w:t>
            </w:r>
            <w:r w:rsidR="00864738">
              <w:rPr>
                <w:rFonts w:ascii="Calibri" w:hAnsi="Calibri"/>
                <w:color w:val="000000"/>
                <w:lang w:eastAsia="en-GB"/>
              </w:rPr>
              <w:t>2</w:t>
            </w:r>
            <w:r w:rsidR="00002BDE">
              <w:rPr>
                <w:rFonts w:ascii="Calibri" w:hAnsi="Calibri"/>
                <w:color w:val="000000"/>
                <w:lang w:eastAsia="en-GB"/>
              </w:rPr>
              <w:t>2</w:t>
            </w:r>
            <w:r w:rsidRPr="00BB0D8A">
              <w:rPr>
                <w:rFonts w:ascii="Calibri" w:hAnsi="Calibri"/>
                <w:color w:val="000000"/>
                <w:lang w:eastAsia="en-GB"/>
              </w:rPr>
              <w:t>-</w:t>
            </w:r>
            <w:r w:rsidR="000C2167">
              <w:rPr>
                <w:rFonts w:ascii="Calibri" w:hAnsi="Calibri"/>
                <w:color w:val="000000"/>
                <w:lang w:eastAsia="en-GB"/>
              </w:rPr>
              <w:t>2</w:t>
            </w:r>
            <w:r w:rsidR="00002BDE">
              <w:rPr>
                <w:rFonts w:ascii="Calibri" w:hAnsi="Calibri"/>
                <w:color w:val="000000"/>
                <w:lang w:eastAsia="en-GB"/>
              </w:rPr>
              <w:t>3</w:t>
            </w:r>
          </w:p>
        </w:tc>
      </w:tr>
      <w:tr w:rsidR="00BB0D8A" w:rsidRPr="00BB0D8A" w14:paraId="0A1E425E" w14:textId="77777777" w:rsidTr="00BB0D8A">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32BE4EEA" w14:textId="77777777" w:rsidR="00BB0D8A" w:rsidRPr="00BB0D8A" w:rsidRDefault="00BB0D8A" w:rsidP="00BB0D8A">
            <w:pPr>
              <w:jc w:val="right"/>
              <w:rPr>
                <w:rFonts w:ascii="Calibri" w:hAnsi="Calibri"/>
                <w:color w:val="000000"/>
                <w:lang w:eastAsia="en-GB"/>
              </w:rPr>
            </w:pPr>
            <w:r w:rsidRPr="00BB0D8A">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49E640C6" w14:textId="77777777" w:rsidR="00BB0D8A" w:rsidRPr="00BB0D8A" w:rsidRDefault="00BB0D8A" w:rsidP="00BB0D8A">
            <w:pPr>
              <w:rPr>
                <w:rFonts w:ascii="Calibri" w:hAnsi="Calibri"/>
                <w:color w:val="000000"/>
                <w:lang w:eastAsia="en-GB"/>
              </w:rPr>
            </w:pPr>
            <w:r w:rsidRPr="00BB0D8A">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214FB6A3" w14:textId="77777777" w:rsidR="00BB0D8A" w:rsidRPr="00BB0D8A" w:rsidRDefault="00BB0D8A" w:rsidP="00BB0D8A">
            <w:pPr>
              <w:jc w:val="right"/>
              <w:rPr>
                <w:rFonts w:ascii="Calibri" w:hAnsi="Calibri"/>
                <w:color w:val="000000"/>
                <w:lang w:eastAsia="en-GB"/>
              </w:rPr>
            </w:pPr>
            <w:r w:rsidRPr="00BB0D8A">
              <w:rPr>
                <w:rFonts w:ascii="Calibri" w:hAnsi="Calibri"/>
                <w:color w:val="000000"/>
                <w:lang w:eastAsia="en-GB"/>
              </w:rPr>
              <w:t>£’000</w:t>
            </w:r>
          </w:p>
        </w:tc>
      </w:tr>
      <w:tr w:rsidR="00BB0D8A" w:rsidRPr="00BB0D8A" w14:paraId="19A7ED5C"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5E4B7A3" w14:textId="5013F539" w:rsidR="00BB0D8A" w:rsidRPr="00BB0D8A" w:rsidRDefault="00002BDE" w:rsidP="00864738">
            <w:pPr>
              <w:jc w:val="right"/>
              <w:rPr>
                <w:rFonts w:ascii="Calibri" w:hAnsi="Calibri"/>
                <w:color w:val="000000"/>
                <w:lang w:eastAsia="en-GB"/>
              </w:rPr>
            </w:pPr>
            <w:r>
              <w:rPr>
                <w:rFonts w:ascii="Calibri" w:hAnsi="Calibri"/>
                <w:color w:val="000000"/>
                <w:lang w:eastAsia="en-GB"/>
              </w:rPr>
              <w:t>227</w:t>
            </w:r>
          </w:p>
        </w:tc>
        <w:tc>
          <w:tcPr>
            <w:tcW w:w="6980" w:type="dxa"/>
            <w:tcBorders>
              <w:top w:val="nil"/>
              <w:left w:val="nil"/>
              <w:bottom w:val="single" w:sz="4" w:space="0" w:color="FFFFFF"/>
              <w:right w:val="single" w:sz="4" w:space="0" w:color="FFFFFF"/>
            </w:tcBorders>
            <w:shd w:val="clear" w:color="000000" w:fill="DAEEF3"/>
            <w:vAlign w:val="center"/>
            <w:hideMark/>
          </w:tcPr>
          <w:p w14:paraId="7265B77C"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lang w:eastAsia="en-GB"/>
              </w:rPr>
              <w:t>Aids and Adaptations</w:t>
            </w:r>
          </w:p>
        </w:tc>
        <w:tc>
          <w:tcPr>
            <w:tcW w:w="1500" w:type="dxa"/>
            <w:tcBorders>
              <w:top w:val="nil"/>
              <w:left w:val="nil"/>
              <w:bottom w:val="single" w:sz="4" w:space="0" w:color="FFFFFF"/>
              <w:right w:val="single" w:sz="4" w:space="0" w:color="FFFFFF"/>
            </w:tcBorders>
            <w:shd w:val="clear" w:color="000000" w:fill="DAEEF3"/>
            <w:vAlign w:val="center"/>
          </w:tcPr>
          <w:p w14:paraId="433D16FE" w14:textId="5889C216" w:rsidR="00BB0D8A" w:rsidRPr="00BB0D8A" w:rsidRDefault="007E7C5D" w:rsidP="00BB0D8A">
            <w:pPr>
              <w:jc w:val="right"/>
              <w:rPr>
                <w:rFonts w:ascii="Calibri" w:hAnsi="Calibri"/>
                <w:color w:val="000000"/>
                <w:lang w:eastAsia="en-GB"/>
              </w:rPr>
            </w:pPr>
            <w:r>
              <w:rPr>
                <w:rFonts w:ascii="Calibri" w:hAnsi="Calibri"/>
                <w:color w:val="000000"/>
                <w:lang w:eastAsia="en-GB"/>
              </w:rPr>
              <w:t>163</w:t>
            </w:r>
          </w:p>
        </w:tc>
      </w:tr>
      <w:tr w:rsidR="00BB0D8A" w:rsidRPr="00BB0D8A" w14:paraId="3AE75D34"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A49A927" w14:textId="3DF58187" w:rsidR="00BB0D8A" w:rsidRPr="00BB0D8A" w:rsidRDefault="00002BDE" w:rsidP="00BB0D8A">
            <w:pPr>
              <w:jc w:val="right"/>
              <w:rPr>
                <w:rFonts w:ascii="Calibri" w:hAnsi="Calibri"/>
                <w:color w:val="000000"/>
                <w:lang w:eastAsia="en-GB"/>
              </w:rPr>
            </w:pPr>
            <w:r>
              <w:rPr>
                <w:rFonts w:ascii="Calibri" w:hAnsi="Calibri"/>
                <w:color w:val="000000"/>
                <w:lang w:eastAsia="en-GB"/>
              </w:rPr>
              <w:t>75</w:t>
            </w:r>
          </w:p>
        </w:tc>
        <w:tc>
          <w:tcPr>
            <w:tcW w:w="6980" w:type="dxa"/>
            <w:tcBorders>
              <w:top w:val="nil"/>
              <w:left w:val="nil"/>
              <w:bottom w:val="single" w:sz="4" w:space="0" w:color="FFFFFF"/>
              <w:right w:val="single" w:sz="4" w:space="0" w:color="FFFFFF"/>
            </w:tcBorders>
            <w:shd w:val="clear" w:color="000000" w:fill="DAEEF3"/>
            <w:vAlign w:val="center"/>
            <w:hideMark/>
          </w:tcPr>
          <w:p w14:paraId="56EB28FD"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Major Void Repairs</w:t>
            </w:r>
          </w:p>
        </w:tc>
        <w:tc>
          <w:tcPr>
            <w:tcW w:w="1500" w:type="dxa"/>
            <w:tcBorders>
              <w:top w:val="nil"/>
              <w:left w:val="nil"/>
              <w:bottom w:val="single" w:sz="4" w:space="0" w:color="FFFFFF"/>
              <w:right w:val="single" w:sz="4" w:space="0" w:color="FFFFFF"/>
            </w:tcBorders>
            <w:shd w:val="clear" w:color="000000" w:fill="DAEEF3"/>
            <w:vAlign w:val="center"/>
          </w:tcPr>
          <w:p w14:paraId="16905A5D" w14:textId="75627030" w:rsidR="00BB0D8A" w:rsidRPr="00BB0D8A" w:rsidRDefault="007E7C5D" w:rsidP="00BB0D8A">
            <w:pPr>
              <w:jc w:val="right"/>
              <w:rPr>
                <w:rFonts w:ascii="Calibri" w:hAnsi="Calibri"/>
                <w:color w:val="000000"/>
                <w:lang w:eastAsia="en-GB"/>
              </w:rPr>
            </w:pPr>
            <w:r>
              <w:rPr>
                <w:rFonts w:ascii="Calibri" w:hAnsi="Calibri"/>
                <w:color w:val="000000"/>
                <w:lang w:eastAsia="en-GB"/>
              </w:rPr>
              <w:t>119</w:t>
            </w:r>
          </w:p>
        </w:tc>
      </w:tr>
      <w:tr w:rsidR="00BB0D8A" w:rsidRPr="00BB0D8A" w14:paraId="1AF80CAA"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8EF6F4D" w14:textId="0E76FCE6" w:rsidR="00BB0D8A" w:rsidRPr="00BB0D8A" w:rsidRDefault="000C31F4" w:rsidP="00BB0D8A">
            <w:pPr>
              <w:jc w:val="right"/>
              <w:rPr>
                <w:rFonts w:ascii="Calibri" w:hAnsi="Calibri"/>
                <w:color w:val="000000"/>
                <w:lang w:eastAsia="en-GB"/>
              </w:rPr>
            </w:pPr>
            <w:r>
              <w:rPr>
                <w:rFonts w:ascii="Calibri" w:hAnsi="Calibri"/>
                <w:color w:val="000000"/>
                <w:lang w:eastAsia="en-GB"/>
              </w:rPr>
              <w:t>9</w:t>
            </w:r>
            <w:r w:rsidR="00002BDE">
              <w:rPr>
                <w:rFonts w:ascii="Calibri" w:hAnsi="Calibri"/>
                <w:color w:val="000000"/>
                <w:lang w:eastAsia="en-GB"/>
              </w:rPr>
              <w:t>4</w:t>
            </w:r>
          </w:p>
        </w:tc>
        <w:tc>
          <w:tcPr>
            <w:tcW w:w="6980" w:type="dxa"/>
            <w:tcBorders>
              <w:top w:val="nil"/>
              <w:left w:val="nil"/>
              <w:bottom w:val="single" w:sz="4" w:space="0" w:color="FFFFFF"/>
              <w:right w:val="single" w:sz="4" w:space="0" w:color="FFFFFF"/>
            </w:tcBorders>
            <w:shd w:val="clear" w:color="000000" w:fill="DAEEF3"/>
            <w:vAlign w:val="center"/>
            <w:hideMark/>
          </w:tcPr>
          <w:p w14:paraId="748DCDE3"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Communal Refurbishment</w:t>
            </w:r>
          </w:p>
        </w:tc>
        <w:tc>
          <w:tcPr>
            <w:tcW w:w="1500" w:type="dxa"/>
            <w:tcBorders>
              <w:top w:val="nil"/>
              <w:left w:val="nil"/>
              <w:bottom w:val="single" w:sz="4" w:space="0" w:color="FFFFFF"/>
              <w:right w:val="single" w:sz="4" w:space="0" w:color="FFFFFF"/>
            </w:tcBorders>
            <w:shd w:val="clear" w:color="000000" w:fill="DAEEF3"/>
            <w:vAlign w:val="center"/>
          </w:tcPr>
          <w:p w14:paraId="7F207366" w14:textId="0FE4330C" w:rsidR="00057C03" w:rsidRPr="00BB0D8A" w:rsidRDefault="00C76AD3" w:rsidP="00057C03">
            <w:pPr>
              <w:jc w:val="right"/>
              <w:rPr>
                <w:rFonts w:ascii="Calibri" w:hAnsi="Calibri"/>
                <w:color w:val="000000"/>
                <w:lang w:eastAsia="en-GB"/>
              </w:rPr>
            </w:pPr>
            <w:r>
              <w:rPr>
                <w:rFonts w:ascii="Calibri" w:hAnsi="Calibri"/>
                <w:color w:val="000000"/>
                <w:lang w:eastAsia="en-GB"/>
              </w:rPr>
              <w:t>103</w:t>
            </w:r>
          </w:p>
        </w:tc>
      </w:tr>
      <w:tr w:rsidR="00BB0D8A" w:rsidRPr="00BB0D8A" w14:paraId="11C81113"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90A8BEF" w14:textId="765D6172" w:rsidR="00BB0D8A" w:rsidRPr="00BB0D8A" w:rsidRDefault="00864738" w:rsidP="00BB0D8A">
            <w:pPr>
              <w:jc w:val="right"/>
              <w:rPr>
                <w:rFonts w:ascii="Calibri" w:hAnsi="Calibri"/>
                <w:color w:val="000000"/>
                <w:lang w:eastAsia="en-GB"/>
              </w:rPr>
            </w:pPr>
            <w:r>
              <w:rPr>
                <w:rFonts w:ascii="Calibri" w:hAnsi="Calibri"/>
                <w:color w:val="000000"/>
                <w:lang w:eastAsia="en-GB"/>
              </w:rPr>
              <w:t>2</w:t>
            </w:r>
            <w:r w:rsidR="00002BDE">
              <w:rPr>
                <w:rFonts w:ascii="Calibri" w:hAnsi="Calibri"/>
                <w:color w:val="000000"/>
                <w:lang w:eastAsia="en-GB"/>
              </w:rPr>
              <w:t>91</w:t>
            </w:r>
          </w:p>
        </w:tc>
        <w:tc>
          <w:tcPr>
            <w:tcW w:w="6980" w:type="dxa"/>
            <w:tcBorders>
              <w:top w:val="nil"/>
              <w:left w:val="nil"/>
              <w:bottom w:val="single" w:sz="4" w:space="0" w:color="FFFFFF"/>
              <w:right w:val="single" w:sz="4" w:space="0" w:color="FFFFFF"/>
            </w:tcBorders>
            <w:shd w:val="clear" w:color="000000" w:fill="DAEEF3"/>
            <w:vAlign w:val="center"/>
            <w:hideMark/>
          </w:tcPr>
          <w:p w14:paraId="64A70FD0"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Replacement Heating Systems</w:t>
            </w:r>
          </w:p>
        </w:tc>
        <w:tc>
          <w:tcPr>
            <w:tcW w:w="1500" w:type="dxa"/>
            <w:tcBorders>
              <w:top w:val="nil"/>
              <w:left w:val="nil"/>
              <w:bottom w:val="single" w:sz="4" w:space="0" w:color="FFFFFF"/>
              <w:right w:val="single" w:sz="4" w:space="0" w:color="FFFFFF"/>
            </w:tcBorders>
            <w:shd w:val="clear" w:color="000000" w:fill="DAEEF3"/>
            <w:vAlign w:val="center"/>
          </w:tcPr>
          <w:p w14:paraId="78167D0B" w14:textId="029B14F1" w:rsidR="00BB0D8A" w:rsidRPr="00BB0D8A" w:rsidRDefault="007E7C5D" w:rsidP="00BB0D8A">
            <w:pPr>
              <w:jc w:val="right"/>
              <w:rPr>
                <w:rFonts w:ascii="Calibri" w:hAnsi="Calibri"/>
                <w:color w:val="000000"/>
                <w:lang w:eastAsia="en-GB"/>
              </w:rPr>
            </w:pPr>
            <w:r>
              <w:rPr>
                <w:rFonts w:ascii="Calibri" w:hAnsi="Calibri"/>
                <w:color w:val="000000"/>
                <w:lang w:eastAsia="en-GB"/>
              </w:rPr>
              <w:t>458</w:t>
            </w:r>
          </w:p>
        </w:tc>
      </w:tr>
      <w:tr w:rsidR="00BB0D8A" w:rsidRPr="00BB0D8A" w14:paraId="105B4490"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343C5F7" w14:textId="294C9E19" w:rsidR="00BB0D8A" w:rsidRPr="00BB0D8A" w:rsidRDefault="00002BDE" w:rsidP="00BB0D8A">
            <w:pPr>
              <w:jc w:val="right"/>
              <w:rPr>
                <w:rFonts w:ascii="Calibri" w:hAnsi="Calibri"/>
                <w:color w:val="000000"/>
                <w:lang w:eastAsia="en-GB"/>
              </w:rPr>
            </w:pPr>
            <w:r>
              <w:rPr>
                <w:rFonts w:ascii="Calibri" w:hAnsi="Calibri"/>
                <w:color w:val="000000"/>
                <w:lang w:eastAsia="en-GB"/>
              </w:rPr>
              <w:t>8</w:t>
            </w:r>
          </w:p>
        </w:tc>
        <w:tc>
          <w:tcPr>
            <w:tcW w:w="6980" w:type="dxa"/>
            <w:tcBorders>
              <w:top w:val="nil"/>
              <w:left w:val="nil"/>
              <w:bottom w:val="single" w:sz="4" w:space="0" w:color="FFFFFF"/>
              <w:right w:val="single" w:sz="4" w:space="0" w:color="FFFFFF"/>
            </w:tcBorders>
            <w:shd w:val="clear" w:color="000000" w:fill="DAEEF3"/>
            <w:vAlign w:val="center"/>
            <w:hideMark/>
          </w:tcPr>
          <w:p w14:paraId="1A0E7A30"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Re-roofing</w:t>
            </w:r>
          </w:p>
        </w:tc>
        <w:tc>
          <w:tcPr>
            <w:tcW w:w="1500" w:type="dxa"/>
            <w:tcBorders>
              <w:top w:val="nil"/>
              <w:left w:val="nil"/>
              <w:bottom w:val="single" w:sz="4" w:space="0" w:color="FFFFFF"/>
              <w:right w:val="single" w:sz="4" w:space="0" w:color="FFFFFF"/>
            </w:tcBorders>
            <w:shd w:val="clear" w:color="000000" w:fill="DAEEF3"/>
            <w:vAlign w:val="center"/>
          </w:tcPr>
          <w:p w14:paraId="387234AB" w14:textId="4B1AED8E" w:rsidR="00BB0D8A" w:rsidRPr="00BB0D8A" w:rsidRDefault="007E7C5D" w:rsidP="00BB0D8A">
            <w:pPr>
              <w:jc w:val="right"/>
              <w:rPr>
                <w:rFonts w:ascii="Calibri" w:hAnsi="Calibri"/>
                <w:color w:val="000000"/>
                <w:lang w:eastAsia="en-GB"/>
              </w:rPr>
            </w:pPr>
            <w:r>
              <w:rPr>
                <w:rFonts w:ascii="Calibri" w:hAnsi="Calibri"/>
                <w:color w:val="000000"/>
                <w:lang w:eastAsia="en-GB"/>
              </w:rPr>
              <w:t>152</w:t>
            </w:r>
          </w:p>
        </w:tc>
      </w:tr>
      <w:tr w:rsidR="00BB0D8A" w:rsidRPr="00BB0D8A" w14:paraId="407CCC72"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186203E2" w14:textId="58E6FAED" w:rsidR="00BB0D8A" w:rsidRPr="00BB0D8A" w:rsidRDefault="00002BDE" w:rsidP="00BB0D8A">
            <w:pPr>
              <w:jc w:val="right"/>
              <w:rPr>
                <w:rFonts w:ascii="Calibri" w:hAnsi="Calibri"/>
                <w:color w:val="000000"/>
                <w:lang w:eastAsia="en-GB"/>
              </w:rPr>
            </w:pPr>
            <w:r>
              <w:rPr>
                <w:rFonts w:ascii="Calibri" w:hAnsi="Calibri"/>
                <w:color w:val="000000"/>
                <w:lang w:eastAsia="en-GB"/>
              </w:rPr>
              <w:t>278</w:t>
            </w:r>
          </w:p>
        </w:tc>
        <w:tc>
          <w:tcPr>
            <w:tcW w:w="6980" w:type="dxa"/>
            <w:tcBorders>
              <w:top w:val="nil"/>
              <w:left w:val="nil"/>
              <w:bottom w:val="single" w:sz="4" w:space="0" w:color="FFFFFF"/>
              <w:right w:val="single" w:sz="4" w:space="0" w:color="FFFFFF"/>
            </w:tcBorders>
            <w:shd w:val="clear" w:color="000000" w:fill="DAEEF3"/>
            <w:vAlign w:val="center"/>
            <w:hideMark/>
          </w:tcPr>
          <w:p w14:paraId="033BB817"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Windows and Doors replacement</w:t>
            </w:r>
          </w:p>
        </w:tc>
        <w:tc>
          <w:tcPr>
            <w:tcW w:w="1500" w:type="dxa"/>
            <w:tcBorders>
              <w:top w:val="nil"/>
              <w:left w:val="nil"/>
              <w:bottom w:val="single" w:sz="4" w:space="0" w:color="FFFFFF"/>
              <w:right w:val="single" w:sz="4" w:space="0" w:color="FFFFFF"/>
            </w:tcBorders>
            <w:shd w:val="clear" w:color="000000" w:fill="DAEEF3"/>
            <w:vAlign w:val="center"/>
          </w:tcPr>
          <w:p w14:paraId="25120CAB" w14:textId="6EE718B2" w:rsidR="00BB0D8A" w:rsidRPr="00BB0D8A" w:rsidRDefault="007E7C5D" w:rsidP="00BB0D8A">
            <w:pPr>
              <w:jc w:val="right"/>
              <w:rPr>
                <w:rFonts w:ascii="Calibri" w:hAnsi="Calibri"/>
                <w:color w:val="000000"/>
                <w:lang w:eastAsia="en-GB"/>
              </w:rPr>
            </w:pPr>
            <w:r>
              <w:rPr>
                <w:rFonts w:ascii="Calibri" w:hAnsi="Calibri"/>
                <w:color w:val="000000"/>
                <w:lang w:eastAsia="en-GB"/>
              </w:rPr>
              <w:t>533</w:t>
            </w:r>
          </w:p>
        </w:tc>
      </w:tr>
      <w:tr w:rsidR="00BB0D8A" w:rsidRPr="00BB0D8A" w14:paraId="74CE4CEB"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0EBC1778" w14:textId="02EA136C" w:rsidR="00BB0D8A" w:rsidRPr="00BB0D8A" w:rsidRDefault="00002BDE" w:rsidP="00AC1B91">
            <w:pPr>
              <w:jc w:val="right"/>
              <w:rPr>
                <w:rFonts w:ascii="Calibri" w:hAnsi="Calibri"/>
                <w:color w:val="000000"/>
                <w:lang w:eastAsia="en-GB"/>
              </w:rPr>
            </w:pPr>
            <w:r>
              <w:rPr>
                <w:rFonts w:ascii="Calibri" w:hAnsi="Calibri"/>
                <w:color w:val="000000"/>
                <w:lang w:eastAsia="en-GB"/>
              </w:rPr>
              <w:t>79</w:t>
            </w:r>
          </w:p>
        </w:tc>
        <w:tc>
          <w:tcPr>
            <w:tcW w:w="6980" w:type="dxa"/>
            <w:tcBorders>
              <w:top w:val="nil"/>
              <w:left w:val="nil"/>
              <w:bottom w:val="single" w:sz="4" w:space="0" w:color="FFFFFF"/>
              <w:right w:val="single" w:sz="4" w:space="0" w:color="FFFFFF"/>
            </w:tcBorders>
            <w:shd w:val="clear" w:color="000000" w:fill="DAEEF3"/>
            <w:vAlign w:val="center"/>
            <w:hideMark/>
          </w:tcPr>
          <w:p w14:paraId="60DD1934" w14:textId="60C06522"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 xml:space="preserve">New Kitchens </w:t>
            </w:r>
            <w:r w:rsidR="00704A70">
              <w:rPr>
                <w:rFonts w:ascii="Calibri" w:hAnsi="Calibri"/>
                <w:color w:val="000000"/>
                <w:szCs w:val="24"/>
                <w:lang w:eastAsia="en-GB"/>
              </w:rPr>
              <w:t>and</w:t>
            </w:r>
            <w:r w:rsidRPr="00BB0D8A">
              <w:rPr>
                <w:rFonts w:ascii="Calibri" w:hAnsi="Calibri"/>
                <w:color w:val="000000"/>
                <w:szCs w:val="24"/>
                <w:lang w:eastAsia="en-GB"/>
              </w:rPr>
              <w:t xml:space="preserve"> Bathrooms</w:t>
            </w:r>
          </w:p>
        </w:tc>
        <w:tc>
          <w:tcPr>
            <w:tcW w:w="1500" w:type="dxa"/>
            <w:tcBorders>
              <w:top w:val="nil"/>
              <w:left w:val="nil"/>
              <w:bottom w:val="single" w:sz="4" w:space="0" w:color="FFFFFF"/>
              <w:right w:val="single" w:sz="4" w:space="0" w:color="FFFFFF"/>
            </w:tcBorders>
            <w:shd w:val="clear" w:color="000000" w:fill="DAEEF3"/>
            <w:vAlign w:val="center"/>
          </w:tcPr>
          <w:p w14:paraId="1D1CCC17" w14:textId="027A1863" w:rsidR="00BB0D8A" w:rsidRPr="00BB0D8A" w:rsidRDefault="007E7C5D" w:rsidP="00BB0D8A">
            <w:pPr>
              <w:jc w:val="right"/>
              <w:rPr>
                <w:rFonts w:ascii="Calibri" w:hAnsi="Calibri"/>
                <w:color w:val="000000"/>
                <w:lang w:eastAsia="en-GB"/>
              </w:rPr>
            </w:pPr>
            <w:r>
              <w:rPr>
                <w:rFonts w:ascii="Calibri" w:hAnsi="Calibri"/>
                <w:color w:val="000000"/>
                <w:lang w:eastAsia="en-GB"/>
              </w:rPr>
              <w:t>413</w:t>
            </w:r>
          </w:p>
        </w:tc>
      </w:tr>
      <w:tr w:rsidR="00BB0D8A" w:rsidRPr="00BB0D8A" w14:paraId="47DE16FC"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969C6EA" w14:textId="669C50FF" w:rsidR="00BB0D8A" w:rsidRPr="00BB0D8A" w:rsidRDefault="00002BDE" w:rsidP="00BB0D8A">
            <w:pPr>
              <w:jc w:val="right"/>
              <w:rPr>
                <w:rFonts w:ascii="Calibri" w:hAnsi="Calibri"/>
                <w:color w:val="000000"/>
                <w:lang w:eastAsia="en-GB"/>
              </w:rPr>
            </w:pPr>
            <w:r>
              <w:rPr>
                <w:rFonts w:ascii="Calibri" w:hAnsi="Calibri"/>
                <w:color w:val="000000"/>
                <w:lang w:eastAsia="en-GB"/>
              </w:rPr>
              <w:t>216</w:t>
            </w:r>
          </w:p>
        </w:tc>
        <w:tc>
          <w:tcPr>
            <w:tcW w:w="6980" w:type="dxa"/>
            <w:tcBorders>
              <w:top w:val="nil"/>
              <w:left w:val="nil"/>
              <w:bottom w:val="single" w:sz="4" w:space="0" w:color="FFFFFF"/>
              <w:right w:val="single" w:sz="4" w:space="0" w:color="FFFFFF"/>
            </w:tcBorders>
            <w:shd w:val="clear" w:color="000000" w:fill="DAEEF3"/>
            <w:vAlign w:val="center"/>
            <w:hideMark/>
          </w:tcPr>
          <w:p w14:paraId="5A00B614"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Rewiring</w:t>
            </w:r>
          </w:p>
        </w:tc>
        <w:tc>
          <w:tcPr>
            <w:tcW w:w="1500" w:type="dxa"/>
            <w:tcBorders>
              <w:top w:val="nil"/>
              <w:left w:val="nil"/>
              <w:bottom w:val="single" w:sz="4" w:space="0" w:color="FFFFFF"/>
              <w:right w:val="single" w:sz="4" w:space="0" w:color="FFFFFF"/>
            </w:tcBorders>
            <w:shd w:val="clear" w:color="000000" w:fill="DAEEF3"/>
            <w:vAlign w:val="center"/>
          </w:tcPr>
          <w:p w14:paraId="68560A82" w14:textId="05B378A1" w:rsidR="00BB0D8A" w:rsidRPr="00BB0D8A" w:rsidRDefault="007E7C5D" w:rsidP="00BB0D8A">
            <w:pPr>
              <w:jc w:val="right"/>
              <w:rPr>
                <w:rFonts w:ascii="Calibri" w:hAnsi="Calibri"/>
                <w:color w:val="000000"/>
                <w:lang w:eastAsia="en-GB"/>
              </w:rPr>
            </w:pPr>
            <w:r>
              <w:rPr>
                <w:rFonts w:ascii="Calibri" w:hAnsi="Calibri"/>
                <w:color w:val="000000"/>
                <w:lang w:eastAsia="en-GB"/>
              </w:rPr>
              <w:t>88</w:t>
            </w:r>
          </w:p>
        </w:tc>
      </w:tr>
      <w:tr w:rsidR="00BB0D8A" w:rsidRPr="00BB0D8A" w14:paraId="25393DC5"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E24A1C2" w14:textId="46B6EE66" w:rsidR="00BB0D8A" w:rsidRPr="00BB0D8A" w:rsidRDefault="00002BDE" w:rsidP="00BB0D8A">
            <w:pPr>
              <w:jc w:val="right"/>
              <w:rPr>
                <w:rFonts w:ascii="Calibri" w:hAnsi="Calibri"/>
                <w:color w:val="000000"/>
                <w:lang w:eastAsia="en-GB"/>
              </w:rPr>
            </w:pPr>
            <w:r>
              <w:rPr>
                <w:rFonts w:ascii="Calibri" w:hAnsi="Calibri"/>
                <w:color w:val="000000"/>
                <w:lang w:eastAsia="en-GB"/>
              </w:rPr>
              <w:t>203</w:t>
            </w:r>
          </w:p>
        </w:tc>
        <w:tc>
          <w:tcPr>
            <w:tcW w:w="6980" w:type="dxa"/>
            <w:tcBorders>
              <w:top w:val="nil"/>
              <w:left w:val="nil"/>
              <w:bottom w:val="single" w:sz="4" w:space="0" w:color="FFFFFF"/>
              <w:right w:val="single" w:sz="4" w:space="0" w:color="FFFFFF"/>
            </w:tcBorders>
            <w:shd w:val="clear" w:color="000000" w:fill="DAEEF3"/>
            <w:vAlign w:val="center"/>
            <w:hideMark/>
          </w:tcPr>
          <w:p w14:paraId="4E5E4BA5"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New Build</w:t>
            </w:r>
            <w:r w:rsidR="00EA5264">
              <w:rPr>
                <w:rFonts w:ascii="Calibri" w:hAnsi="Calibri"/>
                <w:color w:val="000000"/>
                <w:szCs w:val="24"/>
                <w:lang w:eastAsia="en-GB"/>
              </w:rPr>
              <w:t>/Affordable Housing</w:t>
            </w:r>
            <w:r w:rsidRPr="00BB0D8A">
              <w:rPr>
                <w:rFonts w:ascii="Calibri" w:hAnsi="Calibri"/>
                <w:color w:val="000000"/>
                <w:szCs w:val="24"/>
                <w:lang w:eastAsia="en-GB"/>
              </w:rPr>
              <w:t xml:space="preserve"> Projects</w:t>
            </w:r>
          </w:p>
        </w:tc>
        <w:tc>
          <w:tcPr>
            <w:tcW w:w="1500" w:type="dxa"/>
            <w:tcBorders>
              <w:top w:val="nil"/>
              <w:left w:val="nil"/>
              <w:bottom w:val="single" w:sz="4" w:space="0" w:color="FFFFFF"/>
              <w:right w:val="single" w:sz="4" w:space="0" w:color="FFFFFF"/>
            </w:tcBorders>
            <w:shd w:val="clear" w:color="000000" w:fill="DAEEF3"/>
            <w:vAlign w:val="center"/>
          </w:tcPr>
          <w:p w14:paraId="1288CD50" w14:textId="4B6906E1" w:rsidR="00BB0D8A" w:rsidRPr="00BB0D8A" w:rsidRDefault="007E7C5D" w:rsidP="00BB0D8A">
            <w:pPr>
              <w:jc w:val="right"/>
              <w:rPr>
                <w:rFonts w:ascii="Calibri" w:hAnsi="Calibri"/>
                <w:color w:val="000000"/>
                <w:lang w:eastAsia="en-GB"/>
              </w:rPr>
            </w:pPr>
            <w:r>
              <w:rPr>
                <w:rFonts w:ascii="Calibri" w:hAnsi="Calibri"/>
                <w:color w:val="000000"/>
                <w:lang w:eastAsia="en-GB"/>
              </w:rPr>
              <w:t>1</w:t>
            </w:r>
          </w:p>
        </w:tc>
      </w:tr>
      <w:tr w:rsidR="00BB0D8A" w:rsidRPr="00BB0D8A" w14:paraId="6798E3FD"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00381E4" w14:textId="4664A78C" w:rsidR="00BB0D8A" w:rsidRPr="00BB0D8A" w:rsidRDefault="00002BDE" w:rsidP="00BB0D8A">
            <w:pPr>
              <w:jc w:val="right"/>
              <w:rPr>
                <w:rFonts w:ascii="Calibri" w:hAnsi="Calibri"/>
                <w:color w:val="000000"/>
                <w:lang w:eastAsia="en-GB"/>
              </w:rPr>
            </w:pPr>
            <w:r>
              <w:rPr>
                <w:rFonts w:ascii="Calibri" w:hAnsi="Calibri"/>
                <w:color w:val="000000"/>
                <w:lang w:eastAsia="en-GB"/>
              </w:rPr>
              <w:t>263</w:t>
            </w:r>
          </w:p>
        </w:tc>
        <w:tc>
          <w:tcPr>
            <w:tcW w:w="6980" w:type="dxa"/>
            <w:tcBorders>
              <w:top w:val="nil"/>
              <w:left w:val="nil"/>
              <w:bottom w:val="single" w:sz="4" w:space="0" w:color="FFFFFF"/>
              <w:right w:val="single" w:sz="4" w:space="0" w:color="FFFFFF"/>
            </w:tcBorders>
            <w:shd w:val="clear" w:color="000000" w:fill="DAEEF3"/>
            <w:vAlign w:val="center"/>
            <w:hideMark/>
          </w:tcPr>
          <w:p w14:paraId="419ABAB4" w14:textId="688B8474"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 xml:space="preserve">Fire Safety </w:t>
            </w:r>
            <w:r w:rsidR="00704A70">
              <w:rPr>
                <w:rFonts w:ascii="Calibri" w:hAnsi="Calibri"/>
                <w:color w:val="000000"/>
                <w:szCs w:val="24"/>
                <w:lang w:eastAsia="en-GB"/>
              </w:rPr>
              <w:t>and</w:t>
            </w:r>
            <w:r w:rsidRPr="00BB0D8A">
              <w:rPr>
                <w:rFonts w:ascii="Calibri" w:hAnsi="Calibri"/>
                <w:color w:val="000000"/>
                <w:szCs w:val="24"/>
                <w:lang w:eastAsia="en-GB"/>
              </w:rPr>
              <w:t xml:space="preserve"> Health </w:t>
            </w:r>
            <w:r w:rsidR="00704A70">
              <w:rPr>
                <w:rFonts w:ascii="Calibri" w:hAnsi="Calibri"/>
                <w:color w:val="000000"/>
                <w:szCs w:val="24"/>
                <w:lang w:eastAsia="en-GB"/>
              </w:rPr>
              <w:t>and</w:t>
            </w:r>
            <w:r w:rsidRPr="00BB0D8A">
              <w:rPr>
                <w:rFonts w:ascii="Calibri" w:hAnsi="Calibri"/>
                <w:color w:val="000000"/>
                <w:szCs w:val="24"/>
                <w:lang w:eastAsia="en-GB"/>
              </w:rPr>
              <w:t xml:space="preserve"> Safety related Works</w:t>
            </w:r>
          </w:p>
        </w:tc>
        <w:tc>
          <w:tcPr>
            <w:tcW w:w="1500" w:type="dxa"/>
            <w:tcBorders>
              <w:top w:val="nil"/>
              <w:left w:val="nil"/>
              <w:bottom w:val="single" w:sz="4" w:space="0" w:color="FFFFFF"/>
              <w:right w:val="single" w:sz="4" w:space="0" w:color="FFFFFF"/>
            </w:tcBorders>
            <w:shd w:val="clear" w:color="000000" w:fill="DAEEF3"/>
            <w:vAlign w:val="center"/>
          </w:tcPr>
          <w:p w14:paraId="67F9720A" w14:textId="3B18183F" w:rsidR="00BB0D8A" w:rsidRPr="00BB0D8A" w:rsidRDefault="007E7C5D" w:rsidP="00BB0D8A">
            <w:pPr>
              <w:jc w:val="right"/>
              <w:rPr>
                <w:rFonts w:ascii="Calibri" w:hAnsi="Calibri"/>
                <w:color w:val="000000"/>
                <w:lang w:eastAsia="en-GB"/>
              </w:rPr>
            </w:pPr>
            <w:r>
              <w:rPr>
                <w:rFonts w:ascii="Calibri" w:hAnsi="Calibri"/>
                <w:color w:val="000000"/>
                <w:lang w:eastAsia="en-GB"/>
              </w:rPr>
              <w:t>65</w:t>
            </w:r>
            <w:r w:rsidR="00C96E4D">
              <w:rPr>
                <w:rFonts w:ascii="Calibri" w:hAnsi="Calibri"/>
                <w:color w:val="000000"/>
                <w:lang w:eastAsia="en-GB"/>
              </w:rPr>
              <w:t>7</w:t>
            </w:r>
          </w:p>
        </w:tc>
      </w:tr>
      <w:tr w:rsidR="00BB0D8A" w:rsidRPr="00BB0D8A" w14:paraId="6B01917F"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F6F5280" w14:textId="272ADF7F" w:rsidR="00BB0D8A" w:rsidRPr="00BB0D8A" w:rsidRDefault="000C31F4" w:rsidP="00BB0D8A">
            <w:pPr>
              <w:jc w:val="right"/>
              <w:rPr>
                <w:rFonts w:ascii="Calibri" w:hAnsi="Calibri"/>
                <w:color w:val="000000"/>
                <w:lang w:eastAsia="en-GB"/>
              </w:rPr>
            </w:pPr>
            <w:r>
              <w:rPr>
                <w:rFonts w:ascii="Calibri" w:hAnsi="Calibri"/>
                <w:color w:val="000000"/>
                <w:lang w:eastAsia="en-GB"/>
              </w:rPr>
              <w:t>17</w:t>
            </w:r>
            <w:r w:rsidR="00002BDE">
              <w:rPr>
                <w:rFonts w:ascii="Calibri" w:hAnsi="Calibri"/>
                <w:color w:val="000000"/>
                <w:lang w:eastAsia="en-GB"/>
              </w:rPr>
              <w:t>5</w:t>
            </w:r>
          </w:p>
        </w:tc>
        <w:tc>
          <w:tcPr>
            <w:tcW w:w="6980" w:type="dxa"/>
            <w:tcBorders>
              <w:top w:val="nil"/>
              <w:left w:val="nil"/>
              <w:bottom w:val="single" w:sz="4" w:space="0" w:color="FFFFFF"/>
              <w:right w:val="single" w:sz="4" w:space="0" w:color="FFFFFF"/>
            </w:tcBorders>
            <w:shd w:val="clear" w:color="000000" w:fill="DAEEF3"/>
            <w:vAlign w:val="center"/>
            <w:hideMark/>
          </w:tcPr>
          <w:p w14:paraId="1CBCE06E"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Capitalisation of salaries</w:t>
            </w:r>
          </w:p>
        </w:tc>
        <w:tc>
          <w:tcPr>
            <w:tcW w:w="1500" w:type="dxa"/>
            <w:tcBorders>
              <w:top w:val="nil"/>
              <w:left w:val="nil"/>
              <w:bottom w:val="single" w:sz="4" w:space="0" w:color="FFFFFF"/>
              <w:right w:val="single" w:sz="4" w:space="0" w:color="FFFFFF"/>
            </w:tcBorders>
            <w:shd w:val="clear" w:color="000000" w:fill="DAEEF3"/>
            <w:vAlign w:val="center"/>
          </w:tcPr>
          <w:p w14:paraId="14FA8D0B" w14:textId="046C5C0C" w:rsidR="00BB0D8A" w:rsidRPr="00BB0D8A" w:rsidRDefault="007E7C5D" w:rsidP="00BB0D8A">
            <w:pPr>
              <w:jc w:val="right"/>
              <w:rPr>
                <w:rFonts w:ascii="Calibri" w:hAnsi="Calibri"/>
                <w:color w:val="000000"/>
                <w:lang w:eastAsia="en-GB"/>
              </w:rPr>
            </w:pPr>
            <w:r>
              <w:rPr>
                <w:rFonts w:ascii="Calibri" w:hAnsi="Calibri"/>
                <w:color w:val="000000"/>
                <w:lang w:eastAsia="en-GB"/>
              </w:rPr>
              <w:t>156</w:t>
            </w:r>
          </w:p>
        </w:tc>
      </w:tr>
      <w:tr w:rsidR="00EA5264" w:rsidRPr="00BB0D8A" w14:paraId="1A470C94" w14:textId="77777777" w:rsidTr="00346F9A">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36379F50" w14:textId="780EECC9" w:rsidR="00EA5264" w:rsidRDefault="00002BDE" w:rsidP="00AC1B91">
            <w:pPr>
              <w:jc w:val="right"/>
              <w:rPr>
                <w:rFonts w:ascii="Calibri" w:hAnsi="Calibri"/>
                <w:bCs/>
                <w:color w:val="000000"/>
                <w:lang w:eastAsia="en-GB"/>
              </w:rPr>
            </w:pPr>
            <w:r>
              <w:rPr>
                <w:rFonts w:ascii="Calibri" w:hAnsi="Calibri"/>
                <w:bCs/>
                <w:color w:val="000000"/>
                <w:lang w:eastAsia="en-GB"/>
              </w:rPr>
              <w:t>4</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0EE78261" w14:textId="77777777" w:rsidR="00EA5264" w:rsidRPr="00346F9A" w:rsidRDefault="00EA5264" w:rsidP="00346F9A">
            <w:pPr>
              <w:ind w:firstLineChars="100" w:firstLine="200"/>
              <w:rPr>
                <w:rFonts w:ascii="Calibri" w:hAnsi="Calibri"/>
                <w:color w:val="000000"/>
                <w:szCs w:val="24"/>
                <w:lang w:eastAsia="en-GB"/>
              </w:rPr>
            </w:pPr>
            <w:r>
              <w:rPr>
                <w:rFonts w:ascii="Calibri" w:hAnsi="Calibri"/>
                <w:color w:val="000000"/>
                <w:szCs w:val="24"/>
                <w:lang w:eastAsia="en-GB"/>
              </w:rPr>
              <w:t>Fire damaged property</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62816D32" w14:textId="322A5F6A" w:rsidR="00EA5264" w:rsidRDefault="007E7C5D" w:rsidP="00BB0D8A">
            <w:pPr>
              <w:jc w:val="right"/>
              <w:rPr>
                <w:rFonts w:ascii="Calibri" w:hAnsi="Calibri"/>
                <w:bCs/>
                <w:color w:val="000000"/>
                <w:lang w:eastAsia="en-GB"/>
              </w:rPr>
            </w:pPr>
            <w:r>
              <w:rPr>
                <w:rFonts w:ascii="Calibri" w:hAnsi="Calibri"/>
                <w:bCs/>
                <w:color w:val="000000"/>
                <w:lang w:eastAsia="en-GB"/>
              </w:rPr>
              <w:t>79</w:t>
            </w:r>
          </w:p>
        </w:tc>
      </w:tr>
      <w:tr w:rsidR="007E7C5D" w:rsidRPr="00BB0D8A" w14:paraId="31878BEF" w14:textId="77777777" w:rsidTr="00346F9A">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71D908D1" w14:textId="38101D13" w:rsidR="007E7C5D" w:rsidRDefault="007E7C5D" w:rsidP="00AC1B91">
            <w:pPr>
              <w:jc w:val="right"/>
              <w:rPr>
                <w:rFonts w:ascii="Calibri" w:hAnsi="Calibri"/>
                <w:bCs/>
                <w:color w:val="000000"/>
                <w:lang w:eastAsia="en-GB"/>
              </w:rPr>
            </w:pPr>
            <w:r>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2E343316" w14:textId="61B3EC51" w:rsidR="007E7C5D" w:rsidRPr="00346F9A" w:rsidRDefault="007E7C5D" w:rsidP="00346F9A">
            <w:pPr>
              <w:ind w:firstLineChars="100" w:firstLine="200"/>
              <w:rPr>
                <w:rFonts w:ascii="Calibri" w:hAnsi="Calibri"/>
                <w:color w:val="000000"/>
                <w:szCs w:val="24"/>
                <w:lang w:eastAsia="en-GB"/>
              </w:rPr>
            </w:pPr>
            <w:r>
              <w:rPr>
                <w:rFonts w:ascii="Calibri" w:hAnsi="Calibri"/>
                <w:color w:val="000000"/>
                <w:szCs w:val="24"/>
                <w:lang w:eastAsia="en-GB"/>
              </w:rPr>
              <w:t>Energy Efficiency</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2398A1E5" w14:textId="69515A1D" w:rsidR="007E7C5D" w:rsidRDefault="007E7C5D" w:rsidP="00BB0D8A">
            <w:pPr>
              <w:jc w:val="right"/>
              <w:rPr>
                <w:rFonts w:ascii="Calibri" w:hAnsi="Calibri"/>
                <w:bCs/>
                <w:color w:val="000000"/>
                <w:lang w:eastAsia="en-GB"/>
              </w:rPr>
            </w:pPr>
            <w:r>
              <w:rPr>
                <w:rFonts w:ascii="Calibri" w:hAnsi="Calibri"/>
                <w:bCs/>
                <w:color w:val="000000"/>
                <w:lang w:eastAsia="en-GB"/>
              </w:rPr>
              <w:t>500</w:t>
            </w:r>
          </w:p>
        </w:tc>
      </w:tr>
      <w:tr w:rsidR="00C76AD3" w:rsidRPr="00BB0D8A" w14:paraId="7395DA49" w14:textId="77777777" w:rsidTr="00346F9A">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2B143EC3" w14:textId="56E41037" w:rsidR="00C76AD3" w:rsidRDefault="00C76AD3" w:rsidP="00AC1B91">
            <w:pPr>
              <w:jc w:val="right"/>
              <w:rPr>
                <w:rFonts w:ascii="Calibri" w:hAnsi="Calibri"/>
                <w:bCs/>
                <w:color w:val="000000"/>
                <w:lang w:eastAsia="en-GB"/>
              </w:rPr>
            </w:pPr>
            <w:r>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42B8789C" w14:textId="6AC61E95" w:rsidR="00C76AD3" w:rsidRPr="00346F9A" w:rsidRDefault="00C76AD3" w:rsidP="00346F9A">
            <w:pPr>
              <w:ind w:firstLineChars="100" w:firstLine="200"/>
              <w:rPr>
                <w:rFonts w:ascii="Calibri" w:hAnsi="Calibri"/>
                <w:color w:val="000000"/>
                <w:szCs w:val="24"/>
                <w:lang w:eastAsia="en-GB"/>
              </w:rPr>
            </w:pPr>
            <w:r>
              <w:rPr>
                <w:rFonts w:ascii="Calibri" w:hAnsi="Calibri"/>
                <w:color w:val="000000"/>
                <w:szCs w:val="24"/>
                <w:lang w:eastAsia="en-GB"/>
              </w:rPr>
              <w:t>Lifeline – Analogue to Digital</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39F7D43C" w14:textId="0985C0D6" w:rsidR="00C76AD3" w:rsidRDefault="00C76AD3" w:rsidP="00BB0D8A">
            <w:pPr>
              <w:jc w:val="right"/>
              <w:rPr>
                <w:rFonts w:ascii="Calibri" w:hAnsi="Calibri"/>
                <w:bCs/>
                <w:color w:val="000000"/>
                <w:lang w:eastAsia="en-GB"/>
              </w:rPr>
            </w:pPr>
            <w:r>
              <w:rPr>
                <w:rFonts w:ascii="Calibri" w:hAnsi="Calibri"/>
                <w:bCs/>
                <w:color w:val="000000"/>
                <w:lang w:eastAsia="en-GB"/>
              </w:rPr>
              <w:t>7</w:t>
            </w:r>
          </w:p>
        </w:tc>
      </w:tr>
      <w:tr w:rsidR="00C76AD3" w:rsidRPr="00BB0D8A" w14:paraId="2BE6F007" w14:textId="77777777" w:rsidTr="00346F9A">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294823B3" w14:textId="064EE4D4" w:rsidR="00C76AD3" w:rsidRDefault="00C76AD3" w:rsidP="00AC1B91">
            <w:pPr>
              <w:jc w:val="right"/>
              <w:rPr>
                <w:rFonts w:ascii="Calibri" w:hAnsi="Calibri"/>
                <w:bCs/>
                <w:color w:val="000000"/>
                <w:lang w:eastAsia="en-GB"/>
              </w:rPr>
            </w:pPr>
            <w:r>
              <w:rPr>
                <w:rFonts w:ascii="Calibri" w:hAnsi="Calibri"/>
                <w:bCs/>
                <w:color w:val="000000"/>
                <w:lang w:eastAsia="en-GB"/>
              </w:rPr>
              <w:t>0</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4F8E4F69" w14:textId="04D564B9" w:rsidR="00C76AD3" w:rsidRPr="00346F9A" w:rsidRDefault="00C76AD3" w:rsidP="00346F9A">
            <w:pPr>
              <w:ind w:firstLineChars="100" w:firstLine="200"/>
              <w:rPr>
                <w:rFonts w:ascii="Calibri" w:hAnsi="Calibri"/>
                <w:color w:val="000000"/>
                <w:szCs w:val="24"/>
                <w:lang w:eastAsia="en-GB"/>
              </w:rPr>
            </w:pPr>
            <w:r>
              <w:rPr>
                <w:rFonts w:ascii="Calibri" w:hAnsi="Calibri"/>
                <w:color w:val="000000"/>
                <w:szCs w:val="24"/>
                <w:lang w:eastAsia="en-GB"/>
              </w:rPr>
              <w:t>CCTV</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218950A1" w14:textId="19B1952E" w:rsidR="00C76AD3" w:rsidRDefault="00C76AD3" w:rsidP="00BB0D8A">
            <w:pPr>
              <w:jc w:val="right"/>
              <w:rPr>
                <w:rFonts w:ascii="Calibri" w:hAnsi="Calibri"/>
                <w:bCs/>
                <w:color w:val="000000"/>
                <w:lang w:eastAsia="en-GB"/>
              </w:rPr>
            </w:pPr>
            <w:r>
              <w:rPr>
                <w:rFonts w:ascii="Calibri" w:hAnsi="Calibri"/>
                <w:bCs/>
                <w:color w:val="000000"/>
                <w:lang w:eastAsia="en-GB"/>
              </w:rPr>
              <w:t>18</w:t>
            </w:r>
          </w:p>
        </w:tc>
      </w:tr>
      <w:tr w:rsidR="00346F9A" w:rsidRPr="00BB0D8A" w14:paraId="5F0C0F4E" w14:textId="77777777" w:rsidTr="00346F9A">
        <w:trPr>
          <w:trHeight w:val="300"/>
        </w:trPr>
        <w:tc>
          <w:tcPr>
            <w:tcW w:w="1520" w:type="dxa"/>
            <w:tcBorders>
              <w:top w:val="nil"/>
              <w:left w:val="single" w:sz="4" w:space="0" w:color="FFFFFF"/>
              <w:bottom w:val="single" w:sz="4" w:space="0" w:color="FFFFFF"/>
              <w:right w:val="single" w:sz="4" w:space="0" w:color="FFFFFF"/>
            </w:tcBorders>
            <w:shd w:val="clear" w:color="auto" w:fill="DAEEF3" w:themeFill="accent5" w:themeFillTint="33"/>
            <w:vAlign w:val="center"/>
          </w:tcPr>
          <w:p w14:paraId="32BA5572" w14:textId="271EAB4B" w:rsidR="00346F9A" w:rsidRPr="00346F9A" w:rsidRDefault="00002BDE" w:rsidP="00AC1B91">
            <w:pPr>
              <w:jc w:val="right"/>
              <w:rPr>
                <w:rFonts w:ascii="Calibri" w:hAnsi="Calibri"/>
                <w:bCs/>
                <w:color w:val="000000"/>
                <w:lang w:eastAsia="en-GB"/>
              </w:rPr>
            </w:pPr>
            <w:r>
              <w:rPr>
                <w:rFonts w:ascii="Calibri" w:hAnsi="Calibri"/>
                <w:bCs/>
                <w:color w:val="000000"/>
                <w:lang w:eastAsia="en-GB"/>
              </w:rPr>
              <w:t>42</w:t>
            </w:r>
          </w:p>
        </w:tc>
        <w:tc>
          <w:tcPr>
            <w:tcW w:w="6980" w:type="dxa"/>
            <w:tcBorders>
              <w:top w:val="nil"/>
              <w:left w:val="nil"/>
              <w:bottom w:val="single" w:sz="4" w:space="0" w:color="FFFFFF"/>
              <w:right w:val="single" w:sz="4" w:space="0" w:color="FFFFFF"/>
            </w:tcBorders>
            <w:shd w:val="clear" w:color="auto" w:fill="DAEEF3" w:themeFill="accent5" w:themeFillTint="33"/>
            <w:vAlign w:val="center"/>
          </w:tcPr>
          <w:p w14:paraId="316CBB6D" w14:textId="77777777" w:rsidR="00346F9A" w:rsidRPr="00346F9A" w:rsidRDefault="00346F9A" w:rsidP="00346F9A">
            <w:pPr>
              <w:ind w:firstLineChars="100" w:firstLine="200"/>
              <w:rPr>
                <w:rFonts w:ascii="Calibri" w:hAnsi="Calibri"/>
                <w:color w:val="000000"/>
                <w:szCs w:val="24"/>
                <w:lang w:eastAsia="en-GB"/>
              </w:rPr>
            </w:pPr>
            <w:r w:rsidRPr="00346F9A">
              <w:rPr>
                <w:rFonts w:ascii="Calibri" w:hAnsi="Calibri"/>
                <w:color w:val="000000"/>
                <w:szCs w:val="24"/>
                <w:lang w:eastAsia="en-GB"/>
              </w:rPr>
              <w:t>IT Systems</w:t>
            </w:r>
          </w:p>
        </w:tc>
        <w:tc>
          <w:tcPr>
            <w:tcW w:w="1500" w:type="dxa"/>
            <w:tcBorders>
              <w:top w:val="nil"/>
              <w:left w:val="nil"/>
              <w:bottom w:val="single" w:sz="4" w:space="0" w:color="FFFFFF"/>
              <w:right w:val="single" w:sz="4" w:space="0" w:color="FFFFFF"/>
            </w:tcBorders>
            <w:shd w:val="clear" w:color="auto" w:fill="DAEEF3" w:themeFill="accent5" w:themeFillTint="33"/>
            <w:vAlign w:val="center"/>
          </w:tcPr>
          <w:p w14:paraId="335F033D" w14:textId="1E9B23DA" w:rsidR="00346F9A" w:rsidRPr="00346F9A" w:rsidRDefault="007E7C5D" w:rsidP="00BB0D8A">
            <w:pPr>
              <w:jc w:val="right"/>
              <w:rPr>
                <w:rFonts w:ascii="Calibri" w:hAnsi="Calibri"/>
                <w:bCs/>
                <w:color w:val="000000"/>
                <w:lang w:eastAsia="en-GB"/>
              </w:rPr>
            </w:pPr>
            <w:r>
              <w:rPr>
                <w:rFonts w:ascii="Calibri" w:hAnsi="Calibri"/>
                <w:bCs/>
                <w:color w:val="000000"/>
                <w:lang w:eastAsia="en-GB"/>
              </w:rPr>
              <w:t>0</w:t>
            </w:r>
          </w:p>
        </w:tc>
      </w:tr>
      <w:tr w:rsidR="00BB0D8A" w:rsidRPr="00BB0D8A" w14:paraId="3DE76386"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6CB3FC80" w14:textId="79A19E06" w:rsidR="00BB0D8A" w:rsidRPr="00BB0D8A" w:rsidRDefault="00002BDE" w:rsidP="00AC1B91">
            <w:pPr>
              <w:jc w:val="right"/>
              <w:rPr>
                <w:rFonts w:ascii="Calibri" w:hAnsi="Calibri"/>
                <w:b/>
                <w:bCs/>
                <w:color w:val="000000"/>
                <w:lang w:eastAsia="en-GB"/>
              </w:rPr>
            </w:pPr>
            <w:r>
              <w:rPr>
                <w:rFonts w:ascii="Calibri" w:hAnsi="Calibri"/>
                <w:b/>
                <w:bCs/>
                <w:color w:val="000000"/>
                <w:lang w:eastAsia="en-GB"/>
              </w:rPr>
              <w:t>1,955</w:t>
            </w:r>
          </w:p>
        </w:tc>
        <w:tc>
          <w:tcPr>
            <w:tcW w:w="6980" w:type="dxa"/>
            <w:tcBorders>
              <w:top w:val="nil"/>
              <w:left w:val="nil"/>
              <w:bottom w:val="single" w:sz="4" w:space="0" w:color="FFFFFF"/>
              <w:right w:val="single" w:sz="4" w:space="0" w:color="FFFFFF"/>
            </w:tcBorders>
            <w:shd w:val="clear" w:color="000000" w:fill="B7DEE8"/>
            <w:vAlign w:val="center"/>
            <w:hideMark/>
          </w:tcPr>
          <w:p w14:paraId="4FEA9A2F" w14:textId="77777777" w:rsidR="00BB0D8A" w:rsidRPr="00BB0D8A" w:rsidRDefault="00BB0D8A" w:rsidP="00BB0D8A">
            <w:pPr>
              <w:ind w:firstLineChars="100" w:firstLine="200"/>
              <w:rPr>
                <w:rFonts w:ascii="Calibri" w:hAnsi="Calibri"/>
                <w:color w:val="000000"/>
                <w:lang w:eastAsia="en-GB"/>
              </w:rPr>
            </w:pPr>
            <w:r w:rsidRPr="00BB0D8A">
              <w:rPr>
                <w:rFonts w:ascii="Calibri" w:hAnsi="Calibri"/>
                <w:color w:val="000000"/>
                <w:szCs w:val="24"/>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7629D543" w14:textId="5645893F" w:rsidR="00BB0D8A" w:rsidRPr="00BB0D8A" w:rsidRDefault="00C76AD3" w:rsidP="00BB0D8A">
            <w:pPr>
              <w:jc w:val="right"/>
              <w:rPr>
                <w:rFonts w:ascii="Calibri" w:hAnsi="Calibri"/>
                <w:b/>
                <w:bCs/>
                <w:color w:val="000000"/>
                <w:lang w:eastAsia="en-GB"/>
              </w:rPr>
            </w:pPr>
            <w:r>
              <w:rPr>
                <w:rFonts w:ascii="Calibri" w:hAnsi="Calibri"/>
                <w:b/>
                <w:bCs/>
                <w:color w:val="000000"/>
                <w:lang w:eastAsia="en-GB"/>
              </w:rPr>
              <w:t>3,44</w:t>
            </w:r>
            <w:r w:rsidR="00C96E4D">
              <w:rPr>
                <w:rFonts w:ascii="Calibri" w:hAnsi="Calibri"/>
                <w:b/>
                <w:bCs/>
                <w:color w:val="000000"/>
                <w:lang w:eastAsia="en-GB"/>
              </w:rPr>
              <w:t>7</w:t>
            </w:r>
          </w:p>
        </w:tc>
      </w:tr>
    </w:tbl>
    <w:p w14:paraId="70E1F301" w14:textId="77777777" w:rsidR="00A373F7" w:rsidRDefault="00A373F7" w:rsidP="003A4C23">
      <w:pPr>
        <w:pStyle w:val="xl24"/>
        <w:widowControl w:val="0"/>
        <w:tabs>
          <w:tab w:val="left" w:pos="426"/>
        </w:tabs>
        <w:spacing w:before="0" w:beforeAutospacing="0" w:after="120" w:afterAutospacing="0"/>
        <w:rPr>
          <w:rFonts w:ascii="Arial" w:eastAsia="Times New Roman" w:hAnsi="Arial" w:cs="Arial"/>
          <w:b/>
          <w:bCs/>
          <w:sz w:val="20"/>
          <w:szCs w:val="20"/>
        </w:rPr>
      </w:pPr>
    </w:p>
    <w:p w14:paraId="273459B6" w14:textId="46EDDF99" w:rsidR="00C72023" w:rsidRPr="00DB0078" w:rsidRDefault="00C76AD3" w:rsidP="003A4C23">
      <w:pPr>
        <w:pStyle w:val="xl24"/>
        <w:widowControl w:val="0"/>
        <w:tabs>
          <w:tab w:val="left" w:pos="426"/>
        </w:tabs>
        <w:spacing w:before="0" w:beforeAutospacing="0" w:after="120" w:afterAutospacing="0"/>
        <w:rPr>
          <w:rFonts w:asciiTheme="minorHAnsi" w:eastAsia="Times New Roman" w:hAnsiTheme="minorHAnsi" w:cs="Arial"/>
          <w:b/>
          <w:u w:val="single"/>
        </w:rPr>
      </w:pPr>
      <w:r>
        <w:rPr>
          <w:rFonts w:asciiTheme="minorHAnsi" w:eastAsia="Times New Roman" w:hAnsiTheme="minorHAnsi" w:cs="Arial"/>
          <w:b/>
          <w:bCs/>
        </w:rPr>
        <w:t>9</w:t>
      </w:r>
      <w:r w:rsidR="00C2697B" w:rsidRPr="00DB0078">
        <w:rPr>
          <w:rFonts w:asciiTheme="minorHAnsi" w:eastAsia="Times New Roman" w:hAnsiTheme="minorHAnsi" w:cs="Arial"/>
          <w:bCs/>
        </w:rPr>
        <w:tab/>
      </w:r>
      <w:r w:rsidR="00694492" w:rsidRPr="00DB0078">
        <w:rPr>
          <w:rFonts w:asciiTheme="minorHAnsi" w:eastAsia="Times New Roman" w:hAnsiTheme="minorHAnsi" w:cs="Arial"/>
          <w:b/>
          <w:bCs/>
        </w:rPr>
        <w:t xml:space="preserve">Total </w:t>
      </w:r>
      <w:r w:rsidR="00C72023" w:rsidRPr="00DB0078">
        <w:rPr>
          <w:rFonts w:asciiTheme="minorHAnsi" w:eastAsia="Times New Roman" w:hAnsiTheme="minorHAnsi" w:cs="Arial"/>
          <w:b/>
        </w:rPr>
        <w:t>Capital Receipts from Disposal of HRA Assets</w:t>
      </w:r>
    </w:p>
    <w:p w14:paraId="1E6267C5" w14:textId="0BBC1AE5" w:rsidR="00694492" w:rsidRDefault="00694492" w:rsidP="006060BF">
      <w:pPr>
        <w:pStyle w:val="xl24"/>
        <w:widowControl w:val="0"/>
        <w:tabs>
          <w:tab w:val="left" w:pos="426"/>
          <w:tab w:val="left" w:pos="10348"/>
        </w:tabs>
        <w:spacing w:before="0" w:beforeAutospacing="0" w:after="120" w:afterAutospacing="0"/>
        <w:ind w:left="426"/>
        <w:jc w:val="both"/>
        <w:rPr>
          <w:rFonts w:ascii="Arial" w:eastAsia="Times New Roman" w:hAnsi="Arial" w:cs="Arial"/>
          <w:sz w:val="20"/>
          <w:szCs w:val="20"/>
        </w:rPr>
      </w:pPr>
      <w:r w:rsidRPr="00DB0078">
        <w:rPr>
          <w:rFonts w:asciiTheme="minorHAnsi" w:eastAsia="Times New Roman" w:hAnsiTheme="minorHAnsi" w:cs="Arial"/>
          <w:sz w:val="22"/>
          <w:szCs w:val="22"/>
        </w:rPr>
        <w:t xml:space="preserve">The total capital receipts </w:t>
      </w:r>
      <w:r w:rsidR="00DA29B6" w:rsidRPr="00DB0078">
        <w:rPr>
          <w:rFonts w:asciiTheme="minorHAnsi" w:eastAsia="Times New Roman" w:hAnsiTheme="minorHAnsi" w:cs="Arial"/>
          <w:sz w:val="22"/>
          <w:szCs w:val="22"/>
        </w:rPr>
        <w:t>before</w:t>
      </w:r>
      <w:r w:rsidR="00000B2B" w:rsidRPr="00DB0078">
        <w:rPr>
          <w:rFonts w:asciiTheme="minorHAnsi" w:eastAsia="Times New Roman" w:hAnsiTheme="minorHAnsi" w:cs="Arial"/>
          <w:sz w:val="22"/>
          <w:szCs w:val="22"/>
        </w:rPr>
        <w:t xml:space="preserve"> pooling of </w:t>
      </w:r>
      <w:r w:rsidR="00DA29B6" w:rsidRPr="00DB0078">
        <w:rPr>
          <w:rFonts w:asciiTheme="minorHAnsi" w:eastAsia="Times New Roman" w:hAnsiTheme="minorHAnsi" w:cs="Arial"/>
          <w:sz w:val="22"/>
          <w:szCs w:val="22"/>
        </w:rPr>
        <w:t xml:space="preserve">capital </w:t>
      </w:r>
      <w:r w:rsidR="00000B2B" w:rsidRPr="00DB0078">
        <w:rPr>
          <w:rFonts w:asciiTheme="minorHAnsi" w:eastAsia="Times New Roman" w:hAnsiTheme="minorHAnsi" w:cs="Arial"/>
          <w:sz w:val="22"/>
          <w:szCs w:val="22"/>
        </w:rPr>
        <w:t xml:space="preserve">receipts to the </w:t>
      </w:r>
      <w:r w:rsidR="00FB1CF3">
        <w:rPr>
          <w:rFonts w:asciiTheme="minorHAnsi" w:eastAsia="Times New Roman" w:hAnsiTheme="minorHAnsi" w:cs="Arial"/>
          <w:sz w:val="22"/>
          <w:szCs w:val="22"/>
        </w:rPr>
        <w:t>Department for Levelling Up, Housing and Communities</w:t>
      </w:r>
      <w:r w:rsidR="003A4C23" w:rsidRPr="00DB0078">
        <w:rPr>
          <w:rFonts w:asciiTheme="minorHAnsi" w:eastAsia="Times New Roman" w:hAnsiTheme="minorHAnsi" w:cs="Arial"/>
          <w:sz w:val="22"/>
          <w:szCs w:val="22"/>
        </w:rPr>
        <w:t xml:space="preserve"> (</w:t>
      </w:r>
      <w:r w:rsidR="00FB1CF3">
        <w:rPr>
          <w:rFonts w:asciiTheme="minorHAnsi" w:eastAsia="Times New Roman" w:hAnsiTheme="minorHAnsi" w:cs="Arial"/>
          <w:sz w:val="22"/>
          <w:szCs w:val="22"/>
        </w:rPr>
        <w:t>DLUHC</w:t>
      </w:r>
      <w:r w:rsidR="003A4C23" w:rsidRPr="00DB0078">
        <w:rPr>
          <w:rFonts w:asciiTheme="minorHAnsi" w:eastAsia="Times New Roman" w:hAnsiTheme="minorHAnsi" w:cs="Arial"/>
          <w:sz w:val="22"/>
          <w:szCs w:val="22"/>
        </w:rPr>
        <w:t>)</w:t>
      </w:r>
      <w:r w:rsidR="00000B2B" w:rsidRPr="00DB0078">
        <w:rPr>
          <w:rFonts w:asciiTheme="minorHAnsi" w:eastAsia="Times New Roman" w:hAnsiTheme="minorHAnsi" w:cs="Arial"/>
          <w:sz w:val="22"/>
          <w:szCs w:val="22"/>
        </w:rPr>
        <w:t xml:space="preserve"> is as follows</w:t>
      </w:r>
      <w:r w:rsidR="00000B2B" w:rsidRPr="004C6DC4">
        <w:rPr>
          <w:rFonts w:ascii="Arial" w:eastAsia="Times New Roman" w:hAnsi="Arial" w:cs="Arial"/>
          <w:sz w:val="20"/>
          <w:szCs w:val="20"/>
        </w:rPr>
        <w:t>:</w:t>
      </w:r>
    </w:p>
    <w:tbl>
      <w:tblPr>
        <w:tblW w:w="10000" w:type="dxa"/>
        <w:tblInd w:w="93" w:type="dxa"/>
        <w:tblLook w:val="04A0" w:firstRow="1" w:lastRow="0" w:firstColumn="1" w:lastColumn="0" w:noHBand="0" w:noVBand="1"/>
        <w:tblCaption w:val="Capital Receipts from disposal of Housing Revenue Account assets"/>
        <w:tblDescription w:val="Capital Receipts from disposal of Housing Revenue Account assets"/>
      </w:tblPr>
      <w:tblGrid>
        <w:gridCol w:w="1520"/>
        <w:gridCol w:w="6980"/>
        <w:gridCol w:w="1500"/>
      </w:tblGrid>
      <w:tr w:rsidR="00DB0078" w:rsidRPr="00DB0078" w14:paraId="0E504CC7"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4033C370" w14:textId="024A6FD0" w:rsidR="00DB0078" w:rsidRPr="00DB0078" w:rsidRDefault="00DB0078" w:rsidP="00864738">
            <w:pPr>
              <w:jc w:val="right"/>
              <w:rPr>
                <w:rFonts w:ascii="Calibri" w:hAnsi="Calibri"/>
                <w:color w:val="000000"/>
                <w:lang w:eastAsia="en-GB"/>
              </w:rPr>
            </w:pPr>
            <w:r w:rsidRPr="00DB0078">
              <w:rPr>
                <w:rFonts w:ascii="Calibri" w:hAnsi="Calibri"/>
                <w:color w:val="000000"/>
                <w:lang w:eastAsia="en-GB"/>
              </w:rPr>
              <w:t>20</w:t>
            </w:r>
            <w:r w:rsidR="000C31F4">
              <w:rPr>
                <w:rFonts w:ascii="Calibri" w:hAnsi="Calibri"/>
                <w:color w:val="000000"/>
                <w:lang w:eastAsia="en-GB"/>
              </w:rPr>
              <w:t>2</w:t>
            </w:r>
            <w:r w:rsidR="00002BDE">
              <w:rPr>
                <w:rFonts w:ascii="Calibri" w:hAnsi="Calibri"/>
                <w:color w:val="000000"/>
                <w:lang w:eastAsia="en-GB"/>
              </w:rPr>
              <w:t>1</w:t>
            </w:r>
            <w:r w:rsidRPr="00DB0078">
              <w:rPr>
                <w:rFonts w:ascii="Calibri" w:hAnsi="Calibri"/>
                <w:color w:val="000000"/>
                <w:lang w:eastAsia="en-GB"/>
              </w:rPr>
              <w:t>-</w:t>
            </w:r>
            <w:r w:rsidR="0086473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1CDD757C" w14:textId="77777777" w:rsidR="00DB0078" w:rsidRPr="00DB0078" w:rsidRDefault="00DB0078" w:rsidP="00DB0078">
            <w:pPr>
              <w:rPr>
                <w:rFonts w:ascii="Calibri" w:hAnsi="Calibri"/>
                <w:color w:val="000000"/>
                <w:lang w:eastAsia="en-GB"/>
              </w:rPr>
            </w:pPr>
            <w:r w:rsidRPr="00DB0078">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76F0C8B2" w14:textId="651071F1" w:rsidR="00DB0078" w:rsidRPr="00DB0078" w:rsidRDefault="00DB0078" w:rsidP="00864738">
            <w:pPr>
              <w:jc w:val="right"/>
              <w:rPr>
                <w:rFonts w:ascii="Calibri" w:hAnsi="Calibri"/>
                <w:color w:val="000000"/>
                <w:lang w:eastAsia="en-GB"/>
              </w:rPr>
            </w:pPr>
            <w:r w:rsidRPr="00DB0078">
              <w:rPr>
                <w:rFonts w:ascii="Calibri" w:hAnsi="Calibri"/>
                <w:color w:val="000000"/>
                <w:lang w:eastAsia="en-GB"/>
              </w:rPr>
              <w:t>20</w:t>
            </w:r>
            <w:r w:rsidR="00864738">
              <w:rPr>
                <w:rFonts w:ascii="Calibri" w:hAnsi="Calibri"/>
                <w:color w:val="000000"/>
                <w:lang w:eastAsia="en-GB"/>
              </w:rPr>
              <w:t>2</w:t>
            </w:r>
            <w:r w:rsidR="00002BDE">
              <w:rPr>
                <w:rFonts w:ascii="Calibri" w:hAnsi="Calibri"/>
                <w:color w:val="000000"/>
                <w:lang w:eastAsia="en-GB"/>
              </w:rPr>
              <w:t>2</w:t>
            </w:r>
            <w:r w:rsidRPr="00DB0078">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DB0078" w:rsidRPr="00DB0078" w14:paraId="34405E4B" w14:textId="77777777" w:rsidTr="00DB0078">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399E285D"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 xml:space="preserve">           £’000</w:t>
            </w:r>
          </w:p>
        </w:tc>
        <w:tc>
          <w:tcPr>
            <w:tcW w:w="6980" w:type="dxa"/>
            <w:tcBorders>
              <w:top w:val="nil"/>
              <w:left w:val="nil"/>
              <w:bottom w:val="single" w:sz="4" w:space="0" w:color="FFFFFF"/>
              <w:right w:val="single" w:sz="4" w:space="0" w:color="FFFFFF"/>
            </w:tcBorders>
            <w:shd w:val="clear" w:color="000000" w:fill="92CDDC"/>
            <w:vAlign w:val="center"/>
            <w:hideMark/>
          </w:tcPr>
          <w:p w14:paraId="037F48DD"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451AE7EE"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 xml:space="preserve">           £’000</w:t>
            </w:r>
          </w:p>
        </w:tc>
      </w:tr>
      <w:tr w:rsidR="00DB0078" w:rsidRPr="00DB0078" w14:paraId="1D382ECD"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246E2C01" w14:textId="42E7400F" w:rsidR="00DB0078" w:rsidRPr="00DB0078" w:rsidRDefault="00002BDE" w:rsidP="00B7398B">
            <w:pPr>
              <w:jc w:val="right"/>
              <w:rPr>
                <w:rFonts w:ascii="Calibri" w:hAnsi="Calibri"/>
                <w:color w:val="000000"/>
                <w:lang w:eastAsia="en-GB"/>
              </w:rPr>
            </w:pPr>
            <w:r>
              <w:rPr>
                <w:rFonts w:ascii="Calibri" w:hAnsi="Calibri"/>
                <w:color w:val="000000"/>
                <w:lang w:eastAsia="en-GB"/>
              </w:rPr>
              <w:t>387</w:t>
            </w:r>
          </w:p>
        </w:tc>
        <w:tc>
          <w:tcPr>
            <w:tcW w:w="6980" w:type="dxa"/>
            <w:tcBorders>
              <w:top w:val="nil"/>
              <w:left w:val="nil"/>
              <w:bottom w:val="single" w:sz="4" w:space="0" w:color="FFFFFF"/>
              <w:right w:val="single" w:sz="4" w:space="0" w:color="FFFFFF"/>
            </w:tcBorders>
            <w:shd w:val="clear" w:color="000000" w:fill="DAEEF3"/>
            <w:vAlign w:val="center"/>
            <w:hideMark/>
          </w:tcPr>
          <w:p w14:paraId="319AE427" w14:textId="77777777" w:rsidR="00DB0078" w:rsidRPr="00DB0078" w:rsidRDefault="00DB0078" w:rsidP="00DB0078">
            <w:pPr>
              <w:rPr>
                <w:rFonts w:ascii="Calibri" w:hAnsi="Calibri"/>
                <w:color w:val="000000"/>
                <w:lang w:eastAsia="en-GB"/>
              </w:rPr>
            </w:pPr>
            <w:r w:rsidRPr="00DB0078">
              <w:rPr>
                <w:rFonts w:ascii="Calibri" w:hAnsi="Calibri"/>
                <w:color w:val="000000"/>
                <w:lang w:eastAsia="en-GB"/>
              </w:rPr>
              <w:t xml:space="preserve">   Dwellings</w:t>
            </w:r>
          </w:p>
        </w:tc>
        <w:tc>
          <w:tcPr>
            <w:tcW w:w="1500" w:type="dxa"/>
            <w:tcBorders>
              <w:top w:val="nil"/>
              <w:left w:val="nil"/>
              <w:bottom w:val="single" w:sz="4" w:space="0" w:color="FFFFFF"/>
              <w:right w:val="single" w:sz="4" w:space="0" w:color="FFFFFF"/>
            </w:tcBorders>
            <w:shd w:val="clear" w:color="000000" w:fill="DAEEF3"/>
            <w:vAlign w:val="center"/>
          </w:tcPr>
          <w:p w14:paraId="1E2F7214" w14:textId="3B4F385A" w:rsidR="00DB0078" w:rsidRPr="00DB0078" w:rsidRDefault="00C76AD3" w:rsidP="00DB0078">
            <w:pPr>
              <w:jc w:val="right"/>
              <w:rPr>
                <w:rFonts w:ascii="Calibri" w:hAnsi="Calibri"/>
                <w:color w:val="000000"/>
                <w:lang w:eastAsia="en-GB"/>
              </w:rPr>
            </w:pPr>
            <w:r>
              <w:rPr>
                <w:rFonts w:ascii="Calibri" w:hAnsi="Calibri"/>
                <w:color w:val="000000"/>
                <w:lang w:eastAsia="en-GB"/>
              </w:rPr>
              <w:t>85</w:t>
            </w:r>
            <w:r w:rsidR="007F4F43">
              <w:rPr>
                <w:rFonts w:ascii="Calibri" w:hAnsi="Calibri"/>
                <w:color w:val="000000"/>
                <w:lang w:eastAsia="en-GB"/>
              </w:rPr>
              <w:t>8</w:t>
            </w:r>
          </w:p>
        </w:tc>
      </w:tr>
      <w:tr w:rsidR="00DB0078" w:rsidRPr="00DB0078" w14:paraId="12DEF7BF"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0F683788"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2C2713B4" w14:textId="77777777" w:rsidR="00DB0078" w:rsidRPr="00DB0078" w:rsidRDefault="00DB0078" w:rsidP="00DB0078">
            <w:pPr>
              <w:rPr>
                <w:rFonts w:ascii="Calibri" w:hAnsi="Calibri"/>
                <w:color w:val="000000"/>
                <w:lang w:eastAsia="en-GB"/>
              </w:rPr>
            </w:pPr>
            <w:r w:rsidRPr="00DB0078">
              <w:rPr>
                <w:rFonts w:ascii="Calibri" w:hAnsi="Calibri"/>
                <w:color w:val="000000"/>
                <w:szCs w:val="24"/>
                <w:lang w:eastAsia="en-GB"/>
              </w:rPr>
              <w:t xml:space="preserve">   Land</w:t>
            </w:r>
          </w:p>
        </w:tc>
        <w:tc>
          <w:tcPr>
            <w:tcW w:w="1500" w:type="dxa"/>
            <w:tcBorders>
              <w:top w:val="nil"/>
              <w:left w:val="nil"/>
              <w:bottom w:val="single" w:sz="4" w:space="0" w:color="FFFFFF"/>
              <w:right w:val="single" w:sz="4" w:space="0" w:color="FFFFFF"/>
            </w:tcBorders>
            <w:shd w:val="clear" w:color="000000" w:fill="DAEEF3"/>
            <w:vAlign w:val="center"/>
          </w:tcPr>
          <w:p w14:paraId="722BBC2D" w14:textId="07AC53E1" w:rsidR="00B7398B" w:rsidRPr="00DB0078" w:rsidRDefault="00C76AD3" w:rsidP="00B7398B">
            <w:pPr>
              <w:jc w:val="right"/>
              <w:rPr>
                <w:rFonts w:ascii="Calibri" w:hAnsi="Calibri"/>
                <w:color w:val="000000"/>
                <w:lang w:eastAsia="en-GB"/>
              </w:rPr>
            </w:pPr>
            <w:r>
              <w:rPr>
                <w:rFonts w:ascii="Calibri" w:hAnsi="Calibri"/>
                <w:color w:val="000000"/>
                <w:lang w:eastAsia="en-GB"/>
              </w:rPr>
              <w:t>0</w:t>
            </w:r>
          </w:p>
        </w:tc>
      </w:tr>
      <w:tr w:rsidR="00DB0078" w:rsidRPr="00DB0078" w14:paraId="16177D32"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0ED3155C" w14:textId="09DC854F" w:rsidR="00DB0078" w:rsidRPr="00DB0078" w:rsidRDefault="00002BDE" w:rsidP="00DB0078">
            <w:pPr>
              <w:jc w:val="right"/>
              <w:rPr>
                <w:rFonts w:ascii="Calibri" w:hAnsi="Calibri"/>
                <w:color w:val="000000"/>
                <w:lang w:eastAsia="en-GB"/>
              </w:rPr>
            </w:pPr>
            <w:r>
              <w:rPr>
                <w:rFonts w:ascii="Calibri" w:hAnsi="Calibri"/>
                <w:color w:val="000000"/>
                <w:lang w:eastAsia="en-GB"/>
              </w:rPr>
              <w:t>11</w:t>
            </w:r>
          </w:p>
        </w:tc>
        <w:tc>
          <w:tcPr>
            <w:tcW w:w="6980" w:type="dxa"/>
            <w:tcBorders>
              <w:top w:val="nil"/>
              <w:left w:val="nil"/>
              <w:bottom w:val="single" w:sz="4" w:space="0" w:color="FFFFFF"/>
              <w:right w:val="single" w:sz="4" w:space="0" w:color="FFFFFF"/>
            </w:tcBorders>
            <w:shd w:val="clear" w:color="000000" w:fill="DAEEF3"/>
            <w:vAlign w:val="center"/>
            <w:hideMark/>
          </w:tcPr>
          <w:p w14:paraId="52E71C06" w14:textId="77777777" w:rsidR="00DB0078" w:rsidRPr="00DB0078" w:rsidRDefault="00DB0078" w:rsidP="00DB0078">
            <w:pPr>
              <w:rPr>
                <w:rFonts w:ascii="Calibri" w:hAnsi="Calibri"/>
                <w:color w:val="000000"/>
                <w:lang w:eastAsia="en-GB"/>
              </w:rPr>
            </w:pPr>
            <w:r w:rsidRPr="00DB0078">
              <w:rPr>
                <w:rFonts w:ascii="Calibri" w:hAnsi="Calibri"/>
                <w:color w:val="000000"/>
                <w:szCs w:val="24"/>
                <w:lang w:eastAsia="en-GB"/>
              </w:rPr>
              <w:t xml:space="preserve">   Discount Repaid</w:t>
            </w:r>
          </w:p>
        </w:tc>
        <w:tc>
          <w:tcPr>
            <w:tcW w:w="1500" w:type="dxa"/>
            <w:tcBorders>
              <w:top w:val="nil"/>
              <w:left w:val="nil"/>
              <w:bottom w:val="single" w:sz="4" w:space="0" w:color="FFFFFF"/>
              <w:right w:val="single" w:sz="4" w:space="0" w:color="FFFFFF"/>
            </w:tcBorders>
            <w:shd w:val="clear" w:color="000000" w:fill="DAEEF3"/>
            <w:vAlign w:val="center"/>
          </w:tcPr>
          <w:p w14:paraId="072AF577" w14:textId="791AA46B" w:rsidR="00DB0078" w:rsidRPr="00DB0078" w:rsidRDefault="00C76AD3" w:rsidP="00DB0078">
            <w:pPr>
              <w:jc w:val="right"/>
              <w:rPr>
                <w:rFonts w:ascii="Calibri" w:hAnsi="Calibri"/>
                <w:color w:val="000000"/>
                <w:lang w:eastAsia="en-GB"/>
              </w:rPr>
            </w:pPr>
            <w:r>
              <w:rPr>
                <w:rFonts w:ascii="Calibri" w:hAnsi="Calibri"/>
                <w:color w:val="000000"/>
                <w:lang w:eastAsia="en-GB"/>
              </w:rPr>
              <w:t>0</w:t>
            </w:r>
          </w:p>
        </w:tc>
      </w:tr>
      <w:tr w:rsidR="00DB0078" w:rsidRPr="00DB0078" w14:paraId="58270FD8"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1E2AAC07" w14:textId="77A71DA1" w:rsidR="00DB0078" w:rsidRPr="00DB0078" w:rsidRDefault="00002BDE" w:rsidP="00DB0078">
            <w:pPr>
              <w:jc w:val="right"/>
              <w:rPr>
                <w:rFonts w:ascii="Calibri" w:hAnsi="Calibri"/>
                <w:b/>
                <w:bCs/>
                <w:color w:val="000000"/>
                <w:lang w:eastAsia="en-GB"/>
              </w:rPr>
            </w:pPr>
            <w:r>
              <w:rPr>
                <w:rFonts w:ascii="Calibri" w:hAnsi="Calibri"/>
                <w:b/>
                <w:bCs/>
                <w:color w:val="000000"/>
                <w:lang w:eastAsia="en-GB"/>
              </w:rPr>
              <w:t>398</w:t>
            </w:r>
          </w:p>
        </w:tc>
        <w:tc>
          <w:tcPr>
            <w:tcW w:w="6980" w:type="dxa"/>
            <w:tcBorders>
              <w:top w:val="nil"/>
              <w:left w:val="nil"/>
              <w:bottom w:val="single" w:sz="4" w:space="0" w:color="FFFFFF"/>
              <w:right w:val="single" w:sz="4" w:space="0" w:color="FFFFFF"/>
            </w:tcBorders>
            <w:shd w:val="clear" w:color="000000" w:fill="B7DEE8"/>
            <w:vAlign w:val="center"/>
            <w:hideMark/>
          </w:tcPr>
          <w:p w14:paraId="6616393F" w14:textId="77777777" w:rsidR="00DB0078" w:rsidRPr="00DB0078" w:rsidRDefault="00DB0078" w:rsidP="00DB0078">
            <w:pPr>
              <w:rPr>
                <w:rFonts w:ascii="Calibri" w:hAnsi="Calibri"/>
                <w:color w:val="000000"/>
                <w:lang w:eastAsia="en-GB"/>
              </w:rPr>
            </w:pPr>
            <w:r w:rsidRPr="00DB0078">
              <w:rPr>
                <w:rFonts w:ascii="Calibri" w:hAnsi="Calibri"/>
                <w:color w:val="000000"/>
                <w:szCs w:val="24"/>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7D9F0245" w14:textId="306961CF" w:rsidR="00DB0078" w:rsidRPr="00DB0078" w:rsidRDefault="00C76AD3" w:rsidP="00DB0078">
            <w:pPr>
              <w:jc w:val="right"/>
              <w:rPr>
                <w:rFonts w:ascii="Calibri" w:hAnsi="Calibri"/>
                <w:b/>
                <w:bCs/>
                <w:color w:val="000000"/>
                <w:lang w:eastAsia="en-GB"/>
              </w:rPr>
            </w:pPr>
            <w:r>
              <w:rPr>
                <w:rFonts w:ascii="Calibri" w:hAnsi="Calibri"/>
                <w:b/>
                <w:bCs/>
                <w:color w:val="000000"/>
                <w:lang w:eastAsia="en-GB"/>
              </w:rPr>
              <w:t>85</w:t>
            </w:r>
            <w:r w:rsidR="007F4F43">
              <w:rPr>
                <w:rFonts w:ascii="Calibri" w:hAnsi="Calibri"/>
                <w:b/>
                <w:bCs/>
                <w:color w:val="000000"/>
                <w:lang w:eastAsia="en-GB"/>
              </w:rPr>
              <w:t>8</w:t>
            </w:r>
          </w:p>
        </w:tc>
      </w:tr>
    </w:tbl>
    <w:p w14:paraId="49BA6AD9" w14:textId="77777777" w:rsidR="008D73E4" w:rsidRDefault="008D73E4" w:rsidP="00A35FD2">
      <w:pPr>
        <w:pStyle w:val="xl24"/>
        <w:widowControl w:val="0"/>
        <w:tabs>
          <w:tab w:val="left" w:pos="426"/>
        </w:tabs>
        <w:spacing w:before="0" w:beforeAutospacing="0" w:after="0" w:afterAutospacing="0"/>
        <w:rPr>
          <w:rFonts w:asciiTheme="minorHAnsi" w:eastAsia="Times New Roman" w:hAnsiTheme="minorHAnsi" w:cs="Arial"/>
          <w:b/>
          <w:bCs/>
        </w:rPr>
      </w:pPr>
    </w:p>
    <w:p w14:paraId="70823120" w14:textId="473395DC" w:rsidR="004B0CD7" w:rsidRPr="00DB0078" w:rsidRDefault="00F042EB" w:rsidP="00A35FD2">
      <w:pPr>
        <w:pStyle w:val="xl24"/>
        <w:widowControl w:val="0"/>
        <w:tabs>
          <w:tab w:val="left" w:pos="426"/>
        </w:tabs>
        <w:spacing w:before="0" w:beforeAutospacing="0" w:after="0" w:afterAutospacing="0"/>
        <w:rPr>
          <w:rFonts w:asciiTheme="minorHAnsi" w:eastAsia="Times New Roman" w:hAnsiTheme="minorHAnsi" w:cs="Arial"/>
          <w:b/>
          <w:bCs/>
        </w:rPr>
      </w:pPr>
      <w:r w:rsidRPr="00DB0078">
        <w:rPr>
          <w:rFonts w:asciiTheme="minorHAnsi" w:eastAsia="Times New Roman" w:hAnsiTheme="minorHAnsi" w:cs="Arial"/>
          <w:b/>
          <w:bCs/>
        </w:rPr>
        <w:t>1</w:t>
      </w:r>
      <w:r w:rsidR="00C76AD3">
        <w:rPr>
          <w:rFonts w:asciiTheme="minorHAnsi" w:eastAsia="Times New Roman" w:hAnsiTheme="minorHAnsi" w:cs="Arial"/>
          <w:b/>
          <w:bCs/>
        </w:rPr>
        <w:t>0</w:t>
      </w:r>
      <w:r w:rsidR="00C2697B" w:rsidRPr="00DB0078">
        <w:rPr>
          <w:rFonts w:asciiTheme="minorHAnsi" w:eastAsia="Times New Roman" w:hAnsiTheme="minorHAnsi" w:cs="Arial"/>
          <w:b/>
          <w:bCs/>
        </w:rPr>
        <w:tab/>
        <w:t>Depreciation</w:t>
      </w:r>
    </w:p>
    <w:p w14:paraId="462EDF72" w14:textId="77777777" w:rsidR="005C34FA" w:rsidRDefault="005C34FA"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4DA3863F" w14:textId="2D0040FD" w:rsidR="00C2697B" w:rsidRDefault="00A373F7"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r w:rsidRPr="00DB0078">
        <w:rPr>
          <w:rFonts w:asciiTheme="minorHAnsi" w:eastAsia="Times New Roman" w:hAnsiTheme="minorHAnsi" w:cs="Arial"/>
          <w:bCs/>
          <w:sz w:val="22"/>
          <w:szCs w:val="22"/>
        </w:rPr>
        <w:t xml:space="preserve">Depreciation is referred to in detail in </w:t>
      </w:r>
      <w:r w:rsidRPr="00FF75EF">
        <w:rPr>
          <w:rFonts w:asciiTheme="minorHAnsi" w:eastAsia="Times New Roman" w:hAnsiTheme="minorHAnsi" w:cs="Arial"/>
          <w:bCs/>
          <w:sz w:val="22"/>
          <w:szCs w:val="22"/>
        </w:rPr>
        <w:t xml:space="preserve">note </w:t>
      </w:r>
      <w:r w:rsidR="00FF75EF">
        <w:rPr>
          <w:rFonts w:asciiTheme="minorHAnsi" w:eastAsia="Times New Roman" w:hAnsiTheme="minorHAnsi" w:cs="Arial"/>
          <w:bCs/>
          <w:sz w:val="22"/>
          <w:szCs w:val="22"/>
        </w:rPr>
        <w:t>39</w:t>
      </w:r>
      <w:r w:rsidR="00B473BF" w:rsidRPr="00311499">
        <w:rPr>
          <w:rFonts w:asciiTheme="minorHAnsi" w:eastAsia="Times New Roman" w:hAnsiTheme="minorHAnsi" w:cs="Arial"/>
          <w:bCs/>
          <w:sz w:val="22"/>
          <w:szCs w:val="22"/>
        </w:rPr>
        <w:t xml:space="preserve"> </w:t>
      </w:r>
      <w:r w:rsidR="00CE41D6" w:rsidRPr="00311499">
        <w:rPr>
          <w:rFonts w:asciiTheme="minorHAnsi" w:eastAsia="Times New Roman" w:hAnsiTheme="minorHAnsi" w:cs="Arial"/>
          <w:bCs/>
          <w:sz w:val="22"/>
          <w:szCs w:val="22"/>
        </w:rPr>
        <w:t>(</w:t>
      </w:r>
      <w:r w:rsidR="00311499" w:rsidRPr="00311499">
        <w:rPr>
          <w:rFonts w:asciiTheme="minorHAnsi" w:eastAsia="Times New Roman" w:hAnsiTheme="minorHAnsi" w:cs="Arial"/>
          <w:bCs/>
          <w:sz w:val="22"/>
          <w:szCs w:val="22"/>
        </w:rPr>
        <w:t>l</w:t>
      </w:r>
      <w:r w:rsidR="00CE41D6" w:rsidRPr="00311499">
        <w:rPr>
          <w:rFonts w:asciiTheme="minorHAnsi" w:eastAsia="Times New Roman" w:hAnsiTheme="minorHAnsi" w:cs="Arial"/>
          <w:bCs/>
          <w:sz w:val="22"/>
          <w:szCs w:val="22"/>
        </w:rPr>
        <w:t>)</w:t>
      </w:r>
      <w:r w:rsidR="00B473BF" w:rsidRPr="008227D2">
        <w:rPr>
          <w:rFonts w:asciiTheme="minorHAnsi" w:eastAsia="Times New Roman" w:hAnsiTheme="minorHAnsi" w:cs="Arial"/>
          <w:bCs/>
          <w:sz w:val="22"/>
          <w:szCs w:val="22"/>
        </w:rPr>
        <w:t xml:space="preserve"> of</w:t>
      </w:r>
      <w:r w:rsidR="00B473BF" w:rsidRPr="00DB0078">
        <w:rPr>
          <w:rFonts w:asciiTheme="minorHAnsi" w:eastAsia="Times New Roman" w:hAnsiTheme="minorHAnsi" w:cs="Arial"/>
          <w:bCs/>
          <w:sz w:val="22"/>
          <w:szCs w:val="22"/>
        </w:rPr>
        <w:t xml:space="preserve"> the accounting policies section</w:t>
      </w:r>
      <w:r w:rsidR="00CF0900" w:rsidRPr="00DB0078">
        <w:rPr>
          <w:rFonts w:asciiTheme="minorHAnsi" w:eastAsia="Times New Roman" w:hAnsiTheme="minorHAnsi" w:cs="Arial"/>
          <w:bCs/>
          <w:sz w:val="22"/>
          <w:szCs w:val="22"/>
        </w:rPr>
        <w:t xml:space="preserve"> and in note 3 to the HRA.  In 20</w:t>
      </w:r>
      <w:r w:rsidR="00310B28">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2</w:t>
      </w:r>
      <w:r w:rsidR="00CF0900" w:rsidRPr="00DB0078">
        <w:rPr>
          <w:rFonts w:asciiTheme="minorHAnsi" w:eastAsia="Times New Roman" w:hAnsiTheme="minorHAnsi" w:cs="Arial"/>
          <w:bCs/>
          <w:sz w:val="22"/>
          <w:szCs w:val="22"/>
        </w:rPr>
        <w:t>-</w:t>
      </w:r>
      <w:r w:rsidR="00B7398B" w:rsidRPr="00C21E81">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3</w:t>
      </w:r>
      <w:r w:rsidR="00CF0900" w:rsidRPr="00C21E81">
        <w:rPr>
          <w:rFonts w:asciiTheme="minorHAnsi" w:eastAsia="Times New Roman" w:hAnsiTheme="minorHAnsi" w:cs="Arial"/>
          <w:bCs/>
          <w:sz w:val="22"/>
          <w:szCs w:val="22"/>
        </w:rPr>
        <w:t xml:space="preserve"> </w:t>
      </w:r>
      <w:r w:rsidR="00CF0900" w:rsidRPr="00C96E4D">
        <w:rPr>
          <w:rFonts w:asciiTheme="minorHAnsi" w:eastAsia="Times New Roman" w:hAnsiTheme="minorHAnsi" w:cs="Arial"/>
          <w:bCs/>
          <w:sz w:val="22"/>
          <w:szCs w:val="22"/>
        </w:rPr>
        <w:t>£</w:t>
      </w:r>
      <w:r w:rsidR="00486082" w:rsidRPr="00C96E4D">
        <w:rPr>
          <w:rFonts w:asciiTheme="minorHAnsi" w:eastAsia="Times New Roman" w:hAnsiTheme="minorHAnsi" w:cs="Arial"/>
          <w:bCs/>
          <w:sz w:val="22"/>
          <w:szCs w:val="22"/>
        </w:rPr>
        <w:t>1,</w:t>
      </w:r>
      <w:r w:rsidR="00C96E4D" w:rsidRPr="00C96E4D">
        <w:rPr>
          <w:rFonts w:asciiTheme="minorHAnsi" w:eastAsia="Times New Roman" w:hAnsiTheme="minorHAnsi" w:cs="Arial"/>
          <w:bCs/>
          <w:sz w:val="22"/>
          <w:szCs w:val="22"/>
        </w:rPr>
        <w:t>591</w:t>
      </w:r>
      <w:r w:rsidR="007B29D5" w:rsidRPr="00C96E4D">
        <w:rPr>
          <w:rFonts w:asciiTheme="minorHAnsi" w:eastAsia="Times New Roman" w:hAnsiTheme="minorHAnsi" w:cs="Arial"/>
          <w:bCs/>
          <w:sz w:val="22"/>
          <w:szCs w:val="22"/>
        </w:rPr>
        <w:t>k</w:t>
      </w:r>
      <w:r w:rsidR="0025194F" w:rsidRPr="00C21E81">
        <w:rPr>
          <w:rFonts w:asciiTheme="minorHAnsi" w:eastAsia="Times New Roman" w:hAnsiTheme="minorHAnsi" w:cs="Arial"/>
          <w:bCs/>
          <w:sz w:val="22"/>
          <w:szCs w:val="22"/>
        </w:rPr>
        <w:t xml:space="preserve"> </w:t>
      </w:r>
      <w:r w:rsidRPr="00C21E81">
        <w:rPr>
          <w:rFonts w:asciiTheme="minorHAnsi" w:eastAsia="Times New Roman" w:hAnsiTheme="minorHAnsi" w:cs="Arial"/>
          <w:bCs/>
          <w:sz w:val="22"/>
          <w:szCs w:val="22"/>
        </w:rPr>
        <w:t>depreciation</w:t>
      </w:r>
      <w:r w:rsidRPr="00DB0078">
        <w:rPr>
          <w:rFonts w:asciiTheme="minorHAnsi" w:eastAsia="Times New Roman" w:hAnsiTheme="minorHAnsi" w:cs="Arial"/>
          <w:bCs/>
          <w:sz w:val="22"/>
          <w:szCs w:val="22"/>
        </w:rPr>
        <w:t xml:space="preserve"> has been charged to the HRA</w:t>
      </w:r>
      <w:r w:rsidR="0020212A">
        <w:rPr>
          <w:rFonts w:asciiTheme="minorHAnsi" w:eastAsia="Times New Roman" w:hAnsiTheme="minorHAnsi" w:cs="Arial"/>
          <w:bCs/>
          <w:sz w:val="22"/>
          <w:szCs w:val="22"/>
        </w:rPr>
        <w:t xml:space="preserve"> (£1,</w:t>
      </w:r>
      <w:r w:rsidR="00310B28">
        <w:rPr>
          <w:rFonts w:asciiTheme="minorHAnsi" w:eastAsia="Times New Roman" w:hAnsiTheme="minorHAnsi" w:cs="Arial"/>
          <w:bCs/>
          <w:sz w:val="22"/>
          <w:szCs w:val="22"/>
        </w:rPr>
        <w:t>4</w:t>
      </w:r>
      <w:r w:rsidR="00002BDE">
        <w:rPr>
          <w:rFonts w:asciiTheme="minorHAnsi" w:eastAsia="Times New Roman" w:hAnsiTheme="minorHAnsi" w:cs="Arial"/>
          <w:bCs/>
          <w:sz w:val="22"/>
          <w:szCs w:val="22"/>
        </w:rPr>
        <w:t>68</w:t>
      </w:r>
      <w:r w:rsidR="0020212A">
        <w:rPr>
          <w:rFonts w:asciiTheme="minorHAnsi" w:eastAsia="Times New Roman" w:hAnsiTheme="minorHAnsi" w:cs="Arial"/>
          <w:bCs/>
          <w:sz w:val="22"/>
          <w:szCs w:val="22"/>
        </w:rPr>
        <w:t>k 20</w:t>
      </w:r>
      <w:r w:rsidR="000C31F4">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1</w:t>
      </w:r>
      <w:r w:rsidR="00310B28">
        <w:rPr>
          <w:rFonts w:asciiTheme="minorHAnsi" w:eastAsia="Times New Roman" w:hAnsiTheme="minorHAnsi" w:cs="Arial"/>
          <w:bCs/>
          <w:sz w:val="22"/>
          <w:szCs w:val="22"/>
        </w:rPr>
        <w:t>-2</w:t>
      </w:r>
      <w:r w:rsidR="00002BDE">
        <w:rPr>
          <w:rFonts w:asciiTheme="minorHAnsi" w:eastAsia="Times New Roman" w:hAnsiTheme="minorHAnsi" w:cs="Arial"/>
          <w:bCs/>
          <w:sz w:val="22"/>
          <w:szCs w:val="22"/>
        </w:rPr>
        <w:t>2</w:t>
      </w:r>
      <w:r w:rsidR="0020212A">
        <w:rPr>
          <w:rFonts w:asciiTheme="minorHAnsi" w:eastAsia="Times New Roman" w:hAnsiTheme="minorHAnsi" w:cs="Arial"/>
          <w:bCs/>
          <w:sz w:val="22"/>
          <w:szCs w:val="22"/>
        </w:rPr>
        <w:t>)</w:t>
      </w:r>
      <w:r w:rsidRPr="00DB0078">
        <w:rPr>
          <w:rFonts w:asciiTheme="minorHAnsi" w:eastAsia="Times New Roman" w:hAnsiTheme="minorHAnsi" w:cs="Arial"/>
          <w:bCs/>
          <w:sz w:val="22"/>
          <w:szCs w:val="22"/>
        </w:rPr>
        <w:t>.</w:t>
      </w:r>
    </w:p>
    <w:p w14:paraId="7DC9FA01" w14:textId="4888FF3C"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4AB478D6" w14:textId="088C93FF"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1416407B" w14:textId="34B473EB"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09CFD1EB" w14:textId="04B4EC28"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2BD46E75" w14:textId="0F9E53A0"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47FAE1CA" w14:textId="7EB4D2DA"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7A09F88B" w14:textId="6B90D65E"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2E7CC751" w14:textId="03F728F3"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3BEAA06F" w14:textId="331997F8"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77E7D02B" w14:textId="132A01FA"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4D9A8D24" w14:textId="3D257632" w:rsidR="001B4D9E"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61342704" w14:textId="77777777" w:rsidR="001B4D9E" w:rsidRPr="00DB0078" w:rsidRDefault="001B4D9E" w:rsidP="00A35FD2">
      <w:pPr>
        <w:pStyle w:val="xl24"/>
        <w:widowControl w:val="0"/>
        <w:tabs>
          <w:tab w:val="left" w:pos="0"/>
        </w:tabs>
        <w:spacing w:before="0" w:beforeAutospacing="0" w:after="0" w:afterAutospacing="0"/>
        <w:rPr>
          <w:rFonts w:asciiTheme="minorHAnsi" w:eastAsia="Times New Roman" w:hAnsiTheme="minorHAnsi" w:cs="Arial"/>
          <w:bCs/>
          <w:sz w:val="22"/>
          <w:szCs w:val="22"/>
        </w:rPr>
      </w:pPr>
    </w:p>
    <w:p w14:paraId="1561EED7" w14:textId="77777777" w:rsidR="00A35FD2" w:rsidRDefault="00A35FD2" w:rsidP="00A35FD2">
      <w:pPr>
        <w:pStyle w:val="xl24"/>
        <w:widowControl w:val="0"/>
        <w:tabs>
          <w:tab w:val="left" w:pos="426"/>
        </w:tabs>
        <w:spacing w:before="0" w:beforeAutospacing="0" w:after="0" w:afterAutospacing="0"/>
        <w:rPr>
          <w:rFonts w:asciiTheme="minorHAnsi" w:eastAsia="Times New Roman" w:hAnsiTheme="minorHAnsi" w:cs="Arial"/>
          <w:b/>
          <w:bCs/>
        </w:rPr>
      </w:pPr>
    </w:p>
    <w:p w14:paraId="69145A50" w14:textId="6CFD2F8A" w:rsidR="00FC2DFC" w:rsidRPr="00DB0078" w:rsidRDefault="00CB74A2" w:rsidP="00A35FD2">
      <w:pPr>
        <w:pStyle w:val="xl24"/>
        <w:widowControl w:val="0"/>
        <w:tabs>
          <w:tab w:val="left" w:pos="426"/>
        </w:tabs>
        <w:spacing w:before="0" w:beforeAutospacing="0" w:after="0" w:afterAutospacing="0"/>
        <w:rPr>
          <w:rFonts w:asciiTheme="minorHAnsi" w:eastAsia="Times New Roman" w:hAnsiTheme="minorHAnsi" w:cs="Arial"/>
          <w:b/>
          <w:bCs/>
        </w:rPr>
      </w:pPr>
      <w:r w:rsidRPr="00DB0078">
        <w:rPr>
          <w:rFonts w:asciiTheme="minorHAnsi" w:eastAsia="Times New Roman" w:hAnsiTheme="minorHAnsi" w:cs="Arial"/>
          <w:b/>
          <w:bCs/>
        </w:rPr>
        <w:lastRenderedPageBreak/>
        <w:t>1</w:t>
      </w:r>
      <w:r w:rsidR="00C76AD3">
        <w:rPr>
          <w:rFonts w:asciiTheme="minorHAnsi" w:eastAsia="Times New Roman" w:hAnsiTheme="minorHAnsi" w:cs="Arial"/>
          <w:b/>
          <w:bCs/>
        </w:rPr>
        <w:t>1</w:t>
      </w:r>
      <w:r w:rsidR="00FC2DFC" w:rsidRPr="00DB0078">
        <w:rPr>
          <w:rFonts w:asciiTheme="minorHAnsi" w:eastAsia="Times New Roman" w:hAnsiTheme="minorHAnsi" w:cs="Arial"/>
          <w:b/>
          <w:bCs/>
        </w:rPr>
        <w:tab/>
        <w:t>HRA Reserves</w:t>
      </w:r>
    </w:p>
    <w:p w14:paraId="02861250" w14:textId="77777777" w:rsidR="002F0019" w:rsidRDefault="002F0019" w:rsidP="00A35FD2">
      <w:pPr>
        <w:pStyle w:val="xl24"/>
        <w:widowControl w:val="0"/>
        <w:tabs>
          <w:tab w:val="left" w:pos="426"/>
        </w:tabs>
        <w:spacing w:before="0" w:beforeAutospacing="0" w:after="0" w:afterAutospacing="0"/>
        <w:rPr>
          <w:rFonts w:asciiTheme="minorHAnsi" w:eastAsia="Times New Roman" w:hAnsiTheme="minorHAnsi" w:cs="Arial"/>
          <w:b/>
          <w:sz w:val="22"/>
          <w:szCs w:val="22"/>
        </w:rPr>
      </w:pPr>
    </w:p>
    <w:p w14:paraId="4CD98F58" w14:textId="3FE65635" w:rsidR="00CB74A2" w:rsidRPr="00DB0078" w:rsidRDefault="00CB74A2" w:rsidP="00A35FD2">
      <w:pPr>
        <w:pStyle w:val="xl24"/>
        <w:widowControl w:val="0"/>
        <w:tabs>
          <w:tab w:val="left" w:pos="426"/>
        </w:tabs>
        <w:spacing w:before="0" w:beforeAutospacing="0" w:after="0" w:afterAutospacing="0"/>
        <w:rPr>
          <w:rFonts w:asciiTheme="minorHAnsi" w:eastAsia="Times New Roman" w:hAnsiTheme="minorHAnsi" w:cs="Arial"/>
          <w:bCs/>
          <w:sz w:val="22"/>
          <w:szCs w:val="22"/>
        </w:rPr>
      </w:pPr>
      <w:r w:rsidRPr="00DB0078">
        <w:rPr>
          <w:rFonts w:asciiTheme="minorHAnsi" w:eastAsia="Times New Roman" w:hAnsiTheme="minorHAnsi" w:cs="Arial"/>
          <w:b/>
          <w:sz w:val="22"/>
          <w:szCs w:val="22"/>
        </w:rPr>
        <w:t>Major Repairs Reserve</w:t>
      </w:r>
    </w:p>
    <w:tbl>
      <w:tblPr>
        <w:tblW w:w="10000" w:type="dxa"/>
        <w:tblInd w:w="93" w:type="dxa"/>
        <w:tblLook w:val="04A0" w:firstRow="1" w:lastRow="0" w:firstColumn="1" w:lastColumn="0" w:noHBand="0" w:noVBand="1"/>
        <w:tblCaption w:val="Major repairs Reserve"/>
        <w:tblDescription w:val="Major repairs Reserve"/>
      </w:tblPr>
      <w:tblGrid>
        <w:gridCol w:w="1520"/>
        <w:gridCol w:w="6980"/>
        <w:gridCol w:w="1500"/>
      </w:tblGrid>
      <w:tr w:rsidR="00DB0078" w:rsidRPr="00DB0078" w14:paraId="566A5E2C"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515D0C78" w14:textId="20A9D92C" w:rsidR="00DB0078" w:rsidRPr="00DB0078" w:rsidRDefault="00DB0078" w:rsidP="00310B28">
            <w:pPr>
              <w:jc w:val="right"/>
              <w:rPr>
                <w:rFonts w:ascii="Calibri" w:hAnsi="Calibri"/>
                <w:color w:val="000000"/>
                <w:lang w:eastAsia="en-GB"/>
              </w:rPr>
            </w:pPr>
            <w:r w:rsidRPr="00DB0078">
              <w:rPr>
                <w:rFonts w:ascii="Calibri" w:hAnsi="Calibri"/>
                <w:color w:val="000000"/>
                <w:lang w:eastAsia="en-GB"/>
              </w:rPr>
              <w:t>20</w:t>
            </w:r>
            <w:r w:rsidR="000C31F4">
              <w:rPr>
                <w:rFonts w:ascii="Calibri" w:hAnsi="Calibri"/>
                <w:color w:val="000000"/>
                <w:lang w:eastAsia="en-GB"/>
              </w:rPr>
              <w:t>2</w:t>
            </w:r>
            <w:r w:rsidR="00002BDE">
              <w:rPr>
                <w:rFonts w:ascii="Calibri" w:hAnsi="Calibri"/>
                <w:color w:val="000000"/>
                <w:lang w:eastAsia="en-GB"/>
              </w:rPr>
              <w:t>1</w:t>
            </w:r>
            <w:r w:rsidRPr="00DB0078">
              <w:rPr>
                <w:rFonts w:ascii="Calibri" w:hAnsi="Calibri"/>
                <w:color w:val="000000"/>
                <w:lang w:eastAsia="en-GB"/>
              </w:rPr>
              <w:t>-</w:t>
            </w:r>
            <w:r w:rsidR="00310B2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79B427D7" w14:textId="77777777" w:rsidR="00DB0078" w:rsidRPr="00DB0078" w:rsidRDefault="00DB0078" w:rsidP="00DB0078">
            <w:pPr>
              <w:rPr>
                <w:rFonts w:ascii="Calibri" w:hAnsi="Calibri"/>
                <w:color w:val="000000"/>
                <w:lang w:eastAsia="en-GB"/>
              </w:rPr>
            </w:pPr>
            <w:r w:rsidRPr="00DB0078">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0F69518E" w14:textId="5E9045E3" w:rsidR="00DB0078" w:rsidRPr="00DB0078" w:rsidRDefault="00DB0078" w:rsidP="00310B28">
            <w:pPr>
              <w:jc w:val="right"/>
              <w:rPr>
                <w:rFonts w:ascii="Calibri" w:hAnsi="Calibri"/>
                <w:color w:val="000000"/>
                <w:lang w:eastAsia="en-GB"/>
              </w:rPr>
            </w:pPr>
            <w:r w:rsidRPr="00DB0078">
              <w:rPr>
                <w:rFonts w:ascii="Calibri" w:hAnsi="Calibri"/>
                <w:color w:val="000000"/>
                <w:lang w:eastAsia="en-GB"/>
              </w:rPr>
              <w:t>20</w:t>
            </w:r>
            <w:r w:rsidR="00310B28">
              <w:rPr>
                <w:rFonts w:ascii="Calibri" w:hAnsi="Calibri"/>
                <w:color w:val="000000"/>
                <w:lang w:eastAsia="en-GB"/>
              </w:rPr>
              <w:t>2</w:t>
            </w:r>
            <w:r w:rsidR="00002BDE">
              <w:rPr>
                <w:rFonts w:ascii="Calibri" w:hAnsi="Calibri"/>
                <w:color w:val="000000"/>
                <w:lang w:eastAsia="en-GB"/>
              </w:rPr>
              <w:t>2</w:t>
            </w:r>
            <w:r w:rsidRPr="00DB0078">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DB0078" w:rsidRPr="00DB0078" w14:paraId="1C22A70E" w14:textId="77777777" w:rsidTr="00DB0078">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49AB908E"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55D577DE" w14:textId="77777777" w:rsidR="00DB0078" w:rsidRPr="00DB0078" w:rsidRDefault="00DB0078" w:rsidP="00DB0078">
            <w:pPr>
              <w:rPr>
                <w:rFonts w:ascii="Calibri" w:hAnsi="Calibri"/>
                <w:color w:val="000000"/>
                <w:lang w:eastAsia="en-GB"/>
              </w:rPr>
            </w:pPr>
            <w:r w:rsidRPr="00DB0078">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79646925"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£’000</w:t>
            </w:r>
          </w:p>
        </w:tc>
      </w:tr>
      <w:tr w:rsidR="00DB0078" w:rsidRPr="00DB0078" w14:paraId="1FBF491F" w14:textId="77777777" w:rsidTr="00DB007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786F8C3D" w14:textId="285EAAF0" w:rsidR="00DB0078" w:rsidRPr="00DB0078" w:rsidRDefault="00DB0078" w:rsidP="00310B28">
            <w:pPr>
              <w:jc w:val="right"/>
              <w:rPr>
                <w:rFonts w:ascii="Calibri" w:hAnsi="Calibri"/>
                <w:b/>
                <w:bCs/>
                <w:color w:val="000000"/>
                <w:lang w:eastAsia="en-GB"/>
              </w:rPr>
            </w:pPr>
            <w:r w:rsidRPr="00DB0078">
              <w:rPr>
                <w:rFonts w:ascii="Calibri" w:hAnsi="Calibri"/>
                <w:b/>
                <w:bCs/>
                <w:color w:val="000000"/>
                <w:lang w:eastAsia="en-GB"/>
              </w:rPr>
              <w:t>2,</w:t>
            </w:r>
            <w:r w:rsidR="00002BDE">
              <w:rPr>
                <w:rFonts w:ascii="Calibri" w:hAnsi="Calibri"/>
                <w:b/>
                <w:bCs/>
                <w:color w:val="000000"/>
                <w:lang w:eastAsia="en-GB"/>
              </w:rPr>
              <w:t>872</w:t>
            </w:r>
          </w:p>
        </w:tc>
        <w:tc>
          <w:tcPr>
            <w:tcW w:w="6980" w:type="dxa"/>
            <w:tcBorders>
              <w:top w:val="nil"/>
              <w:left w:val="nil"/>
              <w:bottom w:val="single" w:sz="4" w:space="0" w:color="FFFFFF"/>
              <w:right w:val="single" w:sz="4" w:space="0" w:color="FFFFFF"/>
            </w:tcBorders>
            <w:shd w:val="clear" w:color="000000" w:fill="B7DEE8"/>
            <w:vAlign w:val="center"/>
            <w:hideMark/>
          </w:tcPr>
          <w:p w14:paraId="6A63FD4A" w14:textId="77777777" w:rsidR="00DB0078" w:rsidRPr="00DB0078" w:rsidRDefault="00DB0078" w:rsidP="00DB0078">
            <w:pPr>
              <w:ind w:firstLineChars="100" w:firstLine="201"/>
              <w:rPr>
                <w:rFonts w:ascii="Calibri" w:hAnsi="Calibri"/>
                <w:b/>
                <w:bCs/>
                <w:color w:val="000000"/>
                <w:lang w:eastAsia="en-GB"/>
              </w:rPr>
            </w:pPr>
            <w:r w:rsidRPr="00DB0078">
              <w:rPr>
                <w:rFonts w:ascii="Calibri" w:hAnsi="Calibri"/>
                <w:b/>
                <w:bCs/>
                <w:color w:val="000000"/>
                <w:lang w:eastAsia="en-GB"/>
              </w:rPr>
              <w:t xml:space="preserve">Balance brought forward 1 April </w:t>
            </w:r>
          </w:p>
        </w:tc>
        <w:tc>
          <w:tcPr>
            <w:tcW w:w="1500" w:type="dxa"/>
            <w:tcBorders>
              <w:top w:val="nil"/>
              <w:left w:val="nil"/>
              <w:bottom w:val="single" w:sz="4" w:space="0" w:color="FFFFFF"/>
              <w:right w:val="single" w:sz="4" w:space="0" w:color="FFFFFF"/>
            </w:tcBorders>
            <w:shd w:val="clear" w:color="000000" w:fill="B7DEE8"/>
            <w:vAlign w:val="center"/>
            <w:hideMark/>
          </w:tcPr>
          <w:p w14:paraId="18F8E6E9" w14:textId="4D47006D" w:rsidR="00DB0078" w:rsidRPr="00DB0078" w:rsidRDefault="00002BDE" w:rsidP="00310B28">
            <w:pPr>
              <w:jc w:val="right"/>
              <w:rPr>
                <w:rFonts w:ascii="Calibri" w:hAnsi="Calibri"/>
                <w:b/>
                <w:bCs/>
                <w:color w:val="000000"/>
                <w:lang w:eastAsia="en-GB"/>
              </w:rPr>
            </w:pPr>
            <w:r>
              <w:rPr>
                <w:rFonts w:ascii="Calibri" w:hAnsi="Calibri"/>
                <w:b/>
                <w:bCs/>
                <w:color w:val="000000"/>
                <w:lang w:eastAsia="en-GB"/>
              </w:rPr>
              <w:t>3,484</w:t>
            </w:r>
          </w:p>
        </w:tc>
      </w:tr>
      <w:tr w:rsidR="00DB0078" w:rsidRPr="00DB0078" w14:paraId="76AD60CE"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0864E0E3" w14:textId="21AA1F9B" w:rsidR="00DB0078" w:rsidRPr="00DB0078" w:rsidRDefault="00DB0078" w:rsidP="00B7398B">
            <w:pPr>
              <w:jc w:val="right"/>
              <w:rPr>
                <w:rFonts w:ascii="Calibri" w:hAnsi="Calibri"/>
                <w:color w:val="000000"/>
                <w:lang w:eastAsia="en-GB"/>
              </w:rPr>
            </w:pPr>
            <w:r w:rsidRPr="00DB0078">
              <w:rPr>
                <w:rFonts w:ascii="Calibri" w:hAnsi="Calibri"/>
                <w:color w:val="000000"/>
                <w:lang w:eastAsia="en-GB"/>
              </w:rPr>
              <w:t>1,</w:t>
            </w:r>
            <w:r w:rsidR="00310B28">
              <w:rPr>
                <w:rFonts w:ascii="Calibri" w:hAnsi="Calibri"/>
                <w:color w:val="000000"/>
                <w:lang w:eastAsia="en-GB"/>
              </w:rPr>
              <w:t>4</w:t>
            </w:r>
            <w:r w:rsidR="00002BDE">
              <w:rPr>
                <w:rFonts w:ascii="Calibri" w:hAnsi="Calibri"/>
                <w:color w:val="000000"/>
                <w:lang w:eastAsia="en-GB"/>
              </w:rPr>
              <w:t>68</w:t>
            </w:r>
          </w:p>
        </w:tc>
        <w:tc>
          <w:tcPr>
            <w:tcW w:w="6980" w:type="dxa"/>
            <w:tcBorders>
              <w:top w:val="nil"/>
              <w:left w:val="nil"/>
              <w:bottom w:val="single" w:sz="4" w:space="0" w:color="FFFFFF"/>
              <w:right w:val="single" w:sz="4" w:space="0" w:color="FFFFFF"/>
            </w:tcBorders>
            <w:shd w:val="clear" w:color="000000" w:fill="DAEEF3"/>
            <w:vAlign w:val="center"/>
            <w:hideMark/>
          </w:tcPr>
          <w:p w14:paraId="211427E7" w14:textId="77777777" w:rsidR="00DB0078" w:rsidRPr="00DB0078" w:rsidRDefault="00DB0078" w:rsidP="00DB0078">
            <w:pPr>
              <w:ind w:firstLineChars="100" w:firstLine="200"/>
              <w:rPr>
                <w:rFonts w:ascii="Calibri" w:hAnsi="Calibri"/>
                <w:color w:val="000000"/>
                <w:lang w:eastAsia="en-GB"/>
              </w:rPr>
            </w:pPr>
            <w:r w:rsidRPr="00DB0078">
              <w:rPr>
                <w:rFonts w:ascii="Calibri" w:hAnsi="Calibri"/>
                <w:color w:val="000000"/>
                <w:lang w:eastAsia="en-GB"/>
              </w:rPr>
              <w:t>Cash backed Depreciation from the HRA</w:t>
            </w:r>
          </w:p>
        </w:tc>
        <w:tc>
          <w:tcPr>
            <w:tcW w:w="1500" w:type="dxa"/>
            <w:tcBorders>
              <w:top w:val="nil"/>
              <w:left w:val="nil"/>
              <w:bottom w:val="single" w:sz="4" w:space="0" w:color="FFFFFF"/>
              <w:right w:val="single" w:sz="4" w:space="0" w:color="FFFFFF"/>
            </w:tcBorders>
            <w:shd w:val="clear" w:color="000000" w:fill="DAEEF3"/>
            <w:vAlign w:val="center"/>
          </w:tcPr>
          <w:p w14:paraId="1D4B8EAE" w14:textId="78E09E1E" w:rsidR="00DB0078" w:rsidRPr="00DB0078" w:rsidRDefault="00C96E4D" w:rsidP="00924587">
            <w:pPr>
              <w:jc w:val="right"/>
              <w:rPr>
                <w:rFonts w:ascii="Calibri" w:hAnsi="Calibri"/>
                <w:color w:val="000000"/>
                <w:lang w:eastAsia="en-GB"/>
              </w:rPr>
            </w:pPr>
            <w:r>
              <w:rPr>
                <w:rFonts w:ascii="Calibri" w:hAnsi="Calibri"/>
                <w:color w:val="000000"/>
                <w:lang w:eastAsia="en-GB"/>
              </w:rPr>
              <w:t>1,591</w:t>
            </w:r>
          </w:p>
        </w:tc>
      </w:tr>
      <w:tr w:rsidR="00DB0078" w:rsidRPr="00DB0078" w14:paraId="0CFF5972"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7467B67E"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49D1031F" w14:textId="77777777" w:rsidR="00DB0078" w:rsidRPr="00DB0078" w:rsidRDefault="00DB0078" w:rsidP="00DB0078">
            <w:pPr>
              <w:ind w:firstLineChars="100" w:firstLine="200"/>
              <w:rPr>
                <w:rFonts w:ascii="Calibri" w:hAnsi="Calibri"/>
                <w:color w:val="000000"/>
                <w:lang w:eastAsia="en-GB"/>
              </w:rPr>
            </w:pPr>
            <w:r w:rsidRPr="00DB0078">
              <w:rPr>
                <w:rFonts w:ascii="Calibri" w:hAnsi="Calibri"/>
                <w:color w:val="000000"/>
                <w:lang w:eastAsia="en-GB"/>
              </w:rPr>
              <w:t>Decent Homes Funding</w:t>
            </w:r>
          </w:p>
        </w:tc>
        <w:tc>
          <w:tcPr>
            <w:tcW w:w="1500" w:type="dxa"/>
            <w:tcBorders>
              <w:top w:val="nil"/>
              <w:left w:val="nil"/>
              <w:bottom w:val="single" w:sz="4" w:space="0" w:color="FFFFFF"/>
              <w:right w:val="single" w:sz="4" w:space="0" w:color="FFFFFF"/>
            </w:tcBorders>
            <w:shd w:val="clear" w:color="000000" w:fill="DAEEF3"/>
            <w:vAlign w:val="center"/>
          </w:tcPr>
          <w:p w14:paraId="7271A622" w14:textId="5C1EE1E1" w:rsidR="00DB0078" w:rsidRPr="00DB0078" w:rsidRDefault="00C96E4D" w:rsidP="00DB0078">
            <w:pPr>
              <w:jc w:val="right"/>
              <w:rPr>
                <w:rFonts w:ascii="Calibri" w:hAnsi="Calibri"/>
                <w:color w:val="000000"/>
                <w:lang w:eastAsia="en-GB"/>
              </w:rPr>
            </w:pPr>
            <w:r>
              <w:rPr>
                <w:rFonts w:ascii="Calibri" w:hAnsi="Calibri"/>
                <w:color w:val="000000"/>
                <w:lang w:eastAsia="en-GB"/>
              </w:rPr>
              <w:t>0</w:t>
            </w:r>
          </w:p>
        </w:tc>
      </w:tr>
      <w:tr w:rsidR="00DB0078" w:rsidRPr="00DB0078" w14:paraId="5FE6F10E"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B171DE4" w14:textId="1B103638" w:rsidR="00DB0078" w:rsidRPr="00DB0078" w:rsidRDefault="00DB0078" w:rsidP="000B64D6">
            <w:pPr>
              <w:jc w:val="right"/>
              <w:rPr>
                <w:rFonts w:ascii="Calibri" w:hAnsi="Calibri"/>
                <w:color w:val="000000"/>
                <w:lang w:eastAsia="en-GB"/>
              </w:rPr>
            </w:pPr>
            <w:r w:rsidRPr="00DB0078">
              <w:rPr>
                <w:rFonts w:ascii="Calibri" w:hAnsi="Calibri"/>
                <w:color w:val="000000"/>
                <w:lang w:eastAsia="en-GB"/>
              </w:rPr>
              <w:t>-1,</w:t>
            </w:r>
            <w:r w:rsidR="00002BDE">
              <w:rPr>
                <w:rFonts w:ascii="Calibri" w:hAnsi="Calibri"/>
                <w:color w:val="000000"/>
                <w:lang w:eastAsia="en-GB"/>
              </w:rPr>
              <w:t>112</w:t>
            </w:r>
          </w:p>
        </w:tc>
        <w:tc>
          <w:tcPr>
            <w:tcW w:w="6980" w:type="dxa"/>
            <w:tcBorders>
              <w:top w:val="nil"/>
              <w:left w:val="nil"/>
              <w:bottom w:val="single" w:sz="4" w:space="0" w:color="FFFFFF"/>
              <w:right w:val="single" w:sz="4" w:space="0" w:color="FFFFFF"/>
            </w:tcBorders>
            <w:shd w:val="clear" w:color="000000" w:fill="DAEEF3"/>
            <w:vAlign w:val="center"/>
            <w:hideMark/>
          </w:tcPr>
          <w:p w14:paraId="00E28581" w14:textId="77777777" w:rsidR="00DB0078" w:rsidRPr="00DB0078" w:rsidRDefault="00DB0078" w:rsidP="00DB0078">
            <w:pPr>
              <w:ind w:firstLineChars="100" w:firstLine="200"/>
              <w:rPr>
                <w:rFonts w:ascii="Calibri" w:hAnsi="Calibri"/>
                <w:color w:val="000000"/>
                <w:lang w:eastAsia="en-GB"/>
              </w:rPr>
            </w:pPr>
            <w:r w:rsidRPr="00DB0078">
              <w:rPr>
                <w:rFonts w:ascii="Calibri" w:hAnsi="Calibri"/>
                <w:color w:val="000000"/>
                <w:lang w:eastAsia="en-GB"/>
              </w:rPr>
              <w:t>Capital Expenditure – Dwellings</w:t>
            </w:r>
          </w:p>
        </w:tc>
        <w:tc>
          <w:tcPr>
            <w:tcW w:w="1500" w:type="dxa"/>
            <w:tcBorders>
              <w:top w:val="nil"/>
              <w:left w:val="nil"/>
              <w:bottom w:val="single" w:sz="4" w:space="0" w:color="FFFFFF"/>
              <w:right w:val="single" w:sz="4" w:space="0" w:color="FFFFFF"/>
            </w:tcBorders>
            <w:shd w:val="clear" w:color="000000" w:fill="DAEEF3"/>
            <w:vAlign w:val="center"/>
          </w:tcPr>
          <w:p w14:paraId="0D2858E5" w14:textId="57024124" w:rsidR="00DB0078" w:rsidRPr="00DB0078" w:rsidRDefault="00C96E4D" w:rsidP="003E50B2">
            <w:pPr>
              <w:jc w:val="right"/>
              <w:rPr>
                <w:rFonts w:ascii="Calibri" w:hAnsi="Calibri"/>
                <w:color w:val="000000"/>
                <w:lang w:eastAsia="en-GB"/>
              </w:rPr>
            </w:pPr>
            <w:r>
              <w:rPr>
                <w:rFonts w:ascii="Calibri" w:hAnsi="Calibri"/>
                <w:color w:val="000000"/>
                <w:lang w:eastAsia="en-GB"/>
              </w:rPr>
              <w:t>-1,943</w:t>
            </w:r>
          </w:p>
        </w:tc>
      </w:tr>
      <w:tr w:rsidR="008837CC" w:rsidRPr="00DB0078" w14:paraId="3C74492E"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tcPr>
          <w:p w14:paraId="39BA7D57" w14:textId="77777777" w:rsidR="008837CC" w:rsidRPr="00DB0078" w:rsidRDefault="00B7398B" w:rsidP="000B64D6">
            <w:pPr>
              <w:jc w:val="right"/>
              <w:rPr>
                <w:rFonts w:ascii="Calibri" w:hAnsi="Calibri"/>
                <w:color w:val="000000"/>
                <w:lang w:eastAsia="en-GB"/>
              </w:rPr>
            </w:pPr>
            <w:r>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tcPr>
          <w:p w14:paraId="42674D45" w14:textId="77777777" w:rsidR="008837CC" w:rsidRPr="00DB0078" w:rsidRDefault="008837CC" w:rsidP="00DB0078">
            <w:pPr>
              <w:ind w:firstLineChars="100" w:firstLine="200"/>
              <w:rPr>
                <w:rFonts w:ascii="Calibri" w:hAnsi="Calibri"/>
                <w:color w:val="000000"/>
                <w:lang w:eastAsia="en-GB"/>
              </w:rPr>
            </w:pPr>
            <w:r>
              <w:rPr>
                <w:rFonts w:ascii="Calibri" w:hAnsi="Calibri"/>
                <w:color w:val="000000"/>
                <w:lang w:eastAsia="en-GB"/>
              </w:rPr>
              <w:t>Contribution to previous year Capital Expenditure</w:t>
            </w:r>
          </w:p>
        </w:tc>
        <w:tc>
          <w:tcPr>
            <w:tcW w:w="1500" w:type="dxa"/>
            <w:tcBorders>
              <w:top w:val="nil"/>
              <w:left w:val="nil"/>
              <w:bottom w:val="single" w:sz="4" w:space="0" w:color="FFFFFF"/>
              <w:right w:val="single" w:sz="4" w:space="0" w:color="FFFFFF"/>
            </w:tcBorders>
            <w:shd w:val="clear" w:color="000000" w:fill="DAEEF3"/>
            <w:vAlign w:val="center"/>
          </w:tcPr>
          <w:p w14:paraId="100C21AB" w14:textId="0C89F300" w:rsidR="008837CC" w:rsidRDefault="00C96E4D" w:rsidP="00DB0078">
            <w:pPr>
              <w:jc w:val="right"/>
              <w:rPr>
                <w:rFonts w:ascii="Calibri" w:hAnsi="Calibri"/>
                <w:color w:val="000000"/>
                <w:lang w:eastAsia="en-GB"/>
              </w:rPr>
            </w:pPr>
            <w:r>
              <w:rPr>
                <w:rFonts w:ascii="Calibri" w:hAnsi="Calibri"/>
                <w:color w:val="000000"/>
                <w:lang w:eastAsia="en-GB"/>
              </w:rPr>
              <w:t>0</w:t>
            </w:r>
          </w:p>
        </w:tc>
      </w:tr>
      <w:tr w:rsidR="00DB0078" w:rsidRPr="00DB0078" w14:paraId="6F246113"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54283C0E" w14:textId="77777777" w:rsidR="00DB0078" w:rsidRPr="00DB0078" w:rsidRDefault="00DB0078" w:rsidP="00DB0078">
            <w:pPr>
              <w:jc w:val="right"/>
              <w:rPr>
                <w:rFonts w:ascii="Calibri" w:hAnsi="Calibri"/>
                <w:color w:val="000000"/>
                <w:lang w:eastAsia="en-GB"/>
              </w:rPr>
            </w:pPr>
            <w:r w:rsidRPr="00DB0078">
              <w:rPr>
                <w:rFonts w:ascii="Calibri" w:hAnsi="Calibri"/>
                <w:color w:val="000000"/>
                <w:lang w:eastAsia="en-GB"/>
              </w:rPr>
              <w:t>0</w:t>
            </w:r>
          </w:p>
        </w:tc>
        <w:tc>
          <w:tcPr>
            <w:tcW w:w="6980" w:type="dxa"/>
            <w:tcBorders>
              <w:top w:val="nil"/>
              <w:left w:val="nil"/>
              <w:bottom w:val="single" w:sz="4" w:space="0" w:color="FFFFFF"/>
              <w:right w:val="single" w:sz="4" w:space="0" w:color="FFFFFF"/>
            </w:tcBorders>
            <w:shd w:val="clear" w:color="000000" w:fill="DAEEF3"/>
            <w:vAlign w:val="center"/>
            <w:hideMark/>
          </w:tcPr>
          <w:p w14:paraId="2694D6D4" w14:textId="77777777" w:rsidR="00DB0078" w:rsidRPr="00DB0078" w:rsidRDefault="00DB0078" w:rsidP="00DB0078">
            <w:pPr>
              <w:ind w:firstLineChars="100" w:firstLine="200"/>
              <w:rPr>
                <w:rFonts w:ascii="Calibri" w:hAnsi="Calibri"/>
                <w:color w:val="000000"/>
                <w:lang w:eastAsia="en-GB"/>
              </w:rPr>
            </w:pPr>
            <w:r w:rsidRPr="00DB0078">
              <w:rPr>
                <w:rFonts w:ascii="Calibri" w:hAnsi="Calibri"/>
                <w:color w:val="000000"/>
                <w:lang w:eastAsia="en-GB"/>
              </w:rPr>
              <w:t>Repayment of Borrowing Principal</w:t>
            </w:r>
          </w:p>
        </w:tc>
        <w:tc>
          <w:tcPr>
            <w:tcW w:w="1500" w:type="dxa"/>
            <w:tcBorders>
              <w:top w:val="nil"/>
              <w:left w:val="nil"/>
              <w:bottom w:val="single" w:sz="4" w:space="0" w:color="FFFFFF"/>
              <w:right w:val="single" w:sz="4" w:space="0" w:color="FFFFFF"/>
            </w:tcBorders>
            <w:shd w:val="clear" w:color="000000" w:fill="DAEEF3"/>
            <w:vAlign w:val="center"/>
          </w:tcPr>
          <w:p w14:paraId="37025284" w14:textId="233BF036" w:rsidR="00DB0078" w:rsidRPr="00DB0078" w:rsidRDefault="00C96E4D" w:rsidP="00DB0078">
            <w:pPr>
              <w:jc w:val="right"/>
              <w:rPr>
                <w:rFonts w:ascii="Calibri" w:hAnsi="Calibri"/>
                <w:color w:val="000000"/>
                <w:lang w:eastAsia="en-GB"/>
              </w:rPr>
            </w:pPr>
            <w:r>
              <w:rPr>
                <w:rFonts w:ascii="Calibri" w:hAnsi="Calibri"/>
                <w:color w:val="000000"/>
                <w:lang w:eastAsia="en-GB"/>
              </w:rPr>
              <w:t>0</w:t>
            </w:r>
          </w:p>
        </w:tc>
      </w:tr>
      <w:tr w:rsidR="00DB0078" w:rsidRPr="00DB0078" w14:paraId="25BD188E"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1AD0EE9" w14:textId="4B4A3A33" w:rsidR="00DB0078" w:rsidRPr="00DB0078" w:rsidRDefault="00002BDE" w:rsidP="00DB0078">
            <w:pPr>
              <w:jc w:val="right"/>
              <w:rPr>
                <w:rFonts w:ascii="Calibri" w:hAnsi="Calibri"/>
                <w:color w:val="000000"/>
                <w:lang w:eastAsia="en-GB"/>
              </w:rPr>
            </w:pPr>
            <w:r>
              <w:rPr>
                <w:rFonts w:ascii="Calibri" w:hAnsi="Calibri"/>
                <w:color w:val="000000"/>
                <w:lang w:eastAsia="en-GB"/>
              </w:rPr>
              <w:t>256</w:t>
            </w:r>
          </w:p>
        </w:tc>
        <w:tc>
          <w:tcPr>
            <w:tcW w:w="6980" w:type="dxa"/>
            <w:tcBorders>
              <w:top w:val="nil"/>
              <w:left w:val="nil"/>
              <w:bottom w:val="single" w:sz="4" w:space="0" w:color="FFFFFF"/>
              <w:right w:val="single" w:sz="4" w:space="0" w:color="FFFFFF"/>
            </w:tcBorders>
            <w:shd w:val="clear" w:color="000000" w:fill="DAEEF3"/>
            <w:vAlign w:val="center"/>
            <w:hideMark/>
          </w:tcPr>
          <w:p w14:paraId="4721E7F8" w14:textId="77777777" w:rsidR="00DB0078" w:rsidRPr="00DB0078" w:rsidRDefault="00DB0078" w:rsidP="00DB0078">
            <w:pPr>
              <w:ind w:firstLineChars="100" w:firstLine="200"/>
              <w:rPr>
                <w:rFonts w:ascii="Calibri" w:hAnsi="Calibri"/>
                <w:color w:val="000000"/>
                <w:lang w:eastAsia="en-GB"/>
              </w:rPr>
            </w:pPr>
            <w:r w:rsidRPr="00DB0078">
              <w:rPr>
                <w:rFonts w:ascii="Calibri" w:hAnsi="Calibri"/>
                <w:color w:val="000000"/>
                <w:lang w:eastAsia="en-GB"/>
              </w:rPr>
              <w:t>Transfer from the HRA</w:t>
            </w:r>
          </w:p>
        </w:tc>
        <w:tc>
          <w:tcPr>
            <w:tcW w:w="1500" w:type="dxa"/>
            <w:tcBorders>
              <w:top w:val="nil"/>
              <w:left w:val="nil"/>
              <w:bottom w:val="single" w:sz="4" w:space="0" w:color="FFFFFF"/>
              <w:right w:val="single" w:sz="4" w:space="0" w:color="FFFFFF"/>
            </w:tcBorders>
            <w:shd w:val="clear" w:color="000000" w:fill="DAEEF3"/>
            <w:vAlign w:val="center"/>
          </w:tcPr>
          <w:p w14:paraId="7ACD0170" w14:textId="48BF8434" w:rsidR="00DB0078" w:rsidRPr="00DB0078" w:rsidRDefault="00C96E4D" w:rsidP="00924587">
            <w:pPr>
              <w:jc w:val="right"/>
              <w:rPr>
                <w:rFonts w:ascii="Calibri" w:hAnsi="Calibri"/>
                <w:color w:val="000000"/>
                <w:lang w:eastAsia="en-GB"/>
              </w:rPr>
            </w:pPr>
            <w:r>
              <w:rPr>
                <w:rFonts w:ascii="Calibri" w:hAnsi="Calibri"/>
                <w:color w:val="000000"/>
                <w:lang w:eastAsia="en-GB"/>
              </w:rPr>
              <w:t>187</w:t>
            </w:r>
          </w:p>
        </w:tc>
      </w:tr>
      <w:tr w:rsidR="00DB0078" w:rsidRPr="00DB0078" w14:paraId="7FF58A5B"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6263C498" w14:textId="2FC80A49" w:rsidR="00DB0078" w:rsidRPr="00DB0078" w:rsidRDefault="00002BDE" w:rsidP="000B64D6">
            <w:pPr>
              <w:jc w:val="right"/>
              <w:rPr>
                <w:rFonts w:ascii="Calibri" w:hAnsi="Calibri"/>
                <w:b/>
                <w:bCs/>
                <w:color w:val="000000"/>
                <w:lang w:eastAsia="en-GB"/>
              </w:rPr>
            </w:pPr>
            <w:r>
              <w:rPr>
                <w:rFonts w:ascii="Calibri" w:hAnsi="Calibri"/>
                <w:b/>
                <w:bCs/>
                <w:color w:val="000000"/>
                <w:lang w:eastAsia="en-GB"/>
              </w:rPr>
              <w:t>3,484</w:t>
            </w:r>
          </w:p>
        </w:tc>
        <w:tc>
          <w:tcPr>
            <w:tcW w:w="6980" w:type="dxa"/>
            <w:tcBorders>
              <w:top w:val="nil"/>
              <w:left w:val="nil"/>
              <w:bottom w:val="single" w:sz="4" w:space="0" w:color="FFFFFF"/>
              <w:right w:val="single" w:sz="4" w:space="0" w:color="FFFFFF"/>
            </w:tcBorders>
            <w:shd w:val="clear" w:color="000000" w:fill="B7DEE8"/>
            <w:vAlign w:val="center"/>
            <w:hideMark/>
          </w:tcPr>
          <w:p w14:paraId="2879E039" w14:textId="77777777" w:rsidR="00DB0078" w:rsidRPr="00DB0078" w:rsidRDefault="00DB0078" w:rsidP="00DB0078">
            <w:pPr>
              <w:ind w:firstLineChars="100" w:firstLine="201"/>
              <w:rPr>
                <w:rFonts w:ascii="Calibri" w:hAnsi="Calibri"/>
                <w:b/>
                <w:bCs/>
                <w:color w:val="000000"/>
                <w:lang w:eastAsia="en-GB"/>
              </w:rPr>
            </w:pPr>
            <w:r w:rsidRPr="00DB0078">
              <w:rPr>
                <w:rFonts w:ascii="Calibri" w:hAnsi="Calibri"/>
                <w:b/>
                <w:bCs/>
                <w:color w:val="000000"/>
                <w:lang w:eastAsia="en-GB"/>
              </w:rPr>
              <w:t xml:space="preserve">Balance carried forward 31 March </w:t>
            </w:r>
          </w:p>
        </w:tc>
        <w:tc>
          <w:tcPr>
            <w:tcW w:w="1500" w:type="dxa"/>
            <w:tcBorders>
              <w:top w:val="nil"/>
              <w:left w:val="nil"/>
              <w:bottom w:val="single" w:sz="4" w:space="0" w:color="FFFFFF"/>
              <w:right w:val="single" w:sz="4" w:space="0" w:color="FFFFFF"/>
            </w:tcBorders>
            <w:shd w:val="clear" w:color="000000" w:fill="B7DEE8"/>
            <w:vAlign w:val="center"/>
          </w:tcPr>
          <w:p w14:paraId="669BBED9" w14:textId="548EDE92" w:rsidR="00DB0078" w:rsidRPr="00DB0078" w:rsidRDefault="00121DFC" w:rsidP="00DB0078">
            <w:pPr>
              <w:jc w:val="right"/>
              <w:rPr>
                <w:rFonts w:ascii="Calibri" w:hAnsi="Calibri"/>
                <w:b/>
                <w:bCs/>
                <w:color w:val="000000"/>
                <w:lang w:eastAsia="en-GB"/>
              </w:rPr>
            </w:pPr>
            <w:r>
              <w:rPr>
                <w:rFonts w:ascii="Calibri" w:hAnsi="Calibri"/>
                <w:b/>
                <w:bCs/>
                <w:color w:val="000000"/>
                <w:lang w:eastAsia="en-GB"/>
              </w:rPr>
              <w:t>3,319</w:t>
            </w:r>
          </w:p>
        </w:tc>
      </w:tr>
    </w:tbl>
    <w:p w14:paraId="1D81A300" w14:textId="77777777" w:rsidR="00F143AC" w:rsidRDefault="00F143AC" w:rsidP="001E4CF9">
      <w:pPr>
        <w:pStyle w:val="xl24"/>
        <w:widowControl w:val="0"/>
        <w:tabs>
          <w:tab w:val="left" w:pos="426"/>
        </w:tabs>
        <w:spacing w:before="0" w:beforeAutospacing="0" w:after="120" w:afterAutospacing="0"/>
        <w:rPr>
          <w:rFonts w:asciiTheme="minorHAnsi" w:eastAsia="Times New Roman" w:hAnsiTheme="minorHAnsi" w:cs="Arial"/>
          <w:b/>
          <w:bCs/>
          <w:sz w:val="22"/>
          <w:szCs w:val="22"/>
        </w:rPr>
      </w:pPr>
    </w:p>
    <w:p w14:paraId="115708D3" w14:textId="53EBF8F5" w:rsidR="009358C3" w:rsidRPr="00DB0078" w:rsidRDefault="009358C3" w:rsidP="001E4CF9">
      <w:pPr>
        <w:pStyle w:val="xl24"/>
        <w:widowControl w:val="0"/>
        <w:tabs>
          <w:tab w:val="left" w:pos="426"/>
        </w:tabs>
        <w:spacing w:before="0" w:beforeAutospacing="0" w:after="120" w:afterAutospacing="0"/>
        <w:rPr>
          <w:rFonts w:asciiTheme="minorHAnsi" w:eastAsia="Times New Roman" w:hAnsiTheme="minorHAnsi" w:cs="Arial"/>
          <w:b/>
          <w:bCs/>
          <w:sz w:val="22"/>
          <w:szCs w:val="22"/>
        </w:rPr>
      </w:pPr>
      <w:r w:rsidRPr="00DB0078">
        <w:rPr>
          <w:rFonts w:asciiTheme="minorHAnsi" w:eastAsia="Times New Roman" w:hAnsiTheme="minorHAnsi" w:cs="Arial"/>
          <w:b/>
          <w:bCs/>
          <w:sz w:val="22"/>
          <w:szCs w:val="22"/>
        </w:rPr>
        <w:t xml:space="preserve">Development </w:t>
      </w:r>
      <w:r w:rsidR="00704A70">
        <w:rPr>
          <w:rFonts w:asciiTheme="minorHAnsi" w:eastAsia="Times New Roman" w:hAnsiTheme="minorHAnsi" w:cs="Arial"/>
          <w:b/>
          <w:bCs/>
          <w:sz w:val="22"/>
          <w:szCs w:val="22"/>
        </w:rPr>
        <w:t>and</w:t>
      </w:r>
      <w:r w:rsidRPr="00DB0078">
        <w:rPr>
          <w:rFonts w:asciiTheme="minorHAnsi" w:eastAsia="Times New Roman" w:hAnsiTheme="minorHAnsi" w:cs="Arial"/>
          <w:b/>
          <w:bCs/>
          <w:sz w:val="22"/>
          <w:szCs w:val="22"/>
        </w:rPr>
        <w:t xml:space="preserve"> Regeneration Reserve</w:t>
      </w:r>
    </w:p>
    <w:p w14:paraId="52FA479D" w14:textId="7245CE30" w:rsidR="009358C3" w:rsidRDefault="009358C3" w:rsidP="00DB0078">
      <w:pPr>
        <w:pStyle w:val="xl24"/>
        <w:widowControl w:val="0"/>
        <w:tabs>
          <w:tab w:val="left" w:pos="0"/>
        </w:tabs>
        <w:spacing w:before="0" w:beforeAutospacing="0" w:after="120" w:afterAutospacing="0"/>
        <w:rPr>
          <w:rFonts w:ascii="Arial" w:eastAsia="Times New Roman" w:hAnsi="Arial" w:cs="Arial"/>
          <w:bCs/>
          <w:sz w:val="20"/>
          <w:szCs w:val="20"/>
        </w:rPr>
      </w:pPr>
      <w:r w:rsidRPr="00DB0078">
        <w:rPr>
          <w:rFonts w:asciiTheme="minorHAnsi" w:eastAsia="Times New Roman" w:hAnsiTheme="minorHAnsi" w:cs="Arial"/>
          <w:bCs/>
          <w:sz w:val="22"/>
          <w:szCs w:val="22"/>
        </w:rPr>
        <w:t xml:space="preserve">The Development </w:t>
      </w:r>
      <w:r w:rsidR="00704A70">
        <w:rPr>
          <w:rFonts w:asciiTheme="minorHAnsi" w:eastAsia="Times New Roman" w:hAnsiTheme="minorHAnsi" w:cs="Arial"/>
          <w:bCs/>
          <w:sz w:val="22"/>
          <w:szCs w:val="22"/>
        </w:rPr>
        <w:t>and</w:t>
      </w:r>
      <w:r w:rsidRPr="00DB0078">
        <w:rPr>
          <w:rFonts w:asciiTheme="minorHAnsi" w:eastAsia="Times New Roman" w:hAnsiTheme="minorHAnsi" w:cs="Arial"/>
          <w:bCs/>
          <w:sz w:val="22"/>
          <w:szCs w:val="22"/>
        </w:rPr>
        <w:t xml:space="preserve"> Regeneration Reserve was set up as a result of the HRA </w:t>
      </w:r>
      <w:proofErr w:type="spellStart"/>
      <w:r w:rsidRPr="00DB0078">
        <w:rPr>
          <w:rFonts w:asciiTheme="minorHAnsi" w:eastAsia="Times New Roman" w:hAnsiTheme="minorHAnsi" w:cs="Arial"/>
          <w:bCs/>
          <w:sz w:val="22"/>
          <w:szCs w:val="22"/>
        </w:rPr>
        <w:t>self Financing</w:t>
      </w:r>
      <w:proofErr w:type="spellEnd"/>
      <w:r>
        <w:rPr>
          <w:rFonts w:ascii="Arial" w:eastAsia="Times New Roman" w:hAnsi="Arial" w:cs="Arial"/>
          <w:bCs/>
          <w:sz w:val="20"/>
          <w:szCs w:val="20"/>
        </w:rPr>
        <w:t>.</w:t>
      </w:r>
    </w:p>
    <w:tbl>
      <w:tblPr>
        <w:tblW w:w="10000" w:type="dxa"/>
        <w:tblInd w:w="93" w:type="dxa"/>
        <w:tblLook w:val="04A0" w:firstRow="1" w:lastRow="0" w:firstColumn="1" w:lastColumn="0" w:noHBand="0" w:noVBand="1"/>
        <w:tblCaption w:val="Development and Regeneration Reserve"/>
        <w:tblDescription w:val="Development and Regeneration Reserve"/>
      </w:tblPr>
      <w:tblGrid>
        <w:gridCol w:w="1520"/>
        <w:gridCol w:w="6980"/>
        <w:gridCol w:w="1500"/>
      </w:tblGrid>
      <w:tr w:rsidR="008C278D" w:rsidRPr="008C278D" w14:paraId="21B87910"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669A3E61" w14:textId="7AC9DB3B" w:rsidR="008C278D" w:rsidRPr="008C278D" w:rsidRDefault="008C278D" w:rsidP="00310B28">
            <w:pPr>
              <w:jc w:val="right"/>
              <w:rPr>
                <w:rFonts w:ascii="Calibri" w:hAnsi="Calibri"/>
                <w:color w:val="000000"/>
                <w:lang w:eastAsia="en-GB"/>
              </w:rPr>
            </w:pPr>
            <w:r w:rsidRPr="008C278D">
              <w:rPr>
                <w:rFonts w:ascii="Calibri" w:hAnsi="Calibri"/>
                <w:color w:val="000000"/>
                <w:lang w:eastAsia="en-GB"/>
              </w:rPr>
              <w:t>20</w:t>
            </w:r>
            <w:r w:rsidR="000C31F4">
              <w:rPr>
                <w:rFonts w:ascii="Calibri" w:hAnsi="Calibri"/>
                <w:color w:val="000000"/>
                <w:lang w:eastAsia="en-GB"/>
              </w:rPr>
              <w:t>2</w:t>
            </w:r>
            <w:r w:rsidR="00002BDE">
              <w:rPr>
                <w:rFonts w:ascii="Calibri" w:hAnsi="Calibri"/>
                <w:color w:val="000000"/>
                <w:lang w:eastAsia="en-GB"/>
              </w:rPr>
              <w:t>1</w:t>
            </w:r>
            <w:r w:rsidRPr="008C278D">
              <w:rPr>
                <w:rFonts w:ascii="Calibri" w:hAnsi="Calibri"/>
                <w:color w:val="000000"/>
                <w:lang w:eastAsia="en-GB"/>
              </w:rPr>
              <w:t>-</w:t>
            </w:r>
            <w:r w:rsidR="00310B2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4658021A"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39558ABE" w14:textId="1A39D574" w:rsidR="008C278D" w:rsidRPr="008C278D" w:rsidRDefault="008C278D" w:rsidP="00310B28">
            <w:pPr>
              <w:jc w:val="right"/>
              <w:rPr>
                <w:rFonts w:ascii="Calibri" w:hAnsi="Calibri"/>
                <w:color w:val="000000"/>
                <w:lang w:eastAsia="en-GB"/>
              </w:rPr>
            </w:pPr>
            <w:r w:rsidRPr="008C278D">
              <w:rPr>
                <w:rFonts w:ascii="Calibri" w:hAnsi="Calibri"/>
                <w:color w:val="000000"/>
                <w:lang w:eastAsia="en-GB"/>
              </w:rPr>
              <w:t>20</w:t>
            </w:r>
            <w:r w:rsidR="00310B28">
              <w:rPr>
                <w:rFonts w:ascii="Calibri" w:hAnsi="Calibri"/>
                <w:color w:val="000000"/>
                <w:lang w:eastAsia="en-GB"/>
              </w:rPr>
              <w:t>2</w:t>
            </w:r>
            <w:r w:rsidR="00002BDE">
              <w:rPr>
                <w:rFonts w:ascii="Calibri" w:hAnsi="Calibri"/>
                <w:color w:val="000000"/>
                <w:lang w:eastAsia="en-GB"/>
              </w:rPr>
              <w:t>2</w:t>
            </w:r>
            <w:r w:rsidRPr="008C278D">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8C278D" w:rsidRPr="008C278D" w14:paraId="143FBECA" w14:textId="77777777" w:rsidTr="008C278D">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3D090CB7" w14:textId="77777777" w:rsidR="008C278D" w:rsidRPr="008C278D" w:rsidRDefault="008C278D" w:rsidP="008C278D">
            <w:pPr>
              <w:jc w:val="right"/>
              <w:rPr>
                <w:rFonts w:ascii="Calibri" w:hAnsi="Calibri"/>
                <w:color w:val="000000"/>
                <w:lang w:eastAsia="en-GB"/>
              </w:rPr>
            </w:pPr>
            <w:r w:rsidRPr="008C278D">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1F39A146"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00ECB747" w14:textId="77777777" w:rsidR="008C278D" w:rsidRPr="008C278D" w:rsidRDefault="008C278D" w:rsidP="008C278D">
            <w:pPr>
              <w:jc w:val="right"/>
              <w:rPr>
                <w:rFonts w:ascii="Calibri" w:hAnsi="Calibri"/>
                <w:color w:val="000000"/>
                <w:lang w:eastAsia="en-GB"/>
              </w:rPr>
            </w:pPr>
            <w:r w:rsidRPr="008C278D">
              <w:rPr>
                <w:rFonts w:ascii="Calibri" w:hAnsi="Calibri"/>
                <w:color w:val="000000"/>
                <w:lang w:eastAsia="en-GB"/>
              </w:rPr>
              <w:t>£’000</w:t>
            </w:r>
          </w:p>
        </w:tc>
      </w:tr>
      <w:tr w:rsidR="008C278D" w:rsidRPr="008C278D" w14:paraId="1D0ACE1E" w14:textId="77777777" w:rsidTr="008C278D">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6C87145D" w14:textId="1690794D" w:rsidR="008C278D" w:rsidRPr="008C278D" w:rsidRDefault="00002BDE" w:rsidP="00310B28">
            <w:pPr>
              <w:jc w:val="right"/>
              <w:rPr>
                <w:rFonts w:ascii="Calibri" w:hAnsi="Calibri"/>
                <w:b/>
                <w:bCs/>
                <w:color w:val="000000"/>
                <w:lang w:eastAsia="en-GB"/>
              </w:rPr>
            </w:pPr>
            <w:r>
              <w:rPr>
                <w:rFonts w:ascii="Calibri" w:hAnsi="Calibri"/>
                <w:b/>
                <w:bCs/>
                <w:color w:val="000000"/>
                <w:lang w:eastAsia="en-GB"/>
              </w:rPr>
              <w:t>5,605</w:t>
            </w:r>
          </w:p>
        </w:tc>
        <w:tc>
          <w:tcPr>
            <w:tcW w:w="6980" w:type="dxa"/>
            <w:tcBorders>
              <w:top w:val="nil"/>
              <w:left w:val="nil"/>
              <w:bottom w:val="single" w:sz="4" w:space="0" w:color="FFFFFF"/>
              <w:right w:val="single" w:sz="4" w:space="0" w:color="FFFFFF"/>
            </w:tcBorders>
            <w:shd w:val="clear" w:color="000000" w:fill="B7DEE8"/>
            <w:vAlign w:val="center"/>
            <w:hideMark/>
          </w:tcPr>
          <w:p w14:paraId="152515FB" w14:textId="77777777" w:rsidR="008C278D" w:rsidRPr="008C278D" w:rsidRDefault="008C278D" w:rsidP="008C278D">
            <w:pPr>
              <w:ind w:firstLineChars="100" w:firstLine="201"/>
              <w:rPr>
                <w:rFonts w:ascii="Calibri" w:hAnsi="Calibri"/>
                <w:b/>
                <w:bCs/>
                <w:color w:val="000000"/>
                <w:lang w:eastAsia="en-GB"/>
              </w:rPr>
            </w:pPr>
            <w:r w:rsidRPr="008C278D">
              <w:rPr>
                <w:rFonts w:ascii="Calibri" w:hAnsi="Calibri"/>
                <w:b/>
                <w:bCs/>
                <w:color w:val="000000"/>
                <w:lang w:eastAsia="en-GB"/>
              </w:rPr>
              <w:t xml:space="preserve">Balance brought forward 1 April </w:t>
            </w:r>
          </w:p>
        </w:tc>
        <w:tc>
          <w:tcPr>
            <w:tcW w:w="1500" w:type="dxa"/>
            <w:tcBorders>
              <w:top w:val="nil"/>
              <w:left w:val="nil"/>
              <w:bottom w:val="single" w:sz="4" w:space="0" w:color="FFFFFF"/>
              <w:right w:val="single" w:sz="4" w:space="0" w:color="FFFFFF"/>
            </w:tcBorders>
            <w:shd w:val="clear" w:color="000000" w:fill="B7DEE8"/>
            <w:vAlign w:val="center"/>
            <w:hideMark/>
          </w:tcPr>
          <w:p w14:paraId="4AC9067D" w14:textId="49CE62E1" w:rsidR="008C278D" w:rsidRPr="008C278D" w:rsidRDefault="000C31F4" w:rsidP="00310B28">
            <w:pPr>
              <w:jc w:val="right"/>
              <w:rPr>
                <w:rFonts w:ascii="Calibri" w:hAnsi="Calibri"/>
                <w:b/>
                <w:bCs/>
                <w:color w:val="000000"/>
                <w:lang w:eastAsia="en-GB"/>
              </w:rPr>
            </w:pPr>
            <w:r>
              <w:rPr>
                <w:rFonts w:ascii="Calibri" w:hAnsi="Calibri"/>
                <w:b/>
                <w:bCs/>
                <w:color w:val="000000"/>
                <w:lang w:eastAsia="en-GB"/>
              </w:rPr>
              <w:t>5</w:t>
            </w:r>
            <w:r w:rsidR="007C1E98">
              <w:rPr>
                <w:rFonts w:ascii="Calibri" w:hAnsi="Calibri"/>
                <w:b/>
                <w:bCs/>
                <w:color w:val="000000"/>
                <w:lang w:eastAsia="en-GB"/>
              </w:rPr>
              <w:t>,</w:t>
            </w:r>
            <w:r w:rsidR="00002BDE">
              <w:rPr>
                <w:rFonts w:ascii="Calibri" w:hAnsi="Calibri"/>
                <w:b/>
                <w:bCs/>
                <w:color w:val="000000"/>
                <w:lang w:eastAsia="en-GB"/>
              </w:rPr>
              <w:t>113</w:t>
            </w:r>
          </w:p>
        </w:tc>
      </w:tr>
      <w:tr w:rsidR="008C278D" w:rsidRPr="008C278D" w14:paraId="73C67286"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2920D2B" w14:textId="0E81A18F" w:rsidR="008C278D" w:rsidRPr="008C278D" w:rsidRDefault="000C31F4" w:rsidP="008C278D">
            <w:pPr>
              <w:jc w:val="right"/>
              <w:rPr>
                <w:rFonts w:ascii="Calibri" w:hAnsi="Calibri"/>
                <w:color w:val="000000"/>
                <w:lang w:eastAsia="en-GB"/>
              </w:rPr>
            </w:pPr>
            <w:r>
              <w:rPr>
                <w:rFonts w:ascii="Calibri" w:hAnsi="Calibri"/>
                <w:color w:val="000000"/>
                <w:lang w:eastAsia="en-GB"/>
              </w:rPr>
              <w:t>1</w:t>
            </w:r>
            <w:r w:rsidR="00002BDE">
              <w:rPr>
                <w:rFonts w:ascii="Calibri" w:hAnsi="Calibri"/>
                <w:color w:val="000000"/>
                <w:lang w:eastAsia="en-GB"/>
              </w:rPr>
              <w:t>3</w:t>
            </w:r>
          </w:p>
        </w:tc>
        <w:tc>
          <w:tcPr>
            <w:tcW w:w="6980" w:type="dxa"/>
            <w:tcBorders>
              <w:top w:val="nil"/>
              <w:left w:val="nil"/>
              <w:bottom w:val="single" w:sz="4" w:space="0" w:color="FFFFFF"/>
              <w:right w:val="single" w:sz="4" w:space="0" w:color="FFFFFF"/>
            </w:tcBorders>
            <w:shd w:val="clear" w:color="000000" w:fill="DAEEF3"/>
            <w:vAlign w:val="center"/>
            <w:hideMark/>
          </w:tcPr>
          <w:p w14:paraId="78101444" w14:textId="77777777" w:rsidR="008C278D" w:rsidRPr="008C278D" w:rsidRDefault="008C278D" w:rsidP="008C278D">
            <w:pPr>
              <w:ind w:firstLineChars="100" w:firstLine="200"/>
              <w:rPr>
                <w:rFonts w:ascii="Calibri" w:hAnsi="Calibri"/>
                <w:color w:val="000000"/>
                <w:lang w:eastAsia="en-GB"/>
              </w:rPr>
            </w:pPr>
            <w:r w:rsidRPr="008C278D">
              <w:rPr>
                <w:rFonts w:ascii="Calibri" w:hAnsi="Calibri"/>
                <w:color w:val="000000"/>
                <w:lang w:eastAsia="en-GB"/>
              </w:rPr>
              <w:t>Transfer from the HRA</w:t>
            </w:r>
          </w:p>
        </w:tc>
        <w:tc>
          <w:tcPr>
            <w:tcW w:w="1500" w:type="dxa"/>
            <w:tcBorders>
              <w:top w:val="nil"/>
              <w:left w:val="nil"/>
              <w:bottom w:val="single" w:sz="4" w:space="0" w:color="FFFFFF"/>
              <w:right w:val="single" w:sz="4" w:space="0" w:color="FFFFFF"/>
            </w:tcBorders>
            <w:shd w:val="clear" w:color="000000" w:fill="DAEEF3"/>
            <w:vAlign w:val="center"/>
          </w:tcPr>
          <w:p w14:paraId="1BE67941" w14:textId="1E048EB7" w:rsidR="008C278D" w:rsidRPr="008C278D" w:rsidRDefault="00121DFC" w:rsidP="005D7A9C">
            <w:pPr>
              <w:jc w:val="right"/>
              <w:rPr>
                <w:rFonts w:ascii="Calibri" w:hAnsi="Calibri"/>
                <w:color w:val="000000"/>
                <w:lang w:eastAsia="en-GB"/>
              </w:rPr>
            </w:pPr>
            <w:r>
              <w:rPr>
                <w:rFonts w:ascii="Calibri" w:hAnsi="Calibri"/>
                <w:color w:val="000000"/>
                <w:lang w:eastAsia="en-GB"/>
              </w:rPr>
              <w:t>21</w:t>
            </w:r>
          </w:p>
        </w:tc>
      </w:tr>
      <w:tr w:rsidR="00EA5264" w:rsidRPr="008C278D" w14:paraId="3B0C8FBB"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tcPr>
          <w:p w14:paraId="1F247C90" w14:textId="686C3A45" w:rsidR="00EA5264" w:rsidRPr="008C278D" w:rsidRDefault="00310B28" w:rsidP="000B64D6">
            <w:pPr>
              <w:jc w:val="right"/>
              <w:rPr>
                <w:rFonts w:ascii="Calibri" w:hAnsi="Calibri"/>
                <w:color w:val="000000"/>
                <w:lang w:eastAsia="en-GB"/>
              </w:rPr>
            </w:pPr>
            <w:r>
              <w:rPr>
                <w:rFonts w:ascii="Calibri" w:hAnsi="Calibri"/>
                <w:color w:val="000000"/>
                <w:lang w:eastAsia="en-GB"/>
              </w:rPr>
              <w:t>-</w:t>
            </w:r>
            <w:r w:rsidR="00002BDE">
              <w:rPr>
                <w:rFonts w:ascii="Calibri" w:hAnsi="Calibri"/>
                <w:color w:val="000000"/>
                <w:lang w:eastAsia="en-GB"/>
              </w:rPr>
              <w:t>468</w:t>
            </w:r>
          </w:p>
        </w:tc>
        <w:tc>
          <w:tcPr>
            <w:tcW w:w="6980" w:type="dxa"/>
            <w:tcBorders>
              <w:top w:val="nil"/>
              <w:left w:val="nil"/>
              <w:bottom w:val="single" w:sz="4" w:space="0" w:color="FFFFFF"/>
              <w:right w:val="single" w:sz="4" w:space="0" w:color="FFFFFF"/>
            </w:tcBorders>
            <w:shd w:val="clear" w:color="000000" w:fill="DAEEF3"/>
            <w:vAlign w:val="center"/>
          </w:tcPr>
          <w:p w14:paraId="55CB59C8" w14:textId="77777777" w:rsidR="00EA5264" w:rsidRPr="008C278D" w:rsidRDefault="00EA5264" w:rsidP="008C278D">
            <w:pPr>
              <w:ind w:firstLineChars="100" w:firstLine="200"/>
              <w:rPr>
                <w:rFonts w:ascii="Calibri" w:hAnsi="Calibri"/>
                <w:color w:val="000000"/>
                <w:lang w:eastAsia="en-GB"/>
              </w:rPr>
            </w:pPr>
            <w:r>
              <w:rPr>
                <w:rFonts w:ascii="Calibri" w:hAnsi="Calibri"/>
                <w:color w:val="000000"/>
                <w:lang w:eastAsia="en-GB"/>
              </w:rPr>
              <w:t>Transfer to the HRA</w:t>
            </w:r>
          </w:p>
        </w:tc>
        <w:tc>
          <w:tcPr>
            <w:tcW w:w="1500" w:type="dxa"/>
            <w:tcBorders>
              <w:top w:val="nil"/>
              <w:left w:val="nil"/>
              <w:bottom w:val="single" w:sz="4" w:space="0" w:color="FFFFFF"/>
              <w:right w:val="single" w:sz="4" w:space="0" w:color="FFFFFF"/>
            </w:tcBorders>
            <w:shd w:val="clear" w:color="000000" w:fill="DAEEF3"/>
            <w:vAlign w:val="center"/>
          </w:tcPr>
          <w:p w14:paraId="754033B5" w14:textId="37A12A24" w:rsidR="00EA5264" w:rsidRPr="008C278D" w:rsidRDefault="00121DFC" w:rsidP="008C278D">
            <w:pPr>
              <w:jc w:val="right"/>
              <w:rPr>
                <w:rFonts w:ascii="Calibri" w:hAnsi="Calibri"/>
                <w:color w:val="000000"/>
                <w:lang w:eastAsia="en-GB"/>
              </w:rPr>
            </w:pPr>
            <w:r>
              <w:rPr>
                <w:rFonts w:ascii="Calibri" w:hAnsi="Calibri"/>
                <w:color w:val="000000"/>
                <w:lang w:eastAsia="en-GB"/>
              </w:rPr>
              <w:t>-970</w:t>
            </w:r>
          </w:p>
        </w:tc>
      </w:tr>
      <w:tr w:rsidR="008C278D" w:rsidRPr="008C278D" w14:paraId="3A7CB388"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6BF2BED7" w14:textId="15F26BFC" w:rsidR="008C278D" w:rsidRPr="008C278D" w:rsidRDefault="008C278D" w:rsidP="000B64D6">
            <w:pPr>
              <w:jc w:val="right"/>
              <w:rPr>
                <w:rFonts w:ascii="Calibri" w:hAnsi="Calibri"/>
                <w:color w:val="000000"/>
                <w:lang w:eastAsia="en-GB"/>
              </w:rPr>
            </w:pPr>
            <w:r w:rsidRPr="008C278D">
              <w:rPr>
                <w:rFonts w:ascii="Calibri" w:hAnsi="Calibri"/>
                <w:color w:val="000000"/>
                <w:lang w:eastAsia="en-GB"/>
              </w:rPr>
              <w:t>-</w:t>
            </w:r>
            <w:r w:rsidR="00002BDE">
              <w:rPr>
                <w:rFonts w:ascii="Calibri" w:hAnsi="Calibri"/>
                <w:color w:val="000000"/>
                <w:lang w:eastAsia="en-GB"/>
              </w:rPr>
              <w:t>37</w:t>
            </w:r>
          </w:p>
        </w:tc>
        <w:tc>
          <w:tcPr>
            <w:tcW w:w="6980" w:type="dxa"/>
            <w:tcBorders>
              <w:top w:val="nil"/>
              <w:left w:val="nil"/>
              <w:bottom w:val="single" w:sz="4" w:space="0" w:color="FFFFFF"/>
              <w:right w:val="single" w:sz="4" w:space="0" w:color="FFFFFF"/>
            </w:tcBorders>
            <w:shd w:val="clear" w:color="000000" w:fill="DAEEF3"/>
            <w:vAlign w:val="center"/>
            <w:hideMark/>
          </w:tcPr>
          <w:p w14:paraId="5A902A00" w14:textId="60CEDC8D" w:rsidR="008C278D" w:rsidRPr="008C278D" w:rsidRDefault="008C278D" w:rsidP="008C278D">
            <w:pPr>
              <w:ind w:firstLineChars="100" w:firstLine="200"/>
              <w:rPr>
                <w:rFonts w:ascii="Calibri" w:hAnsi="Calibri"/>
                <w:color w:val="000000"/>
                <w:lang w:eastAsia="en-GB"/>
              </w:rPr>
            </w:pPr>
            <w:r w:rsidRPr="008C278D">
              <w:rPr>
                <w:rFonts w:ascii="Calibri" w:hAnsi="Calibri"/>
                <w:color w:val="000000"/>
                <w:lang w:eastAsia="en-GB"/>
              </w:rPr>
              <w:t xml:space="preserve">Capital Expenditure – Development </w:t>
            </w:r>
            <w:r w:rsidR="00704A70">
              <w:rPr>
                <w:rFonts w:ascii="Calibri" w:hAnsi="Calibri"/>
                <w:color w:val="000000"/>
                <w:lang w:eastAsia="en-GB"/>
              </w:rPr>
              <w:t>and</w:t>
            </w:r>
            <w:r w:rsidRPr="008C278D">
              <w:rPr>
                <w:rFonts w:ascii="Calibri" w:hAnsi="Calibri"/>
                <w:color w:val="000000"/>
                <w:lang w:eastAsia="en-GB"/>
              </w:rPr>
              <w:t xml:space="preserve"> Regeneration</w:t>
            </w:r>
          </w:p>
        </w:tc>
        <w:tc>
          <w:tcPr>
            <w:tcW w:w="1500" w:type="dxa"/>
            <w:tcBorders>
              <w:top w:val="nil"/>
              <w:left w:val="nil"/>
              <w:bottom w:val="single" w:sz="4" w:space="0" w:color="FFFFFF"/>
              <w:right w:val="single" w:sz="4" w:space="0" w:color="FFFFFF"/>
            </w:tcBorders>
            <w:shd w:val="clear" w:color="000000" w:fill="DAEEF3"/>
            <w:vAlign w:val="center"/>
          </w:tcPr>
          <w:p w14:paraId="67A8316B" w14:textId="269BDD04" w:rsidR="008C278D" w:rsidRPr="008C278D" w:rsidRDefault="00121DFC" w:rsidP="008C278D">
            <w:pPr>
              <w:jc w:val="right"/>
              <w:rPr>
                <w:rFonts w:ascii="Calibri" w:hAnsi="Calibri"/>
                <w:color w:val="000000"/>
                <w:lang w:eastAsia="en-GB"/>
              </w:rPr>
            </w:pPr>
            <w:r>
              <w:rPr>
                <w:rFonts w:ascii="Calibri" w:hAnsi="Calibri"/>
                <w:color w:val="000000"/>
                <w:lang w:eastAsia="en-GB"/>
              </w:rPr>
              <w:t>-7</w:t>
            </w:r>
          </w:p>
        </w:tc>
      </w:tr>
      <w:tr w:rsidR="008C278D" w:rsidRPr="008C278D" w14:paraId="3E9CE42E"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5D004431" w14:textId="0953567B" w:rsidR="008C278D" w:rsidRPr="008C278D" w:rsidRDefault="000C31F4" w:rsidP="000B64D6">
            <w:pPr>
              <w:jc w:val="right"/>
              <w:rPr>
                <w:rFonts w:ascii="Calibri" w:hAnsi="Calibri"/>
                <w:b/>
                <w:bCs/>
                <w:color w:val="000000"/>
                <w:lang w:eastAsia="en-GB"/>
              </w:rPr>
            </w:pPr>
            <w:r>
              <w:rPr>
                <w:rFonts w:ascii="Calibri" w:hAnsi="Calibri"/>
                <w:b/>
                <w:bCs/>
                <w:color w:val="000000"/>
                <w:lang w:eastAsia="en-GB"/>
              </w:rPr>
              <w:t>5,</w:t>
            </w:r>
            <w:r w:rsidR="00002BDE">
              <w:rPr>
                <w:rFonts w:ascii="Calibri" w:hAnsi="Calibri"/>
                <w:b/>
                <w:bCs/>
                <w:color w:val="000000"/>
                <w:lang w:eastAsia="en-GB"/>
              </w:rPr>
              <w:t>113</w:t>
            </w:r>
          </w:p>
        </w:tc>
        <w:tc>
          <w:tcPr>
            <w:tcW w:w="6980" w:type="dxa"/>
            <w:tcBorders>
              <w:top w:val="nil"/>
              <w:left w:val="nil"/>
              <w:bottom w:val="single" w:sz="4" w:space="0" w:color="FFFFFF"/>
              <w:right w:val="single" w:sz="4" w:space="0" w:color="FFFFFF"/>
            </w:tcBorders>
            <w:shd w:val="clear" w:color="000000" w:fill="B7DEE8"/>
            <w:vAlign w:val="center"/>
            <w:hideMark/>
          </w:tcPr>
          <w:p w14:paraId="6E44F932" w14:textId="77777777" w:rsidR="008C278D" w:rsidRPr="008C278D" w:rsidRDefault="008C278D" w:rsidP="008C278D">
            <w:pPr>
              <w:ind w:firstLineChars="100" w:firstLine="201"/>
              <w:rPr>
                <w:rFonts w:ascii="Calibri" w:hAnsi="Calibri"/>
                <w:b/>
                <w:bCs/>
                <w:color w:val="000000"/>
                <w:lang w:eastAsia="en-GB"/>
              </w:rPr>
            </w:pPr>
            <w:r w:rsidRPr="008C278D">
              <w:rPr>
                <w:rFonts w:ascii="Calibri" w:hAnsi="Calibri"/>
                <w:b/>
                <w:bCs/>
                <w:color w:val="000000"/>
                <w:lang w:eastAsia="en-GB"/>
              </w:rPr>
              <w:t xml:space="preserve">Balance carried forward 31 March </w:t>
            </w:r>
          </w:p>
        </w:tc>
        <w:tc>
          <w:tcPr>
            <w:tcW w:w="1500" w:type="dxa"/>
            <w:tcBorders>
              <w:top w:val="nil"/>
              <w:left w:val="nil"/>
              <w:bottom w:val="single" w:sz="4" w:space="0" w:color="FFFFFF"/>
              <w:right w:val="single" w:sz="4" w:space="0" w:color="FFFFFF"/>
            </w:tcBorders>
            <w:shd w:val="clear" w:color="000000" w:fill="B7DEE8"/>
            <w:vAlign w:val="center"/>
          </w:tcPr>
          <w:p w14:paraId="6718D47E" w14:textId="1A895D90" w:rsidR="008C278D" w:rsidRPr="008C278D" w:rsidRDefault="00121DFC" w:rsidP="008E02D7">
            <w:pPr>
              <w:jc w:val="right"/>
              <w:rPr>
                <w:rFonts w:ascii="Calibri" w:hAnsi="Calibri"/>
                <w:b/>
                <w:bCs/>
                <w:color w:val="000000"/>
                <w:lang w:eastAsia="en-GB"/>
              </w:rPr>
            </w:pPr>
            <w:r>
              <w:rPr>
                <w:rFonts w:ascii="Calibri" w:hAnsi="Calibri"/>
                <w:b/>
                <w:bCs/>
                <w:color w:val="000000"/>
                <w:lang w:eastAsia="en-GB"/>
              </w:rPr>
              <w:t>4,157</w:t>
            </w:r>
          </w:p>
        </w:tc>
      </w:tr>
    </w:tbl>
    <w:p w14:paraId="23EA7C99" w14:textId="77777777" w:rsidR="009358C3" w:rsidRPr="009358C3" w:rsidRDefault="009358C3" w:rsidP="001E4CF9">
      <w:pPr>
        <w:pStyle w:val="xl24"/>
        <w:widowControl w:val="0"/>
        <w:tabs>
          <w:tab w:val="left" w:pos="426"/>
        </w:tabs>
        <w:spacing w:before="0" w:beforeAutospacing="0" w:after="120" w:afterAutospacing="0"/>
        <w:rPr>
          <w:rFonts w:ascii="Arial" w:eastAsia="Times New Roman" w:hAnsi="Arial" w:cs="Arial"/>
          <w:bCs/>
          <w:sz w:val="20"/>
          <w:szCs w:val="20"/>
        </w:rPr>
      </w:pPr>
    </w:p>
    <w:p w14:paraId="75BAC2C9" w14:textId="026DD709" w:rsidR="0057578A" w:rsidRPr="008C278D" w:rsidRDefault="0057578A" w:rsidP="0057578A">
      <w:pPr>
        <w:jc w:val="both"/>
        <w:rPr>
          <w:rFonts w:asciiTheme="minorHAnsi" w:hAnsiTheme="minorHAnsi" w:cs="Arial"/>
          <w:b/>
          <w:sz w:val="24"/>
          <w:szCs w:val="24"/>
          <w:u w:val="single"/>
        </w:rPr>
      </w:pPr>
      <w:r w:rsidRPr="008C278D">
        <w:rPr>
          <w:rFonts w:asciiTheme="minorHAnsi" w:hAnsiTheme="minorHAnsi" w:cs="Arial"/>
          <w:b/>
          <w:sz w:val="24"/>
          <w:szCs w:val="24"/>
        </w:rPr>
        <w:t>1</w:t>
      </w:r>
      <w:r w:rsidR="00C76AD3">
        <w:rPr>
          <w:rFonts w:asciiTheme="minorHAnsi" w:hAnsiTheme="minorHAnsi" w:cs="Arial"/>
          <w:b/>
          <w:sz w:val="24"/>
          <w:szCs w:val="24"/>
        </w:rPr>
        <w:t>2</w:t>
      </w:r>
      <w:r w:rsidRPr="008C278D">
        <w:rPr>
          <w:rFonts w:asciiTheme="minorHAnsi" w:hAnsiTheme="minorHAnsi" w:cs="Arial"/>
          <w:b/>
          <w:sz w:val="24"/>
          <w:szCs w:val="24"/>
        </w:rPr>
        <w:t xml:space="preserve">   Retirement Benefits</w:t>
      </w:r>
    </w:p>
    <w:p w14:paraId="18CF849F" w14:textId="77777777" w:rsidR="00D55447" w:rsidRDefault="00D55447" w:rsidP="0057578A">
      <w:pPr>
        <w:ind w:left="426"/>
        <w:jc w:val="both"/>
        <w:rPr>
          <w:rFonts w:ascii="Arial" w:hAnsi="Arial" w:cs="Arial"/>
          <w:b/>
          <w:u w:val="single"/>
        </w:rPr>
      </w:pPr>
    </w:p>
    <w:p w14:paraId="6C1F74F1" w14:textId="77777777" w:rsidR="0057578A" w:rsidRDefault="0057578A" w:rsidP="008C278D">
      <w:pPr>
        <w:tabs>
          <w:tab w:val="left" w:pos="0"/>
        </w:tabs>
        <w:jc w:val="both"/>
        <w:rPr>
          <w:rFonts w:asciiTheme="minorHAnsi" w:hAnsiTheme="minorHAnsi" w:cs="Arial"/>
          <w:sz w:val="22"/>
          <w:szCs w:val="22"/>
        </w:rPr>
      </w:pPr>
      <w:r w:rsidRPr="008C278D">
        <w:rPr>
          <w:rFonts w:asciiTheme="minorHAnsi" w:hAnsiTheme="minorHAnsi" w:cs="Arial"/>
          <w:sz w:val="22"/>
          <w:szCs w:val="22"/>
        </w:rPr>
        <w:t>The Council recognises the cost of retirement benefits in the net cost of services when they are earned by employees, rather than when the benefits are eventually paid as pensions.  However, the charge the Council is required to make against Council Tax is based on the cash payable in the year, so the real cost of retirement benefits is reversed out in the Statement of Movement in the General Fund Balance.  The following transactions have been made in the Income and Expenditure Account and Statement of Movement in the HRA balance during the year:</w:t>
      </w:r>
    </w:p>
    <w:p w14:paraId="0DD62FB3" w14:textId="77777777" w:rsidR="00A35FD2" w:rsidRPr="008C278D" w:rsidRDefault="00A35FD2" w:rsidP="008C278D">
      <w:pPr>
        <w:tabs>
          <w:tab w:val="left" w:pos="0"/>
        </w:tabs>
        <w:jc w:val="both"/>
        <w:rPr>
          <w:rFonts w:asciiTheme="minorHAnsi" w:hAnsiTheme="minorHAnsi" w:cs="Arial"/>
          <w:sz w:val="22"/>
          <w:szCs w:val="22"/>
        </w:rPr>
      </w:pPr>
    </w:p>
    <w:tbl>
      <w:tblPr>
        <w:tblW w:w="9280" w:type="dxa"/>
        <w:tblInd w:w="93" w:type="dxa"/>
        <w:tblLook w:val="04A0" w:firstRow="1" w:lastRow="0" w:firstColumn="1" w:lastColumn="0" w:noHBand="0" w:noVBand="1"/>
        <w:tblCaption w:val="Housing Revenue Account Rretirement Benefits"/>
        <w:tblDescription w:val="Housing Revenue Account Rretirement Benefits"/>
      </w:tblPr>
      <w:tblGrid>
        <w:gridCol w:w="7360"/>
        <w:gridCol w:w="960"/>
        <w:gridCol w:w="960"/>
      </w:tblGrid>
      <w:tr w:rsidR="008C278D" w:rsidRPr="008C278D" w14:paraId="1A88447C" w14:textId="77777777" w:rsidTr="00110931">
        <w:trPr>
          <w:cantSplit/>
          <w:trHeight w:val="300"/>
          <w:tblHeader/>
        </w:trPr>
        <w:tc>
          <w:tcPr>
            <w:tcW w:w="7360" w:type="dxa"/>
            <w:tcBorders>
              <w:top w:val="single" w:sz="4" w:space="0" w:color="FFFFFF"/>
              <w:left w:val="single" w:sz="4" w:space="0" w:color="FFFFFF"/>
              <w:bottom w:val="nil"/>
              <w:right w:val="single" w:sz="4" w:space="0" w:color="FFFFFF"/>
            </w:tcBorders>
            <w:shd w:val="clear" w:color="000000" w:fill="92CDDC"/>
            <w:noWrap/>
            <w:vAlign w:val="bottom"/>
            <w:hideMark/>
          </w:tcPr>
          <w:p w14:paraId="6CF09A1A" w14:textId="65BBA637" w:rsidR="008C278D" w:rsidRPr="008C278D" w:rsidRDefault="008C278D" w:rsidP="008C278D">
            <w:pPr>
              <w:rPr>
                <w:rFonts w:ascii="Calibri" w:hAnsi="Calibri"/>
                <w:b/>
                <w:bCs/>
                <w:color w:val="000000"/>
                <w:lang w:eastAsia="en-GB"/>
              </w:rPr>
            </w:pPr>
            <w:r w:rsidRPr="008C278D">
              <w:rPr>
                <w:rFonts w:ascii="Calibri" w:hAnsi="Calibri"/>
                <w:b/>
                <w:bCs/>
                <w:color w:val="000000"/>
                <w:lang w:eastAsia="en-GB"/>
              </w:rPr>
              <w:t xml:space="preserve">Income </w:t>
            </w:r>
            <w:r w:rsidR="00704A70">
              <w:rPr>
                <w:rFonts w:ascii="Calibri" w:hAnsi="Calibri"/>
                <w:b/>
                <w:bCs/>
                <w:color w:val="000000"/>
                <w:lang w:eastAsia="en-GB"/>
              </w:rPr>
              <w:t>and</w:t>
            </w:r>
            <w:r w:rsidRPr="008C278D">
              <w:rPr>
                <w:rFonts w:ascii="Calibri" w:hAnsi="Calibri"/>
                <w:b/>
                <w:bCs/>
                <w:color w:val="000000"/>
                <w:lang w:eastAsia="en-GB"/>
              </w:rPr>
              <w:t xml:space="preserve"> Expenditure Account</w:t>
            </w:r>
          </w:p>
        </w:tc>
        <w:tc>
          <w:tcPr>
            <w:tcW w:w="960" w:type="dxa"/>
            <w:tcBorders>
              <w:top w:val="single" w:sz="4" w:space="0" w:color="FFFFFF"/>
              <w:left w:val="nil"/>
              <w:bottom w:val="single" w:sz="4" w:space="0" w:color="FFFFFF"/>
              <w:right w:val="single" w:sz="4" w:space="0" w:color="FFFFFF"/>
            </w:tcBorders>
            <w:shd w:val="clear" w:color="000000" w:fill="92CDDC"/>
            <w:noWrap/>
            <w:vAlign w:val="bottom"/>
            <w:hideMark/>
          </w:tcPr>
          <w:p w14:paraId="6554BA80" w14:textId="3D69203D" w:rsidR="008C278D" w:rsidRPr="008C278D" w:rsidRDefault="008C278D" w:rsidP="00310B28">
            <w:pPr>
              <w:rPr>
                <w:rFonts w:ascii="Calibri" w:hAnsi="Calibri"/>
                <w:color w:val="000000"/>
                <w:lang w:eastAsia="en-GB"/>
              </w:rPr>
            </w:pPr>
            <w:r w:rsidRPr="008C278D">
              <w:rPr>
                <w:rFonts w:ascii="Calibri" w:hAnsi="Calibri"/>
                <w:color w:val="000000"/>
                <w:lang w:eastAsia="en-GB"/>
              </w:rPr>
              <w:t>20</w:t>
            </w:r>
            <w:r w:rsidR="00833F56">
              <w:rPr>
                <w:rFonts w:ascii="Calibri" w:hAnsi="Calibri"/>
                <w:color w:val="000000"/>
                <w:lang w:eastAsia="en-GB"/>
              </w:rPr>
              <w:t>2</w:t>
            </w:r>
            <w:r w:rsidR="00002BDE">
              <w:rPr>
                <w:rFonts w:ascii="Calibri" w:hAnsi="Calibri"/>
                <w:color w:val="000000"/>
                <w:lang w:eastAsia="en-GB"/>
              </w:rPr>
              <w:t>1</w:t>
            </w:r>
            <w:r w:rsidRPr="008C278D">
              <w:rPr>
                <w:rFonts w:ascii="Calibri" w:hAnsi="Calibri"/>
                <w:color w:val="000000"/>
                <w:lang w:eastAsia="en-GB"/>
              </w:rPr>
              <w:t>-</w:t>
            </w:r>
            <w:r w:rsidR="00310B28">
              <w:rPr>
                <w:rFonts w:ascii="Calibri" w:hAnsi="Calibri"/>
                <w:color w:val="000000"/>
                <w:lang w:eastAsia="en-GB"/>
              </w:rPr>
              <w:t>2</w:t>
            </w:r>
            <w:r w:rsidR="00002BDE">
              <w:rPr>
                <w:rFonts w:ascii="Calibri" w:hAnsi="Calibri"/>
                <w:color w:val="000000"/>
                <w:lang w:eastAsia="en-GB"/>
              </w:rPr>
              <w:t>2</w:t>
            </w:r>
          </w:p>
        </w:tc>
        <w:tc>
          <w:tcPr>
            <w:tcW w:w="960" w:type="dxa"/>
            <w:tcBorders>
              <w:top w:val="single" w:sz="4" w:space="0" w:color="FFFFFF"/>
              <w:left w:val="nil"/>
              <w:bottom w:val="single" w:sz="4" w:space="0" w:color="FFFFFF"/>
              <w:right w:val="single" w:sz="4" w:space="0" w:color="FFFFFF"/>
            </w:tcBorders>
            <w:shd w:val="clear" w:color="000000" w:fill="92CDDC"/>
            <w:noWrap/>
            <w:vAlign w:val="bottom"/>
            <w:hideMark/>
          </w:tcPr>
          <w:p w14:paraId="7E839F6E" w14:textId="4F662103" w:rsidR="008C278D" w:rsidRPr="008C278D" w:rsidRDefault="008C278D" w:rsidP="00310B28">
            <w:pPr>
              <w:rPr>
                <w:rFonts w:ascii="Calibri" w:hAnsi="Calibri"/>
                <w:color w:val="000000"/>
                <w:lang w:eastAsia="en-GB"/>
              </w:rPr>
            </w:pPr>
            <w:r w:rsidRPr="008C278D">
              <w:rPr>
                <w:rFonts w:ascii="Calibri" w:hAnsi="Calibri"/>
                <w:color w:val="000000"/>
                <w:lang w:eastAsia="en-GB"/>
              </w:rPr>
              <w:t>20</w:t>
            </w:r>
            <w:r w:rsidR="00310B28">
              <w:rPr>
                <w:rFonts w:ascii="Calibri" w:hAnsi="Calibri"/>
                <w:color w:val="000000"/>
                <w:lang w:eastAsia="en-GB"/>
              </w:rPr>
              <w:t>2</w:t>
            </w:r>
            <w:r w:rsidR="00002BDE">
              <w:rPr>
                <w:rFonts w:ascii="Calibri" w:hAnsi="Calibri"/>
                <w:color w:val="000000"/>
                <w:lang w:eastAsia="en-GB"/>
              </w:rPr>
              <w:t>2</w:t>
            </w:r>
            <w:r w:rsidRPr="008C278D">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8C278D" w:rsidRPr="008C278D" w14:paraId="6273E155" w14:textId="77777777" w:rsidTr="008C278D">
        <w:trPr>
          <w:trHeight w:val="300"/>
        </w:trPr>
        <w:tc>
          <w:tcPr>
            <w:tcW w:w="7360" w:type="dxa"/>
            <w:tcBorders>
              <w:top w:val="nil"/>
              <w:left w:val="single" w:sz="4" w:space="0" w:color="FFFFFF"/>
              <w:bottom w:val="single" w:sz="4" w:space="0" w:color="FFFFFF"/>
              <w:right w:val="single" w:sz="4" w:space="0" w:color="FFFFFF"/>
            </w:tcBorders>
            <w:shd w:val="clear" w:color="000000" w:fill="92CDDC"/>
            <w:noWrap/>
            <w:vAlign w:val="bottom"/>
            <w:hideMark/>
          </w:tcPr>
          <w:p w14:paraId="78B816E5"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000000" w:fill="92CDDC"/>
            <w:noWrap/>
            <w:vAlign w:val="bottom"/>
            <w:hideMark/>
          </w:tcPr>
          <w:p w14:paraId="495344D4"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000000" w:fill="92CDDC"/>
            <w:noWrap/>
            <w:vAlign w:val="bottom"/>
            <w:hideMark/>
          </w:tcPr>
          <w:p w14:paraId="1A8459C0"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£'000</w:t>
            </w:r>
          </w:p>
        </w:tc>
      </w:tr>
      <w:tr w:rsidR="008C278D" w:rsidRPr="008C278D" w14:paraId="074F8939" w14:textId="77777777" w:rsidTr="008C278D">
        <w:trPr>
          <w:trHeight w:val="300"/>
        </w:trPr>
        <w:tc>
          <w:tcPr>
            <w:tcW w:w="7360" w:type="dxa"/>
            <w:tcBorders>
              <w:top w:val="nil"/>
              <w:left w:val="single" w:sz="4" w:space="0" w:color="FFFFFF"/>
              <w:bottom w:val="single" w:sz="4" w:space="0" w:color="FFFFFF"/>
              <w:right w:val="nil"/>
            </w:tcBorders>
            <w:shd w:val="clear" w:color="000000" w:fill="DAEEF3"/>
            <w:noWrap/>
            <w:vAlign w:val="bottom"/>
            <w:hideMark/>
          </w:tcPr>
          <w:p w14:paraId="129857C4"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Service Cost:</w:t>
            </w:r>
          </w:p>
        </w:tc>
        <w:tc>
          <w:tcPr>
            <w:tcW w:w="960" w:type="dxa"/>
            <w:tcBorders>
              <w:top w:val="nil"/>
              <w:left w:val="nil"/>
              <w:bottom w:val="single" w:sz="4" w:space="0" w:color="FFFFFF"/>
              <w:right w:val="nil"/>
            </w:tcBorders>
            <w:shd w:val="clear" w:color="000000" w:fill="DAEEF3"/>
            <w:noWrap/>
            <w:vAlign w:val="bottom"/>
            <w:hideMark/>
          </w:tcPr>
          <w:p w14:paraId="796BC487"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000000" w:fill="DAEEF3"/>
            <w:noWrap/>
            <w:vAlign w:val="bottom"/>
            <w:hideMark/>
          </w:tcPr>
          <w:p w14:paraId="365F7670"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r>
      <w:tr w:rsidR="008C278D" w:rsidRPr="008C278D" w14:paraId="123424B8"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DAEEF3"/>
            <w:noWrap/>
            <w:vAlign w:val="bottom"/>
            <w:hideMark/>
          </w:tcPr>
          <w:p w14:paraId="114FFDB7"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xml:space="preserve">          Current Service Cost</w:t>
            </w:r>
          </w:p>
        </w:tc>
        <w:tc>
          <w:tcPr>
            <w:tcW w:w="960" w:type="dxa"/>
            <w:tcBorders>
              <w:top w:val="nil"/>
              <w:left w:val="nil"/>
              <w:bottom w:val="single" w:sz="4" w:space="0" w:color="FFFFFF"/>
              <w:right w:val="single" w:sz="4" w:space="0" w:color="FFFFFF"/>
            </w:tcBorders>
            <w:shd w:val="clear" w:color="000000" w:fill="DAEEF3"/>
            <w:noWrap/>
            <w:vAlign w:val="bottom"/>
            <w:hideMark/>
          </w:tcPr>
          <w:p w14:paraId="44C51D30" w14:textId="7F6A2ECE" w:rsidR="008C278D" w:rsidRPr="008C278D" w:rsidRDefault="00002BDE" w:rsidP="00310B28">
            <w:pPr>
              <w:jc w:val="right"/>
              <w:rPr>
                <w:rFonts w:ascii="Calibri" w:hAnsi="Calibri"/>
                <w:color w:val="000000"/>
                <w:lang w:eastAsia="en-GB"/>
              </w:rPr>
            </w:pPr>
            <w:r>
              <w:rPr>
                <w:rFonts w:ascii="Calibri" w:hAnsi="Calibri"/>
                <w:color w:val="000000"/>
                <w:lang w:eastAsia="en-GB"/>
              </w:rPr>
              <w:t>396</w:t>
            </w:r>
          </w:p>
        </w:tc>
        <w:tc>
          <w:tcPr>
            <w:tcW w:w="960" w:type="dxa"/>
            <w:tcBorders>
              <w:top w:val="nil"/>
              <w:left w:val="nil"/>
              <w:bottom w:val="single" w:sz="4" w:space="0" w:color="FFFFFF"/>
              <w:right w:val="single" w:sz="4" w:space="0" w:color="FFFFFF"/>
            </w:tcBorders>
            <w:shd w:val="clear" w:color="000000" w:fill="DAEEF3"/>
            <w:noWrap/>
            <w:vAlign w:val="bottom"/>
          </w:tcPr>
          <w:p w14:paraId="58FD8DC2" w14:textId="358D17A3" w:rsidR="008C278D" w:rsidRPr="008C278D" w:rsidRDefault="00121DFC" w:rsidP="00486082">
            <w:pPr>
              <w:jc w:val="right"/>
              <w:rPr>
                <w:rFonts w:ascii="Calibri" w:hAnsi="Calibri"/>
                <w:color w:val="000000"/>
                <w:lang w:eastAsia="en-GB"/>
              </w:rPr>
            </w:pPr>
            <w:r>
              <w:rPr>
                <w:rFonts w:ascii="Calibri" w:hAnsi="Calibri"/>
                <w:color w:val="000000"/>
                <w:lang w:eastAsia="en-GB"/>
              </w:rPr>
              <w:t>451</w:t>
            </w:r>
          </w:p>
        </w:tc>
      </w:tr>
      <w:tr w:rsidR="008C278D" w:rsidRPr="008C278D" w14:paraId="2D8681BF" w14:textId="77777777" w:rsidTr="007C1E98">
        <w:trPr>
          <w:trHeight w:val="300"/>
        </w:trPr>
        <w:tc>
          <w:tcPr>
            <w:tcW w:w="7360" w:type="dxa"/>
            <w:tcBorders>
              <w:top w:val="nil"/>
              <w:left w:val="single" w:sz="4" w:space="0" w:color="FFFFFF"/>
              <w:bottom w:val="single" w:sz="4" w:space="0" w:color="FFFFFF"/>
              <w:right w:val="nil"/>
            </w:tcBorders>
            <w:shd w:val="clear" w:color="000000" w:fill="DAEEF3"/>
            <w:noWrap/>
            <w:vAlign w:val="bottom"/>
            <w:hideMark/>
          </w:tcPr>
          <w:p w14:paraId="75716721"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Net Interest:</w:t>
            </w:r>
          </w:p>
        </w:tc>
        <w:tc>
          <w:tcPr>
            <w:tcW w:w="960" w:type="dxa"/>
            <w:tcBorders>
              <w:top w:val="nil"/>
              <w:left w:val="nil"/>
              <w:bottom w:val="single" w:sz="4" w:space="0" w:color="FFFFFF"/>
              <w:right w:val="nil"/>
            </w:tcBorders>
            <w:shd w:val="clear" w:color="000000" w:fill="DAEEF3"/>
            <w:noWrap/>
            <w:vAlign w:val="bottom"/>
            <w:hideMark/>
          </w:tcPr>
          <w:p w14:paraId="1A8E5759"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000000" w:fill="DAEEF3"/>
            <w:noWrap/>
            <w:vAlign w:val="bottom"/>
          </w:tcPr>
          <w:p w14:paraId="61B9BCA2" w14:textId="77777777" w:rsidR="008C278D" w:rsidRPr="008C278D" w:rsidRDefault="008C278D" w:rsidP="00486082">
            <w:pPr>
              <w:jc w:val="right"/>
              <w:rPr>
                <w:rFonts w:ascii="Calibri" w:hAnsi="Calibri"/>
                <w:color w:val="000000"/>
                <w:lang w:eastAsia="en-GB"/>
              </w:rPr>
            </w:pPr>
          </w:p>
        </w:tc>
      </w:tr>
      <w:tr w:rsidR="008C278D" w:rsidRPr="008C278D" w14:paraId="2DFAA8F7"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DAEEF3"/>
            <w:noWrap/>
            <w:vAlign w:val="bottom"/>
            <w:hideMark/>
          </w:tcPr>
          <w:p w14:paraId="1C2C4FA2"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xml:space="preserve">          Interest Cost on defined benef</w:t>
            </w:r>
            <w:r>
              <w:rPr>
                <w:rFonts w:ascii="Calibri" w:hAnsi="Calibri"/>
                <w:color w:val="000000"/>
                <w:lang w:eastAsia="en-GB"/>
              </w:rPr>
              <w:t>i</w:t>
            </w:r>
            <w:r w:rsidRPr="008C278D">
              <w:rPr>
                <w:rFonts w:ascii="Calibri" w:hAnsi="Calibri"/>
                <w:color w:val="000000"/>
                <w:lang w:eastAsia="en-GB"/>
              </w:rPr>
              <w:t>t obligation</w:t>
            </w:r>
          </w:p>
        </w:tc>
        <w:tc>
          <w:tcPr>
            <w:tcW w:w="960" w:type="dxa"/>
            <w:tcBorders>
              <w:top w:val="nil"/>
              <w:left w:val="nil"/>
              <w:bottom w:val="single" w:sz="4" w:space="0" w:color="FFFFFF"/>
              <w:right w:val="single" w:sz="4" w:space="0" w:color="FFFFFF"/>
            </w:tcBorders>
            <w:shd w:val="clear" w:color="000000" w:fill="DAEEF3"/>
            <w:noWrap/>
            <w:vAlign w:val="bottom"/>
            <w:hideMark/>
          </w:tcPr>
          <w:p w14:paraId="6AF7CC1F" w14:textId="1F0D3C48" w:rsidR="008C278D" w:rsidRPr="008C278D" w:rsidRDefault="00002BDE" w:rsidP="000B64D6">
            <w:pPr>
              <w:jc w:val="right"/>
              <w:rPr>
                <w:rFonts w:ascii="Calibri" w:hAnsi="Calibri"/>
                <w:color w:val="000000"/>
                <w:lang w:eastAsia="en-GB"/>
              </w:rPr>
            </w:pPr>
            <w:r>
              <w:rPr>
                <w:rFonts w:ascii="Calibri" w:hAnsi="Calibri"/>
                <w:color w:val="000000"/>
                <w:lang w:eastAsia="en-GB"/>
              </w:rPr>
              <w:t>406</w:t>
            </w:r>
          </w:p>
        </w:tc>
        <w:tc>
          <w:tcPr>
            <w:tcW w:w="960" w:type="dxa"/>
            <w:tcBorders>
              <w:top w:val="nil"/>
              <w:left w:val="nil"/>
              <w:bottom w:val="single" w:sz="4" w:space="0" w:color="FFFFFF"/>
              <w:right w:val="single" w:sz="4" w:space="0" w:color="FFFFFF"/>
            </w:tcBorders>
            <w:shd w:val="clear" w:color="000000" w:fill="DAEEF3"/>
            <w:noWrap/>
            <w:vAlign w:val="bottom"/>
          </w:tcPr>
          <w:p w14:paraId="3F5EAC09" w14:textId="360A5D98" w:rsidR="008C278D" w:rsidRPr="008C278D" w:rsidRDefault="00121DFC" w:rsidP="00486082">
            <w:pPr>
              <w:jc w:val="right"/>
              <w:rPr>
                <w:rFonts w:ascii="Calibri" w:hAnsi="Calibri"/>
                <w:color w:val="000000"/>
                <w:lang w:eastAsia="en-GB"/>
              </w:rPr>
            </w:pPr>
            <w:r>
              <w:rPr>
                <w:rFonts w:ascii="Calibri" w:hAnsi="Calibri"/>
                <w:color w:val="000000"/>
                <w:lang w:eastAsia="en-GB"/>
              </w:rPr>
              <w:t>555</w:t>
            </w:r>
          </w:p>
        </w:tc>
      </w:tr>
      <w:tr w:rsidR="008C278D" w:rsidRPr="008C278D" w14:paraId="786C8C4C"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DAEEF3"/>
            <w:noWrap/>
            <w:vAlign w:val="bottom"/>
            <w:hideMark/>
          </w:tcPr>
          <w:p w14:paraId="0430E174"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xml:space="preserve">          Interest Income on plan assets</w:t>
            </w:r>
          </w:p>
        </w:tc>
        <w:tc>
          <w:tcPr>
            <w:tcW w:w="960" w:type="dxa"/>
            <w:tcBorders>
              <w:top w:val="nil"/>
              <w:left w:val="nil"/>
              <w:bottom w:val="single" w:sz="4" w:space="0" w:color="FFFFFF"/>
              <w:right w:val="single" w:sz="4" w:space="0" w:color="FFFFFF"/>
            </w:tcBorders>
            <w:shd w:val="clear" w:color="000000" w:fill="DAEEF3"/>
            <w:noWrap/>
            <w:vAlign w:val="bottom"/>
            <w:hideMark/>
          </w:tcPr>
          <w:p w14:paraId="6245CAD2" w14:textId="05CFA02E" w:rsidR="008C278D" w:rsidRPr="008C278D" w:rsidRDefault="008C278D" w:rsidP="00310B28">
            <w:pPr>
              <w:jc w:val="right"/>
              <w:rPr>
                <w:rFonts w:ascii="Calibri" w:hAnsi="Calibri"/>
                <w:color w:val="000000"/>
                <w:lang w:eastAsia="en-GB"/>
              </w:rPr>
            </w:pPr>
            <w:r w:rsidRPr="008C278D">
              <w:rPr>
                <w:rFonts w:ascii="Calibri" w:hAnsi="Calibri"/>
                <w:color w:val="000000"/>
                <w:lang w:eastAsia="en-GB"/>
              </w:rPr>
              <w:t>-</w:t>
            </w:r>
            <w:r w:rsidR="00002BDE">
              <w:rPr>
                <w:rFonts w:ascii="Calibri" w:hAnsi="Calibri"/>
                <w:color w:val="000000"/>
                <w:lang w:eastAsia="en-GB"/>
              </w:rPr>
              <w:t>396</w:t>
            </w:r>
          </w:p>
        </w:tc>
        <w:tc>
          <w:tcPr>
            <w:tcW w:w="960" w:type="dxa"/>
            <w:tcBorders>
              <w:top w:val="nil"/>
              <w:left w:val="nil"/>
              <w:bottom w:val="single" w:sz="4" w:space="0" w:color="FFFFFF"/>
              <w:right w:val="single" w:sz="4" w:space="0" w:color="FFFFFF"/>
            </w:tcBorders>
            <w:shd w:val="clear" w:color="000000" w:fill="DAEEF3"/>
            <w:noWrap/>
            <w:vAlign w:val="bottom"/>
          </w:tcPr>
          <w:p w14:paraId="2A82D686" w14:textId="4129491E" w:rsidR="008C278D" w:rsidRPr="008C278D" w:rsidRDefault="00121DFC" w:rsidP="00A93FEB">
            <w:pPr>
              <w:jc w:val="right"/>
              <w:rPr>
                <w:rFonts w:ascii="Calibri" w:hAnsi="Calibri"/>
                <w:color w:val="000000"/>
                <w:lang w:eastAsia="en-GB"/>
              </w:rPr>
            </w:pPr>
            <w:r>
              <w:rPr>
                <w:rFonts w:ascii="Calibri" w:hAnsi="Calibri"/>
                <w:color w:val="000000"/>
                <w:lang w:eastAsia="en-GB"/>
              </w:rPr>
              <w:t>-451</w:t>
            </w:r>
          </w:p>
        </w:tc>
      </w:tr>
      <w:tr w:rsidR="008C278D" w:rsidRPr="008C278D" w14:paraId="536FC97B"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B7DEE8"/>
            <w:noWrap/>
            <w:vAlign w:val="bottom"/>
            <w:hideMark/>
          </w:tcPr>
          <w:p w14:paraId="774F3398" w14:textId="5C7B3D67" w:rsidR="008C278D" w:rsidRPr="008C278D" w:rsidRDefault="008C278D" w:rsidP="008C278D">
            <w:pPr>
              <w:rPr>
                <w:rFonts w:ascii="Calibri" w:hAnsi="Calibri"/>
                <w:b/>
                <w:bCs/>
                <w:color w:val="000000"/>
                <w:lang w:eastAsia="en-GB"/>
              </w:rPr>
            </w:pPr>
            <w:r w:rsidRPr="008C278D">
              <w:rPr>
                <w:rFonts w:ascii="Calibri" w:hAnsi="Calibri"/>
                <w:b/>
                <w:bCs/>
                <w:color w:val="000000"/>
                <w:lang w:eastAsia="en-GB"/>
              </w:rPr>
              <w:t xml:space="preserve">Total Defined </w:t>
            </w:r>
            <w:proofErr w:type="gramStart"/>
            <w:r w:rsidRPr="008C278D">
              <w:rPr>
                <w:rFonts w:ascii="Calibri" w:hAnsi="Calibri"/>
                <w:b/>
                <w:bCs/>
                <w:color w:val="000000"/>
                <w:lang w:eastAsia="en-GB"/>
              </w:rPr>
              <w:t>Benefit  Cost</w:t>
            </w:r>
            <w:proofErr w:type="gramEnd"/>
            <w:r w:rsidRPr="008C278D">
              <w:rPr>
                <w:rFonts w:ascii="Calibri" w:hAnsi="Calibri"/>
                <w:b/>
                <w:bCs/>
                <w:color w:val="000000"/>
                <w:lang w:eastAsia="en-GB"/>
              </w:rPr>
              <w:t xml:space="preserve"> recognised in Income </w:t>
            </w:r>
            <w:r w:rsidR="00704A70">
              <w:rPr>
                <w:rFonts w:ascii="Calibri" w:hAnsi="Calibri"/>
                <w:b/>
                <w:bCs/>
                <w:color w:val="000000"/>
                <w:lang w:eastAsia="en-GB"/>
              </w:rPr>
              <w:t>and</w:t>
            </w:r>
            <w:r w:rsidRPr="008C278D">
              <w:rPr>
                <w:rFonts w:ascii="Calibri" w:hAnsi="Calibri"/>
                <w:b/>
                <w:bCs/>
                <w:color w:val="000000"/>
                <w:lang w:eastAsia="en-GB"/>
              </w:rPr>
              <w:t xml:space="preserve"> Expenditure Account</w:t>
            </w:r>
          </w:p>
        </w:tc>
        <w:tc>
          <w:tcPr>
            <w:tcW w:w="960" w:type="dxa"/>
            <w:tcBorders>
              <w:top w:val="nil"/>
              <w:left w:val="nil"/>
              <w:bottom w:val="single" w:sz="4" w:space="0" w:color="FFFFFF"/>
              <w:right w:val="single" w:sz="4" w:space="0" w:color="FFFFFF"/>
            </w:tcBorders>
            <w:shd w:val="clear" w:color="000000" w:fill="B7DEE8"/>
            <w:noWrap/>
            <w:vAlign w:val="bottom"/>
            <w:hideMark/>
          </w:tcPr>
          <w:p w14:paraId="347B5551" w14:textId="0DC3768A" w:rsidR="008C278D" w:rsidRPr="008C278D" w:rsidRDefault="00002BDE" w:rsidP="000B64D6">
            <w:pPr>
              <w:jc w:val="right"/>
              <w:rPr>
                <w:rFonts w:ascii="Calibri" w:hAnsi="Calibri"/>
                <w:b/>
                <w:bCs/>
                <w:color w:val="000000"/>
                <w:lang w:eastAsia="en-GB"/>
              </w:rPr>
            </w:pPr>
            <w:r>
              <w:rPr>
                <w:rFonts w:ascii="Calibri" w:hAnsi="Calibri"/>
                <w:b/>
                <w:bCs/>
                <w:color w:val="000000"/>
                <w:lang w:eastAsia="en-GB"/>
              </w:rPr>
              <w:t>406</w:t>
            </w:r>
          </w:p>
        </w:tc>
        <w:tc>
          <w:tcPr>
            <w:tcW w:w="960" w:type="dxa"/>
            <w:tcBorders>
              <w:top w:val="nil"/>
              <w:left w:val="nil"/>
              <w:bottom w:val="single" w:sz="4" w:space="0" w:color="FFFFFF"/>
              <w:right w:val="single" w:sz="4" w:space="0" w:color="FFFFFF"/>
            </w:tcBorders>
            <w:shd w:val="clear" w:color="000000" w:fill="B7DEE8"/>
            <w:noWrap/>
            <w:vAlign w:val="bottom"/>
          </w:tcPr>
          <w:p w14:paraId="7A84CB14" w14:textId="3D6649FB" w:rsidR="008C278D" w:rsidRPr="008C278D" w:rsidRDefault="00121DFC" w:rsidP="00486082">
            <w:pPr>
              <w:jc w:val="right"/>
              <w:rPr>
                <w:rFonts w:ascii="Calibri" w:hAnsi="Calibri"/>
                <w:b/>
                <w:bCs/>
                <w:color w:val="000000"/>
                <w:lang w:eastAsia="en-GB"/>
              </w:rPr>
            </w:pPr>
            <w:r>
              <w:rPr>
                <w:rFonts w:ascii="Calibri" w:hAnsi="Calibri"/>
                <w:b/>
                <w:bCs/>
                <w:color w:val="000000"/>
                <w:lang w:eastAsia="en-GB"/>
              </w:rPr>
              <w:t>555</w:t>
            </w:r>
          </w:p>
        </w:tc>
      </w:tr>
      <w:tr w:rsidR="008C278D" w:rsidRPr="008C278D" w14:paraId="54257951" w14:textId="77777777" w:rsidTr="007C1E98">
        <w:trPr>
          <w:trHeight w:val="300"/>
        </w:trPr>
        <w:tc>
          <w:tcPr>
            <w:tcW w:w="7360" w:type="dxa"/>
            <w:tcBorders>
              <w:top w:val="nil"/>
              <w:left w:val="single" w:sz="4" w:space="0" w:color="FFFFFF"/>
              <w:bottom w:val="single" w:sz="4" w:space="0" w:color="FFFFFF"/>
              <w:right w:val="nil"/>
            </w:tcBorders>
            <w:shd w:val="clear" w:color="000000" w:fill="DAEEF3"/>
            <w:noWrap/>
            <w:vAlign w:val="bottom"/>
            <w:hideMark/>
          </w:tcPr>
          <w:p w14:paraId="02916069"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Statement of Movement on the HRA Balance:</w:t>
            </w:r>
          </w:p>
        </w:tc>
        <w:tc>
          <w:tcPr>
            <w:tcW w:w="960" w:type="dxa"/>
            <w:tcBorders>
              <w:top w:val="nil"/>
              <w:left w:val="nil"/>
              <w:bottom w:val="single" w:sz="4" w:space="0" w:color="FFFFFF"/>
              <w:right w:val="nil"/>
            </w:tcBorders>
            <w:shd w:val="clear" w:color="000000" w:fill="DAEEF3"/>
            <w:noWrap/>
            <w:vAlign w:val="bottom"/>
            <w:hideMark/>
          </w:tcPr>
          <w:p w14:paraId="1E2C3EC4"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000000" w:fill="DAEEF3"/>
            <w:noWrap/>
            <w:vAlign w:val="bottom"/>
          </w:tcPr>
          <w:p w14:paraId="22709589" w14:textId="77777777" w:rsidR="008C278D" w:rsidRPr="008C278D" w:rsidRDefault="008C278D" w:rsidP="00486082">
            <w:pPr>
              <w:jc w:val="right"/>
              <w:rPr>
                <w:rFonts w:ascii="Calibri" w:hAnsi="Calibri"/>
                <w:color w:val="000000"/>
                <w:lang w:eastAsia="en-GB"/>
              </w:rPr>
            </w:pPr>
          </w:p>
        </w:tc>
      </w:tr>
      <w:tr w:rsidR="008C278D" w:rsidRPr="008C278D" w14:paraId="7618624C"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DAEEF3"/>
            <w:noWrap/>
            <w:vAlign w:val="bottom"/>
            <w:hideMark/>
          </w:tcPr>
          <w:p w14:paraId="3CABFC61"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xml:space="preserve">          Reversal of Net Charges made for retirement benefits in accordance with IAS 19</w:t>
            </w:r>
          </w:p>
        </w:tc>
        <w:tc>
          <w:tcPr>
            <w:tcW w:w="960" w:type="dxa"/>
            <w:tcBorders>
              <w:top w:val="nil"/>
              <w:left w:val="nil"/>
              <w:bottom w:val="single" w:sz="4" w:space="0" w:color="FFFFFF"/>
              <w:right w:val="single" w:sz="4" w:space="0" w:color="FFFFFF"/>
            </w:tcBorders>
            <w:shd w:val="clear" w:color="000000" w:fill="DAEEF3"/>
            <w:noWrap/>
            <w:vAlign w:val="bottom"/>
            <w:hideMark/>
          </w:tcPr>
          <w:p w14:paraId="2CFDFAEB" w14:textId="6C8070F8" w:rsidR="008C278D" w:rsidRPr="008C278D" w:rsidRDefault="008C278D" w:rsidP="000B64D6">
            <w:pPr>
              <w:jc w:val="right"/>
              <w:rPr>
                <w:rFonts w:ascii="Calibri" w:hAnsi="Calibri"/>
                <w:color w:val="000000"/>
                <w:lang w:eastAsia="en-GB"/>
              </w:rPr>
            </w:pPr>
            <w:r w:rsidRPr="008C278D">
              <w:rPr>
                <w:rFonts w:ascii="Calibri" w:hAnsi="Calibri"/>
                <w:color w:val="000000"/>
                <w:lang w:eastAsia="en-GB"/>
              </w:rPr>
              <w:t>-</w:t>
            </w:r>
            <w:r w:rsidR="00002BDE">
              <w:rPr>
                <w:rFonts w:ascii="Calibri" w:hAnsi="Calibri"/>
                <w:color w:val="000000"/>
                <w:lang w:eastAsia="en-GB"/>
              </w:rPr>
              <w:t>406</w:t>
            </w:r>
          </w:p>
        </w:tc>
        <w:tc>
          <w:tcPr>
            <w:tcW w:w="960" w:type="dxa"/>
            <w:tcBorders>
              <w:top w:val="nil"/>
              <w:left w:val="nil"/>
              <w:bottom w:val="single" w:sz="4" w:space="0" w:color="FFFFFF"/>
              <w:right w:val="single" w:sz="4" w:space="0" w:color="FFFFFF"/>
            </w:tcBorders>
            <w:shd w:val="clear" w:color="000000" w:fill="DAEEF3"/>
            <w:noWrap/>
            <w:vAlign w:val="bottom"/>
          </w:tcPr>
          <w:p w14:paraId="268FCF81" w14:textId="1CFD209B" w:rsidR="008C278D" w:rsidRPr="008C278D" w:rsidRDefault="00121DFC" w:rsidP="00486082">
            <w:pPr>
              <w:jc w:val="right"/>
              <w:rPr>
                <w:rFonts w:ascii="Calibri" w:hAnsi="Calibri"/>
                <w:color w:val="000000"/>
                <w:lang w:eastAsia="en-GB"/>
              </w:rPr>
            </w:pPr>
            <w:r>
              <w:rPr>
                <w:rFonts w:ascii="Calibri" w:hAnsi="Calibri"/>
                <w:color w:val="000000"/>
                <w:lang w:eastAsia="en-GB"/>
              </w:rPr>
              <w:t>-555</w:t>
            </w:r>
          </w:p>
        </w:tc>
      </w:tr>
      <w:tr w:rsidR="008C278D" w:rsidRPr="008C278D" w14:paraId="5B9F0D62" w14:textId="77777777" w:rsidTr="007C1E98">
        <w:trPr>
          <w:trHeight w:val="300"/>
        </w:trPr>
        <w:tc>
          <w:tcPr>
            <w:tcW w:w="7360" w:type="dxa"/>
            <w:tcBorders>
              <w:top w:val="nil"/>
              <w:left w:val="single" w:sz="4" w:space="0" w:color="FFFFFF"/>
              <w:bottom w:val="single" w:sz="4" w:space="0" w:color="FFFFFF"/>
              <w:right w:val="nil"/>
            </w:tcBorders>
            <w:shd w:val="clear" w:color="000000" w:fill="DAEEF3"/>
            <w:noWrap/>
            <w:vAlign w:val="bottom"/>
            <w:hideMark/>
          </w:tcPr>
          <w:p w14:paraId="20800708"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Actual amount charged against the HRA for the pensions in the year:</w:t>
            </w:r>
          </w:p>
        </w:tc>
        <w:tc>
          <w:tcPr>
            <w:tcW w:w="960" w:type="dxa"/>
            <w:tcBorders>
              <w:top w:val="nil"/>
              <w:left w:val="nil"/>
              <w:bottom w:val="single" w:sz="4" w:space="0" w:color="FFFFFF"/>
              <w:right w:val="nil"/>
            </w:tcBorders>
            <w:shd w:val="clear" w:color="000000" w:fill="DAEEF3"/>
            <w:noWrap/>
            <w:vAlign w:val="bottom"/>
            <w:hideMark/>
          </w:tcPr>
          <w:p w14:paraId="6A9A767A"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000000" w:fill="DAEEF3"/>
            <w:noWrap/>
            <w:vAlign w:val="bottom"/>
          </w:tcPr>
          <w:p w14:paraId="42C0057B" w14:textId="77777777" w:rsidR="008C278D" w:rsidRPr="008C278D" w:rsidRDefault="008C278D" w:rsidP="00486082">
            <w:pPr>
              <w:jc w:val="right"/>
              <w:rPr>
                <w:rFonts w:ascii="Calibri" w:hAnsi="Calibri"/>
                <w:color w:val="000000"/>
                <w:lang w:eastAsia="en-GB"/>
              </w:rPr>
            </w:pPr>
          </w:p>
        </w:tc>
      </w:tr>
      <w:tr w:rsidR="008C278D" w:rsidRPr="008C278D" w14:paraId="4277A531" w14:textId="77777777" w:rsidTr="007C1E98">
        <w:trPr>
          <w:trHeight w:val="300"/>
        </w:trPr>
        <w:tc>
          <w:tcPr>
            <w:tcW w:w="7360" w:type="dxa"/>
            <w:tcBorders>
              <w:top w:val="nil"/>
              <w:left w:val="single" w:sz="4" w:space="0" w:color="FFFFFF"/>
              <w:bottom w:val="single" w:sz="4" w:space="0" w:color="FFFFFF"/>
              <w:right w:val="single" w:sz="4" w:space="0" w:color="FFFFFF"/>
            </w:tcBorders>
            <w:shd w:val="clear" w:color="000000" w:fill="DAEEF3"/>
            <w:noWrap/>
            <w:vAlign w:val="bottom"/>
            <w:hideMark/>
          </w:tcPr>
          <w:p w14:paraId="7FD1504C" w14:textId="77777777" w:rsidR="008C278D" w:rsidRPr="008C278D" w:rsidRDefault="008C278D" w:rsidP="008C278D">
            <w:pPr>
              <w:rPr>
                <w:rFonts w:ascii="Calibri" w:hAnsi="Calibri"/>
                <w:color w:val="000000"/>
                <w:lang w:eastAsia="en-GB"/>
              </w:rPr>
            </w:pPr>
            <w:r w:rsidRPr="008C278D">
              <w:rPr>
                <w:rFonts w:ascii="Calibri" w:hAnsi="Calibri"/>
                <w:color w:val="000000"/>
                <w:lang w:eastAsia="en-GB"/>
              </w:rPr>
              <w:t xml:space="preserve">          Employers Contributions Payable to the Scheme</w:t>
            </w:r>
          </w:p>
        </w:tc>
        <w:tc>
          <w:tcPr>
            <w:tcW w:w="960" w:type="dxa"/>
            <w:tcBorders>
              <w:top w:val="nil"/>
              <w:left w:val="nil"/>
              <w:bottom w:val="single" w:sz="4" w:space="0" w:color="FFFFFF"/>
              <w:right w:val="single" w:sz="4" w:space="0" w:color="FFFFFF"/>
            </w:tcBorders>
            <w:shd w:val="clear" w:color="000000" w:fill="DAEEF3"/>
            <w:noWrap/>
            <w:vAlign w:val="bottom"/>
            <w:hideMark/>
          </w:tcPr>
          <w:p w14:paraId="1C0282CD" w14:textId="270BF496" w:rsidR="008C278D" w:rsidRPr="008C278D" w:rsidRDefault="00310B28" w:rsidP="000B64D6">
            <w:pPr>
              <w:jc w:val="right"/>
              <w:rPr>
                <w:rFonts w:ascii="Calibri" w:hAnsi="Calibri"/>
                <w:color w:val="000000"/>
                <w:lang w:eastAsia="en-GB"/>
              </w:rPr>
            </w:pPr>
            <w:r>
              <w:rPr>
                <w:rFonts w:ascii="Calibri" w:hAnsi="Calibri"/>
                <w:color w:val="000000"/>
                <w:lang w:eastAsia="en-GB"/>
              </w:rPr>
              <w:t>1</w:t>
            </w:r>
            <w:r w:rsidR="00002BDE">
              <w:rPr>
                <w:rFonts w:ascii="Calibri" w:hAnsi="Calibri"/>
                <w:color w:val="000000"/>
                <w:lang w:eastAsia="en-GB"/>
              </w:rPr>
              <w:t>96</w:t>
            </w:r>
          </w:p>
        </w:tc>
        <w:tc>
          <w:tcPr>
            <w:tcW w:w="960" w:type="dxa"/>
            <w:tcBorders>
              <w:top w:val="nil"/>
              <w:left w:val="nil"/>
              <w:bottom w:val="single" w:sz="4" w:space="0" w:color="FFFFFF"/>
              <w:right w:val="single" w:sz="4" w:space="0" w:color="FFFFFF"/>
            </w:tcBorders>
            <w:shd w:val="clear" w:color="000000" w:fill="DAEEF3"/>
            <w:noWrap/>
            <w:vAlign w:val="bottom"/>
          </w:tcPr>
          <w:p w14:paraId="2760AA72" w14:textId="3D40F339" w:rsidR="008C278D" w:rsidRPr="008C278D" w:rsidRDefault="00121DFC" w:rsidP="009F5651">
            <w:pPr>
              <w:jc w:val="right"/>
              <w:rPr>
                <w:rFonts w:ascii="Calibri" w:hAnsi="Calibri"/>
                <w:color w:val="000000"/>
                <w:lang w:eastAsia="en-GB"/>
              </w:rPr>
            </w:pPr>
            <w:r>
              <w:rPr>
                <w:rFonts w:ascii="Calibri" w:hAnsi="Calibri"/>
                <w:color w:val="000000"/>
                <w:lang w:eastAsia="en-GB"/>
              </w:rPr>
              <w:t>254</w:t>
            </w:r>
          </w:p>
        </w:tc>
      </w:tr>
    </w:tbl>
    <w:p w14:paraId="0DE21D84" w14:textId="77777777" w:rsidR="00752DFB" w:rsidRPr="004C6DC4" w:rsidRDefault="00752DFB" w:rsidP="00D7049A">
      <w:pPr>
        <w:pStyle w:val="xl24"/>
        <w:widowControl w:val="0"/>
        <w:spacing w:before="0" w:beforeAutospacing="0" w:after="0" w:afterAutospacing="0"/>
        <w:rPr>
          <w:rFonts w:ascii="Arial" w:eastAsia="Times New Roman" w:hAnsi="Arial" w:cs="Arial"/>
          <w:bCs/>
          <w:sz w:val="6"/>
          <w:szCs w:val="20"/>
        </w:rPr>
      </w:pPr>
    </w:p>
    <w:p w14:paraId="3693093A" w14:textId="77777777" w:rsidR="00752DFB" w:rsidRPr="004C6DC4" w:rsidRDefault="00752DFB" w:rsidP="00D7049A">
      <w:pPr>
        <w:pStyle w:val="xl24"/>
        <w:widowControl w:val="0"/>
        <w:spacing w:before="0" w:beforeAutospacing="0" w:after="0" w:afterAutospacing="0"/>
        <w:rPr>
          <w:rFonts w:ascii="Arial" w:eastAsia="Times New Roman" w:hAnsi="Arial" w:cs="Arial"/>
          <w:bCs/>
          <w:sz w:val="6"/>
          <w:szCs w:val="20"/>
        </w:rPr>
      </w:pPr>
    </w:p>
    <w:p w14:paraId="41D5D05C" w14:textId="28C9AFE7" w:rsidR="00752DFB" w:rsidRDefault="00752DFB" w:rsidP="00D7049A">
      <w:pPr>
        <w:pStyle w:val="xl24"/>
        <w:widowControl w:val="0"/>
        <w:spacing w:before="0" w:beforeAutospacing="0" w:after="0" w:afterAutospacing="0"/>
        <w:rPr>
          <w:rFonts w:ascii="Arial" w:eastAsia="Times New Roman" w:hAnsi="Arial" w:cs="Arial"/>
          <w:bCs/>
          <w:sz w:val="6"/>
          <w:szCs w:val="20"/>
        </w:rPr>
      </w:pPr>
    </w:p>
    <w:p w14:paraId="5C6DF686" w14:textId="01976912"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28A68AB8" w14:textId="18246AA5"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481C0AF4" w14:textId="76DD0E03"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196F89AB" w14:textId="67013345"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3418C937" w14:textId="35EC1314"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3CA4C6C6" w14:textId="186A71F9"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46A32158" w14:textId="7B42F62C"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52EAE195" w14:textId="17DCE4AD"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103D88A2" w14:textId="23AF62C7"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1A6D416A" w14:textId="6C73402B" w:rsidR="001B4D9E" w:rsidRDefault="001B4D9E" w:rsidP="00D7049A">
      <w:pPr>
        <w:pStyle w:val="xl24"/>
        <w:widowControl w:val="0"/>
        <w:spacing w:before="0" w:beforeAutospacing="0" w:after="0" w:afterAutospacing="0"/>
        <w:rPr>
          <w:rFonts w:ascii="Arial" w:eastAsia="Times New Roman" w:hAnsi="Arial" w:cs="Arial"/>
          <w:bCs/>
          <w:sz w:val="6"/>
          <w:szCs w:val="20"/>
        </w:rPr>
      </w:pPr>
    </w:p>
    <w:p w14:paraId="1C71A876" w14:textId="77777777" w:rsidR="001B4D9E" w:rsidRPr="004C6DC4" w:rsidRDefault="001B4D9E" w:rsidP="00D7049A">
      <w:pPr>
        <w:pStyle w:val="xl24"/>
        <w:widowControl w:val="0"/>
        <w:spacing w:before="0" w:beforeAutospacing="0" w:after="0" w:afterAutospacing="0"/>
        <w:rPr>
          <w:rFonts w:ascii="Arial" w:eastAsia="Times New Roman" w:hAnsi="Arial" w:cs="Arial"/>
          <w:bCs/>
          <w:sz w:val="6"/>
          <w:szCs w:val="20"/>
        </w:rPr>
      </w:pPr>
    </w:p>
    <w:p w14:paraId="42A72E8A" w14:textId="6CF94816" w:rsidR="00D7049A" w:rsidRPr="006929BB" w:rsidRDefault="00F214B4" w:rsidP="00AD4975">
      <w:pPr>
        <w:widowControl w:val="0"/>
        <w:tabs>
          <w:tab w:val="left" w:pos="426"/>
        </w:tabs>
        <w:spacing w:after="120"/>
        <w:rPr>
          <w:rFonts w:asciiTheme="minorHAnsi" w:hAnsiTheme="minorHAnsi" w:cs="Arial"/>
          <w:sz w:val="24"/>
          <w:szCs w:val="24"/>
        </w:rPr>
      </w:pPr>
      <w:r w:rsidRPr="006929BB">
        <w:rPr>
          <w:rFonts w:asciiTheme="minorHAnsi" w:hAnsiTheme="minorHAnsi" w:cs="Arial"/>
          <w:b/>
          <w:bCs/>
          <w:sz w:val="24"/>
          <w:szCs w:val="24"/>
        </w:rPr>
        <w:lastRenderedPageBreak/>
        <w:t>1</w:t>
      </w:r>
      <w:r w:rsidR="00C76AD3">
        <w:rPr>
          <w:rFonts w:asciiTheme="minorHAnsi" w:hAnsiTheme="minorHAnsi" w:cs="Arial"/>
          <w:b/>
          <w:bCs/>
          <w:sz w:val="24"/>
          <w:szCs w:val="24"/>
        </w:rPr>
        <w:t>3</w:t>
      </w:r>
      <w:r w:rsidR="00470894">
        <w:rPr>
          <w:rFonts w:asciiTheme="minorHAnsi" w:hAnsiTheme="minorHAnsi" w:cs="Arial"/>
          <w:b/>
          <w:bCs/>
          <w:sz w:val="24"/>
          <w:szCs w:val="24"/>
        </w:rPr>
        <w:tab/>
      </w:r>
      <w:r w:rsidR="00D7049A" w:rsidRPr="006929BB">
        <w:rPr>
          <w:rFonts w:asciiTheme="minorHAnsi" w:hAnsiTheme="minorHAnsi" w:cs="Arial"/>
          <w:b/>
          <w:sz w:val="24"/>
          <w:szCs w:val="24"/>
        </w:rPr>
        <w:t>Rent Arrears</w:t>
      </w:r>
    </w:p>
    <w:p w14:paraId="22B14B29" w14:textId="70AFB215" w:rsidR="00D7049A" w:rsidRPr="006929BB" w:rsidRDefault="00D7049A" w:rsidP="006929BB">
      <w:pPr>
        <w:pStyle w:val="BodyTextIndent2"/>
        <w:tabs>
          <w:tab w:val="left" w:pos="426"/>
        </w:tabs>
        <w:spacing w:after="120"/>
        <w:ind w:left="0" w:hanging="426"/>
        <w:jc w:val="both"/>
        <w:rPr>
          <w:rFonts w:asciiTheme="minorHAnsi" w:hAnsiTheme="minorHAnsi" w:cs="Arial"/>
          <w:sz w:val="22"/>
          <w:szCs w:val="22"/>
        </w:rPr>
      </w:pPr>
      <w:r w:rsidRPr="004C6DC4">
        <w:rPr>
          <w:rFonts w:ascii="Arial" w:hAnsi="Arial" w:cs="Arial"/>
        </w:rPr>
        <w:tab/>
      </w:r>
      <w:proofErr w:type="gramStart"/>
      <w:r w:rsidRPr="006929BB">
        <w:rPr>
          <w:rFonts w:asciiTheme="minorHAnsi" w:hAnsiTheme="minorHAnsi" w:cs="Arial"/>
          <w:sz w:val="22"/>
          <w:szCs w:val="22"/>
        </w:rPr>
        <w:t>At</w:t>
      </w:r>
      <w:proofErr w:type="gramEnd"/>
      <w:r w:rsidRPr="006929BB">
        <w:rPr>
          <w:rFonts w:asciiTheme="minorHAnsi" w:hAnsiTheme="minorHAnsi" w:cs="Arial"/>
          <w:sz w:val="22"/>
          <w:szCs w:val="22"/>
        </w:rPr>
        <w:t xml:space="preserve"> 31 March 20</w:t>
      </w:r>
      <w:r w:rsidR="00B7398B">
        <w:rPr>
          <w:rFonts w:asciiTheme="minorHAnsi" w:hAnsiTheme="minorHAnsi" w:cs="Arial"/>
          <w:sz w:val="22"/>
          <w:szCs w:val="22"/>
        </w:rPr>
        <w:t>2</w:t>
      </w:r>
      <w:r w:rsidR="00002BDE">
        <w:rPr>
          <w:rFonts w:asciiTheme="minorHAnsi" w:hAnsiTheme="minorHAnsi" w:cs="Arial"/>
          <w:sz w:val="22"/>
          <w:szCs w:val="22"/>
        </w:rPr>
        <w:t>3</w:t>
      </w:r>
      <w:r w:rsidRPr="006929BB">
        <w:rPr>
          <w:rFonts w:asciiTheme="minorHAnsi" w:hAnsiTheme="minorHAnsi" w:cs="Arial"/>
          <w:sz w:val="22"/>
          <w:szCs w:val="22"/>
        </w:rPr>
        <w:t xml:space="preserve"> rent arrears</w:t>
      </w:r>
      <w:r w:rsidR="00F24386" w:rsidRPr="006929BB">
        <w:rPr>
          <w:rFonts w:asciiTheme="minorHAnsi" w:hAnsiTheme="minorHAnsi" w:cs="Arial"/>
          <w:sz w:val="22"/>
          <w:szCs w:val="22"/>
        </w:rPr>
        <w:t xml:space="preserve"> (including ancillary services)</w:t>
      </w:r>
      <w:r w:rsidRPr="006929BB">
        <w:rPr>
          <w:rFonts w:asciiTheme="minorHAnsi" w:hAnsiTheme="minorHAnsi" w:cs="Arial"/>
          <w:sz w:val="22"/>
          <w:szCs w:val="22"/>
        </w:rPr>
        <w:t xml:space="preserve"> as a proportion of gross rent debit </w:t>
      </w:r>
      <w:r w:rsidRPr="00A56E16">
        <w:rPr>
          <w:rFonts w:asciiTheme="minorHAnsi" w:hAnsiTheme="minorHAnsi" w:cs="Arial"/>
          <w:sz w:val="22"/>
          <w:szCs w:val="22"/>
        </w:rPr>
        <w:t>were</w:t>
      </w:r>
      <w:r w:rsidR="00F96848" w:rsidRPr="00A56E16">
        <w:rPr>
          <w:rFonts w:asciiTheme="minorHAnsi" w:hAnsiTheme="minorHAnsi" w:cs="Arial"/>
          <w:sz w:val="22"/>
          <w:szCs w:val="22"/>
        </w:rPr>
        <w:t xml:space="preserve"> </w:t>
      </w:r>
      <w:r w:rsidR="00C76AD3">
        <w:rPr>
          <w:rFonts w:asciiTheme="minorHAnsi" w:hAnsiTheme="minorHAnsi" w:cs="Arial"/>
          <w:sz w:val="22"/>
          <w:szCs w:val="22"/>
        </w:rPr>
        <w:t xml:space="preserve">12.11% </w:t>
      </w:r>
      <w:r w:rsidR="00C2697B" w:rsidRPr="00281061">
        <w:rPr>
          <w:rFonts w:asciiTheme="minorHAnsi" w:hAnsiTheme="minorHAnsi" w:cs="Arial"/>
          <w:sz w:val="22"/>
          <w:szCs w:val="22"/>
        </w:rPr>
        <w:t>(</w:t>
      </w:r>
      <w:r w:rsidR="00C2697B" w:rsidRPr="006929BB">
        <w:rPr>
          <w:rFonts w:asciiTheme="minorHAnsi" w:hAnsiTheme="minorHAnsi" w:cs="Arial"/>
          <w:sz w:val="22"/>
          <w:szCs w:val="22"/>
        </w:rPr>
        <w:t>31 March 20</w:t>
      </w:r>
      <w:r w:rsidR="00310B28">
        <w:rPr>
          <w:rFonts w:asciiTheme="minorHAnsi" w:hAnsiTheme="minorHAnsi" w:cs="Arial"/>
          <w:sz w:val="22"/>
          <w:szCs w:val="22"/>
        </w:rPr>
        <w:t>2</w:t>
      </w:r>
      <w:r w:rsidR="00002BDE">
        <w:rPr>
          <w:rFonts w:asciiTheme="minorHAnsi" w:hAnsiTheme="minorHAnsi" w:cs="Arial"/>
          <w:sz w:val="22"/>
          <w:szCs w:val="22"/>
        </w:rPr>
        <w:t>2</w:t>
      </w:r>
      <w:r w:rsidRPr="006929BB">
        <w:rPr>
          <w:rFonts w:asciiTheme="minorHAnsi" w:hAnsiTheme="minorHAnsi" w:cs="Arial"/>
          <w:sz w:val="22"/>
          <w:szCs w:val="22"/>
        </w:rPr>
        <w:t xml:space="preserve"> </w:t>
      </w:r>
      <w:r w:rsidR="005C5FD5" w:rsidRPr="006929BB">
        <w:rPr>
          <w:rFonts w:asciiTheme="minorHAnsi" w:hAnsiTheme="minorHAnsi" w:cs="Arial"/>
          <w:sz w:val="22"/>
          <w:szCs w:val="22"/>
        </w:rPr>
        <w:t xml:space="preserve">– </w:t>
      </w:r>
      <w:r w:rsidR="00002BDE">
        <w:rPr>
          <w:rFonts w:asciiTheme="minorHAnsi" w:hAnsiTheme="minorHAnsi" w:cs="Arial"/>
          <w:sz w:val="22"/>
          <w:szCs w:val="22"/>
        </w:rPr>
        <w:t>10</w:t>
      </w:r>
      <w:r w:rsidR="00C2697B" w:rsidRPr="006929BB">
        <w:rPr>
          <w:rFonts w:asciiTheme="minorHAnsi" w:hAnsiTheme="minorHAnsi" w:cs="Arial"/>
          <w:sz w:val="22"/>
          <w:szCs w:val="22"/>
        </w:rPr>
        <w:t>.</w:t>
      </w:r>
      <w:r w:rsidR="00002BDE">
        <w:rPr>
          <w:rFonts w:asciiTheme="minorHAnsi" w:hAnsiTheme="minorHAnsi" w:cs="Arial"/>
          <w:sz w:val="22"/>
          <w:szCs w:val="22"/>
        </w:rPr>
        <w:t>09</w:t>
      </w:r>
      <w:r w:rsidRPr="006929BB">
        <w:rPr>
          <w:rFonts w:asciiTheme="minorHAnsi" w:hAnsiTheme="minorHAnsi" w:cs="Arial"/>
          <w:sz w:val="22"/>
          <w:szCs w:val="22"/>
        </w:rPr>
        <w:t>%</w:t>
      </w:r>
      <w:r w:rsidR="00554143" w:rsidRPr="006929BB">
        <w:rPr>
          <w:rFonts w:asciiTheme="minorHAnsi" w:hAnsiTheme="minorHAnsi" w:cs="Arial"/>
          <w:sz w:val="22"/>
          <w:szCs w:val="22"/>
        </w:rPr>
        <w:t xml:space="preserve">).  The </w:t>
      </w:r>
      <w:r w:rsidR="00310B28">
        <w:rPr>
          <w:rFonts w:asciiTheme="minorHAnsi" w:hAnsiTheme="minorHAnsi" w:cs="Arial"/>
          <w:sz w:val="22"/>
          <w:szCs w:val="22"/>
        </w:rPr>
        <w:t xml:space="preserve">total </w:t>
      </w:r>
      <w:r w:rsidR="00554143" w:rsidRPr="006929BB">
        <w:rPr>
          <w:rFonts w:asciiTheme="minorHAnsi" w:hAnsiTheme="minorHAnsi" w:cs="Arial"/>
          <w:sz w:val="22"/>
          <w:szCs w:val="22"/>
        </w:rPr>
        <w:t>arrears figures</w:t>
      </w:r>
      <w:r w:rsidRPr="006929BB">
        <w:rPr>
          <w:rFonts w:asciiTheme="minorHAnsi" w:hAnsiTheme="minorHAnsi" w:cs="Arial"/>
          <w:sz w:val="22"/>
          <w:szCs w:val="22"/>
        </w:rPr>
        <w:t xml:space="preserve"> are as follows:</w:t>
      </w:r>
    </w:p>
    <w:tbl>
      <w:tblPr>
        <w:tblW w:w="10000" w:type="dxa"/>
        <w:tblInd w:w="93" w:type="dxa"/>
        <w:tblLook w:val="04A0" w:firstRow="1" w:lastRow="0" w:firstColumn="1" w:lastColumn="0" w:noHBand="0" w:noVBand="1"/>
        <w:tblCaption w:val="Rent Arrears"/>
        <w:tblDescription w:val="Rent Arrears"/>
      </w:tblPr>
      <w:tblGrid>
        <w:gridCol w:w="1520"/>
        <w:gridCol w:w="6980"/>
        <w:gridCol w:w="1500"/>
      </w:tblGrid>
      <w:tr w:rsidR="006929BB" w:rsidRPr="006929BB" w14:paraId="652B26ED"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069D345F" w14:textId="5AD7F001"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833F56">
              <w:rPr>
                <w:rFonts w:ascii="Calibri" w:hAnsi="Calibri"/>
                <w:color w:val="000000"/>
                <w:lang w:eastAsia="en-GB"/>
              </w:rPr>
              <w:t>2</w:t>
            </w:r>
            <w:r w:rsidR="00002BDE">
              <w:rPr>
                <w:rFonts w:ascii="Calibri" w:hAnsi="Calibri"/>
                <w:color w:val="000000"/>
                <w:lang w:eastAsia="en-GB"/>
              </w:rPr>
              <w:t>1</w:t>
            </w:r>
            <w:r w:rsidRPr="006929BB">
              <w:rPr>
                <w:rFonts w:ascii="Calibri" w:hAnsi="Calibri"/>
                <w:color w:val="000000"/>
                <w:lang w:eastAsia="en-GB"/>
              </w:rPr>
              <w:t>-</w:t>
            </w:r>
            <w:r w:rsidR="00310B2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57EED722"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00C01D28" w14:textId="7C73A350" w:rsidR="006929BB" w:rsidRPr="006929BB" w:rsidRDefault="00310B28" w:rsidP="00310B28">
            <w:pPr>
              <w:jc w:val="right"/>
              <w:rPr>
                <w:rFonts w:ascii="Calibri" w:hAnsi="Calibri"/>
                <w:color w:val="000000"/>
                <w:lang w:eastAsia="en-GB"/>
              </w:rPr>
            </w:pPr>
            <w:r>
              <w:rPr>
                <w:rFonts w:ascii="Calibri" w:hAnsi="Calibri"/>
                <w:color w:val="000000"/>
                <w:lang w:eastAsia="en-GB"/>
              </w:rPr>
              <w:t>202</w:t>
            </w:r>
            <w:r w:rsidR="00002BDE">
              <w:rPr>
                <w:rFonts w:ascii="Calibri" w:hAnsi="Calibri"/>
                <w:color w:val="000000"/>
                <w:lang w:eastAsia="en-GB"/>
              </w:rPr>
              <w:t>2</w:t>
            </w:r>
            <w:r w:rsidR="006929BB" w:rsidRPr="006929BB">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6929BB" w:rsidRPr="006929BB" w14:paraId="26511BB7" w14:textId="77777777" w:rsidTr="006929BB">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4381300F"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 xml:space="preserve">           £’000</w:t>
            </w:r>
          </w:p>
        </w:tc>
        <w:tc>
          <w:tcPr>
            <w:tcW w:w="6980" w:type="dxa"/>
            <w:tcBorders>
              <w:top w:val="nil"/>
              <w:left w:val="nil"/>
              <w:bottom w:val="single" w:sz="4" w:space="0" w:color="FFFFFF"/>
              <w:right w:val="single" w:sz="4" w:space="0" w:color="FFFFFF"/>
            </w:tcBorders>
            <w:shd w:val="clear" w:color="000000" w:fill="92CDDC"/>
            <w:vAlign w:val="center"/>
            <w:hideMark/>
          </w:tcPr>
          <w:p w14:paraId="4E1D8C36"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5E98C882"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 xml:space="preserve">           £’000</w:t>
            </w:r>
          </w:p>
        </w:tc>
      </w:tr>
      <w:tr w:rsidR="006929BB" w:rsidRPr="006929BB" w14:paraId="57DCD67F" w14:textId="77777777" w:rsidTr="006929BB">
        <w:trPr>
          <w:trHeight w:val="300"/>
        </w:trPr>
        <w:tc>
          <w:tcPr>
            <w:tcW w:w="1520" w:type="dxa"/>
            <w:tcBorders>
              <w:top w:val="nil"/>
              <w:left w:val="single" w:sz="4" w:space="0" w:color="FFFFFF"/>
              <w:bottom w:val="single" w:sz="4" w:space="0" w:color="FFFFFF"/>
              <w:right w:val="nil"/>
            </w:tcBorders>
            <w:shd w:val="clear" w:color="000000" w:fill="DAEEF3"/>
            <w:vAlign w:val="center"/>
            <w:hideMark/>
          </w:tcPr>
          <w:p w14:paraId="10A0F1F5"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 </w:t>
            </w:r>
          </w:p>
        </w:tc>
        <w:tc>
          <w:tcPr>
            <w:tcW w:w="6980" w:type="dxa"/>
            <w:tcBorders>
              <w:top w:val="nil"/>
              <w:left w:val="nil"/>
              <w:bottom w:val="single" w:sz="4" w:space="0" w:color="FFFFFF"/>
              <w:right w:val="nil"/>
            </w:tcBorders>
            <w:shd w:val="clear" w:color="000000" w:fill="DAEEF3"/>
            <w:vAlign w:val="center"/>
            <w:hideMark/>
          </w:tcPr>
          <w:p w14:paraId="096EF982" w14:textId="77777777" w:rsidR="006929BB" w:rsidRPr="006929BB" w:rsidRDefault="006929BB" w:rsidP="006929BB">
            <w:pPr>
              <w:ind w:firstLineChars="100" w:firstLine="201"/>
              <w:rPr>
                <w:rFonts w:ascii="Calibri" w:hAnsi="Calibri"/>
                <w:b/>
                <w:bCs/>
                <w:color w:val="000000"/>
                <w:lang w:eastAsia="en-GB"/>
              </w:rPr>
            </w:pPr>
            <w:r w:rsidRPr="006929BB">
              <w:rPr>
                <w:rFonts w:ascii="Calibri" w:hAnsi="Calibri"/>
                <w:b/>
                <w:bCs/>
                <w:color w:val="000000"/>
                <w:lang w:eastAsia="en-GB"/>
              </w:rPr>
              <w:t xml:space="preserve">Arrears </w:t>
            </w:r>
            <w:proofErr w:type="gramStart"/>
            <w:r w:rsidRPr="006929BB">
              <w:rPr>
                <w:rFonts w:ascii="Calibri" w:hAnsi="Calibri"/>
                <w:b/>
                <w:bCs/>
                <w:color w:val="000000"/>
                <w:lang w:eastAsia="en-GB"/>
              </w:rPr>
              <w:t>at</w:t>
            </w:r>
            <w:proofErr w:type="gramEnd"/>
            <w:r w:rsidRPr="006929BB">
              <w:rPr>
                <w:rFonts w:ascii="Calibri" w:hAnsi="Calibri"/>
                <w:b/>
                <w:bCs/>
                <w:color w:val="000000"/>
                <w:lang w:eastAsia="en-GB"/>
              </w:rPr>
              <w:t xml:space="preserve"> 31 March:</w:t>
            </w:r>
          </w:p>
        </w:tc>
        <w:tc>
          <w:tcPr>
            <w:tcW w:w="1500" w:type="dxa"/>
            <w:tcBorders>
              <w:top w:val="nil"/>
              <w:left w:val="nil"/>
              <w:bottom w:val="single" w:sz="4" w:space="0" w:color="FFFFFF"/>
              <w:right w:val="single" w:sz="4" w:space="0" w:color="FFFFFF"/>
            </w:tcBorders>
            <w:shd w:val="clear" w:color="000000" w:fill="DAEEF3"/>
            <w:vAlign w:val="center"/>
            <w:hideMark/>
          </w:tcPr>
          <w:p w14:paraId="016697DE"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 </w:t>
            </w:r>
          </w:p>
        </w:tc>
      </w:tr>
      <w:tr w:rsidR="006929BB" w:rsidRPr="006929BB" w14:paraId="3AE9B0B3" w14:textId="77777777" w:rsidTr="000B64D6">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4E1D9E7A" w14:textId="19342E04" w:rsidR="006929BB" w:rsidRPr="006929BB" w:rsidRDefault="00002BDE" w:rsidP="00310B28">
            <w:pPr>
              <w:jc w:val="right"/>
              <w:rPr>
                <w:rFonts w:ascii="Calibri" w:hAnsi="Calibri"/>
                <w:color w:val="000000"/>
                <w:lang w:eastAsia="en-GB"/>
              </w:rPr>
            </w:pPr>
            <w:r>
              <w:rPr>
                <w:rFonts w:ascii="Calibri" w:hAnsi="Calibri"/>
                <w:color w:val="000000"/>
                <w:lang w:eastAsia="en-GB"/>
              </w:rPr>
              <w:t>460</w:t>
            </w:r>
          </w:p>
        </w:tc>
        <w:tc>
          <w:tcPr>
            <w:tcW w:w="6980" w:type="dxa"/>
            <w:tcBorders>
              <w:top w:val="nil"/>
              <w:left w:val="nil"/>
              <w:bottom w:val="single" w:sz="4" w:space="0" w:color="FFFFFF"/>
              <w:right w:val="single" w:sz="4" w:space="0" w:color="FFFFFF"/>
            </w:tcBorders>
            <w:shd w:val="clear" w:color="000000" w:fill="DAEEF3"/>
            <w:vAlign w:val="center"/>
            <w:hideMark/>
          </w:tcPr>
          <w:p w14:paraId="6155998A" w14:textId="77777777" w:rsidR="006929BB" w:rsidRPr="006929BB" w:rsidRDefault="006929BB" w:rsidP="006929BB">
            <w:pPr>
              <w:ind w:firstLineChars="100" w:firstLine="200"/>
              <w:rPr>
                <w:rFonts w:ascii="Calibri" w:hAnsi="Calibri"/>
                <w:color w:val="000000"/>
                <w:lang w:eastAsia="en-GB"/>
              </w:rPr>
            </w:pPr>
            <w:r w:rsidRPr="006929BB">
              <w:rPr>
                <w:rFonts w:ascii="Calibri" w:hAnsi="Calibri"/>
                <w:color w:val="000000"/>
                <w:lang w:eastAsia="en-GB"/>
              </w:rPr>
              <w:t>Current Tenants</w:t>
            </w:r>
          </w:p>
        </w:tc>
        <w:tc>
          <w:tcPr>
            <w:tcW w:w="1500" w:type="dxa"/>
            <w:tcBorders>
              <w:top w:val="nil"/>
              <w:left w:val="nil"/>
              <w:bottom w:val="single" w:sz="4" w:space="0" w:color="FFFFFF"/>
              <w:right w:val="single" w:sz="4" w:space="0" w:color="FFFFFF"/>
            </w:tcBorders>
            <w:shd w:val="clear" w:color="000000" w:fill="DAEEF3"/>
            <w:vAlign w:val="center"/>
          </w:tcPr>
          <w:p w14:paraId="2BF04090" w14:textId="36F19AE8" w:rsidR="006929BB" w:rsidRPr="006929BB" w:rsidRDefault="00C76AD3">
            <w:pPr>
              <w:jc w:val="right"/>
              <w:rPr>
                <w:rFonts w:ascii="Calibri" w:hAnsi="Calibri"/>
                <w:color w:val="000000"/>
                <w:lang w:eastAsia="en-GB"/>
              </w:rPr>
            </w:pPr>
            <w:r>
              <w:rPr>
                <w:rFonts w:ascii="Calibri" w:hAnsi="Calibri"/>
                <w:color w:val="000000"/>
                <w:lang w:eastAsia="en-GB"/>
              </w:rPr>
              <w:t>660</w:t>
            </w:r>
          </w:p>
        </w:tc>
      </w:tr>
      <w:tr w:rsidR="006929BB" w:rsidRPr="006929BB" w14:paraId="1FE9C83C" w14:textId="77777777" w:rsidTr="000B64D6">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22C9B72" w14:textId="237A6A33" w:rsidR="006929BB" w:rsidRPr="006929BB" w:rsidRDefault="00002BDE" w:rsidP="000B64D6">
            <w:pPr>
              <w:jc w:val="right"/>
              <w:rPr>
                <w:rFonts w:ascii="Calibri" w:hAnsi="Calibri"/>
                <w:color w:val="000000"/>
                <w:lang w:eastAsia="en-GB"/>
              </w:rPr>
            </w:pPr>
            <w:r>
              <w:rPr>
                <w:rFonts w:ascii="Calibri" w:hAnsi="Calibri"/>
                <w:color w:val="000000"/>
                <w:lang w:eastAsia="en-GB"/>
              </w:rPr>
              <w:t>309</w:t>
            </w:r>
          </w:p>
        </w:tc>
        <w:tc>
          <w:tcPr>
            <w:tcW w:w="6980" w:type="dxa"/>
            <w:tcBorders>
              <w:top w:val="nil"/>
              <w:left w:val="nil"/>
              <w:bottom w:val="single" w:sz="4" w:space="0" w:color="FFFFFF"/>
              <w:right w:val="single" w:sz="4" w:space="0" w:color="FFFFFF"/>
            </w:tcBorders>
            <w:shd w:val="clear" w:color="000000" w:fill="DAEEF3"/>
            <w:vAlign w:val="center"/>
            <w:hideMark/>
          </w:tcPr>
          <w:p w14:paraId="745424C6" w14:textId="77777777" w:rsidR="006929BB" w:rsidRPr="006929BB" w:rsidRDefault="006929BB" w:rsidP="006929BB">
            <w:pPr>
              <w:ind w:firstLineChars="100" w:firstLine="200"/>
              <w:rPr>
                <w:rFonts w:ascii="Calibri" w:hAnsi="Calibri"/>
                <w:color w:val="000000"/>
                <w:lang w:eastAsia="en-GB"/>
              </w:rPr>
            </w:pPr>
            <w:r w:rsidRPr="006929BB">
              <w:rPr>
                <w:rFonts w:ascii="Calibri" w:hAnsi="Calibri"/>
                <w:color w:val="000000"/>
                <w:lang w:eastAsia="en-GB"/>
              </w:rPr>
              <w:t>Former Tenants</w:t>
            </w:r>
          </w:p>
        </w:tc>
        <w:tc>
          <w:tcPr>
            <w:tcW w:w="1500" w:type="dxa"/>
            <w:tcBorders>
              <w:top w:val="nil"/>
              <w:left w:val="nil"/>
              <w:bottom w:val="single" w:sz="4" w:space="0" w:color="FFFFFF"/>
              <w:right w:val="single" w:sz="4" w:space="0" w:color="FFFFFF"/>
            </w:tcBorders>
            <w:shd w:val="clear" w:color="000000" w:fill="DAEEF3"/>
            <w:vAlign w:val="center"/>
          </w:tcPr>
          <w:p w14:paraId="5B13C141" w14:textId="271195E0" w:rsidR="006929BB" w:rsidRPr="006929BB" w:rsidRDefault="00C76AD3">
            <w:pPr>
              <w:jc w:val="right"/>
              <w:rPr>
                <w:rFonts w:ascii="Calibri" w:hAnsi="Calibri"/>
                <w:color w:val="000000"/>
                <w:lang w:eastAsia="en-GB"/>
              </w:rPr>
            </w:pPr>
            <w:r>
              <w:rPr>
                <w:rFonts w:ascii="Calibri" w:hAnsi="Calibri"/>
                <w:color w:val="000000"/>
                <w:lang w:eastAsia="en-GB"/>
              </w:rPr>
              <w:t>304</w:t>
            </w:r>
          </w:p>
        </w:tc>
      </w:tr>
      <w:tr w:rsidR="006929BB" w:rsidRPr="006929BB" w14:paraId="341966D1" w14:textId="77777777" w:rsidTr="000B64D6">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66B375AB" w14:textId="6E08204B" w:rsidR="006929BB" w:rsidRPr="006929BB" w:rsidRDefault="00002BDE" w:rsidP="006929BB">
            <w:pPr>
              <w:jc w:val="right"/>
              <w:rPr>
                <w:rFonts w:ascii="Calibri" w:hAnsi="Calibri"/>
                <w:b/>
                <w:bCs/>
                <w:color w:val="000000"/>
                <w:lang w:eastAsia="en-GB"/>
              </w:rPr>
            </w:pPr>
            <w:r>
              <w:rPr>
                <w:rFonts w:ascii="Calibri" w:hAnsi="Calibri"/>
                <w:b/>
                <w:bCs/>
                <w:color w:val="000000"/>
                <w:lang w:eastAsia="en-GB"/>
              </w:rPr>
              <w:t>769</w:t>
            </w:r>
          </w:p>
        </w:tc>
        <w:tc>
          <w:tcPr>
            <w:tcW w:w="6980" w:type="dxa"/>
            <w:tcBorders>
              <w:top w:val="nil"/>
              <w:left w:val="nil"/>
              <w:bottom w:val="single" w:sz="4" w:space="0" w:color="FFFFFF"/>
              <w:right w:val="single" w:sz="4" w:space="0" w:color="FFFFFF"/>
            </w:tcBorders>
            <w:shd w:val="clear" w:color="000000" w:fill="B7DEE8"/>
            <w:vAlign w:val="center"/>
            <w:hideMark/>
          </w:tcPr>
          <w:p w14:paraId="0DB61317" w14:textId="77777777" w:rsidR="006929BB" w:rsidRPr="006929BB" w:rsidRDefault="006929BB" w:rsidP="006929BB">
            <w:pPr>
              <w:ind w:firstLineChars="100" w:firstLine="201"/>
              <w:rPr>
                <w:rFonts w:ascii="Calibri" w:hAnsi="Calibri"/>
                <w:b/>
                <w:bCs/>
                <w:color w:val="000000"/>
                <w:lang w:eastAsia="en-GB"/>
              </w:rPr>
            </w:pPr>
            <w:r w:rsidRPr="006929BB">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1D071766" w14:textId="5ACBB82B" w:rsidR="006929BB" w:rsidRPr="006929BB" w:rsidRDefault="00C76AD3" w:rsidP="006929BB">
            <w:pPr>
              <w:jc w:val="right"/>
              <w:rPr>
                <w:rFonts w:ascii="Calibri" w:hAnsi="Calibri"/>
                <w:b/>
                <w:bCs/>
                <w:color w:val="000000"/>
                <w:lang w:eastAsia="en-GB"/>
              </w:rPr>
            </w:pPr>
            <w:r>
              <w:rPr>
                <w:rFonts w:ascii="Calibri" w:hAnsi="Calibri"/>
                <w:b/>
                <w:bCs/>
                <w:color w:val="000000"/>
                <w:lang w:eastAsia="en-GB"/>
              </w:rPr>
              <w:t>964</w:t>
            </w:r>
          </w:p>
        </w:tc>
      </w:tr>
    </w:tbl>
    <w:p w14:paraId="4D8A33B2" w14:textId="77777777" w:rsidR="00D7049A" w:rsidRPr="004C6DC4" w:rsidRDefault="00D7049A" w:rsidP="00D7049A">
      <w:pPr>
        <w:widowControl w:val="0"/>
        <w:ind w:left="720" w:hanging="720"/>
        <w:jc w:val="both"/>
        <w:rPr>
          <w:rFonts w:ascii="Arial" w:hAnsi="Arial" w:cs="Arial"/>
        </w:rPr>
      </w:pPr>
    </w:p>
    <w:p w14:paraId="49EE105A" w14:textId="6BF2D717" w:rsidR="00B16512" w:rsidRPr="006929BB" w:rsidRDefault="00310B28" w:rsidP="006929BB">
      <w:pPr>
        <w:widowControl w:val="0"/>
        <w:jc w:val="both"/>
        <w:rPr>
          <w:rFonts w:asciiTheme="minorHAnsi" w:hAnsiTheme="minorHAnsi" w:cs="Arial"/>
          <w:sz w:val="22"/>
          <w:szCs w:val="22"/>
        </w:rPr>
      </w:pPr>
      <w:r>
        <w:rPr>
          <w:rFonts w:asciiTheme="minorHAnsi" w:hAnsiTheme="minorHAnsi" w:cs="Arial"/>
          <w:sz w:val="22"/>
          <w:szCs w:val="22"/>
        </w:rPr>
        <w:t xml:space="preserve">The HRA </w:t>
      </w:r>
      <w:r w:rsidR="00833F56">
        <w:rPr>
          <w:rFonts w:asciiTheme="minorHAnsi" w:hAnsiTheme="minorHAnsi" w:cs="Arial"/>
          <w:sz w:val="22"/>
          <w:szCs w:val="22"/>
        </w:rPr>
        <w:t>does not</w:t>
      </w:r>
      <w:r>
        <w:rPr>
          <w:rFonts w:asciiTheme="minorHAnsi" w:hAnsiTheme="minorHAnsi" w:cs="Arial"/>
          <w:sz w:val="22"/>
          <w:szCs w:val="22"/>
        </w:rPr>
        <w:t xml:space="preserve"> collect any amounts from other agencies.</w:t>
      </w:r>
    </w:p>
    <w:p w14:paraId="4E851FF3" w14:textId="77777777" w:rsidR="00F143AC" w:rsidRPr="006929BB" w:rsidRDefault="00F143AC" w:rsidP="006929BB">
      <w:pPr>
        <w:widowControl w:val="0"/>
        <w:jc w:val="both"/>
        <w:rPr>
          <w:rFonts w:asciiTheme="minorHAnsi" w:hAnsiTheme="minorHAnsi" w:cs="Arial"/>
          <w:sz w:val="22"/>
          <w:szCs w:val="22"/>
        </w:rPr>
      </w:pPr>
    </w:p>
    <w:p w14:paraId="64278F95" w14:textId="2ABC8FD9" w:rsidR="00D7049A" w:rsidRPr="006929BB" w:rsidRDefault="00C95130" w:rsidP="00C95130">
      <w:pPr>
        <w:widowControl w:val="0"/>
        <w:spacing w:after="120"/>
        <w:jc w:val="both"/>
        <w:rPr>
          <w:rFonts w:asciiTheme="minorHAnsi" w:hAnsiTheme="minorHAnsi" w:cs="Arial"/>
          <w:sz w:val="24"/>
          <w:szCs w:val="24"/>
        </w:rPr>
      </w:pPr>
      <w:r w:rsidRPr="006929BB">
        <w:rPr>
          <w:rFonts w:asciiTheme="minorHAnsi" w:hAnsiTheme="minorHAnsi" w:cs="Arial"/>
          <w:b/>
          <w:sz w:val="24"/>
          <w:szCs w:val="24"/>
        </w:rPr>
        <w:t>1</w:t>
      </w:r>
      <w:r w:rsidR="00C76AD3">
        <w:rPr>
          <w:rFonts w:asciiTheme="minorHAnsi" w:hAnsiTheme="minorHAnsi" w:cs="Arial"/>
          <w:b/>
          <w:sz w:val="24"/>
          <w:szCs w:val="24"/>
        </w:rPr>
        <w:t>4</w:t>
      </w:r>
      <w:r w:rsidRPr="006929BB">
        <w:rPr>
          <w:rFonts w:asciiTheme="minorHAnsi" w:hAnsiTheme="minorHAnsi" w:cs="Arial"/>
          <w:b/>
          <w:sz w:val="24"/>
          <w:szCs w:val="24"/>
        </w:rPr>
        <w:t xml:space="preserve">    </w:t>
      </w:r>
      <w:r w:rsidR="00D7049A" w:rsidRPr="006929BB">
        <w:rPr>
          <w:rFonts w:asciiTheme="minorHAnsi" w:hAnsiTheme="minorHAnsi" w:cs="Arial"/>
          <w:b/>
          <w:sz w:val="24"/>
          <w:szCs w:val="24"/>
        </w:rPr>
        <w:t>Doubtful Debts Provision</w:t>
      </w:r>
      <w:r w:rsidR="003B7706" w:rsidRPr="006929BB">
        <w:rPr>
          <w:rFonts w:asciiTheme="minorHAnsi" w:hAnsiTheme="minorHAnsi" w:cs="Arial"/>
          <w:b/>
          <w:sz w:val="24"/>
          <w:szCs w:val="24"/>
        </w:rPr>
        <w:t xml:space="preserve"> of </w:t>
      </w:r>
      <w:r w:rsidR="000D5076" w:rsidRPr="006929BB">
        <w:rPr>
          <w:rFonts w:asciiTheme="minorHAnsi" w:hAnsiTheme="minorHAnsi" w:cs="Arial"/>
          <w:b/>
          <w:sz w:val="24"/>
          <w:szCs w:val="24"/>
        </w:rPr>
        <w:t>U</w:t>
      </w:r>
      <w:r w:rsidR="00602387" w:rsidRPr="006929BB">
        <w:rPr>
          <w:rFonts w:asciiTheme="minorHAnsi" w:hAnsiTheme="minorHAnsi" w:cs="Arial"/>
          <w:b/>
          <w:sz w:val="24"/>
          <w:szCs w:val="24"/>
        </w:rPr>
        <w:t>ncollect</w:t>
      </w:r>
      <w:r w:rsidR="00E733B8" w:rsidRPr="006929BB">
        <w:rPr>
          <w:rFonts w:asciiTheme="minorHAnsi" w:hAnsiTheme="minorHAnsi" w:cs="Arial"/>
          <w:b/>
          <w:sz w:val="24"/>
          <w:szCs w:val="24"/>
        </w:rPr>
        <w:t>a</w:t>
      </w:r>
      <w:r w:rsidR="00602387" w:rsidRPr="006929BB">
        <w:rPr>
          <w:rFonts w:asciiTheme="minorHAnsi" w:hAnsiTheme="minorHAnsi" w:cs="Arial"/>
          <w:b/>
          <w:sz w:val="24"/>
          <w:szCs w:val="24"/>
        </w:rPr>
        <w:t>ble</w:t>
      </w:r>
      <w:r w:rsidR="003B7706" w:rsidRPr="006929BB">
        <w:rPr>
          <w:rFonts w:asciiTheme="minorHAnsi" w:hAnsiTheme="minorHAnsi" w:cs="Arial"/>
          <w:b/>
          <w:sz w:val="24"/>
          <w:szCs w:val="24"/>
        </w:rPr>
        <w:t xml:space="preserve"> </w:t>
      </w:r>
      <w:r w:rsidR="000D5076" w:rsidRPr="006929BB">
        <w:rPr>
          <w:rFonts w:asciiTheme="minorHAnsi" w:hAnsiTheme="minorHAnsi" w:cs="Arial"/>
          <w:b/>
          <w:sz w:val="24"/>
          <w:szCs w:val="24"/>
        </w:rPr>
        <w:t>D</w:t>
      </w:r>
      <w:r w:rsidR="003B7706" w:rsidRPr="006929BB">
        <w:rPr>
          <w:rFonts w:asciiTheme="minorHAnsi" w:hAnsiTheme="minorHAnsi" w:cs="Arial"/>
          <w:b/>
          <w:sz w:val="24"/>
          <w:szCs w:val="24"/>
        </w:rPr>
        <w:t>ebts</w:t>
      </w:r>
    </w:p>
    <w:tbl>
      <w:tblPr>
        <w:tblW w:w="10000" w:type="dxa"/>
        <w:tblInd w:w="93" w:type="dxa"/>
        <w:tblLook w:val="04A0" w:firstRow="1" w:lastRow="0" w:firstColumn="1" w:lastColumn="0" w:noHBand="0" w:noVBand="1"/>
        <w:tblCaption w:val="Doubtful Debts Provision of Uncollectable Debts for the Housing revenue account"/>
        <w:tblDescription w:val="Doubtful Debts Provision of Uncollectable Debts for the Housing revenue account"/>
      </w:tblPr>
      <w:tblGrid>
        <w:gridCol w:w="1520"/>
        <w:gridCol w:w="6980"/>
        <w:gridCol w:w="1500"/>
      </w:tblGrid>
      <w:tr w:rsidR="006929BB" w:rsidRPr="006929BB" w14:paraId="7BB5C0E2" w14:textId="77777777" w:rsidTr="00110931">
        <w:trPr>
          <w:cantSplit/>
          <w:trHeight w:val="300"/>
          <w:tblHeader/>
        </w:trPr>
        <w:tc>
          <w:tcPr>
            <w:tcW w:w="1520" w:type="dxa"/>
            <w:tcBorders>
              <w:top w:val="single" w:sz="4" w:space="0" w:color="FFFFFF"/>
              <w:left w:val="single" w:sz="4" w:space="0" w:color="FFFFFF"/>
              <w:bottom w:val="single" w:sz="4" w:space="0" w:color="FFFFFF"/>
              <w:right w:val="single" w:sz="4" w:space="0" w:color="FFFFFF"/>
            </w:tcBorders>
            <w:shd w:val="clear" w:color="000000" w:fill="92CDDC"/>
            <w:vAlign w:val="center"/>
            <w:hideMark/>
          </w:tcPr>
          <w:p w14:paraId="5CBC2CF4" w14:textId="0DC70D8A"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833F56">
              <w:rPr>
                <w:rFonts w:ascii="Calibri" w:hAnsi="Calibri"/>
                <w:color w:val="000000"/>
                <w:lang w:eastAsia="en-GB"/>
              </w:rPr>
              <w:t>2</w:t>
            </w:r>
            <w:r w:rsidR="00002BDE">
              <w:rPr>
                <w:rFonts w:ascii="Calibri" w:hAnsi="Calibri"/>
                <w:color w:val="000000"/>
                <w:lang w:eastAsia="en-GB"/>
              </w:rPr>
              <w:t>1</w:t>
            </w:r>
            <w:r w:rsidRPr="006929BB">
              <w:rPr>
                <w:rFonts w:ascii="Calibri" w:hAnsi="Calibri"/>
                <w:color w:val="000000"/>
                <w:lang w:eastAsia="en-GB"/>
              </w:rPr>
              <w:t>-</w:t>
            </w:r>
            <w:r w:rsidR="00310B28">
              <w:rPr>
                <w:rFonts w:ascii="Calibri" w:hAnsi="Calibri"/>
                <w:color w:val="000000"/>
                <w:lang w:eastAsia="en-GB"/>
              </w:rPr>
              <w:t>2</w:t>
            </w:r>
            <w:r w:rsidR="00002BDE">
              <w:rPr>
                <w:rFonts w:ascii="Calibri" w:hAnsi="Calibri"/>
                <w:color w:val="000000"/>
                <w:lang w:eastAsia="en-GB"/>
              </w:rPr>
              <w:t>2</w:t>
            </w:r>
          </w:p>
        </w:tc>
        <w:tc>
          <w:tcPr>
            <w:tcW w:w="6980" w:type="dxa"/>
            <w:tcBorders>
              <w:top w:val="single" w:sz="4" w:space="0" w:color="FFFFFF"/>
              <w:left w:val="nil"/>
              <w:bottom w:val="nil"/>
              <w:right w:val="single" w:sz="4" w:space="0" w:color="FFFFFF"/>
            </w:tcBorders>
            <w:shd w:val="clear" w:color="000000" w:fill="92CDDC"/>
            <w:vAlign w:val="center"/>
            <w:hideMark/>
          </w:tcPr>
          <w:p w14:paraId="3A158713" w14:textId="77777777" w:rsidR="006929BB" w:rsidRPr="006929BB" w:rsidRDefault="006929BB" w:rsidP="006929BB">
            <w:pPr>
              <w:ind w:firstLineChars="400" w:firstLine="800"/>
              <w:jc w:val="right"/>
              <w:rPr>
                <w:rFonts w:ascii="Calibri" w:hAnsi="Calibri"/>
                <w:color w:val="000000"/>
                <w:lang w:eastAsia="en-GB"/>
              </w:rPr>
            </w:pPr>
            <w:r w:rsidRPr="006929BB">
              <w:rPr>
                <w:rFonts w:ascii="Calibri" w:hAnsi="Calibri"/>
                <w:color w:val="000000"/>
                <w:lang w:eastAsia="en-GB"/>
              </w:rPr>
              <w:t> </w:t>
            </w:r>
          </w:p>
        </w:tc>
        <w:tc>
          <w:tcPr>
            <w:tcW w:w="1500" w:type="dxa"/>
            <w:tcBorders>
              <w:top w:val="single" w:sz="4" w:space="0" w:color="FFFFFF"/>
              <w:left w:val="nil"/>
              <w:bottom w:val="single" w:sz="4" w:space="0" w:color="FFFFFF"/>
              <w:right w:val="single" w:sz="4" w:space="0" w:color="FFFFFF"/>
            </w:tcBorders>
            <w:shd w:val="clear" w:color="000000" w:fill="92CDDC"/>
            <w:vAlign w:val="center"/>
            <w:hideMark/>
          </w:tcPr>
          <w:p w14:paraId="66EBB619" w14:textId="53C5D3A7"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310B28">
              <w:rPr>
                <w:rFonts w:ascii="Calibri" w:hAnsi="Calibri"/>
                <w:color w:val="000000"/>
                <w:lang w:eastAsia="en-GB"/>
              </w:rPr>
              <w:t>2</w:t>
            </w:r>
            <w:r w:rsidR="00002BDE">
              <w:rPr>
                <w:rFonts w:ascii="Calibri" w:hAnsi="Calibri"/>
                <w:color w:val="000000"/>
                <w:lang w:eastAsia="en-GB"/>
              </w:rPr>
              <w:t>2</w:t>
            </w:r>
            <w:r w:rsidRPr="006929BB">
              <w:rPr>
                <w:rFonts w:ascii="Calibri" w:hAnsi="Calibri"/>
                <w:color w:val="000000"/>
                <w:lang w:eastAsia="en-GB"/>
              </w:rPr>
              <w:t>-</w:t>
            </w:r>
            <w:r w:rsidR="00B7398B">
              <w:rPr>
                <w:rFonts w:ascii="Calibri" w:hAnsi="Calibri"/>
                <w:color w:val="000000"/>
                <w:lang w:eastAsia="en-GB"/>
              </w:rPr>
              <w:t>2</w:t>
            </w:r>
            <w:r w:rsidR="00002BDE">
              <w:rPr>
                <w:rFonts w:ascii="Calibri" w:hAnsi="Calibri"/>
                <w:color w:val="000000"/>
                <w:lang w:eastAsia="en-GB"/>
              </w:rPr>
              <w:t>3</w:t>
            </w:r>
          </w:p>
        </w:tc>
      </w:tr>
      <w:tr w:rsidR="006929BB" w:rsidRPr="006929BB" w14:paraId="0F9DE757" w14:textId="77777777" w:rsidTr="006929BB">
        <w:trPr>
          <w:trHeight w:val="300"/>
        </w:trPr>
        <w:tc>
          <w:tcPr>
            <w:tcW w:w="1520" w:type="dxa"/>
            <w:tcBorders>
              <w:top w:val="nil"/>
              <w:left w:val="single" w:sz="4" w:space="0" w:color="FFFFFF"/>
              <w:bottom w:val="single" w:sz="4" w:space="0" w:color="FFFFFF"/>
              <w:right w:val="single" w:sz="4" w:space="0" w:color="FFFFFF"/>
            </w:tcBorders>
            <w:shd w:val="clear" w:color="000000" w:fill="92CDDC"/>
            <w:vAlign w:val="center"/>
            <w:hideMark/>
          </w:tcPr>
          <w:p w14:paraId="06B59C36"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6980" w:type="dxa"/>
            <w:tcBorders>
              <w:top w:val="nil"/>
              <w:left w:val="nil"/>
              <w:bottom w:val="single" w:sz="4" w:space="0" w:color="FFFFFF"/>
              <w:right w:val="single" w:sz="4" w:space="0" w:color="FFFFFF"/>
            </w:tcBorders>
            <w:shd w:val="clear" w:color="000000" w:fill="92CDDC"/>
            <w:vAlign w:val="center"/>
            <w:hideMark/>
          </w:tcPr>
          <w:p w14:paraId="00366BB5" w14:textId="77777777" w:rsidR="006929BB" w:rsidRPr="006929BB" w:rsidRDefault="006929BB" w:rsidP="006929BB">
            <w:pPr>
              <w:ind w:firstLineChars="400" w:firstLine="800"/>
              <w:jc w:val="right"/>
              <w:rPr>
                <w:rFonts w:ascii="Calibri" w:hAnsi="Calibri"/>
                <w:color w:val="000000"/>
                <w:lang w:eastAsia="en-GB"/>
              </w:rPr>
            </w:pPr>
            <w:r w:rsidRPr="006929BB">
              <w:rPr>
                <w:rFonts w:ascii="Calibri" w:hAnsi="Calibri"/>
                <w:color w:val="000000"/>
                <w:lang w:eastAsia="en-GB"/>
              </w:rPr>
              <w:t> </w:t>
            </w:r>
          </w:p>
        </w:tc>
        <w:tc>
          <w:tcPr>
            <w:tcW w:w="1500" w:type="dxa"/>
            <w:tcBorders>
              <w:top w:val="nil"/>
              <w:left w:val="nil"/>
              <w:bottom w:val="single" w:sz="4" w:space="0" w:color="FFFFFF"/>
              <w:right w:val="single" w:sz="4" w:space="0" w:color="FFFFFF"/>
            </w:tcBorders>
            <w:shd w:val="clear" w:color="000000" w:fill="92CDDC"/>
            <w:vAlign w:val="center"/>
            <w:hideMark/>
          </w:tcPr>
          <w:p w14:paraId="42CEB90C"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r>
      <w:tr w:rsidR="006929BB" w:rsidRPr="006929BB" w14:paraId="564A3931"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37C0BEA3" w14:textId="2A47BADE" w:rsidR="006929BB" w:rsidRPr="006929BB" w:rsidRDefault="00002BDE" w:rsidP="00310B28">
            <w:pPr>
              <w:jc w:val="right"/>
              <w:rPr>
                <w:rFonts w:ascii="Calibri" w:hAnsi="Calibri"/>
                <w:color w:val="000000"/>
                <w:lang w:eastAsia="en-GB"/>
              </w:rPr>
            </w:pPr>
            <w:r>
              <w:rPr>
                <w:rFonts w:ascii="Calibri" w:hAnsi="Calibri"/>
                <w:color w:val="000000"/>
                <w:lang w:eastAsia="en-GB"/>
              </w:rPr>
              <w:t>503</w:t>
            </w:r>
          </w:p>
        </w:tc>
        <w:tc>
          <w:tcPr>
            <w:tcW w:w="6980" w:type="dxa"/>
            <w:tcBorders>
              <w:top w:val="nil"/>
              <w:left w:val="nil"/>
              <w:bottom w:val="single" w:sz="4" w:space="0" w:color="FFFFFF"/>
              <w:right w:val="single" w:sz="4" w:space="0" w:color="FFFFFF"/>
            </w:tcBorders>
            <w:shd w:val="clear" w:color="000000" w:fill="DAEEF3"/>
            <w:vAlign w:val="center"/>
            <w:hideMark/>
          </w:tcPr>
          <w:p w14:paraId="785E385F" w14:textId="77777777" w:rsidR="006929BB" w:rsidRPr="006929BB" w:rsidRDefault="006929BB" w:rsidP="006929BB">
            <w:pPr>
              <w:ind w:firstLineChars="100" w:firstLine="200"/>
              <w:rPr>
                <w:rFonts w:ascii="Calibri" w:hAnsi="Calibri"/>
                <w:color w:val="000000"/>
                <w:lang w:eastAsia="en-GB"/>
              </w:rPr>
            </w:pPr>
            <w:r w:rsidRPr="006929BB">
              <w:rPr>
                <w:rFonts w:ascii="Calibri" w:hAnsi="Calibri"/>
                <w:color w:val="000000"/>
                <w:lang w:eastAsia="en-GB"/>
              </w:rPr>
              <w:t>Housing Rents, Fees and Charges</w:t>
            </w:r>
          </w:p>
        </w:tc>
        <w:tc>
          <w:tcPr>
            <w:tcW w:w="1500" w:type="dxa"/>
            <w:tcBorders>
              <w:top w:val="nil"/>
              <w:left w:val="nil"/>
              <w:bottom w:val="single" w:sz="4" w:space="0" w:color="FFFFFF"/>
              <w:right w:val="single" w:sz="4" w:space="0" w:color="FFFFFF"/>
            </w:tcBorders>
            <w:shd w:val="clear" w:color="000000" w:fill="DAEEF3"/>
            <w:vAlign w:val="center"/>
          </w:tcPr>
          <w:p w14:paraId="51A58773" w14:textId="65C8E204" w:rsidR="006929BB" w:rsidRPr="006929BB" w:rsidRDefault="00C76AD3" w:rsidP="006929BB">
            <w:pPr>
              <w:jc w:val="right"/>
              <w:rPr>
                <w:rFonts w:ascii="Calibri" w:hAnsi="Calibri"/>
                <w:color w:val="000000"/>
                <w:lang w:eastAsia="en-GB"/>
              </w:rPr>
            </w:pPr>
            <w:r>
              <w:rPr>
                <w:rFonts w:ascii="Calibri" w:hAnsi="Calibri"/>
                <w:color w:val="000000"/>
                <w:lang w:eastAsia="en-GB"/>
              </w:rPr>
              <w:t>709</w:t>
            </w:r>
          </w:p>
        </w:tc>
      </w:tr>
      <w:tr w:rsidR="006929BB" w:rsidRPr="006929BB" w14:paraId="16CF5298"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DAEEF3"/>
            <w:vAlign w:val="center"/>
            <w:hideMark/>
          </w:tcPr>
          <w:p w14:paraId="7880F4A6" w14:textId="16D170AE" w:rsidR="006929BB" w:rsidRPr="006929BB" w:rsidRDefault="00002BDE" w:rsidP="006929BB">
            <w:pPr>
              <w:jc w:val="right"/>
              <w:rPr>
                <w:rFonts w:ascii="Calibri" w:hAnsi="Calibri"/>
                <w:color w:val="000000"/>
                <w:lang w:eastAsia="en-GB"/>
              </w:rPr>
            </w:pPr>
            <w:r>
              <w:rPr>
                <w:rFonts w:ascii="Calibri" w:hAnsi="Calibri"/>
                <w:color w:val="000000"/>
                <w:lang w:eastAsia="en-GB"/>
              </w:rPr>
              <w:t>41</w:t>
            </w:r>
          </w:p>
        </w:tc>
        <w:tc>
          <w:tcPr>
            <w:tcW w:w="6980" w:type="dxa"/>
            <w:tcBorders>
              <w:top w:val="nil"/>
              <w:left w:val="nil"/>
              <w:bottom w:val="single" w:sz="4" w:space="0" w:color="FFFFFF"/>
              <w:right w:val="single" w:sz="4" w:space="0" w:color="FFFFFF"/>
            </w:tcBorders>
            <w:shd w:val="clear" w:color="000000" w:fill="DAEEF3"/>
            <w:vAlign w:val="center"/>
            <w:hideMark/>
          </w:tcPr>
          <w:p w14:paraId="06367B12" w14:textId="77777777" w:rsidR="006929BB" w:rsidRPr="006929BB" w:rsidRDefault="006929BB" w:rsidP="006929BB">
            <w:pPr>
              <w:ind w:firstLineChars="100" w:firstLine="200"/>
              <w:rPr>
                <w:rFonts w:ascii="Calibri" w:hAnsi="Calibri"/>
                <w:color w:val="000000"/>
                <w:lang w:eastAsia="en-GB"/>
              </w:rPr>
            </w:pPr>
            <w:r w:rsidRPr="006929BB">
              <w:rPr>
                <w:rFonts w:ascii="Calibri" w:hAnsi="Calibri"/>
                <w:color w:val="000000"/>
                <w:lang w:eastAsia="en-GB"/>
              </w:rPr>
              <w:t>Sundry Receivables</w:t>
            </w:r>
          </w:p>
        </w:tc>
        <w:tc>
          <w:tcPr>
            <w:tcW w:w="1500" w:type="dxa"/>
            <w:tcBorders>
              <w:top w:val="nil"/>
              <w:left w:val="nil"/>
              <w:bottom w:val="single" w:sz="4" w:space="0" w:color="FFFFFF"/>
              <w:right w:val="single" w:sz="4" w:space="0" w:color="FFFFFF"/>
            </w:tcBorders>
            <w:shd w:val="clear" w:color="000000" w:fill="DAEEF3"/>
            <w:vAlign w:val="center"/>
          </w:tcPr>
          <w:p w14:paraId="731C1144" w14:textId="48DC22AC" w:rsidR="006929BB" w:rsidRPr="006929BB" w:rsidRDefault="00C76AD3" w:rsidP="006929BB">
            <w:pPr>
              <w:jc w:val="right"/>
              <w:rPr>
                <w:rFonts w:ascii="Calibri" w:hAnsi="Calibri"/>
                <w:color w:val="000000"/>
                <w:lang w:eastAsia="en-GB"/>
              </w:rPr>
            </w:pPr>
            <w:r>
              <w:rPr>
                <w:rFonts w:ascii="Calibri" w:hAnsi="Calibri"/>
                <w:color w:val="000000"/>
                <w:lang w:eastAsia="en-GB"/>
              </w:rPr>
              <w:t>54</w:t>
            </w:r>
          </w:p>
        </w:tc>
      </w:tr>
      <w:tr w:rsidR="006929BB" w:rsidRPr="006929BB" w14:paraId="36894863" w14:textId="77777777" w:rsidTr="007C1E98">
        <w:trPr>
          <w:trHeight w:val="300"/>
        </w:trPr>
        <w:tc>
          <w:tcPr>
            <w:tcW w:w="1520" w:type="dxa"/>
            <w:tcBorders>
              <w:top w:val="nil"/>
              <w:left w:val="single" w:sz="4" w:space="0" w:color="FFFFFF"/>
              <w:bottom w:val="single" w:sz="4" w:space="0" w:color="FFFFFF"/>
              <w:right w:val="single" w:sz="4" w:space="0" w:color="FFFFFF"/>
            </w:tcBorders>
            <w:shd w:val="clear" w:color="000000" w:fill="B7DEE8"/>
            <w:vAlign w:val="center"/>
            <w:hideMark/>
          </w:tcPr>
          <w:p w14:paraId="2AA0527C" w14:textId="3FAAC5C4" w:rsidR="006929BB" w:rsidRPr="006929BB" w:rsidRDefault="00002BDE" w:rsidP="006929BB">
            <w:pPr>
              <w:jc w:val="right"/>
              <w:rPr>
                <w:rFonts w:ascii="Calibri" w:hAnsi="Calibri"/>
                <w:b/>
                <w:bCs/>
                <w:color w:val="000000"/>
                <w:lang w:eastAsia="en-GB"/>
              </w:rPr>
            </w:pPr>
            <w:r>
              <w:rPr>
                <w:rFonts w:ascii="Calibri" w:hAnsi="Calibri"/>
                <w:b/>
                <w:bCs/>
                <w:color w:val="000000"/>
                <w:lang w:eastAsia="en-GB"/>
              </w:rPr>
              <w:t>544</w:t>
            </w:r>
          </w:p>
        </w:tc>
        <w:tc>
          <w:tcPr>
            <w:tcW w:w="6980" w:type="dxa"/>
            <w:tcBorders>
              <w:top w:val="nil"/>
              <w:left w:val="nil"/>
              <w:bottom w:val="single" w:sz="4" w:space="0" w:color="FFFFFF"/>
              <w:right w:val="single" w:sz="4" w:space="0" w:color="FFFFFF"/>
            </w:tcBorders>
            <w:shd w:val="clear" w:color="000000" w:fill="B7DEE8"/>
            <w:vAlign w:val="center"/>
            <w:hideMark/>
          </w:tcPr>
          <w:p w14:paraId="63891A8A" w14:textId="77777777" w:rsidR="006929BB" w:rsidRPr="006929BB" w:rsidRDefault="006929BB" w:rsidP="006929BB">
            <w:pPr>
              <w:jc w:val="both"/>
              <w:rPr>
                <w:rFonts w:ascii="Calibri" w:hAnsi="Calibri"/>
                <w:b/>
                <w:bCs/>
                <w:color w:val="000000"/>
                <w:lang w:eastAsia="en-GB"/>
              </w:rPr>
            </w:pPr>
            <w:r w:rsidRPr="006929BB">
              <w:rPr>
                <w:rFonts w:ascii="Calibri" w:hAnsi="Calibri"/>
                <w:b/>
                <w:bCs/>
                <w:color w:val="000000"/>
                <w:lang w:eastAsia="en-GB"/>
              </w:rPr>
              <w:t> </w:t>
            </w:r>
          </w:p>
        </w:tc>
        <w:tc>
          <w:tcPr>
            <w:tcW w:w="1500" w:type="dxa"/>
            <w:tcBorders>
              <w:top w:val="nil"/>
              <w:left w:val="nil"/>
              <w:bottom w:val="single" w:sz="4" w:space="0" w:color="FFFFFF"/>
              <w:right w:val="single" w:sz="4" w:space="0" w:color="FFFFFF"/>
            </w:tcBorders>
            <w:shd w:val="clear" w:color="000000" w:fill="B7DEE8"/>
            <w:vAlign w:val="center"/>
          </w:tcPr>
          <w:p w14:paraId="1DCC0284" w14:textId="08762034" w:rsidR="006929BB" w:rsidRPr="006929BB" w:rsidRDefault="00C76AD3" w:rsidP="006929BB">
            <w:pPr>
              <w:jc w:val="right"/>
              <w:rPr>
                <w:rFonts w:ascii="Calibri" w:hAnsi="Calibri"/>
                <w:b/>
                <w:bCs/>
                <w:color w:val="000000"/>
                <w:lang w:eastAsia="en-GB"/>
              </w:rPr>
            </w:pPr>
            <w:r>
              <w:rPr>
                <w:rFonts w:ascii="Calibri" w:hAnsi="Calibri"/>
                <w:b/>
                <w:bCs/>
                <w:color w:val="000000"/>
                <w:lang w:eastAsia="en-GB"/>
              </w:rPr>
              <w:t>763</w:t>
            </w:r>
          </w:p>
        </w:tc>
      </w:tr>
    </w:tbl>
    <w:p w14:paraId="4BAACDEA" w14:textId="77777777" w:rsidR="00D7049A" w:rsidRPr="004C6DC4" w:rsidRDefault="00D7049A" w:rsidP="00D7049A">
      <w:pPr>
        <w:rPr>
          <w:rFonts w:ascii="Arial" w:hAnsi="Arial" w:cs="Arial"/>
          <w:sz w:val="16"/>
        </w:rPr>
      </w:pPr>
    </w:p>
    <w:p w14:paraId="00E66016" w14:textId="6B62A9E8" w:rsidR="000D52AB" w:rsidRDefault="00D7049A" w:rsidP="006E5AC5">
      <w:pPr>
        <w:rPr>
          <w:rFonts w:asciiTheme="minorHAnsi" w:hAnsiTheme="minorHAnsi" w:cs="Arial"/>
          <w:sz w:val="22"/>
          <w:szCs w:val="22"/>
        </w:rPr>
      </w:pPr>
      <w:r w:rsidRPr="006929BB">
        <w:rPr>
          <w:rFonts w:asciiTheme="minorHAnsi" w:hAnsiTheme="minorHAnsi" w:cs="Arial"/>
          <w:sz w:val="22"/>
          <w:szCs w:val="22"/>
        </w:rPr>
        <w:t xml:space="preserve">During </w:t>
      </w:r>
      <w:r w:rsidRPr="00B90DE0">
        <w:rPr>
          <w:rFonts w:asciiTheme="minorHAnsi" w:hAnsiTheme="minorHAnsi" w:cs="Arial"/>
          <w:sz w:val="22"/>
          <w:szCs w:val="22"/>
        </w:rPr>
        <w:t xml:space="preserve">the </w:t>
      </w:r>
      <w:r w:rsidRPr="00C74348">
        <w:rPr>
          <w:rFonts w:asciiTheme="minorHAnsi" w:hAnsiTheme="minorHAnsi" w:cs="Arial"/>
          <w:sz w:val="22"/>
          <w:szCs w:val="22"/>
        </w:rPr>
        <w:t xml:space="preserve">year </w:t>
      </w:r>
      <w:r w:rsidR="00C76AD3">
        <w:rPr>
          <w:rFonts w:asciiTheme="minorHAnsi" w:hAnsiTheme="minorHAnsi" w:cs="Arial"/>
          <w:sz w:val="22"/>
          <w:szCs w:val="22"/>
        </w:rPr>
        <w:t>£92k</w:t>
      </w:r>
      <w:r w:rsidR="003B7F7E" w:rsidRPr="006929BB">
        <w:rPr>
          <w:rFonts w:asciiTheme="minorHAnsi" w:hAnsiTheme="minorHAnsi" w:cs="Arial"/>
          <w:sz w:val="22"/>
          <w:szCs w:val="22"/>
        </w:rPr>
        <w:t xml:space="preserve"> </w:t>
      </w:r>
      <w:r w:rsidR="00CF0900" w:rsidRPr="006929BB">
        <w:rPr>
          <w:rFonts w:asciiTheme="minorHAnsi" w:hAnsiTheme="minorHAnsi" w:cs="Arial"/>
          <w:sz w:val="22"/>
          <w:szCs w:val="22"/>
        </w:rPr>
        <w:t>(20</w:t>
      </w:r>
      <w:r w:rsidR="00833F56">
        <w:rPr>
          <w:rFonts w:asciiTheme="minorHAnsi" w:hAnsiTheme="minorHAnsi" w:cs="Arial"/>
          <w:sz w:val="22"/>
          <w:szCs w:val="22"/>
        </w:rPr>
        <w:t>2</w:t>
      </w:r>
      <w:r w:rsidR="00002BDE">
        <w:rPr>
          <w:rFonts w:asciiTheme="minorHAnsi" w:hAnsiTheme="minorHAnsi" w:cs="Arial"/>
          <w:sz w:val="22"/>
          <w:szCs w:val="22"/>
        </w:rPr>
        <w:t>1</w:t>
      </w:r>
      <w:r w:rsidR="00F9491C" w:rsidRPr="006929BB">
        <w:rPr>
          <w:rFonts w:asciiTheme="minorHAnsi" w:hAnsiTheme="minorHAnsi" w:cs="Arial"/>
          <w:sz w:val="22"/>
          <w:szCs w:val="22"/>
        </w:rPr>
        <w:t>-</w:t>
      </w:r>
      <w:r w:rsidR="00310B28">
        <w:rPr>
          <w:rFonts w:asciiTheme="minorHAnsi" w:hAnsiTheme="minorHAnsi" w:cs="Arial"/>
          <w:sz w:val="22"/>
          <w:szCs w:val="22"/>
        </w:rPr>
        <w:t>2</w:t>
      </w:r>
      <w:r w:rsidR="00002BDE">
        <w:rPr>
          <w:rFonts w:asciiTheme="minorHAnsi" w:hAnsiTheme="minorHAnsi" w:cs="Arial"/>
          <w:sz w:val="22"/>
          <w:szCs w:val="22"/>
        </w:rPr>
        <w:t>2</w:t>
      </w:r>
      <w:r w:rsidR="00332355" w:rsidRPr="006929BB">
        <w:rPr>
          <w:rFonts w:asciiTheme="minorHAnsi" w:hAnsiTheme="minorHAnsi" w:cs="Arial"/>
          <w:sz w:val="22"/>
          <w:szCs w:val="22"/>
        </w:rPr>
        <w:t xml:space="preserve"> </w:t>
      </w:r>
      <w:r w:rsidRPr="006929BB">
        <w:rPr>
          <w:rFonts w:asciiTheme="minorHAnsi" w:hAnsiTheme="minorHAnsi" w:cs="Arial"/>
          <w:sz w:val="22"/>
          <w:szCs w:val="22"/>
        </w:rPr>
        <w:t>£</w:t>
      </w:r>
      <w:r w:rsidR="00002BDE">
        <w:rPr>
          <w:rFonts w:asciiTheme="minorHAnsi" w:hAnsiTheme="minorHAnsi" w:cs="Arial"/>
          <w:sz w:val="22"/>
          <w:szCs w:val="22"/>
        </w:rPr>
        <w:t>41</w:t>
      </w:r>
      <w:r w:rsidR="00186FA5" w:rsidRPr="006929BB">
        <w:rPr>
          <w:rFonts w:asciiTheme="minorHAnsi" w:hAnsiTheme="minorHAnsi" w:cs="Arial"/>
          <w:sz w:val="22"/>
          <w:szCs w:val="22"/>
        </w:rPr>
        <w:t>k</w:t>
      </w:r>
      <w:r w:rsidRPr="006929BB">
        <w:rPr>
          <w:rFonts w:asciiTheme="minorHAnsi" w:hAnsiTheme="minorHAnsi" w:cs="Arial"/>
          <w:sz w:val="22"/>
          <w:szCs w:val="22"/>
        </w:rPr>
        <w:t>) was written off against the provision for doubtful debts.</w:t>
      </w:r>
    </w:p>
    <w:p w14:paraId="652CFCC7" w14:textId="77777777" w:rsidR="000D52AB" w:rsidRDefault="000D52AB">
      <w:pPr>
        <w:rPr>
          <w:rFonts w:asciiTheme="minorHAnsi" w:hAnsiTheme="minorHAnsi" w:cs="Arial"/>
          <w:sz w:val="22"/>
          <w:szCs w:val="22"/>
        </w:rPr>
      </w:pPr>
      <w:r>
        <w:rPr>
          <w:rFonts w:asciiTheme="minorHAnsi" w:hAnsiTheme="minorHAnsi" w:cs="Arial"/>
          <w:sz w:val="22"/>
          <w:szCs w:val="22"/>
        </w:rPr>
        <w:br w:type="page"/>
      </w:r>
    </w:p>
    <w:p w14:paraId="25EC13C3" w14:textId="77777777" w:rsidR="006E5AC5" w:rsidRPr="006929BB" w:rsidRDefault="006929BB" w:rsidP="007C6C6F">
      <w:pPr>
        <w:pStyle w:val="Heading1"/>
      </w:pPr>
      <w:r w:rsidRPr="006929BB">
        <w:lastRenderedPageBreak/>
        <w:t>Collection Fund Statement</w:t>
      </w:r>
    </w:p>
    <w:p w14:paraId="6CBEF04F" w14:textId="77777777" w:rsidR="006E5AC5" w:rsidRDefault="006E5AC5" w:rsidP="0014320D">
      <w:pPr>
        <w:jc w:val="both"/>
        <w:rPr>
          <w:rFonts w:ascii="Arial" w:hAnsi="Arial" w:cs="Arial"/>
        </w:rPr>
      </w:pPr>
    </w:p>
    <w:p w14:paraId="74160A0C" w14:textId="77777777" w:rsidR="00423774" w:rsidRPr="006929BB" w:rsidRDefault="00423774" w:rsidP="0014320D">
      <w:pPr>
        <w:jc w:val="both"/>
        <w:rPr>
          <w:rFonts w:asciiTheme="minorHAnsi" w:hAnsiTheme="minorHAnsi" w:cs="Arial"/>
          <w:sz w:val="22"/>
          <w:szCs w:val="22"/>
        </w:rPr>
      </w:pPr>
      <w:r w:rsidRPr="006929BB">
        <w:rPr>
          <w:rFonts w:asciiTheme="minorHAnsi" w:hAnsiTheme="minorHAnsi" w:cs="Arial"/>
          <w:sz w:val="22"/>
          <w:szCs w:val="22"/>
        </w:rPr>
        <w:t>The Collection Fund is an Agents statement that reflects the statutory obligation for billing authorities to maintain a separate collection fund.  The statement shows the transactions of the billing authority in relation to the collection from taxpayers and distribution to local authorities and the Government of Council Tax and Non-domestic rates.</w:t>
      </w:r>
    </w:p>
    <w:p w14:paraId="0C8C583D" w14:textId="77777777" w:rsidR="009B5E83" w:rsidRDefault="009B5E83" w:rsidP="0014320D">
      <w:pPr>
        <w:jc w:val="both"/>
        <w:rPr>
          <w:rFonts w:ascii="Arial" w:hAnsi="Arial" w:cs="Arial"/>
        </w:rPr>
      </w:pPr>
    </w:p>
    <w:tbl>
      <w:tblPr>
        <w:tblW w:w="10600" w:type="dxa"/>
        <w:tblInd w:w="93" w:type="dxa"/>
        <w:tblLook w:val="04A0" w:firstRow="1" w:lastRow="0" w:firstColumn="1" w:lastColumn="0" w:noHBand="0" w:noVBand="1"/>
        <w:tblCaption w:val="Collection Fund Statement"/>
        <w:tblDescription w:val="Collection Fund Statement"/>
      </w:tblPr>
      <w:tblGrid>
        <w:gridCol w:w="960"/>
        <w:gridCol w:w="980"/>
        <w:gridCol w:w="960"/>
        <w:gridCol w:w="4800"/>
        <w:gridCol w:w="960"/>
        <w:gridCol w:w="980"/>
        <w:gridCol w:w="960"/>
      </w:tblGrid>
      <w:tr w:rsidR="006929BB" w:rsidRPr="006929BB" w14:paraId="1EA1FA29" w14:textId="77777777" w:rsidTr="00AD168A">
        <w:trPr>
          <w:cantSplit/>
          <w:trHeight w:val="300"/>
          <w:tblHeader/>
        </w:trPr>
        <w:tc>
          <w:tcPr>
            <w:tcW w:w="960" w:type="dxa"/>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7F21C298" w14:textId="30751F44"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D26465">
              <w:rPr>
                <w:rFonts w:ascii="Calibri" w:hAnsi="Calibri"/>
                <w:color w:val="000000"/>
                <w:lang w:eastAsia="en-GB"/>
              </w:rPr>
              <w:t>2</w:t>
            </w:r>
            <w:r w:rsidR="00437068">
              <w:rPr>
                <w:rFonts w:ascii="Calibri" w:hAnsi="Calibri"/>
                <w:color w:val="000000"/>
                <w:lang w:eastAsia="en-GB"/>
              </w:rPr>
              <w:t>1</w:t>
            </w:r>
            <w:r w:rsidRPr="006929BB">
              <w:rPr>
                <w:rFonts w:ascii="Calibri" w:hAnsi="Calibri"/>
                <w:color w:val="000000"/>
                <w:lang w:eastAsia="en-GB"/>
              </w:rPr>
              <w:t>-</w:t>
            </w:r>
            <w:r w:rsidR="00310B28">
              <w:rPr>
                <w:rFonts w:ascii="Calibri" w:hAnsi="Calibri"/>
                <w:color w:val="000000"/>
                <w:lang w:eastAsia="en-GB"/>
              </w:rPr>
              <w:t>2</w:t>
            </w:r>
            <w:r w:rsidR="00437068">
              <w:rPr>
                <w:rFonts w:ascii="Calibri" w:hAnsi="Calibri"/>
                <w:color w:val="000000"/>
                <w:lang w:eastAsia="en-GB"/>
              </w:rPr>
              <w:t>2</w:t>
            </w:r>
          </w:p>
        </w:tc>
        <w:tc>
          <w:tcPr>
            <w:tcW w:w="980" w:type="dxa"/>
            <w:tcBorders>
              <w:top w:val="single" w:sz="4" w:space="0" w:color="FFFFFF"/>
              <w:left w:val="nil"/>
              <w:bottom w:val="single" w:sz="4" w:space="0" w:color="FFFFFF"/>
              <w:right w:val="single" w:sz="4" w:space="0" w:color="FFFFFF"/>
            </w:tcBorders>
            <w:shd w:val="clear" w:color="auto" w:fill="548DD4" w:themeFill="text2" w:themeFillTint="99"/>
            <w:noWrap/>
            <w:vAlign w:val="center"/>
            <w:hideMark/>
          </w:tcPr>
          <w:p w14:paraId="4D334864" w14:textId="3F8A9A9E"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D26465">
              <w:rPr>
                <w:rFonts w:ascii="Calibri" w:hAnsi="Calibri"/>
                <w:color w:val="000000"/>
                <w:lang w:eastAsia="en-GB"/>
              </w:rPr>
              <w:t>2</w:t>
            </w:r>
            <w:r w:rsidR="00437068">
              <w:rPr>
                <w:rFonts w:ascii="Calibri" w:hAnsi="Calibri"/>
                <w:color w:val="000000"/>
                <w:lang w:eastAsia="en-GB"/>
              </w:rPr>
              <w:t>1</w:t>
            </w:r>
            <w:r w:rsidRPr="006929BB">
              <w:rPr>
                <w:rFonts w:ascii="Calibri" w:hAnsi="Calibri"/>
                <w:color w:val="000000"/>
                <w:lang w:eastAsia="en-GB"/>
              </w:rPr>
              <w:t>-</w:t>
            </w:r>
            <w:r w:rsidR="00310B28">
              <w:rPr>
                <w:rFonts w:ascii="Calibri" w:hAnsi="Calibri"/>
                <w:color w:val="000000"/>
                <w:lang w:eastAsia="en-GB"/>
              </w:rPr>
              <w:t>2</w:t>
            </w:r>
            <w:r w:rsidR="00437068">
              <w:rPr>
                <w:rFonts w:ascii="Calibri" w:hAnsi="Calibri"/>
                <w:color w:val="000000"/>
                <w:lang w:eastAsia="en-GB"/>
              </w:rPr>
              <w:t>2</w:t>
            </w:r>
          </w:p>
        </w:tc>
        <w:tc>
          <w:tcPr>
            <w:tcW w:w="960" w:type="dxa"/>
            <w:tcBorders>
              <w:top w:val="single" w:sz="4" w:space="0" w:color="FFFFFF"/>
              <w:left w:val="nil"/>
              <w:bottom w:val="single" w:sz="4" w:space="0" w:color="FFFFFF"/>
              <w:right w:val="single" w:sz="4" w:space="0" w:color="FFFFFF"/>
            </w:tcBorders>
            <w:shd w:val="clear" w:color="auto" w:fill="548DD4" w:themeFill="text2" w:themeFillTint="99"/>
            <w:noWrap/>
            <w:vAlign w:val="center"/>
            <w:hideMark/>
          </w:tcPr>
          <w:p w14:paraId="436CF1E1" w14:textId="70BF2E78"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D26465">
              <w:rPr>
                <w:rFonts w:ascii="Calibri" w:hAnsi="Calibri"/>
                <w:color w:val="000000"/>
                <w:lang w:eastAsia="en-GB"/>
              </w:rPr>
              <w:t>2</w:t>
            </w:r>
            <w:r w:rsidR="00437068">
              <w:rPr>
                <w:rFonts w:ascii="Calibri" w:hAnsi="Calibri"/>
                <w:color w:val="000000"/>
                <w:lang w:eastAsia="en-GB"/>
              </w:rPr>
              <w:t>1</w:t>
            </w:r>
            <w:r w:rsidRPr="006929BB">
              <w:rPr>
                <w:rFonts w:ascii="Calibri" w:hAnsi="Calibri"/>
                <w:color w:val="000000"/>
                <w:lang w:eastAsia="en-GB"/>
              </w:rPr>
              <w:t>-</w:t>
            </w:r>
            <w:r w:rsidR="00310B28">
              <w:rPr>
                <w:rFonts w:ascii="Calibri" w:hAnsi="Calibri"/>
                <w:color w:val="000000"/>
                <w:lang w:eastAsia="en-GB"/>
              </w:rPr>
              <w:t>2</w:t>
            </w:r>
            <w:r w:rsidR="00437068">
              <w:rPr>
                <w:rFonts w:ascii="Calibri" w:hAnsi="Calibri"/>
                <w:color w:val="000000"/>
                <w:lang w:eastAsia="en-GB"/>
              </w:rPr>
              <w:t>2</w:t>
            </w:r>
          </w:p>
        </w:tc>
        <w:tc>
          <w:tcPr>
            <w:tcW w:w="4800" w:type="dxa"/>
            <w:tcBorders>
              <w:top w:val="single" w:sz="4" w:space="0" w:color="FFFFFF"/>
              <w:left w:val="nil"/>
              <w:bottom w:val="nil"/>
              <w:right w:val="single" w:sz="4" w:space="0" w:color="FFFFFF"/>
            </w:tcBorders>
            <w:shd w:val="clear" w:color="auto" w:fill="548DD4" w:themeFill="text2" w:themeFillTint="99"/>
            <w:noWrap/>
            <w:vAlign w:val="bottom"/>
            <w:hideMark/>
          </w:tcPr>
          <w:p w14:paraId="45881E81"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60" w:type="dxa"/>
            <w:tcBorders>
              <w:top w:val="single" w:sz="4" w:space="0" w:color="FFFFFF"/>
              <w:left w:val="nil"/>
              <w:bottom w:val="single" w:sz="4" w:space="0" w:color="FFFFFF"/>
              <w:right w:val="single" w:sz="4" w:space="0" w:color="FFFFFF"/>
            </w:tcBorders>
            <w:shd w:val="clear" w:color="auto" w:fill="548DD4" w:themeFill="text2" w:themeFillTint="99"/>
            <w:noWrap/>
            <w:vAlign w:val="center"/>
            <w:hideMark/>
          </w:tcPr>
          <w:p w14:paraId="12070592" w14:textId="3890EFED"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310B28">
              <w:rPr>
                <w:rFonts w:ascii="Calibri" w:hAnsi="Calibri"/>
                <w:color w:val="000000"/>
                <w:lang w:eastAsia="en-GB"/>
              </w:rPr>
              <w:t>2</w:t>
            </w:r>
            <w:r w:rsidR="00437068">
              <w:rPr>
                <w:rFonts w:ascii="Calibri" w:hAnsi="Calibri"/>
                <w:color w:val="000000"/>
                <w:lang w:eastAsia="en-GB"/>
              </w:rPr>
              <w:t>2</w:t>
            </w:r>
            <w:r w:rsidRPr="006929BB">
              <w:rPr>
                <w:rFonts w:ascii="Calibri" w:hAnsi="Calibri"/>
                <w:color w:val="000000"/>
                <w:lang w:eastAsia="en-GB"/>
              </w:rPr>
              <w:t>-</w:t>
            </w:r>
            <w:r w:rsidR="00521F58">
              <w:rPr>
                <w:rFonts w:ascii="Calibri" w:hAnsi="Calibri"/>
                <w:color w:val="000000"/>
                <w:lang w:eastAsia="en-GB"/>
              </w:rPr>
              <w:t>2</w:t>
            </w:r>
            <w:r w:rsidR="00437068">
              <w:rPr>
                <w:rFonts w:ascii="Calibri" w:hAnsi="Calibri"/>
                <w:color w:val="000000"/>
                <w:lang w:eastAsia="en-GB"/>
              </w:rPr>
              <w:t>3</w:t>
            </w:r>
          </w:p>
        </w:tc>
        <w:tc>
          <w:tcPr>
            <w:tcW w:w="980" w:type="dxa"/>
            <w:tcBorders>
              <w:top w:val="single" w:sz="4" w:space="0" w:color="FFFFFF"/>
              <w:left w:val="nil"/>
              <w:bottom w:val="single" w:sz="4" w:space="0" w:color="FFFFFF"/>
              <w:right w:val="single" w:sz="4" w:space="0" w:color="FFFFFF"/>
            </w:tcBorders>
            <w:shd w:val="clear" w:color="auto" w:fill="548DD4" w:themeFill="text2" w:themeFillTint="99"/>
            <w:noWrap/>
            <w:vAlign w:val="center"/>
            <w:hideMark/>
          </w:tcPr>
          <w:p w14:paraId="326D6930" w14:textId="2347C883"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310B28">
              <w:rPr>
                <w:rFonts w:ascii="Calibri" w:hAnsi="Calibri"/>
                <w:color w:val="000000"/>
                <w:lang w:eastAsia="en-GB"/>
              </w:rPr>
              <w:t>2</w:t>
            </w:r>
            <w:r w:rsidR="00437068">
              <w:rPr>
                <w:rFonts w:ascii="Calibri" w:hAnsi="Calibri"/>
                <w:color w:val="000000"/>
                <w:lang w:eastAsia="en-GB"/>
              </w:rPr>
              <w:t>2</w:t>
            </w:r>
            <w:r w:rsidRPr="006929BB">
              <w:rPr>
                <w:rFonts w:ascii="Calibri" w:hAnsi="Calibri"/>
                <w:color w:val="000000"/>
                <w:lang w:eastAsia="en-GB"/>
              </w:rPr>
              <w:t>-</w:t>
            </w:r>
            <w:r w:rsidR="00521F58">
              <w:rPr>
                <w:rFonts w:ascii="Calibri" w:hAnsi="Calibri"/>
                <w:color w:val="000000"/>
                <w:lang w:eastAsia="en-GB"/>
              </w:rPr>
              <w:t>2</w:t>
            </w:r>
            <w:r w:rsidR="00437068">
              <w:rPr>
                <w:rFonts w:ascii="Calibri" w:hAnsi="Calibri"/>
                <w:color w:val="000000"/>
                <w:lang w:eastAsia="en-GB"/>
              </w:rPr>
              <w:t>3</w:t>
            </w:r>
          </w:p>
        </w:tc>
        <w:tc>
          <w:tcPr>
            <w:tcW w:w="960" w:type="dxa"/>
            <w:tcBorders>
              <w:top w:val="single" w:sz="4" w:space="0" w:color="FFFFFF"/>
              <w:left w:val="nil"/>
              <w:bottom w:val="single" w:sz="4" w:space="0" w:color="FFFFFF"/>
              <w:right w:val="single" w:sz="4" w:space="0" w:color="FFFFFF"/>
            </w:tcBorders>
            <w:shd w:val="clear" w:color="auto" w:fill="548DD4" w:themeFill="text2" w:themeFillTint="99"/>
            <w:noWrap/>
            <w:vAlign w:val="center"/>
            <w:hideMark/>
          </w:tcPr>
          <w:p w14:paraId="2A69244A" w14:textId="189EC2B9" w:rsidR="006929BB" w:rsidRPr="006929BB" w:rsidRDefault="006929BB" w:rsidP="00310B28">
            <w:pPr>
              <w:jc w:val="right"/>
              <w:rPr>
                <w:rFonts w:ascii="Calibri" w:hAnsi="Calibri"/>
                <w:color w:val="000000"/>
                <w:lang w:eastAsia="en-GB"/>
              </w:rPr>
            </w:pPr>
            <w:r w:rsidRPr="006929BB">
              <w:rPr>
                <w:rFonts w:ascii="Calibri" w:hAnsi="Calibri"/>
                <w:color w:val="000000"/>
                <w:lang w:eastAsia="en-GB"/>
              </w:rPr>
              <w:t>20</w:t>
            </w:r>
            <w:r w:rsidR="00310B28">
              <w:rPr>
                <w:rFonts w:ascii="Calibri" w:hAnsi="Calibri"/>
                <w:color w:val="000000"/>
                <w:lang w:eastAsia="en-GB"/>
              </w:rPr>
              <w:t>2</w:t>
            </w:r>
            <w:r w:rsidR="00437068">
              <w:rPr>
                <w:rFonts w:ascii="Calibri" w:hAnsi="Calibri"/>
                <w:color w:val="000000"/>
                <w:lang w:eastAsia="en-GB"/>
              </w:rPr>
              <w:t>2</w:t>
            </w:r>
            <w:r w:rsidRPr="006929BB">
              <w:rPr>
                <w:rFonts w:ascii="Calibri" w:hAnsi="Calibri"/>
                <w:color w:val="000000"/>
                <w:lang w:eastAsia="en-GB"/>
              </w:rPr>
              <w:t>-</w:t>
            </w:r>
            <w:r w:rsidR="00521F58">
              <w:rPr>
                <w:rFonts w:ascii="Calibri" w:hAnsi="Calibri"/>
                <w:color w:val="000000"/>
                <w:lang w:eastAsia="en-GB"/>
              </w:rPr>
              <w:t>2</w:t>
            </w:r>
            <w:r w:rsidR="00437068">
              <w:rPr>
                <w:rFonts w:ascii="Calibri" w:hAnsi="Calibri"/>
                <w:color w:val="000000"/>
                <w:lang w:eastAsia="en-GB"/>
              </w:rPr>
              <w:t>3</w:t>
            </w:r>
          </w:p>
        </w:tc>
      </w:tr>
      <w:tr w:rsidR="006929BB" w:rsidRPr="006929BB" w14:paraId="7458C42B" w14:textId="77777777" w:rsidTr="00AD168A">
        <w:trPr>
          <w:trHeight w:val="765"/>
        </w:trPr>
        <w:tc>
          <w:tcPr>
            <w:tcW w:w="960" w:type="dxa"/>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4706B11D"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Council Tax</w:t>
            </w:r>
          </w:p>
        </w:tc>
        <w:tc>
          <w:tcPr>
            <w:tcW w:w="980" w:type="dxa"/>
            <w:tcBorders>
              <w:top w:val="nil"/>
              <w:left w:val="nil"/>
              <w:bottom w:val="single" w:sz="4" w:space="0" w:color="FFFFFF"/>
              <w:right w:val="single" w:sz="4" w:space="0" w:color="FFFFFF"/>
            </w:tcBorders>
            <w:shd w:val="clear" w:color="auto" w:fill="548DD4" w:themeFill="text2" w:themeFillTint="99"/>
            <w:vAlign w:val="center"/>
            <w:hideMark/>
          </w:tcPr>
          <w:p w14:paraId="66C5848B"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Non-Domestic Rates</w:t>
            </w:r>
          </w:p>
        </w:tc>
        <w:tc>
          <w:tcPr>
            <w:tcW w:w="960" w:type="dxa"/>
            <w:tcBorders>
              <w:top w:val="nil"/>
              <w:left w:val="nil"/>
              <w:bottom w:val="single" w:sz="4" w:space="0" w:color="FFFFFF"/>
              <w:right w:val="single" w:sz="4" w:space="0" w:color="FFFFFF"/>
            </w:tcBorders>
            <w:shd w:val="clear" w:color="auto" w:fill="548DD4" w:themeFill="text2" w:themeFillTint="99"/>
            <w:vAlign w:val="center"/>
            <w:hideMark/>
          </w:tcPr>
          <w:p w14:paraId="427AAEA0"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Total</w:t>
            </w:r>
          </w:p>
        </w:tc>
        <w:tc>
          <w:tcPr>
            <w:tcW w:w="4800" w:type="dxa"/>
            <w:tcBorders>
              <w:top w:val="nil"/>
              <w:left w:val="nil"/>
              <w:bottom w:val="nil"/>
              <w:right w:val="single" w:sz="4" w:space="0" w:color="FFFFFF"/>
            </w:tcBorders>
            <w:shd w:val="clear" w:color="auto" w:fill="548DD4" w:themeFill="text2" w:themeFillTint="99"/>
            <w:noWrap/>
            <w:vAlign w:val="bottom"/>
            <w:hideMark/>
          </w:tcPr>
          <w:p w14:paraId="7789F9B4"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548DD4" w:themeFill="text2" w:themeFillTint="99"/>
            <w:vAlign w:val="center"/>
            <w:hideMark/>
          </w:tcPr>
          <w:p w14:paraId="033D5678"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Council Tax</w:t>
            </w:r>
          </w:p>
        </w:tc>
        <w:tc>
          <w:tcPr>
            <w:tcW w:w="980" w:type="dxa"/>
            <w:tcBorders>
              <w:top w:val="nil"/>
              <w:left w:val="nil"/>
              <w:bottom w:val="single" w:sz="4" w:space="0" w:color="FFFFFF"/>
              <w:right w:val="single" w:sz="4" w:space="0" w:color="FFFFFF"/>
            </w:tcBorders>
            <w:shd w:val="clear" w:color="auto" w:fill="548DD4" w:themeFill="text2" w:themeFillTint="99"/>
            <w:vAlign w:val="center"/>
            <w:hideMark/>
          </w:tcPr>
          <w:p w14:paraId="632AF89B"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Non-Domestic Rates</w:t>
            </w:r>
          </w:p>
        </w:tc>
        <w:tc>
          <w:tcPr>
            <w:tcW w:w="960" w:type="dxa"/>
            <w:tcBorders>
              <w:top w:val="nil"/>
              <w:left w:val="nil"/>
              <w:bottom w:val="single" w:sz="4" w:space="0" w:color="FFFFFF"/>
              <w:right w:val="single" w:sz="4" w:space="0" w:color="FFFFFF"/>
            </w:tcBorders>
            <w:shd w:val="clear" w:color="auto" w:fill="548DD4" w:themeFill="text2" w:themeFillTint="99"/>
            <w:noWrap/>
            <w:vAlign w:val="center"/>
            <w:hideMark/>
          </w:tcPr>
          <w:p w14:paraId="0290494D"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Total</w:t>
            </w:r>
          </w:p>
        </w:tc>
      </w:tr>
      <w:tr w:rsidR="006929BB" w:rsidRPr="006929BB" w14:paraId="4DF89459"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0C6AA47B"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980" w:type="dxa"/>
            <w:tcBorders>
              <w:top w:val="nil"/>
              <w:left w:val="nil"/>
              <w:bottom w:val="single" w:sz="4" w:space="0" w:color="FFFFFF"/>
              <w:right w:val="single" w:sz="4" w:space="0" w:color="FFFFFF"/>
            </w:tcBorders>
            <w:shd w:val="clear" w:color="auto" w:fill="548DD4" w:themeFill="text2" w:themeFillTint="99"/>
            <w:noWrap/>
            <w:vAlign w:val="center"/>
            <w:hideMark/>
          </w:tcPr>
          <w:p w14:paraId="7234BAA7"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auto" w:fill="548DD4" w:themeFill="text2" w:themeFillTint="99"/>
            <w:noWrap/>
            <w:vAlign w:val="center"/>
            <w:hideMark/>
          </w:tcPr>
          <w:p w14:paraId="6BE98CCE"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4800" w:type="dxa"/>
            <w:tcBorders>
              <w:top w:val="nil"/>
              <w:left w:val="nil"/>
              <w:bottom w:val="single" w:sz="4" w:space="0" w:color="FFFFFF"/>
              <w:right w:val="single" w:sz="4" w:space="0" w:color="FFFFFF"/>
            </w:tcBorders>
            <w:shd w:val="clear" w:color="auto" w:fill="548DD4" w:themeFill="text2" w:themeFillTint="99"/>
            <w:noWrap/>
            <w:vAlign w:val="bottom"/>
            <w:hideMark/>
          </w:tcPr>
          <w:p w14:paraId="79CBA9A7"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548DD4" w:themeFill="text2" w:themeFillTint="99"/>
            <w:noWrap/>
            <w:vAlign w:val="center"/>
            <w:hideMark/>
          </w:tcPr>
          <w:p w14:paraId="15385E63"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980" w:type="dxa"/>
            <w:tcBorders>
              <w:top w:val="nil"/>
              <w:left w:val="nil"/>
              <w:bottom w:val="single" w:sz="4" w:space="0" w:color="FFFFFF"/>
              <w:right w:val="single" w:sz="4" w:space="0" w:color="FFFFFF"/>
            </w:tcBorders>
            <w:shd w:val="clear" w:color="auto" w:fill="548DD4" w:themeFill="text2" w:themeFillTint="99"/>
            <w:noWrap/>
            <w:vAlign w:val="center"/>
            <w:hideMark/>
          </w:tcPr>
          <w:p w14:paraId="2E89B30A"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c>
          <w:tcPr>
            <w:tcW w:w="960" w:type="dxa"/>
            <w:tcBorders>
              <w:top w:val="nil"/>
              <w:left w:val="nil"/>
              <w:bottom w:val="single" w:sz="4" w:space="0" w:color="FFFFFF"/>
              <w:right w:val="single" w:sz="4" w:space="0" w:color="FFFFFF"/>
            </w:tcBorders>
            <w:shd w:val="clear" w:color="auto" w:fill="548DD4" w:themeFill="text2" w:themeFillTint="99"/>
            <w:noWrap/>
            <w:vAlign w:val="center"/>
            <w:hideMark/>
          </w:tcPr>
          <w:p w14:paraId="73A64D83" w14:textId="77777777" w:rsidR="006929BB" w:rsidRPr="006929BB" w:rsidRDefault="006929BB" w:rsidP="006929BB">
            <w:pPr>
              <w:jc w:val="right"/>
              <w:rPr>
                <w:rFonts w:ascii="Calibri" w:hAnsi="Calibri"/>
                <w:color w:val="000000"/>
                <w:lang w:eastAsia="en-GB"/>
              </w:rPr>
            </w:pPr>
            <w:r w:rsidRPr="006929BB">
              <w:rPr>
                <w:rFonts w:ascii="Calibri" w:hAnsi="Calibri"/>
                <w:color w:val="000000"/>
                <w:lang w:eastAsia="en-GB"/>
              </w:rPr>
              <w:t>£'000</w:t>
            </w:r>
          </w:p>
        </w:tc>
      </w:tr>
      <w:tr w:rsidR="006929BB" w:rsidRPr="006929BB" w14:paraId="6E613009" w14:textId="77777777" w:rsidTr="00AD168A">
        <w:trPr>
          <w:trHeight w:val="510"/>
        </w:trPr>
        <w:tc>
          <w:tcPr>
            <w:tcW w:w="960" w:type="dxa"/>
            <w:tcBorders>
              <w:top w:val="nil"/>
              <w:left w:val="single" w:sz="4" w:space="0" w:color="FFFFFF"/>
              <w:bottom w:val="single" w:sz="4" w:space="0" w:color="FFFFFF"/>
              <w:right w:val="nil"/>
            </w:tcBorders>
            <w:shd w:val="clear" w:color="auto" w:fill="8DB3E2" w:themeFill="text2" w:themeFillTint="66"/>
            <w:noWrap/>
            <w:vAlign w:val="bottom"/>
            <w:hideMark/>
          </w:tcPr>
          <w:p w14:paraId="545FFA9D"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011E428A"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bottom"/>
            <w:hideMark/>
          </w:tcPr>
          <w:p w14:paraId="00EB5206"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5EB651E6" w14:textId="77777777" w:rsidR="006929BB" w:rsidRPr="006929BB" w:rsidRDefault="006929BB" w:rsidP="006929BB">
            <w:pPr>
              <w:rPr>
                <w:rFonts w:ascii="Calibri" w:hAnsi="Calibri"/>
                <w:b/>
                <w:bCs/>
                <w:color w:val="000000"/>
                <w:lang w:eastAsia="en-GB"/>
              </w:rPr>
            </w:pPr>
            <w:r w:rsidRPr="006929BB">
              <w:rPr>
                <w:rFonts w:ascii="Calibri" w:hAnsi="Calibri"/>
                <w:b/>
                <w:bCs/>
                <w:color w:val="000000"/>
                <w:lang w:eastAsia="en-GB"/>
              </w:rPr>
              <w:t>Amounts Required by statute to be credited to the Collection Fund:</w:t>
            </w:r>
          </w:p>
        </w:tc>
        <w:tc>
          <w:tcPr>
            <w:tcW w:w="960" w:type="dxa"/>
            <w:tcBorders>
              <w:top w:val="nil"/>
              <w:left w:val="nil"/>
              <w:bottom w:val="single" w:sz="4" w:space="0" w:color="FFFFFF"/>
              <w:right w:val="nil"/>
            </w:tcBorders>
            <w:shd w:val="clear" w:color="auto" w:fill="8DB3E2" w:themeFill="text2" w:themeFillTint="66"/>
            <w:noWrap/>
            <w:vAlign w:val="bottom"/>
            <w:hideMark/>
          </w:tcPr>
          <w:p w14:paraId="1370BFDB"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677CF0E0"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bottom"/>
            <w:hideMark/>
          </w:tcPr>
          <w:p w14:paraId="3F31A3AE" w14:textId="77777777" w:rsidR="006929BB" w:rsidRPr="006929BB" w:rsidRDefault="006929BB" w:rsidP="006929BB">
            <w:pPr>
              <w:rPr>
                <w:rFonts w:ascii="Calibri" w:hAnsi="Calibri"/>
                <w:color w:val="000000"/>
                <w:lang w:eastAsia="en-GB"/>
              </w:rPr>
            </w:pPr>
            <w:r w:rsidRPr="006929BB">
              <w:rPr>
                <w:rFonts w:ascii="Calibri" w:hAnsi="Calibri"/>
                <w:color w:val="000000"/>
                <w:lang w:eastAsia="en-GB"/>
              </w:rPr>
              <w:t> </w:t>
            </w:r>
          </w:p>
        </w:tc>
      </w:tr>
      <w:tr w:rsidR="00AD168A" w:rsidRPr="006929BB" w14:paraId="1B4E6882"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217CC3B4" w14:textId="72123361" w:rsidR="00AD168A" w:rsidRPr="006929BB" w:rsidRDefault="00AD168A" w:rsidP="00AD168A">
            <w:pPr>
              <w:jc w:val="right"/>
              <w:rPr>
                <w:rFonts w:ascii="Calibri" w:hAnsi="Calibri"/>
                <w:color w:val="000000"/>
                <w:lang w:eastAsia="en-GB"/>
              </w:rPr>
            </w:pPr>
            <w:r>
              <w:rPr>
                <w:rFonts w:ascii="Calibri" w:hAnsi="Calibri"/>
                <w:color w:val="000000"/>
                <w:lang w:eastAsia="en-GB"/>
              </w:rPr>
              <w:t>3</w:t>
            </w:r>
            <w:r w:rsidR="00437068">
              <w:rPr>
                <w:rFonts w:ascii="Calibri" w:hAnsi="Calibri"/>
                <w:color w:val="000000"/>
                <w:lang w:eastAsia="en-GB"/>
              </w:rPr>
              <w:t>7</w:t>
            </w:r>
            <w:r>
              <w:rPr>
                <w:rFonts w:ascii="Calibri" w:hAnsi="Calibri"/>
                <w:color w:val="000000"/>
                <w:lang w:eastAsia="en-GB"/>
              </w:rPr>
              <w:t>,</w:t>
            </w:r>
            <w:r w:rsidR="00437068">
              <w:rPr>
                <w:rFonts w:ascii="Calibri" w:hAnsi="Calibri"/>
                <w:color w:val="000000"/>
                <w:lang w:eastAsia="en-GB"/>
              </w:rPr>
              <w:t>959</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4A6CA2BD"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44ABF80A" w14:textId="776B5335" w:rsidR="00AD168A" w:rsidRPr="006929BB" w:rsidRDefault="00AD168A" w:rsidP="00AD168A">
            <w:pPr>
              <w:jc w:val="right"/>
              <w:rPr>
                <w:rFonts w:ascii="Calibri" w:hAnsi="Calibri"/>
                <w:color w:val="000000"/>
                <w:lang w:eastAsia="en-GB"/>
              </w:rPr>
            </w:pPr>
            <w:r>
              <w:rPr>
                <w:rFonts w:ascii="Calibri" w:hAnsi="Calibri"/>
                <w:color w:val="000000"/>
                <w:lang w:eastAsia="en-GB"/>
              </w:rPr>
              <w:t>3</w:t>
            </w:r>
            <w:r w:rsidR="00437068">
              <w:rPr>
                <w:rFonts w:ascii="Calibri" w:hAnsi="Calibri"/>
                <w:color w:val="000000"/>
                <w:lang w:eastAsia="en-GB"/>
              </w:rPr>
              <w:t>7</w:t>
            </w:r>
            <w:r>
              <w:rPr>
                <w:rFonts w:ascii="Calibri" w:hAnsi="Calibri"/>
                <w:color w:val="000000"/>
                <w:lang w:eastAsia="en-GB"/>
              </w:rPr>
              <w:t>,</w:t>
            </w:r>
            <w:r w:rsidR="00437068">
              <w:rPr>
                <w:rFonts w:ascii="Calibri" w:hAnsi="Calibri"/>
                <w:color w:val="000000"/>
                <w:lang w:eastAsia="en-GB"/>
              </w:rPr>
              <w:t>959</w:t>
            </w:r>
          </w:p>
        </w:tc>
        <w:tc>
          <w:tcPr>
            <w:tcW w:w="4800" w:type="dxa"/>
            <w:tcBorders>
              <w:top w:val="nil"/>
              <w:left w:val="nil"/>
              <w:bottom w:val="single" w:sz="4" w:space="0" w:color="FFFFFF"/>
              <w:right w:val="single" w:sz="4" w:space="0" w:color="FFFFFF"/>
            </w:tcBorders>
            <w:shd w:val="clear" w:color="auto" w:fill="C6D9F1" w:themeFill="text2" w:themeFillTint="33"/>
            <w:noWrap/>
            <w:vAlign w:val="center"/>
            <w:hideMark/>
          </w:tcPr>
          <w:p w14:paraId="14576722"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Council Tax</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781C5279" w14:textId="237C908C" w:rsidR="00AD168A" w:rsidRPr="006929BB" w:rsidRDefault="004B672E" w:rsidP="00AD168A">
            <w:pPr>
              <w:jc w:val="right"/>
              <w:rPr>
                <w:rFonts w:ascii="Calibri" w:hAnsi="Calibri"/>
                <w:color w:val="000000"/>
                <w:lang w:eastAsia="en-GB"/>
              </w:rPr>
            </w:pPr>
            <w:r>
              <w:rPr>
                <w:rFonts w:ascii="Calibri" w:hAnsi="Calibri"/>
                <w:color w:val="000000"/>
                <w:lang w:eastAsia="en-GB"/>
              </w:rPr>
              <w:t>39,886</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194E4F7" w14:textId="77777777" w:rsidR="00AD168A" w:rsidRPr="006929BB" w:rsidRDefault="00AD168A" w:rsidP="00AD168A">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7820BF0E" w14:textId="13B12E8B" w:rsidR="00AD168A" w:rsidRPr="006929BB" w:rsidRDefault="004B672E" w:rsidP="00AD168A">
            <w:pPr>
              <w:jc w:val="right"/>
              <w:rPr>
                <w:rFonts w:ascii="Calibri" w:hAnsi="Calibri"/>
                <w:color w:val="000000"/>
                <w:lang w:eastAsia="en-GB"/>
              </w:rPr>
            </w:pPr>
            <w:r>
              <w:rPr>
                <w:rFonts w:ascii="Calibri" w:hAnsi="Calibri"/>
                <w:color w:val="000000"/>
                <w:lang w:eastAsia="en-GB"/>
              </w:rPr>
              <w:t>39,886</w:t>
            </w:r>
          </w:p>
        </w:tc>
      </w:tr>
      <w:tr w:rsidR="00AD168A" w:rsidRPr="006929BB" w14:paraId="2A421143"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2A0C16C6" w14:textId="6FA26EB6" w:rsidR="00AD168A" w:rsidRPr="006929BB" w:rsidRDefault="00437068" w:rsidP="00AD168A">
            <w:pPr>
              <w:jc w:val="right"/>
              <w:rPr>
                <w:rFonts w:ascii="Calibri" w:hAnsi="Calibri"/>
                <w:color w:val="000000"/>
                <w:lang w:eastAsia="en-GB"/>
              </w:rPr>
            </w:pPr>
            <w:r>
              <w:rPr>
                <w:rFonts w:ascii="Calibri" w:hAnsi="Calibri"/>
                <w:color w:val="000000"/>
                <w:lang w:eastAsia="en-GB"/>
              </w:rPr>
              <w:t>0</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2CD271B6"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20612D68" w14:textId="33C4BBED" w:rsidR="00AD168A" w:rsidRPr="006929BB" w:rsidRDefault="00437068" w:rsidP="00AD168A">
            <w:pPr>
              <w:jc w:val="right"/>
              <w:rPr>
                <w:rFonts w:ascii="Calibri" w:hAnsi="Calibri"/>
                <w:color w:val="000000"/>
                <w:lang w:eastAsia="en-GB"/>
              </w:rPr>
            </w:pPr>
            <w:r>
              <w:rPr>
                <w:rFonts w:ascii="Calibri" w:hAnsi="Calibri"/>
                <w:color w:val="000000"/>
                <w:lang w:eastAsia="en-GB"/>
              </w:rPr>
              <w:t>0</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4B17C3E6"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Transfers from the General Fund - Council Tax Benefits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69C33594" w14:textId="324C8117" w:rsidR="004B672E" w:rsidRPr="006929BB" w:rsidRDefault="004B672E" w:rsidP="004B672E">
            <w:pPr>
              <w:jc w:val="right"/>
              <w:rPr>
                <w:rFonts w:ascii="Calibri" w:hAnsi="Calibri"/>
                <w:color w:val="000000"/>
                <w:lang w:eastAsia="en-GB"/>
              </w:rPr>
            </w:pPr>
            <w:r>
              <w:rPr>
                <w:rFonts w:ascii="Calibri" w:hAnsi="Calibri"/>
                <w:color w:val="000000"/>
                <w:lang w:eastAsia="en-GB"/>
              </w:rPr>
              <w:t>0</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00EB659B" w14:textId="77777777" w:rsidR="00AD168A" w:rsidRPr="006929BB" w:rsidRDefault="00AD168A" w:rsidP="00AD168A">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61A5A1EE" w14:textId="0F534F0F" w:rsidR="00AD168A" w:rsidRPr="006929BB" w:rsidRDefault="004B672E" w:rsidP="00AD168A">
            <w:pPr>
              <w:jc w:val="right"/>
              <w:rPr>
                <w:rFonts w:ascii="Calibri" w:hAnsi="Calibri"/>
                <w:color w:val="000000"/>
                <w:lang w:eastAsia="en-GB"/>
              </w:rPr>
            </w:pPr>
            <w:r>
              <w:rPr>
                <w:rFonts w:ascii="Calibri" w:hAnsi="Calibri"/>
                <w:color w:val="000000"/>
                <w:lang w:eastAsia="en-GB"/>
              </w:rPr>
              <w:t>0</w:t>
            </w:r>
          </w:p>
        </w:tc>
      </w:tr>
      <w:tr w:rsidR="00AD168A" w:rsidRPr="006929BB" w14:paraId="2856C8C3"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439D0890"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7A5E5241" w14:textId="427D3357" w:rsidR="00AD168A" w:rsidRPr="006929BB" w:rsidRDefault="00437068" w:rsidP="00AD168A">
            <w:pPr>
              <w:jc w:val="right"/>
              <w:rPr>
                <w:rFonts w:ascii="Calibri" w:hAnsi="Calibri"/>
                <w:color w:val="000000"/>
                <w:lang w:eastAsia="en-GB"/>
              </w:rPr>
            </w:pPr>
            <w:r>
              <w:rPr>
                <w:rFonts w:ascii="Calibri" w:hAnsi="Calibri"/>
                <w:color w:val="000000"/>
                <w:lang w:eastAsia="en-GB"/>
              </w:rPr>
              <w:t>13,036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0F866E91" w14:textId="6974D238" w:rsidR="00AD168A" w:rsidRPr="006929BB" w:rsidRDefault="00437068" w:rsidP="00AD168A">
            <w:pPr>
              <w:jc w:val="right"/>
              <w:rPr>
                <w:rFonts w:ascii="Calibri" w:hAnsi="Calibri"/>
                <w:color w:val="000000"/>
                <w:lang w:eastAsia="en-GB"/>
              </w:rPr>
            </w:pPr>
            <w:r>
              <w:rPr>
                <w:rFonts w:ascii="Calibri" w:hAnsi="Calibri"/>
                <w:color w:val="000000"/>
                <w:lang w:eastAsia="en-GB"/>
              </w:rPr>
              <w:t>13,036</w:t>
            </w:r>
          </w:p>
        </w:tc>
        <w:tc>
          <w:tcPr>
            <w:tcW w:w="4800" w:type="dxa"/>
            <w:tcBorders>
              <w:top w:val="nil"/>
              <w:left w:val="nil"/>
              <w:bottom w:val="single" w:sz="4" w:space="0" w:color="FFFFFF"/>
              <w:right w:val="single" w:sz="4" w:space="0" w:color="FFFFFF"/>
            </w:tcBorders>
            <w:shd w:val="clear" w:color="auto" w:fill="C6D9F1" w:themeFill="text2" w:themeFillTint="33"/>
            <w:noWrap/>
            <w:vAlign w:val="center"/>
            <w:hideMark/>
          </w:tcPr>
          <w:p w14:paraId="334C7A55"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Non-domestic rates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17FDD790" w14:textId="671AB3B3" w:rsidR="00AD168A" w:rsidRPr="006929BB" w:rsidRDefault="00AD168A" w:rsidP="00AD168A">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00436A23" w14:textId="6C0D8643" w:rsidR="00AD168A" w:rsidRPr="006929BB" w:rsidRDefault="009D00F7" w:rsidP="00AD168A">
            <w:pPr>
              <w:jc w:val="right"/>
              <w:rPr>
                <w:rFonts w:ascii="Calibri" w:hAnsi="Calibri"/>
                <w:color w:val="000000"/>
                <w:lang w:eastAsia="en-GB"/>
              </w:rPr>
            </w:pPr>
            <w:r>
              <w:rPr>
                <w:rFonts w:ascii="Calibri" w:hAnsi="Calibri"/>
                <w:color w:val="000000"/>
                <w:lang w:eastAsia="en-GB"/>
              </w:rPr>
              <w:t>13,341</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354B6462" w14:textId="4BC0A5E1" w:rsidR="00AD168A" w:rsidRPr="006929BB" w:rsidRDefault="009D00F7" w:rsidP="00AD168A">
            <w:pPr>
              <w:jc w:val="right"/>
              <w:rPr>
                <w:rFonts w:ascii="Calibri" w:hAnsi="Calibri"/>
                <w:color w:val="000000"/>
                <w:lang w:eastAsia="en-GB"/>
              </w:rPr>
            </w:pPr>
            <w:r>
              <w:rPr>
                <w:rFonts w:ascii="Calibri" w:hAnsi="Calibri"/>
                <w:color w:val="000000"/>
                <w:lang w:eastAsia="en-GB"/>
              </w:rPr>
              <w:t>13,341</w:t>
            </w:r>
          </w:p>
        </w:tc>
      </w:tr>
      <w:tr w:rsidR="00AD168A" w:rsidRPr="006929BB" w14:paraId="4DB2A1BA"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2460BBCE"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2E1194F2" w14:textId="582767BF" w:rsidR="00AD168A" w:rsidRPr="006929BB" w:rsidRDefault="00AD168A" w:rsidP="00AD168A">
            <w:pPr>
              <w:jc w:val="right"/>
              <w:rPr>
                <w:rFonts w:ascii="Calibri" w:hAnsi="Calibri"/>
                <w:color w:val="000000"/>
                <w:lang w:eastAsia="en-GB"/>
              </w:rPr>
            </w:pPr>
            <w:r>
              <w:rPr>
                <w:rFonts w:ascii="Calibri" w:hAnsi="Calibri"/>
                <w:color w:val="000000"/>
                <w:lang w:eastAsia="en-GB"/>
              </w:rPr>
              <w:t>10</w:t>
            </w:r>
            <w:r w:rsidR="00437068">
              <w:rPr>
                <w:rFonts w:ascii="Calibri" w:hAnsi="Calibri"/>
                <w:color w:val="000000"/>
                <w:lang w:eastAsia="en-GB"/>
              </w:rPr>
              <w:t>2</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738BC9D9" w14:textId="41B192AC" w:rsidR="00AD168A" w:rsidRPr="006929BB" w:rsidRDefault="00AD168A" w:rsidP="00AD168A">
            <w:pPr>
              <w:jc w:val="right"/>
              <w:rPr>
                <w:rFonts w:ascii="Calibri" w:hAnsi="Calibri"/>
                <w:color w:val="000000"/>
                <w:lang w:eastAsia="en-GB"/>
              </w:rPr>
            </w:pPr>
            <w:r>
              <w:rPr>
                <w:rFonts w:ascii="Calibri" w:hAnsi="Calibri"/>
                <w:color w:val="000000"/>
                <w:lang w:eastAsia="en-GB"/>
              </w:rPr>
              <w:t>10</w:t>
            </w:r>
            <w:r w:rsidR="00437068">
              <w:rPr>
                <w:rFonts w:ascii="Calibri" w:hAnsi="Calibri"/>
                <w:color w:val="000000"/>
                <w:lang w:eastAsia="en-GB"/>
              </w:rPr>
              <w:t>2</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54CB840A"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Transitional protection payments - non-domestic rates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1E95575D" w14:textId="77777777" w:rsidR="00AD168A" w:rsidRPr="006929BB" w:rsidRDefault="00AD168A" w:rsidP="00AD168A">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62455B8E" w14:textId="01BF6A74" w:rsidR="00AD168A" w:rsidRPr="006929BB" w:rsidRDefault="003176A5" w:rsidP="00AD168A">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9D64F73" w14:textId="27639944" w:rsidR="00AD168A" w:rsidRPr="006929BB" w:rsidRDefault="003176A5" w:rsidP="00AD168A">
            <w:pPr>
              <w:jc w:val="right"/>
              <w:rPr>
                <w:rFonts w:ascii="Calibri" w:hAnsi="Calibri"/>
                <w:color w:val="000000"/>
                <w:lang w:eastAsia="en-GB"/>
              </w:rPr>
            </w:pPr>
            <w:r>
              <w:rPr>
                <w:rFonts w:ascii="Calibri" w:hAnsi="Calibri"/>
                <w:color w:val="000000"/>
                <w:lang w:eastAsia="en-GB"/>
              </w:rPr>
              <w:t>0</w:t>
            </w:r>
          </w:p>
        </w:tc>
      </w:tr>
      <w:tr w:rsidR="00AD168A" w:rsidRPr="006929BB" w14:paraId="21585EB8" w14:textId="77777777" w:rsidTr="00AD168A">
        <w:trPr>
          <w:trHeight w:val="51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58F34A30" w14:textId="5F1BCEA5" w:rsidR="00AD168A" w:rsidRPr="006929BB" w:rsidRDefault="00437068" w:rsidP="00AD168A">
            <w:pPr>
              <w:jc w:val="right"/>
              <w:rPr>
                <w:rFonts w:ascii="Calibri" w:hAnsi="Calibri"/>
                <w:color w:val="000000"/>
                <w:lang w:eastAsia="en-GB"/>
              </w:rPr>
            </w:pPr>
            <w:r>
              <w:rPr>
                <w:rFonts w:ascii="Calibri" w:hAnsi="Calibri"/>
                <w:color w:val="000000"/>
                <w:lang w:eastAsia="en-GB"/>
              </w:rPr>
              <w:t>327</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087209AE" w14:textId="4BA2980C" w:rsidR="00AD168A" w:rsidRPr="006929BB" w:rsidRDefault="00437068" w:rsidP="00AD168A">
            <w:pPr>
              <w:jc w:val="right"/>
              <w:rPr>
                <w:rFonts w:ascii="Calibri" w:hAnsi="Calibri"/>
                <w:color w:val="000000"/>
                <w:lang w:eastAsia="en-GB"/>
              </w:rPr>
            </w:pPr>
            <w:r>
              <w:rPr>
                <w:rFonts w:ascii="Calibri" w:hAnsi="Calibri"/>
                <w:color w:val="000000"/>
                <w:lang w:eastAsia="en-GB"/>
              </w:rPr>
              <w:t>6,532</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19E9FD74" w14:textId="65BDBDAD" w:rsidR="00AD168A" w:rsidRPr="006929BB" w:rsidRDefault="00437068" w:rsidP="00AD168A">
            <w:pPr>
              <w:jc w:val="right"/>
              <w:rPr>
                <w:rFonts w:ascii="Calibri" w:hAnsi="Calibri"/>
                <w:color w:val="000000"/>
                <w:lang w:eastAsia="en-GB"/>
              </w:rPr>
            </w:pPr>
            <w:r>
              <w:rPr>
                <w:rFonts w:ascii="Calibri" w:hAnsi="Calibri"/>
                <w:color w:val="000000"/>
                <w:lang w:eastAsia="en-GB"/>
              </w:rPr>
              <w:t>6,859</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40AD092E"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xml:space="preserve">Contribution towards previous year's collection fund deficit </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494612D6" w14:textId="5B9B7D37" w:rsidR="00AD168A" w:rsidRPr="006929BB" w:rsidRDefault="00AD168A" w:rsidP="00AD168A">
            <w:pPr>
              <w:jc w:val="right"/>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204D6F84" w14:textId="14CDFE72" w:rsidR="00AD168A" w:rsidRPr="006929BB" w:rsidRDefault="003176A5" w:rsidP="00AD168A">
            <w:pPr>
              <w:jc w:val="right"/>
              <w:rPr>
                <w:rFonts w:ascii="Calibri" w:hAnsi="Calibri"/>
                <w:color w:val="000000"/>
                <w:lang w:eastAsia="en-GB"/>
              </w:rPr>
            </w:pPr>
            <w:r>
              <w:rPr>
                <w:rFonts w:ascii="Calibri" w:hAnsi="Calibri"/>
                <w:color w:val="000000"/>
                <w:lang w:eastAsia="en-GB"/>
              </w:rPr>
              <w:t>656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55BBD146" w14:textId="11C46A40" w:rsidR="00AD168A" w:rsidRPr="006929BB" w:rsidRDefault="003176A5" w:rsidP="00AD168A">
            <w:pPr>
              <w:jc w:val="right"/>
              <w:rPr>
                <w:rFonts w:ascii="Calibri" w:hAnsi="Calibri"/>
                <w:color w:val="000000"/>
                <w:lang w:eastAsia="en-GB"/>
              </w:rPr>
            </w:pPr>
            <w:r>
              <w:rPr>
                <w:rFonts w:ascii="Calibri" w:hAnsi="Calibri"/>
                <w:color w:val="000000"/>
                <w:lang w:eastAsia="en-GB"/>
              </w:rPr>
              <w:t>656</w:t>
            </w:r>
          </w:p>
        </w:tc>
      </w:tr>
      <w:tr w:rsidR="00AD168A" w:rsidRPr="006929BB" w14:paraId="0F3DCA75" w14:textId="77777777" w:rsidTr="00AD168A">
        <w:trPr>
          <w:trHeight w:val="510"/>
        </w:trPr>
        <w:tc>
          <w:tcPr>
            <w:tcW w:w="960" w:type="dxa"/>
            <w:tcBorders>
              <w:top w:val="nil"/>
              <w:left w:val="single" w:sz="4" w:space="0" w:color="FFFFFF"/>
              <w:bottom w:val="single" w:sz="4" w:space="0" w:color="FFFFFF"/>
              <w:right w:val="nil"/>
            </w:tcBorders>
            <w:shd w:val="clear" w:color="auto" w:fill="8DB3E2" w:themeFill="text2" w:themeFillTint="66"/>
            <w:noWrap/>
            <w:vAlign w:val="bottom"/>
            <w:hideMark/>
          </w:tcPr>
          <w:p w14:paraId="56368F16"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061C1B75"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bottom"/>
            <w:hideMark/>
          </w:tcPr>
          <w:p w14:paraId="7F561085"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23C4C74A" w14:textId="77777777" w:rsidR="00AD168A" w:rsidRPr="006929BB" w:rsidRDefault="00AD168A" w:rsidP="00AD168A">
            <w:pPr>
              <w:rPr>
                <w:rFonts w:ascii="Calibri" w:hAnsi="Calibri"/>
                <w:b/>
                <w:bCs/>
                <w:color w:val="000000"/>
                <w:lang w:eastAsia="en-GB"/>
              </w:rPr>
            </w:pPr>
            <w:r w:rsidRPr="006929BB">
              <w:rPr>
                <w:rFonts w:ascii="Calibri" w:hAnsi="Calibri"/>
                <w:b/>
                <w:bCs/>
                <w:color w:val="000000"/>
                <w:lang w:eastAsia="en-GB"/>
              </w:rPr>
              <w:t>Amounts Required by statute to be debited to the Collection Fund:</w:t>
            </w:r>
          </w:p>
        </w:tc>
        <w:tc>
          <w:tcPr>
            <w:tcW w:w="960" w:type="dxa"/>
            <w:tcBorders>
              <w:top w:val="nil"/>
              <w:left w:val="nil"/>
              <w:bottom w:val="single" w:sz="4" w:space="0" w:color="FFFFFF"/>
              <w:right w:val="nil"/>
            </w:tcBorders>
            <w:shd w:val="clear" w:color="auto" w:fill="8DB3E2" w:themeFill="text2" w:themeFillTint="66"/>
            <w:noWrap/>
            <w:vAlign w:val="center"/>
          </w:tcPr>
          <w:p w14:paraId="4F1E16DB" w14:textId="77777777" w:rsidR="00AD168A" w:rsidRPr="006929BB" w:rsidRDefault="00AD168A" w:rsidP="00AD168A">
            <w:pPr>
              <w:jc w:val="right"/>
              <w:rPr>
                <w:rFonts w:ascii="Calibri" w:hAnsi="Calibri"/>
                <w:color w:val="000000"/>
                <w:lang w:eastAsia="en-GB"/>
              </w:rPr>
            </w:pPr>
          </w:p>
        </w:tc>
        <w:tc>
          <w:tcPr>
            <w:tcW w:w="980" w:type="dxa"/>
            <w:tcBorders>
              <w:top w:val="nil"/>
              <w:left w:val="nil"/>
              <w:bottom w:val="single" w:sz="4" w:space="0" w:color="FFFFFF"/>
              <w:right w:val="nil"/>
            </w:tcBorders>
            <w:shd w:val="clear" w:color="auto" w:fill="8DB3E2" w:themeFill="text2" w:themeFillTint="66"/>
            <w:noWrap/>
            <w:vAlign w:val="center"/>
          </w:tcPr>
          <w:p w14:paraId="505FB982" w14:textId="77777777" w:rsidR="00AD168A" w:rsidRPr="006929BB" w:rsidRDefault="00AD168A" w:rsidP="00AD168A">
            <w:pPr>
              <w:jc w:val="right"/>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035C83ED" w14:textId="77777777" w:rsidR="00AD168A" w:rsidRPr="006929BB" w:rsidRDefault="00AD168A" w:rsidP="00AD168A">
            <w:pPr>
              <w:jc w:val="right"/>
              <w:rPr>
                <w:rFonts w:ascii="Calibri" w:hAnsi="Calibri"/>
                <w:color w:val="000000"/>
                <w:lang w:eastAsia="en-GB"/>
              </w:rPr>
            </w:pPr>
          </w:p>
        </w:tc>
      </w:tr>
      <w:tr w:rsidR="00AD168A" w:rsidRPr="006929BB" w14:paraId="0C5B57FF" w14:textId="77777777" w:rsidTr="00AD168A">
        <w:trPr>
          <w:trHeight w:val="510"/>
        </w:trPr>
        <w:tc>
          <w:tcPr>
            <w:tcW w:w="960" w:type="dxa"/>
            <w:tcBorders>
              <w:top w:val="nil"/>
              <w:left w:val="single" w:sz="4" w:space="0" w:color="FFFFFF"/>
              <w:bottom w:val="single" w:sz="4" w:space="0" w:color="FFFFFF"/>
              <w:right w:val="nil"/>
            </w:tcBorders>
            <w:shd w:val="clear" w:color="auto" w:fill="8DB3E2" w:themeFill="text2" w:themeFillTint="66"/>
            <w:noWrap/>
            <w:vAlign w:val="bottom"/>
            <w:hideMark/>
          </w:tcPr>
          <w:p w14:paraId="508C9630"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3C6A854E"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bottom"/>
            <w:hideMark/>
          </w:tcPr>
          <w:p w14:paraId="5D88E151" w14:textId="77777777" w:rsidR="00AD168A" w:rsidRPr="006929BB" w:rsidRDefault="00AD168A" w:rsidP="00AD168A">
            <w:pPr>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6738D46A" w14:textId="423028F6" w:rsidR="00AD168A" w:rsidRPr="006929BB" w:rsidRDefault="00AD168A" w:rsidP="00AD168A">
            <w:pPr>
              <w:rPr>
                <w:rFonts w:ascii="Calibri" w:hAnsi="Calibri"/>
                <w:color w:val="000000"/>
                <w:lang w:eastAsia="en-GB"/>
              </w:rPr>
            </w:pPr>
            <w:r w:rsidRPr="006929BB">
              <w:rPr>
                <w:rFonts w:ascii="Calibri" w:hAnsi="Calibri"/>
                <w:color w:val="000000"/>
                <w:lang w:eastAsia="en-GB"/>
              </w:rPr>
              <w:t xml:space="preserve">Precepts </w:t>
            </w:r>
            <w:r>
              <w:rPr>
                <w:rFonts w:ascii="Calibri" w:hAnsi="Calibri"/>
                <w:color w:val="000000"/>
                <w:lang w:eastAsia="en-GB"/>
              </w:rPr>
              <w:t>and</w:t>
            </w:r>
            <w:r w:rsidRPr="006929BB">
              <w:rPr>
                <w:rFonts w:ascii="Calibri" w:hAnsi="Calibri"/>
                <w:color w:val="000000"/>
                <w:lang w:eastAsia="en-GB"/>
              </w:rPr>
              <w:t xml:space="preserve"> demands from major preceptors - Council Tax:</w:t>
            </w:r>
          </w:p>
        </w:tc>
        <w:tc>
          <w:tcPr>
            <w:tcW w:w="960" w:type="dxa"/>
            <w:tcBorders>
              <w:top w:val="nil"/>
              <w:left w:val="nil"/>
              <w:bottom w:val="single" w:sz="4" w:space="0" w:color="FFFFFF"/>
              <w:right w:val="nil"/>
            </w:tcBorders>
            <w:shd w:val="clear" w:color="auto" w:fill="8DB3E2" w:themeFill="text2" w:themeFillTint="66"/>
            <w:noWrap/>
            <w:vAlign w:val="center"/>
          </w:tcPr>
          <w:p w14:paraId="0A39C73E" w14:textId="77777777" w:rsidR="00AD168A" w:rsidRPr="006929BB" w:rsidRDefault="00AD168A" w:rsidP="00AD168A">
            <w:pPr>
              <w:rPr>
                <w:rFonts w:ascii="Calibri" w:hAnsi="Calibri"/>
                <w:color w:val="000000"/>
                <w:lang w:eastAsia="en-GB"/>
              </w:rPr>
            </w:pPr>
          </w:p>
        </w:tc>
        <w:tc>
          <w:tcPr>
            <w:tcW w:w="980" w:type="dxa"/>
            <w:tcBorders>
              <w:top w:val="nil"/>
              <w:left w:val="nil"/>
              <w:bottom w:val="single" w:sz="4" w:space="0" w:color="FFFFFF"/>
              <w:right w:val="nil"/>
            </w:tcBorders>
            <w:shd w:val="clear" w:color="auto" w:fill="8DB3E2" w:themeFill="text2" w:themeFillTint="66"/>
            <w:noWrap/>
            <w:vAlign w:val="center"/>
          </w:tcPr>
          <w:p w14:paraId="659D5C1B" w14:textId="77777777" w:rsidR="00AD168A" w:rsidRPr="006929BB" w:rsidRDefault="00AD168A" w:rsidP="00AD168A">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60E355B1" w14:textId="77777777" w:rsidR="00AD168A" w:rsidRPr="006929BB" w:rsidRDefault="00AD168A" w:rsidP="00AD168A">
            <w:pPr>
              <w:rPr>
                <w:rFonts w:ascii="Calibri" w:hAnsi="Calibri"/>
                <w:color w:val="000000"/>
                <w:lang w:eastAsia="en-GB"/>
              </w:rPr>
            </w:pPr>
          </w:p>
        </w:tc>
      </w:tr>
      <w:tr w:rsidR="00284C17" w:rsidRPr="006929BB" w14:paraId="3A9CA425"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274B8C4F" w14:textId="508321D8" w:rsidR="00284C17" w:rsidRPr="006929BB" w:rsidRDefault="00284C17" w:rsidP="00284C17">
            <w:pPr>
              <w:jc w:val="right"/>
              <w:rPr>
                <w:rFonts w:ascii="Calibri" w:hAnsi="Calibri"/>
                <w:color w:val="000000"/>
                <w:lang w:eastAsia="en-GB"/>
              </w:rPr>
            </w:pPr>
            <w:r>
              <w:rPr>
                <w:rFonts w:ascii="Calibri" w:hAnsi="Calibri"/>
                <w:color w:val="000000"/>
                <w:lang w:eastAsia="en-GB"/>
              </w:rPr>
              <w:t>26,930</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18526ECB"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2D712F26" w14:textId="735FEFFA" w:rsidR="00284C17" w:rsidRPr="006929BB" w:rsidRDefault="00284C17" w:rsidP="00284C17">
            <w:pPr>
              <w:jc w:val="right"/>
              <w:rPr>
                <w:rFonts w:ascii="Calibri" w:hAnsi="Calibri"/>
                <w:color w:val="000000"/>
                <w:lang w:eastAsia="en-GB"/>
              </w:rPr>
            </w:pPr>
            <w:r>
              <w:rPr>
                <w:rFonts w:ascii="Calibri" w:hAnsi="Calibri"/>
                <w:color w:val="000000"/>
                <w:lang w:eastAsia="en-GB"/>
              </w:rPr>
              <w:t>26,930</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6A2A90A1" w14:textId="217006B7" w:rsidR="00284C17" w:rsidRPr="006929BB" w:rsidRDefault="00284C17" w:rsidP="00284C17">
            <w:pPr>
              <w:rPr>
                <w:rFonts w:ascii="Calibri" w:hAnsi="Calibri"/>
                <w:color w:val="000000"/>
                <w:lang w:eastAsia="en-GB"/>
              </w:rPr>
            </w:pPr>
            <w:r w:rsidRPr="006929BB">
              <w:rPr>
                <w:rFonts w:ascii="Calibri" w:hAnsi="Calibri"/>
                <w:color w:val="000000"/>
                <w:lang w:eastAsia="en-GB"/>
              </w:rPr>
              <w:t>Leicestershire County Council</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7DFB69CB" w14:textId="3F325C51" w:rsidR="00284C17" w:rsidRPr="006929BB" w:rsidRDefault="00284C17" w:rsidP="00284C17">
            <w:pPr>
              <w:jc w:val="right"/>
              <w:rPr>
                <w:rFonts w:ascii="Calibri" w:hAnsi="Calibri"/>
                <w:color w:val="000000"/>
                <w:lang w:eastAsia="en-GB"/>
              </w:rPr>
            </w:pPr>
            <w:r>
              <w:rPr>
                <w:rFonts w:ascii="Calibri" w:hAnsi="Calibri"/>
                <w:color w:val="000000"/>
                <w:lang w:eastAsia="en-GB"/>
              </w:rPr>
              <w:t>28,127</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311693DF"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4A33A70E" w14:textId="7383F584" w:rsidR="00284C17" w:rsidRPr="006929BB" w:rsidRDefault="00284C17" w:rsidP="00284C17">
            <w:pPr>
              <w:jc w:val="right"/>
              <w:rPr>
                <w:rFonts w:ascii="Calibri" w:hAnsi="Calibri"/>
                <w:color w:val="000000"/>
                <w:lang w:eastAsia="en-GB"/>
              </w:rPr>
            </w:pPr>
            <w:r>
              <w:rPr>
                <w:rFonts w:ascii="Calibri" w:hAnsi="Calibri"/>
                <w:color w:val="000000"/>
                <w:lang w:eastAsia="en-GB"/>
              </w:rPr>
              <w:t>28,127</w:t>
            </w:r>
          </w:p>
        </w:tc>
      </w:tr>
      <w:tr w:rsidR="00284C17" w:rsidRPr="006929BB" w14:paraId="704D8FC4"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2651F40A" w14:textId="6E40FC3D" w:rsidR="00284C17" w:rsidRPr="006929BB" w:rsidRDefault="00284C17" w:rsidP="00284C17">
            <w:pPr>
              <w:jc w:val="right"/>
              <w:rPr>
                <w:rFonts w:ascii="Calibri" w:hAnsi="Calibri"/>
                <w:color w:val="000000"/>
                <w:lang w:eastAsia="en-GB"/>
              </w:rPr>
            </w:pPr>
            <w:r>
              <w:rPr>
                <w:rFonts w:ascii="Calibri" w:hAnsi="Calibri"/>
                <w:color w:val="000000"/>
                <w:lang w:eastAsia="en-GB"/>
              </w:rPr>
              <w:t>4,041</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310BD9E2"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2EB27A0F" w14:textId="1DEF7EEE" w:rsidR="00284C17" w:rsidRPr="006929BB" w:rsidRDefault="00284C17" w:rsidP="00284C17">
            <w:pPr>
              <w:jc w:val="right"/>
              <w:rPr>
                <w:rFonts w:ascii="Calibri" w:hAnsi="Calibri"/>
                <w:color w:val="000000"/>
                <w:lang w:eastAsia="en-GB"/>
              </w:rPr>
            </w:pPr>
            <w:r>
              <w:rPr>
                <w:rFonts w:ascii="Calibri" w:hAnsi="Calibri"/>
                <w:color w:val="000000"/>
                <w:lang w:eastAsia="en-GB"/>
              </w:rPr>
              <w:t>4,041</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10016BD1" w14:textId="34CFFBDF" w:rsidR="00284C17" w:rsidRPr="006929BB" w:rsidRDefault="00284C17" w:rsidP="00284C17">
            <w:pPr>
              <w:rPr>
                <w:rFonts w:ascii="Calibri" w:hAnsi="Calibri"/>
                <w:color w:val="000000"/>
                <w:lang w:eastAsia="en-GB"/>
              </w:rPr>
            </w:pPr>
            <w:r w:rsidRPr="006929BB">
              <w:rPr>
                <w:rFonts w:ascii="Calibri" w:hAnsi="Calibri"/>
                <w:color w:val="000000"/>
                <w:lang w:eastAsia="en-GB"/>
              </w:rPr>
              <w:t>Melton Borough Council</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2191E6A7" w14:textId="67AAE77F" w:rsidR="00284C17" w:rsidRPr="006929BB" w:rsidRDefault="00284C17" w:rsidP="00284C17">
            <w:pPr>
              <w:jc w:val="right"/>
              <w:rPr>
                <w:rFonts w:ascii="Calibri" w:hAnsi="Calibri"/>
                <w:color w:val="000000"/>
                <w:lang w:eastAsia="en-GB"/>
              </w:rPr>
            </w:pPr>
            <w:r>
              <w:rPr>
                <w:rFonts w:ascii="Calibri" w:hAnsi="Calibri"/>
                <w:color w:val="000000"/>
                <w:lang w:eastAsia="en-GB"/>
              </w:rPr>
              <w:t>4,199</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54A5135"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3F1A5577" w14:textId="286EB154" w:rsidR="00284C17" w:rsidRPr="006929BB" w:rsidRDefault="00284C17" w:rsidP="00284C17">
            <w:pPr>
              <w:jc w:val="right"/>
              <w:rPr>
                <w:rFonts w:ascii="Calibri" w:hAnsi="Calibri"/>
                <w:color w:val="000000"/>
                <w:lang w:eastAsia="en-GB"/>
              </w:rPr>
            </w:pPr>
            <w:r>
              <w:rPr>
                <w:rFonts w:ascii="Calibri" w:hAnsi="Calibri"/>
                <w:color w:val="000000"/>
                <w:lang w:eastAsia="en-GB"/>
              </w:rPr>
              <w:t>4,199</w:t>
            </w:r>
          </w:p>
        </w:tc>
      </w:tr>
      <w:tr w:rsidR="00284C17" w:rsidRPr="006929BB" w14:paraId="5CCBF13C"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6A9154BA" w14:textId="271810EE" w:rsidR="00284C17" w:rsidRPr="006929BB" w:rsidRDefault="00284C17" w:rsidP="00284C17">
            <w:pPr>
              <w:jc w:val="right"/>
              <w:rPr>
                <w:rFonts w:ascii="Calibri" w:hAnsi="Calibri"/>
                <w:color w:val="000000"/>
                <w:lang w:eastAsia="en-GB"/>
              </w:rPr>
            </w:pPr>
            <w:r>
              <w:rPr>
                <w:rFonts w:ascii="Calibri" w:hAnsi="Calibri"/>
                <w:color w:val="000000"/>
                <w:lang w:eastAsia="en-GB"/>
              </w:rPr>
              <w:t>4,738</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646C4D98"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29E99AE2" w14:textId="51943324" w:rsidR="00284C17" w:rsidRPr="006929BB" w:rsidRDefault="00284C17" w:rsidP="00284C17">
            <w:pPr>
              <w:jc w:val="right"/>
              <w:rPr>
                <w:rFonts w:ascii="Calibri" w:hAnsi="Calibri"/>
                <w:color w:val="000000"/>
                <w:lang w:eastAsia="en-GB"/>
              </w:rPr>
            </w:pPr>
            <w:r>
              <w:rPr>
                <w:rFonts w:ascii="Calibri" w:hAnsi="Calibri"/>
                <w:color w:val="000000"/>
                <w:lang w:eastAsia="en-GB"/>
              </w:rPr>
              <w:t>4,738</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01E7A1B4" w14:textId="59C908F4" w:rsidR="00284C17" w:rsidRPr="006929BB" w:rsidRDefault="00284C17" w:rsidP="00284C17">
            <w:pPr>
              <w:rPr>
                <w:rFonts w:ascii="Calibri" w:hAnsi="Calibri"/>
                <w:color w:val="000000"/>
                <w:lang w:eastAsia="en-GB"/>
              </w:rPr>
            </w:pPr>
            <w:r w:rsidRPr="006929BB">
              <w:rPr>
                <w:rFonts w:ascii="Calibri" w:hAnsi="Calibri"/>
                <w:color w:val="000000"/>
                <w:lang w:eastAsia="en-GB"/>
              </w:rPr>
              <w:t xml:space="preserve">Police </w:t>
            </w:r>
            <w:r>
              <w:rPr>
                <w:rFonts w:ascii="Calibri" w:hAnsi="Calibri"/>
                <w:color w:val="000000"/>
                <w:lang w:eastAsia="en-GB"/>
              </w:rPr>
              <w:t>and</w:t>
            </w:r>
            <w:r w:rsidRPr="006929BB">
              <w:rPr>
                <w:rFonts w:ascii="Calibri" w:hAnsi="Calibri"/>
                <w:color w:val="000000"/>
                <w:lang w:eastAsia="en-GB"/>
              </w:rPr>
              <w:t xml:space="preserve"> Crime Commissioner for Leicestershire</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2E332273" w14:textId="26D56729" w:rsidR="00284C17" w:rsidRPr="006929BB" w:rsidRDefault="00284C17" w:rsidP="00284C17">
            <w:pPr>
              <w:jc w:val="right"/>
              <w:rPr>
                <w:rFonts w:ascii="Calibri" w:hAnsi="Calibri"/>
                <w:color w:val="000000"/>
                <w:lang w:eastAsia="en-GB"/>
              </w:rPr>
            </w:pPr>
            <w:r>
              <w:rPr>
                <w:rFonts w:ascii="Calibri" w:hAnsi="Calibri"/>
                <w:color w:val="000000"/>
                <w:lang w:eastAsia="en-GB"/>
              </w:rPr>
              <w:t>4,999</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ABD681F"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4F507601" w14:textId="3995BE68" w:rsidR="00284C17" w:rsidRPr="006929BB" w:rsidRDefault="00284C17" w:rsidP="00284C17">
            <w:pPr>
              <w:jc w:val="right"/>
              <w:rPr>
                <w:rFonts w:ascii="Calibri" w:hAnsi="Calibri"/>
                <w:color w:val="000000"/>
                <w:lang w:eastAsia="en-GB"/>
              </w:rPr>
            </w:pPr>
            <w:r>
              <w:rPr>
                <w:rFonts w:ascii="Calibri" w:hAnsi="Calibri"/>
                <w:color w:val="000000"/>
                <w:lang w:eastAsia="en-GB"/>
              </w:rPr>
              <w:t>4,999</w:t>
            </w:r>
          </w:p>
        </w:tc>
      </w:tr>
      <w:tr w:rsidR="00284C17" w:rsidRPr="006929BB" w14:paraId="133F1284"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16F261B7" w14:textId="0224180A" w:rsidR="00284C17" w:rsidRPr="006929BB" w:rsidRDefault="00284C17" w:rsidP="00284C17">
            <w:pPr>
              <w:jc w:val="right"/>
              <w:rPr>
                <w:rFonts w:ascii="Calibri" w:hAnsi="Calibri"/>
                <w:color w:val="000000"/>
                <w:lang w:eastAsia="en-GB"/>
              </w:rPr>
            </w:pPr>
            <w:r>
              <w:rPr>
                <w:rFonts w:ascii="Calibri" w:hAnsi="Calibri"/>
                <w:color w:val="000000"/>
                <w:lang w:eastAsia="en-GB"/>
              </w:rPr>
              <w:t>1,323</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6B9B77EE"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4654C61E" w14:textId="2663AEB2" w:rsidR="00284C17" w:rsidRPr="006929BB" w:rsidRDefault="00284C17" w:rsidP="00284C17">
            <w:pPr>
              <w:jc w:val="right"/>
              <w:rPr>
                <w:rFonts w:ascii="Calibri" w:hAnsi="Calibri"/>
                <w:color w:val="000000"/>
                <w:lang w:eastAsia="en-GB"/>
              </w:rPr>
            </w:pPr>
            <w:r>
              <w:rPr>
                <w:rFonts w:ascii="Calibri" w:hAnsi="Calibri"/>
                <w:color w:val="000000"/>
                <w:lang w:eastAsia="en-GB"/>
              </w:rPr>
              <w:t>1,323</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3D415307" w14:textId="56CD9FC5" w:rsidR="00284C17" w:rsidRPr="006929BB" w:rsidRDefault="00284C17" w:rsidP="00284C17">
            <w:pPr>
              <w:rPr>
                <w:rFonts w:ascii="Calibri" w:hAnsi="Calibri"/>
                <w:color w:val="000000"/>
                <w:lang w:eastAsia="en-GB"/>
              </w:rPr>
            </w:pPr>
            <w:r w:rsidRPr="006929BB">
              <w:rPr>
                <w:rFonts w:ascii="Calibri" w:hAnsi="Calibri"/>
                <w:color w:val="000000"/>
                <w:lang w:eastAsia="en-GB"/>
              </w:rPr>
              <w:t>Combined Fire Authority</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0E1AFD20" w14:textId="3E3F4BED" w:rsidR="00284C17" w:rsidRPr="006929BB" w:rsidRDefault="00284C17" w:rsidP="00284C17">
            <w:pPr>
              <w:jc w:val="right"/>
              <w:rPr>
                <w:rFonts w:ascii="Calibri" w:hAnsi="Calibri"/>
                <w:color w:val="000000"/>
                <w:lang w:eastAsia="en-GB"/>
              </w:rPr>
            </w:pPr>
            <w:r>
              <w:rPr>
                <w:rFonts w:ascii="Calibri" w:hAnsi="Calibri"/>
                <w:color w:val="000000"/>
                <w:lang w:eastAsia="en-GB"/>
              </w:rPr>
              <w:t>1,438</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3C6D7656"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4E61A68B" w14:textId="40B65BEC" w:rsidR="00284C17" w:rsidRPr="006929BB" w:rsidRDefault="00284C17" w:rsidP="00284C17">
            <w:pPr>
              <w:jc w:val="right"/>
              <w:rPr>
                <w:rFonts w:ascii="Calibri" w:hAnsi="Calibri"/>
                <w:color w:val="000000"/>
                <w:lang w:eastAsia="en-GB"/>
              </w:rPr>
            </w:pPr>
            <w:r>
              <w:rPr>
                <w:rFonts w:ascii="Calibri" w:hAnsi="Calibri"/>
                <w:color w:val="000000"/>
                <w:lang w:eastAsia="en-GB"/>
              </w:rPr>
              <w:t>1,438</w:t>
            </w:r>
          </w:p>
        </w:tc>
      </w:tr>
      <w:tr w:rsidR="00284C17" w:rsidRPr="006929BB" w14:paraId="454BBD51"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75B61AA1" w14:textId="12653A02" w:rsidR="00284C17" w:rsidRPr="006929BB" w:rsidRDefault="00284C17" w:rsidP="00284C17">
            <w:pPr>
              <w:jc w:val="right"/>
              <w:rPr>
                <w:rFonts w:ascii="Calibri" w:hAnsi="Calibri"/>
                <w:color w:val="000000"/>
                <w:lang w:eastAsia="en-GB"/>
              </w:rPr>
            </w:pPr>
            <w:r>
              <w:rPr>
                <w:rFonts w:ascii="Calibri" w:hAnsi="Calibri"/>
                <w:color w:val="000000"/>
                <w:lang w:eastAsia="en-GB"/>
              </w:rPr>
              <w:t>697</w:t>
            </w:r>
          </w:p>
        </w:tc>
        <w:tc>
          <w:tcPr>
            <w:tcW w:w="980" w:type="dxa"/>
            <w:tcBorders>
              <w:top w:val="nil"/>
              <w:left w:val="nil"/>
              <w:bottom w:val="single" w:sz="4" w:space="0" w:color="FFFFFF"/>
              <w:right w:val="single" w:sz="4" w:space="0" w:color="FFFFFF"/>
            </w:tcBorders>
            <w:shd w:val="clear" w:color="auto" w:fill="C6D9F1" w:themeFill="text2" w:themeFillTint="33"/>
            <w:noWrap/>
            <w:vAlign w:val="bottom"/>
            <w:hideMark/>
          </w:tcPr>
          <w:p w14:paraId="66289A08"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3EAA1560" w14:textId="6147F2FF" w:rsidR="00284C17" w:rsidRPr="006929BB" w:rsidRDefault="00284C17" w:rsidP="00284C17">
            <w:pPr>
              <w:jc w:val="right"/>
              <w:rPr>
                <w:rFonts w:ascii="Calibri" w:hAnsi="Calibri"/>
                <w:color w:val="000000"/>
                <w:lang w:eastAsia="en-GB"/>
              </w:rPr>
            </w:pPr>
            <w:r>
              <w:rPr>
                <w:rFonts w:ascii="Calibri" w:hAnsi="Calibri"/>
                <w:color w:val="000000"/>
                <w:lang w:eastAsia="en-GB"/>
              </w:rPr>
              <w:t>697</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1E02D001" w14:textId="3F1FA40A" w:rsidR="00284C17" w:rsidRPr="006929BB" w:rsidRDefault="00284C17" w:rsidP="00284C17">
            <w:pPr>
              <w:rPr>
                <w:rFonts w:ascii="Calibri" w:hAnsi="Calibri"/>
                <w:color w:val="000000"/>
                <w:lang w:eastAsia="en-GB"/>
              </w:rPr>
            </w:pPr>
            <w:r w:rsidRPr="006929BB">
              <w:rPr>
                <w:rFonts w:ascii="Calibri" w:hAnsi="Calibri"/>
                <w:color w:val="000000"/>
                <w:lang w:eastAsia="en-GB"/>
              </w:rPr>
              <w:t>Parish Councils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6CF27ED1" w14:textId="329B6BF9" w:rsidR="00284C17" w:rsidRPr="006929BB" w:rsidRDefault="00284C17" w:rsidP="00284C17">
            <w:pPr>
              <w:jc w:val="right"/>
              <w:rPr>
                <w:rFonts w:ascii="Calibri" w:hAnsi="Calibri"/>
                <w:color w:val="000000"/>
                <w:lang w:eastAsia="en-GB"/>
              </w:rPr>
            </w:pPr>
            <w:r>
              <w:rPr>
                <w:rFonts w:ascii="Calibri" w:hAnsi="Calibri"/>
                <w:color w:val="000000"/>
                <w:lang w:eastAsia="en-GB"/>
              </w:rPr>
              <w:t>729</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2DF80A91"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FBA3338" w14:textId="2EF132CB" w:rsidR="00284C17" w:rsidRPr="006929BB" w:rsidRDefault="00284C17" w:rsidP="00284C17">
            <w:pPr>
              <w:jc w:val="right"/>
              <w:rPr>
                <w:rFonts w:ascii="Calibri" w:hAnsi="Calibri"/>
                <w:color w:val="000000"/>
                <w:lang w:eastAsia="en-GB"/>
              </w:rPr>
            </w:pPr>
            <w:r>
              <w:rPr>
                <w:rFonts w:ascii="Calibri" w:hAnsi="Calibri"/>
                <w:color w:val="000000"/>
                <w:lang w:eastAsia="en-GB"/>
              </w:rPr>
              <w:t>729</w:t>
            </w:r>
          </w:p>
        </w:tc>
      </w:tr>
      <w:tr w:rsidR="00284C17" w:rsidRPr="006929BB" w14:paraId="37F1E574" w14:textId="77777777" w:rsidTr="00AD168A">
        <w:trPr>
          <w:trHeight w:val="510"/>
        </w:trPr>
        <w:tc>
          <w:tcPr>
            <w:tcW w:w="960" w:type="dxa"/>
            <w:tcBorders>
              <w:top w:val="nil"/>
              <w:left w:val="single" w:sz="4" w:space="0" w:color="FFFFFF"/>
              <w:bottom w:val="single" w:sz="4" w:space="0" w:color="FFFFFF"/>
              <w:right w:val="nil"/>
            </w:tcBorders>
            <w:shd w:val="clear" w:color="auto" w:fill="8DB3E2" w:themeFill="text2" w:themeFillTint="66"/>
            <w:noWrap/>
            <w:vAlign w:val="bottom"/>
            <w:hideMark/>
          </w:tcPr>
          <w:p w14:paraId="05AA9B54"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7D15A341"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bottom"/>
            <w:hideMark/>
          </w:tcPr>
          <w:p w14:paraId="4224E83A"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1CEDDD67"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Shares of Non-domestic rating income to major preceptors:</w:t>
            </w:r>
          </w:p>
        </w:tc>
        <w:tc>
          <w:tcPr>
            <w:tcW w:w="960" w:type="dxa"/>
            <w:tcBorders>
              <w:top w:val="nil"/>
              <w:left w:val="nil"/>
              <w:bottom w:val="single" w:sz="4" w:space="0" w:color="FFFFFF"/>
              <w:right w:val="nil"/>
            </w:tcBorders>
            <w:shd w:val="clear" w:color="auto" w:fill="8DB3E2" w:themeFill="text2" w:themeFillTint="66"/>
            <w:noWrap/>
            <w:vAlign w:val="center"/>
          </w:tcPr>
          <w:p w14:paraId="6C537435"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nil"/>
            </w:tcBorders>
            <w:shd w:val="clear" w:color="auto" w:fill="8DB3E2" w:themeFill="text2" w:themeFillTint="66"/>
            <w:noWrap/>
            <w:vAlign w:val="center"/>
          </w:tcPr>
          <w:p w14:paraId="589E1382"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435F3E9D" w14:textId="77777777" w:rsidR="00284C17" w:rsidRPr="006929BB" w:rsidRDefault="00284C17" w:rsidP="00284C17">
            <w:pPr>
              <w:rPr>
                <w:rFonts w:ascii="Calibri" w:hAnsi="Calibri"/>
                <w:color w:val="000000"/>
                <w:lang w:eastAsia="en-GB"/>
              </w:rPr>
            </w:pPr>
          </w:p>
        </w:tc>
      </w:tr>
      <w:tr w:rsidR="00284C17" w:rsidRPr="006929BB" w14:paraId="3B3B532F"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55FC5381"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4C1C56D3" w14:textId="5551E74A" w:rsidR="00284C17" w:rsidRPr="006929BB" w:rsidRDefault="00284C17" w:rsidP="00284C17">
            <w:pPr>
              <w:jc w:val="right"/>
              <w:rPr>
                <w:rFonts w:ascii="Calibri" w:hAnsi="Calibri"/>
                <w:color w:val="000000"/>
                <w:lang w:eastAsia="en-GB"/>
              </w:rPr>
            </w:pPr>
            <w:r>
              <w:rPr>
                <w:rFonts w:ascii="Calibri" w:hAnsi="Calibri"/>
                <w:color w:val="000000"/>
                <w:lang w:eastAsia="en-GB"/>
              </w:rPr>
              <w:t>1,288</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763BCA1F" w14:textId="2224440E" w:rsidR="00284C17" w:rsidRPr="006929BB" w:rsidRDefault="00284C17" w:rsidP="00284C17">
            <w:pPr>
              <w:jc w:val="right"/>
              <w:rPr>
                <w:rFonts w:ascii="Calibri" w:hAnsi="Calibri"/>
                <w:color w:val="000000"/>
                <w:lang w:eastAsia="en-GB"/>
              </w:rPr>
            </w:pPr>
            <w:r>
              <w:rPr>
                <w:rFonts w:ascii="Calibri" w:hAnsi="Calibri"/>
                <w:color w:val="000000"/>
                <w:lang w:eastAsia="en-GB"/>
              </w:rPr>
              <w:t>1,288</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6EC5EF8F" w14:textId="28D58916" w:rsidR="00284C17" w:rsidRPr="006929BB" w:rsidRDefault="00284C17" w:rsidP="00284C17">
            <w:pPr>
              <w:rPr>
                <w:rFonts w:ascii="Calibri" w:hAnsi="Calibri"/>
                <w:color w:val="000000"/>
                <w:lang w:eastAsia="en-GB"/>
              </w:rPr>
            </w:pPr>
            <w:r w:rsidRPr="006929BB">
              <w:rPr>
                <w:rFonts w:ascii="Calibri" w:hAnsi="Calibri"/>
                <w:color w:val="000000"/>
                <w:lang w:eastAsia="en-GB"/>
              </w:rPr>
              <w:t>Leicestershire County Council</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3A843B28"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DDE5142" w14:textId="27172F7C" w:rsidR="00284C17" w:rsidRPr="006929BB" w:rsidRDefault="00284C17" w:rsidP="00284C17">
            <w:pPr>
              <w:jc w:val="right"/>
              <w:rPr>
                <w:rFonts w:ascii="Calibri" w:hAnsi="Calibri"/>
                <w:color w:val="000000"/>
                <w:lang w:eastAsia="en-GB"/>
              </w:rPr>
            </w:pPr>
            <w:r>
              <w:rPr>
                <w:rFonts w:ascii="Calibri" w:hAnsi="Calibri"/>
                <w:color w:val="000000"/>
                <w:lang w:eastAsia="en-GB"/>
              </w:rPr>
              <w:t>1,34</w:t>
            </w:r>
            <w:r w:rsidR="007F4F43">
              <w:rPr>
                <w:rFonts w:ascii="Calibri" w:hAnsi="Calibri"/>
                <w:color w:val="000000"/>
                <w:lang w:eastAsia="en-GB"/>
              </w:rPr>
              <w:t>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54E0481D" w14:textId="6326CDB1" w:rsidR="00284C17" w:rsidRPr="006929BB" w:rsidRDefault="00284C17" w:rsidP="00284C17">
            <w:pPr>
              <w:jc w:val="right"/>
              <w:rPr>
                <w:rFonts w:ascii="Calibri" w:hAnsi="Calibri"/>
                <w:color w:val="000000"/>
                <w:lang w:eastAsia="en-GB"/>
              </w:rPr>
            </w:pPr>
            <w:r>
              <w:rPr>
                <w:rFonts w:ascii="Calibri" w:hAnsi="Calibri"/>
                <w:color w:val="000000"/>
                <w:lang w:eastAsia="en-GB"/>
              </w:rPr>
              <w:t>1</w:t>
            </w:r>
            <w:r w:rsidR="007F4F43">
              <w:rPr>
                <w:rFonts w:ascii="Calibri" w:hAnsi="Calibri"/>
                <w:color w:val="000000"/>
                <w:lang w:eastAsia="en-GB"/>
              </w:rPr>
              <w:t>,</w:t>
            </w:r>
            <w:r>
              <w:rPr>
                <w:rFonts w:ascii="Calibri" w:hAnsi="Calibri"/>
                <w:color w:val="000000"/>
                <w:lang w:eastAsia="en-GB"/>
              </w:rPr>
              <w:t>34</w:t>
            </w:r>
            <w:r w:rsidR="007F4F43">
              <w:rPr>
                <w:rFonts w:ascii="Calibri" w:hAnsi="Calibri"/>
                <w:color w:val="000000"/>
                <w:lang w:eastAsia="en-GB"/>
              </w:rPr>
              <w:t>6</w:t>
            </w:r>
          </w:p>
        </w:tc>
      </w:tr>
      <w:tr w:rsidR="00284C17" w:rsidRPr="006929BB" w14:paraId="738FB130"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6DF2F2F6"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1C5FACBF" w14:textId="0F4AD703" w:rsidR="00284C17" w:rsidRPr="006929BB" w:rsidRDefault="00284C17" w:rsidP="00284C17">
            <w:pPr>
              <w:jc w:val="right"/>
              <w:rPr>
                <w:rFonts w:ascii="Calibri" w:hAnsi="Calibri"/>
                <w:color w:val="000000"/>
                <w:lang w:eastAsia="en-GB"/>
              </w:rPr>
            </w:pPr>
            <w:r>
              <w:rPr>
                <w:rFonts w:ascii="Calibri" w:hAnsi="Calibri"/>
                <w:color w:val="000000"/>
                <w:lang w:eastAsia="en-GB"/>
              </w:rPr>
              <w:t>5,726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1D72EC16" w14:textId="15ED35C7" w:rsidR="00284C17" w:rsidRPr="006929BB" w:rsidRDefault="00284C17" w:rsidP="00284C17">
            <w:pPr>
              <w:jc w:val="right"/>
              <w:rPr>
                <w:rFonts w:ascii="Calibri" w:hAnsi="Calibri"/>
                <w:color w:val="000000"/>
                <w:lang w:eastAsia="en-GB"/>
              </w:rPr>
            </w:pPr>
            <w:r>
              <w:rPr>
                <w:rFonts w:ascii="Calibri" w:hAnsi="Calibri"/>
                <w:color w:val="000000"/>
                <w:lang w:eastAsia="en-GB"/>
              </w:rPr>
              <w:t>5,726</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5CD7D385" w14:textId="28200C8F" w:rsidR="00284C17" w:rsidRPr="006929BB" w:rsidRDefault="00284C17" w:rsidP="00284C17">
            <w:pPr>
              <w:rPr>
                <w:rFonts w:ascii="Calibri" w:hAnsi="Calibri"/>
                <w:color w:val="000000"/>
                <w:lang w:eastAsia="en-GB"/>
              </w:rPr>
            </w:pPr>
            <w:r w:rsidRPr="006929BB">
              <w:rPr>
                <w:rFonts w:ascii="Calibri" w:hAnsi="Calibri"/>
                <w:color w:val="000000"/>
                <w:lang w:eastAsia="en-GB"/>
              </w:rPr>
              <w:t>Melton Borough Council</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5EDA72C0"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D711CFE" w14:textId="1EE68895" w:rsidR="00284C17" w:rsidRPr="006929BB" w:rsidRDefault="00284C17" w:rsidP="00284C17">
            <w:pPr>
              <w:jc w:val="right"/>
              <w:rPr>
                <w:rFonts w:ascii="Calibri" w:hAnsi="Calibri"/>
                <w:color w:val="000000"/>
                <w:lang w:eastAsia="en-GB"/>
              </w:rPr>
            </w:pPr>
            <w:r>
              <w:rPr>
                <w:rFonts w:ascii="Calibri" w:hAnsi="Calibri"/>
                <w:color w:val="000000"/>
                <w:lang w:eastAsia="en-GB"/>
              </w:rPr>
              <w:t>5,985</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77723607" w14:textId="62ADDAA3" w:rsidR="00284C17" w:rsidRPr="006929BB" w:rsidRDefault="00284C17" w:rsidP="00284C17">
            <w:pPr>
              <w:jc w:val="right"/>
              <w:rPr>
                <w:rFonts w:ascii="Calibri" w:hAnsi="Calibri"/>
                <w:color w:val="000000"/>
                <w:lang w:eastAsia="en-GB"/>
              </w:rPr>
            </w:pPr>
            <w:r>
              <w:rPr>
                <w:rFonts w:ascii="Calibri" w:hAnsi="Calibri"/>
                <w:color w:val="000000"/>
                <w:lang w:eastAsia="en-GB"/>
              </w:rPr>
              <w:t>5</w:t>
            </w:r>
            <w:r w:rsidR="007F4F43">
              <w:rPr>
                <w:rFonts w:ascii="Calibri" w:hAnsi="Calibri"/>
                <w:color w:val="000000"/>
                <w:lang w:eastAsia="en-GB"/>
              </w:rPr>
              <w:t>,</w:t>
            </w:r>
            <w:r>
              <w:rPr>
                <w:rFonts w:ascii="Calibri" w:hAnsi="Calibri"/>
                <w:color w:val="000000"/>
                <w:lang w:eastAsia="en-GB"/>
              </w:rPr>
              <w:t>985</w:t>
            </w:r>
          </w:p>
        </w:tc>
      </w:tr>
      <w:tr w:rsidR="00284C17" w:rsidRPr="006929BB" w14:paraId="4636EE3C"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6A8D6802"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4DDC1261" w14:textId="0C0E603E" w:rsidR="00284C17" w:rsidRPr="006929BB" w:rsidRDefault="00284C17" w:rsidP="00284C17">
            <w:pPr>
              <w:jc w:val="right"/>
              <w:rPr>
                <w:rFonts w:ascii="Calibri" w:hAnsi="Calibri"/>
                <w:color w:val="000000"/>
                <w:lang w:eastAsia="en-GB"/>
              </w:rPr>
            </w:pPr>
            <w:r>
              <w:rPr>
                <w:rFonts w:ascii="Calibri" w:hAnsi="Calibri"/>
                <w:color w:val="000000"/>
                <w:lang w:eastAsia="en-GB"/>
              </w:rPr>
              <w:t>143</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0EBA0488" w14:textId="2F43BC80" w:rsidR="00284C17" w:rsidRPr="006929BB" w:rsidRDefault="00284C17" w:rsidP="00284C17">
            <w:pPr>
              <w:jc w:val="right"/>
              <w:rPr>
                <w:rFonts w:ascii="Calibri" w:hAnsi="Calibri"/>
                <w:color w:val="000000"/>
                <w:lang w:eastAsia="en-GB"/>
              </w:rPr>
            </w:pPr>
            <w:r>
              <w:rPr>
                <w:rFonts w:ascii="Calibri" w:hAnsi="Calibri"/>
                <w:color w:val="000000"/>
                <w:lang w:eastAsia="en-GB"/>
              </w:rPr>
              <w:t>143</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114CA176" w14:textId="5B2AD6C6" w:rsidR="00284C17" w:rsidRPr="006929BB" w:rsidRDefault="00284C17" w:rsidP="00284C17">
            <w:pPr>
              <w:rPr>
                <w:rFonts w:ascii="Calibri" w:hAnsi="Calibri"/>
                <w:color w:val="000000"/>
                <w:lang w:eastAsia="en-GB"/>
              </w:rPr>
            </w:pPr>
            <w:r w:rsidRPr="006929BB">
              <w:rPr>
                <w:rFonts w:ascii="Calibri" w:hAnsi="Calibri"/>
                <w:color w:val="000000"/>
                <w:lang w:eastAsia="en-GB"/>
              </w:rPr>
              <w:t>Combined Fire Authority</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43DAED5B"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40D08C75" w14:textId="580A9B25" w:rsidR="00284C17" w:rsidRPr="006929BB" w:rsidRDefault="00284C17" w:rsidP="00284C17">
            <w:pPr>
              <w:jc w:val="right"/>
              <w:rPr>
                <w:rFonts w:ascii="Calibri" w:hAnsi="Calibri"/>
                <w:color w:val="000000"/>
                <w:lang w:eastAsia="en-GB"/>
              </w:rPr>
            </w:pPr>
            <w:r>
              <w:rPr>
                <w:rFonts w:ascii="Calibri" w:hAnsi="Calibri"/>
                <w:color w:val="000000"/>
                <w:lang w:eastAsia="en-GB"/>
              </w:rPr>
              <w:t>150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BA93A86" w14:textId="3D4ECEEF" w:rsidR="00284C17" w:rsidRPr="006929BB" w:rsidRDefault="00284C17" w:rsidP="00284C17">
            <w:pPr>
              <w:jc w:val="right"/>
              <w:rPr>
                <w:rFonts w:ascii="Calibri" w:hAnsi="Calibri"/>
                <w:color w:val="000000"/>
                <w:lang w:eastAsia="en-GB"/>
              </w:rPr>
            </w:pPr>
            <w:r>
              <w:rPr>
                <w:rFonts w:ascii="Calibri" w:hAnsi="Calibri"/>
                <w:color w:val="000000"/>
                <w:lang w:eastAsia="en-GB"/>
              </w:rPr>
              <w:t>150</w:t>
            </w:r>
          </w:p>
        </w:tc>
      </w:tr>
      <w:tr w:rsidR="00284C17" w:rsidRPr="006929BB" w14:paraId="0FC44967"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445E5F8B"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738438FA" w14:textId="3F0DBDE9" w:rsidR="00284C17" w:rsidRPr="006929BB" w:rsidRDefault="00284C17" w:rsidP="00284C17">
            <w:pPr>
              <w:jc w:val="right"/>
              <w:rPr>
                <w:rFonts w:ascii="Calibri" w:hAnsi="Calibri"/>
                <w:color w:val="000000"/>
                <w:lang w:eastAsia="en-GB"/>
              </w:rPr>
            </w:pPr>
            <w:r>
              <w:rPr>
                <w:rFonts w:ascii="Calibri" w:hAnsi="Calibri"/>
                <w:color w:val="000000"/>
                <w:lang w:eastAsia="en-GB"/>
              </w:rPr>
              <w:t>7,157</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328AB4B9" w14:textId="5B650D58" w:rsidR="00284C17" w:rsidRPr="006929BB" w:rsidRDefault="00284C17" w:rsidP="00284C17">
            <w:pPr>
              <w:jc w:val="right"/>
              <w:rPr>
                <w:rFonts w:ascii="Calibri" w:hAnsi="Calibri"/>
                <w:color w:val="000000"/>
                <w:lang w:eastAsia="en-GB"/>
              </w:rPr>
            </w:pPr>
            <w:r>
              <w:rPr>
                <w:rFonts w:ascii="Calibri" w:hAnsi="Calibri"/>
                <w:color w:val="000000"/>
                <w:lang w:eastAsia="en-GB"/>
              </w:rPr>
              <w:t>7,157</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0E43F840"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Payment with respect to central share</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609756F6"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28EFFF8C" w14:textId="0D12724E" w:rsidR="00284C17" w:rsidRPr="006929BB" w:rsidRDefault="00284C17" w:rsidP="00284C17">
            <w:pPr>
              <w:jc w:val="right"/>
              <w:rPr>
                <w:rFonts w:ascii="Calibri" w:hAnsi="Calibri"/>
                <w:color w:val="000000"/>
                <w:lang w:eastAsia="en-GB"/>
              </w:rPr>
            </w:pPr>
            <w:r>
              <w:rPr>
                <w:rFonts w:ascii="Calibri" w:hAnsi="Calibri"/>
                <w:color w:val="000000"/>
                <w:lang w:eastAsia="en-GB"/>
              </w:rPr>
              <w:t>7,481</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A2B7215" w14:textId="42A9892A" w:rsidR="00284C17" w:rsidRPr="006929BB" w:rsidRDefault="00284C17" w:rsidP="00284C17">
            <w:pPr>
              <w:jc w:val="right"/>
              <w:rPr>
                <w:rFonts w:ascii="Calibri" w:hAnsi="Calibri"/>
                <w:color w:val="000000"/>
                <w:lang w:eastAsia="en-GB"/>
              </w:rPr>
            </w:pPr>
            <w:r>
              <w:rPr>
                <w:rFonts w:ascii="Calibri" w:hAnsi="Calibri"/>
                <w:color w:val="000000"/>
                <w:lang w:eastAsia="en-GB"/>
              </w:rPr>
              <w:t>7</w:t>
            </w:r>
            <w:r w:rsidR="007F4F43">
              <w:rPr>
                <w:rFonts w:ascii="Calibri" w:hAnsi="Calibri"/>
                <w:color w:val="000000"/>
                <w:lang w:eastAsia="en-GB"/>
              </w:rPr>
              <w:t>,</w:t>
            </w:r>
            <w:r>
              <w:rPr>
                <w:rFonts w:ascii="Calibri" w:hAnsi="Calibri"/>
                <w:color w:val="000000"/>
                <w:lang w:eastAsia="en-GB"/>
              </w:rPr>
              <w:t>481</w:t>
            </w:r>
          </w:p>
        </w:tc>
      </w:tr>
      <w:tr w:rsidR="00284C17" w:rsidRPr="006929BB" w14:paraId="515C6A67"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tcPr>
          <w:p w14:paraId="7840A99D"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63B7EAE3" w14:textId="271C5593" w:rsidR="00284C17" w:rsidRPr="006929BB" w:rsidRDefault="00284C17" w:rsidP="00284C17">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1BAF43D" w14:textId="4EBDC0A2" w:rsidR="00284C17" w:rsidRPr="006929BB" w:rsidRDefault="00284C17" w:rsidP="00284C17">
            <w:pPr>
              <w:jc w:val="right"/>
              <w:rPr>
                <w:rFonts w:ascii="Calibri" w:hAnsi="Calibri"/>
                <w:color w:val="000000"/>
                <w:lang w:eastAsia="en-GB"/>
              </w:rPr>
            </w:pPr>
            <w:r>
              <w:rPr>
                <w:rFonts w:ascii="Calibri" w:hAnsi="Calibri"/>
                <w:color w:val="000000"/>
                <w:lang w:eastAsia="en-GB"/>
              </w:rPr>
              <w:t>0</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1C387F9C"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Transitional protection payments receivable</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3E844708"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73A5E30E" w14:textId="7FD8DD5B" w:rsidR="00284C17" w:rsidRPr="006929BB" w:rsidRDefault="00284C17" w:rsidP="00284C17">
            <w:pPr>
              <w:jc w:val="right"/>
              <w:rPr>
                <w:rFonts w:ascii="Calibri" w:hAnsi="Calibri"/>
                <w:color w:val="000000"/>
                <w:lang w:eastAsia="en-GB"/>
              </w:rPr>
            </w:pPr>
            <w:r>
              <w:rPr>
                <w:rFonts w:ascii="Calibri" w:hAnsi="Calibri"/>
                <w:color w:val="000000"/>
                <w:lang w:eastAsia="en-GB"/>
              </w:rPr>
              <w:t>1</w:t>
            </w:r>
            <w:r w:rsidR="007F4F43">
              <w:rPr>
                <w:rFonts w:ascii="Calibri" w:hAnsi="Calibri"/>
                <w:color w:val="000000"/>
                <w:lang w:eastAsia="en-GB"/>
              </w:rPr>
              <w:t>5</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3E049888" w14:textId="4639A589" w:rsidR="00284C17" w:rsidRPr="006929BB" w:rsidRDefault="00284C17" w:rsidP="00284C17">
            <w:pPr>
              <w:jc w:val="right"/>
              <w:rPr>
                <w:rFonts w:ascii="Calibri" w:hAnsi="Calibri"/>
                <w:color w:val="000000"/>
                <w:lang w:eastAsia="en-GB"/>
              </w:rPr>
            </w:pPr>
            <w:r>
              <w:rPr>
                <w:rFonts w:ascii="Calibri" w:hAnsi="Calibri"/>
                <w:color w:val="000000"/>
                <w:lang w:eastAsia="en-GB"/>
              </w:rPr>
              <w:t>1</w:t>
            </w:r>
            <w:r w:rsidR="007F4F43">
              <w:rPr>
                <w:rFonts w:ascii="Calibri" w:hAnsi="Calibri"/>
                <w:color w:val="000000"/>
                <w:lang w:eastAsia="en-GB"/>
              </w:rPr>
              <w:t>5</w:t>
            </w:r>
          </w:p>
        </w:tc>
      </w:tr>
      <w:tr w:rsidR="00284C17" w:rsidRPr="006929BB" w14:paraId="11817AE8"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tcPr>
          <w:p w14:paraId="616AD8D1" w14:textId="77777777" w:rsidR="00284C17" w:rsidRPr="006929BB" w:rsidRDefault="00284C17" w:rsidP="00284C17">
            <w:pPr>
              <w:jc w:val="right"/>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5B0CBD3D" w14:textId="0D3B7667" w:rsidR="00284C17" w:rsidRPr="006929BB" w:rsidRDefault="00284C17" w:rsidP="00284C17">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2C4BBE8" w14:textId="6093F49F" w:rsidR="00284C17" w:rsidRPr="006929BB" w:rsidRDefault="00284C17" w:rsidP="00284C17">
            <w:pPr>
              <w:jc w:val="right"/>
              <w:rPr>
                <w:rFonts w:ascii="Calibri" w:hAnsi="Calibri"/>
                <w:color w:val="000000"/>
                <w:lang w:eastAsia="en-GB"/>
              </w:rPr>
            </w:pPr>
            <w:r>
              <w:rPr>
                <w:rFonts w:ascii="Calibri" w:hAnsi="Calibri"/>
                <w:color w:val="000000"/>
                <w:lang w:eastAsia="en-GB"/>
              </w:rPr>
              <w:t>0</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20697898"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Distribution of previous year's estimate surplus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0944135F" w14:textId="77777777" w:rsidR="00284C17" w:rsidRPr="006929BB" w:rsidRDefault="00284C17" w:rsidP="00284C17">
            <w:pPr>
              <w:jc w:val="right"/>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13A7E72D" w14:textId="4F586DA4" w:rsidR="00284C17" w:rsidRPr="006929BB" w:rsidRDefault="001B4D9E" w:rsidP="00284C17">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B5C5DA6" w14:textId="27D00B87" w:rsidR="00284C17" w:rsidRPr="006929BB" w:rsidRDefault="00284C17" w:rsidP="00284C17">
            <w:pPr>
              <w:jc w:val="right"/>
              <w:rPr>
                <w:rFonts w:ascii="Calibri" w:hAnsi="Calibri"/>
                <w:color w:val="000000"/>
                <w:lang w:eastAsia="en-GB"/>
              </w:rPr>
            </w:pPr>
          </w:p>
        </w:tc>
      </w:tr>
      <w:tr w:rsidR="00284C17" w:rsidRPr="006929BB" w14:paraId="5217B8EF" w14:textId="77777777" w:rsidTr="00AD168A">
        <w:trPr>
          <w:trHeight w:val="300"/>
        </w:trPr>
        <w:tc>
          <w:tcPr>
            <w:tcW w:w="960" w:type="dxa"/>
            <w:tcBorders>
              <w:top w:val="nil"/>
              <w:left w:val="single" w:sz="4" w:space="0" w:color="FFFFFF"/>
              <w:bottom w:val="single" w:sz="4" w:space="0" w:color="FFFFFF"/>
              <w:right w:val="nil"/>
            </w:tcBorders>
            <w:shd w:val="clear" w:color="auto" w:fill="8DB3E2" w:themeFill="text2" w:themeFillTint="66"/>
            <w:noWrap/>
            <w:vAlign w:val="center"/>
            <w:hideMark/>
          </w:tcPr>
          <w:p w14:paraId="2F54C257"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center"/>
            <w:hideMark/>
          </w:tcPr>
          <w:p w14:paraId="61B055F3"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center"/>
            <w:hideMark/>
          </w:tcPr>
          <w:p w14:paraId="44DE3D05" w14:textId="77777777" w:rsidR="00284C17" w:rsidRPr="006929BB" w:rsidRDefault="00284C17" w:rsidP="00284C17">
            <w:pPr>
              <w:jc w:val="right"/>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1CD7B851"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Disregarded Amounts:</w:t>
            </w:r>
          </w:p>
        </w:tc>
        <w:tc>
          <w:tcPr>
            <w:tcW w:w="960" w:type="dxa"/>
            <w:tcBorders>
              <w:top w:val="nil"/>
              <w:left w:val="nil"/>
              <w:bottom w:val="single" w:sz="4" w:space="0" w:color="FFFFFF"/>
              <w:right w:val="nil"/>
            </w:tcBorders>
            <w:shd w:val="clear" w:color="auto" w:fill="8DB3E2" w:themeFill="text2" w:themeFillTint="66"/>
            <w:noWrap/>
            <w:vAlign w:val="center"/>
          </w:tcPr>
          <w:p w14:paraId="1AC6CA8D"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nil"/>
            </w:tcBorders>
            <w:shd w:val="clear" w:color="auto" w:fill="8DB3E2" w:themeFill="text2" w:themeFillTint="66"/>
            <w:noWrap/>
            <w:vAlign w:val="center"/>
          </w:tcPr>
          <w:p w14:paraId="575555DE"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7FCC0CE5" w14:textId="77777777" w:rsidR="00284C17" w:rsidRPr="006929BB" w:rsidRDefault="00284C17" w:rsidP="00284C17">
            <w:pPr>
              <w:rPr>
                <w:rFonts w:ascii="Calibri" w:hAnsi="Calibri"/>
                <w:color w:val="000000"/>
                <w:lang w:eastAsia="en-GB"/>
              </w:rPr>
            </w:pPr>
          </w:p>
        </w:tc>
      </w:tr>
      <w:tr w:rsidR="00284C17" w:rsidRPr="006929BB" w14:paraId="1E40C7AA"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731E7985"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7328D534" w14:textId="1831E879" w:rsidR="00284C17" w:rsidRPr="006929BB" w:rsidRDefault="00284C17" w:rsidP="00284C17">
            <w:pPr>
              <w:jc w:val="right"/>
              <w:rPr>
                <w:rFonts w:ascii="Calibri" w:hAnsi="Calibri"/>
                <w:color w:val="000000"/>
                <w:lang w:eastAsia="en-GB"/>
              </w:rPr>
            </w:pPr>
            <w:r>
              <w:rPr>
                <w:rFonts w:ascii="Calibri" w:hAnsi="Calibri"/>
                <w:color w:val="000000"/>
                <w:lang w:eastAsia="en-GB"/>
              </w:rPr>
              <w:t>539</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00882FB2" w14:textId="4BFD44D6" w:rsidR="00284C17" w:rsidRPr="006929BB" w:rsidRDefault="00284C17" w:rsidP="00284C17">
            <w:pPr>
              <w:jc w:val="right"/>
              <w:rPr>
                <w:rFonts w:ascii="Calibri" w:hAnsi="Calibri"/>
                <w:color w:val="000000"/>
                <w:lang w:eastAsia="en-GB"/>
              </w:rPr>
            </w:pPr>
            <w:r>
              <w:rPr>
                <w:rFonts w:ascii="Calibri" w:hAnsi="Calibri"/>
                <w:color w:val="000000"/>
                <w:lang w:eastAsia="en-GB"/>
              </w:rPr>
              <w:t>539</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039A6043"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Renewable Energy</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546B9E57"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3FA65731" w14:textId="32407F27" w:rsidR="00284C17" w:rsidRPr="006929BB" w:rsidRDefault="00284C17" w:rsidP="00284C17">
            <w:pPr>
              <w:jc w:val="right"/>
              <w:rPr>
                <w:rFonts w:ascii="Calibri" w:hAnsi="Calibri"/>
                <w:color w:val="000000"/>
                <w:lang w:eastAsia="en-GB"/>
              </w:rPr>
            </w:pPr>
            <w:r>
              <w:rPr>
                <w:rFonts w:ascii="Calibri" w:hAnsi="Calibri"/>
                <w:color w:val="000000"/>
                <w:lang w:eastAsia="en-GB"/>
              </w:rPr>
              <w:t>235</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6B6BB662" w14:textId="0D9A675E" w:rsidR="00284C17" w:rsidRPr="006929BB" w:rsidRDefault="00284C17" w:rsidP="00284C17">
            <w:pPr>
              <w:jc w:val="right"/>
              <w:rPr>
                <w:rFonts w:ascii="Calibri" w:hAnsi="Calibri"/>
                <w:color w:val="000000"/>
                <w:lang w:eastAsia="en-GB"/>
              </w:rPr>
            </w:pPr>
            <w:r>
              <w:rPr>
                <w:rFonts w:ascii="Calibri" w:hAnsi="Calibri"/>
                <w:color w:val="000000"/>
                <w:lang w:eastAsia="en-GB"/>
              </w:rPr>
              <w:t>235</w:t>
            </w:r>
          </w:p>
        </w:tc>
      </w:tr>
      <w:tr w:rsidR="00284C17" w:rsidRPr="006929BB" w14:paraId="1E5E147C" w14:textId="77777777" w:rsidTr="00AD168A">
        <w:trPr>
          <w:trHeight w:val="300"/>
        </w:trPr>
        <w:tc>
          <w:tcPr>
            <w:tcW w:w="960" w:type="dxa"/>
            <w:tcBorders>
              <w:top w:val="nil"/>
              <w:left w:val="single" w:sz="4" w:space="0" w:color="FFFFFF"/>
              <w:bottom w:val="single" w:sz="4" w:space="0" w:color="FFFFFF"/>
              <w:right w:val="nil"/>
            </w:tcBorders>
            <w:shd w:val="clear" w:color="auto" w:fill="8DB3E2" w:themeFill="text2" w:themeFillTint="66"/>
            <w:noWrap/>
            <w:vAlign w:val="bottom"/>
            <w:hideMark/>
          </w:tcPr>
          <w:p w14:paraId="36387430"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nil"/>
            </w:tcBorders>
            <w:shd w:val="clear" w:color="auto" w:fill="8DB3E2" w:themeFill="text2" w:themeFillTint="66"/>
            <w:noWrap/>
            <w:vAlign w:val="bottom"/>
            <w:hideMark/>
          </w:tcPr>
          <w:p w14:paraId="2ECE2E74"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60" w:type="dxa"/>
            <w:tcBorders>
              <w:top w:val="nil"/>
              <w:left w:val="nil"/>
              <w:bottom w:val="single" w:sz="4" w:space="0" w:color="FFFFFF"/>
              <w:right w:val="nil"/>
            </w:tcBorders>
            <w:shd w:val="clear" w:color="auto" w:fill="8DB3E2" w:themeFill="text2" w:themeFillTint="66"/>
            <w:noWrap/>
            <w:vAlign w:val="bottom"/>
            <w:hideMark/>
          </w:tcPr>
          <w:p w14:paraId="36D8E9E3"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4800" w:type="dxa"/>
            <w:tcBorders>
              <w:top w:val="nil"/>
              <w:left w:val="nil"/>
              <w:bottom w:val="single" w:sz="4" w:space="0" w:color="FFFFFF"/>
              <w:right w:val="nil"/>
            </w:tcBorders>
            <w:shd w:val="clear" w:color="auto" w:fill="8DB3E2" w:themeFill="text2" w:themeFillTint="66"/>
            <w:vAlign w:val="center"/>
            <w:hideMark/>
          </w:tcPr>
          <w:p w14:paraId="3A9189D3"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Impairments of Debts/appeals:</w:t>
            </w:r>
          </w:p>
        </w:tc>
        <w:tc>
          <w:tcPr>
            <w:tcW w:w="960" w:type="dxa"/>
            <w:tcBorders>
              <w:top w:val="nil"/>
              <w:left w:val="nil"/>
              <w:bottom w:val="single" w:sz="4" w:space="0" w:color="FFFFFF"/>
              <w:right w:val="nil"/>
            </w:tcBorders>
            <w:shd w:val="clear" w:color="auto" w:fill="8DB3E2" w:themeFill="text2" w:themeFillTint="66"/>
            <w:noWrap/>
            <w:vAlign w:val="center"/>
          </w:tcPr>
          <w:p w14:paraId="7C612DC1"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nil"/>
            </w:tcBorders>
            <w:shd w:val="clear" w:color="auto" w:fill="8DB3E2" w:themeFill="text2" w:themeFillTint="66"/>
            <w:noWrap/>
            <w:vAlign w:val="center"/>
          </w:tcPr>
          <w:p w14:paraId="3725379B" w14:textId="77777777" w:rsidR="00284C17" w:rsidRPr="006929BB" w:rsidRDefault="00284C17" w:rsidP="00284C17">
            <w:pPr>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9D2FDC4" w14:textId="77777777" w:rsidR="00284C17" w:rsidRPr="006929BB" w:rsidRDefault="00284C17" w:rsidP="00284C17">
            <w:pPr>
              <w:rPr>
                <w:rFonts w:ascii="Calibri" w:hAnsi="Calibri"/>
                <w:color w:val="000000"/>
                <w:lang w:eastAsia="en-GB"/>
              </w:rPr>
            </w:pPr>
          </w:p>
        </w:tc>
      </w:tr>
      <w:tr w:rsidR="00463536" w:rsidRPr="006929BB" w14:paraId="4102EDEC"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tcPr>
          <w:p w14:paraId="13D02B26" w14:textId="77777777" w:rsidR="00463536" w:rsidRDefault="00463536" w:rsidP="00284C17">
            <w:pPr>
              <w:jc w:val="right"/>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341401CF" w14:textId="290E322D" w:rsidR="00463536" w:rsidRPr="006929BB" w:rsidRDefault="00463536" w:rsidP="00284C17">
            <w:pPr>
              <w:jc w:val="right"/>
              <w:rPr>
                <w:rFonts w:ascii="Calibri" w:hAnsi="Calibri"/>
                <w:color w:val="000000"/>
                <w:lang w:eastAsia="en-GB"/>
              </w:rPr>
            </w:pPr>
            <w:r>
              <w:rPr>
                <w:rFonts w:ascii="Calibri" w:hAnsi="Calibri"/>
                <w:color w:val="000000"/>
                <w:lang w:eastAsia="en-GB"/>
              </w:rPr>
              <w:t>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7E963418" w14:textId="20A7B41A" w:rsidR="00463536" w:rsidRDefault="00463536" w:rsidP="00284C17">
            <w:pPr>
              <w:jc w:val="right"/>
              <w:rPr>
                <w:rFonts w:ascii="Calibri" w:hAnsi="Calibri"/>
                <w:color w:val="000000"/>
                <w:lang w:eastAsia="en-GB"/>
              </w:rPr>
            </w:pPr>
            <w:r>
              <w:rPr>
                <w:rFonts w:ascii="Calibri" w:hAnsi="Calibri"/>
                <w:color w:val="000000"/>
                <w:lang w:eastAsia="en-GB"/>
              </w:rPr>
              <w:t>0</w:t>
            </w:r>
          </w:p>
        </w:tc>
        <w:tc>
          <w:tcPr>
            <w:tcW w:w="4800" w:type="dxa"/>
            <w:tcBorders>
              <w:top w:val="nil"/>
              <w:left w:val="nil"/>
              <w:bottom w:val="single" w:sz="4" w:space="0" w:color="FFFFFF"/>
              <w:right w:val="single" w:sz="4" w:space="0" w:color="FFFFFF"/>
            </w:tcBorders>
            <w:shd w:val="clear" w:color="auto" w:fill="C6D9F1" w:themeFill="text2" w:themeFillTint="33"/>
            <w:vAlign w:val="center"/>
          </w:tcPr>
          <w:p w14:paraId="63596B03" w14:textId="29E536C9" w:rsidR="00463536" w:rsidRPr="006929BB" w:rsidRDefault="00463536" w:rsidP="00284C17">
            <w:pPr>
              <w:rPr>
                <w:rFonts w:ascii="Calibri" w:hAnsi="Calibri"/>
                <w:color w:val="000000"/>
                <w:lang w:eastAsia="en-GB"/>
              </w:rPr>
            </w:pPr>
            <w:r w:rsidRPr="006929BB">
              <w:rPr>
                <w:rFonts w:ascii="Calibri" w:hAnsi="Calibri"/>
                <w:color w:val="000000"/>
                <w:lang w:eastAsia="en-GB"/>
              </w:rPr>
              <w:t>Distribution of previous year's estimate surplus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786B3A50" w14:textId="6A160E98" w:rsidR="00463536" w:rsidRDefault="00463536" w:rsidP="00284C17">
            <w:pPr>
              <w:jc w:val="right"/>
              <w:rPr>
                <w:rFonts w:ascii="Calibri" w:hAnsi="Calibri"/>
                <w:color w:val="000000"/>
                <w:lang w:eastAsia="en-GB"/>
              </w:rPr>
            </w:pPr>
            <w:r>
              <w:rPr>
                <w:rFonts w:ascii="Calibri" w:hAnsi="Calibri"/>
                <w:color w:val="000000"/>
                <w:lang w:eastAsia="en-GB"/>
              </w:rPr>
              <w:t>221</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44A9024D" w14:textId="77777777" w:rsidR="00463536" w:rsidRPr="006929BB" w:rsidRDefault="00463536" w:rsidP="00284C17">
            <w:pPr>
              <w:jc w:val="right"/>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2CA2BE6" w14:textId="75DC8CB0" w:rsidR="00463536" w:rsidRDefault="00463536" w:rsidP="00284C17">
            <w:pPr>
              <w:jc w:val="right"/>
              <w:rPr>
                <w:rFonts w:ascii="Calibri" w:hAnsi="Calibri"/>
                <w:color w:val="000000"/>
                <w:lang w:eastAsia="en-GB"/>
              </w:rPr>
            </w:pPr>
            <w:r>
              <w:rPr>
                <w:rFonts w:ascii="Calibri" w:hAnsi="Calibri"/>
                <w:color w:val="000000"/>
                <w:lang w:eastAsia="en-GB"/>
              </w:rPr>
              <w:t>221</w:t>
            </w:r>
          </w:p>
        </w:tc>
      </w:tr>
      <w:tr w:rsidR="00284C17" w:rsidRPr="006929BB" w14:paraId="651BFBEF"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1A448914" w14:textId="60A8CF3E" w:rsidR="00284C17" w:rsidRPr="006929BB" w:rsidRDefault="00284C17" w:rsidP="00284C17">
            <w:pPr>
              <w:jc w:val="right"/>
              <w:rPr>
                <w:rFonts w:ascii="Calibri" w:hAnsi="Calibri"/>
                <w:color w:val="000000"/>
                <w:lang w:eastAsia="en-GB"/>
              </w:rPr>
            </w:pPr>
            <w:r>
              <w:rPr>
                <w:rFonts w:ascii="Calibri" w:hAnsi="Calibri"/>
                <w:color w:val="000000"/>
                <w:lang w:eastAsia="en-GB"/>
              </w:rPr>
              <w:t>77</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524B884D" w14:textId="77777777" w:rsidR="00284C17" w:rsidRPr="006929BB" w:rsidRDefault="00284C17" w:rsidP="00284C17">
            <w:pPr>
              <w:jc w:val="right"/>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36B8C91D" w14:textId="79C929B6" w:rsidR="00284C17" w:rsidRPr="006929BB" w:rsidRDefault="00284C17" w:rsidP="00284C17">
            <w:pPr>
              <w:jc w:val="right"/>
              <w:rPr>
                <w:rFonts w:ascii="Calibri" w:hAnsi="Calibri"/>
                <w:color w:val="000000"/>
                <w:lang w:eastAsia="en-GB"/>
              </w:rPr>
            </w:pPr>
            <w:r>
              <w:rPr>
                <w:rFonts w:ascii="Calibri" w:hAnsi="Calibri"/>
                <w:color w:val="000000"/>
                <w:lang w:eastAsia="en-GB"/>
              </w:rPr>
              <w:t>77</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6A0840E3" w14:textId="5E99CB4D" w:rsidR="00284C17" w:rsidRPr="006929BB" w:rsidRDefault="00284C17" w:rsidP="00284C17">
            <w:pPr>
              <w:rPr>
                <w:rFonts w:ascii="Calibri" w:hAnsi="Calibri"/>
                <w:color w:val="000000"/>
                <w:lang w:eastAsia="en-GB"/>
              </w:rPr>
            </w:pPr>
            <w:r w:rsidRPr="006929BB">
              <w:rPr>
                <w:rFonts w:ascii="Calibri" w:hAnsi="Calibri"/>
                <w:color w:val="000000"/>
                <w:lang w:eastAsia="en-GB"/>
              </w:rPr>
              <w:t>Write-offs or uncollectable amounts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59AE3F1F" w14:textId="613E429C" w:rsidR="00284C17" w:rsidRPr="006929BB" w:rsidRDefault="00284C17" w:rsidP="00284C17">
            <w:pPr>
              <w:jc w:val="right"/>
              <w:rPr>
                <w:rFonts w:ascii="Calibri" w:hAnsi="Calibri"/>
                <w:color w:val="000000"/>
                <w:lang w:eastAsia="en-GB"/>
              </w:rPr>
            </w:pPr>
            <w:r>
              <w:rPr>
                <w:rFonts w:ascii="Calibri" w:hAnsi="Calibri"/>
                <w:color w:val="000000"/>
                <w:lang w:eastAsia="en-GB"/>
              </w:rPr>
              <w:t>131</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0CB86F5E" w14:textId="6B8D715A" w:rsidR="00284C17" w:rsidRPr="006929BB" w:rsidRDefault="00284C17" w:rsidP="00284C17">
            <w:pPr>
              <w:jc w:val="right"/>
              <w:rPr>
                <w:rFonts w:ascii="Calibri" w:hAnsi="Calibri"/>
                <w:color w:val="000000"/>
                <w:lang w:eastAsia="en-GB"/>
              </w:rPr>
            </w:pP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A951A3B" w14:textId="3C5015EF" w:rsidR="00284C17" w:rsidRPr="006929BB" w:rsidRDefault="00284C17" w:rsidP="00284C17">
            <w:pPr>
              <w:jc w:val="right"/>
              <w:rPr>
                <w:rFonts w:ascii="Calibri" w:hAnsi="Calibri"/>
                <w:color w:val="000000"/>
                <w:lang w:eastAsia="en-GB"/>
              </w:rPr>
            </w:pPr>
            <w:r>
              <w:rPr>
                <w:rFonts w:ascii="Calibri" w:hAnsi="Calibri"/>
                <w:color w:val="000000"/>
                <w:lang w:eastAsia="en-GB"/>
              </w:rPr>
              <w:t>131</w:t>
            </w:r>
          </w:p>
        </w:tc>
      </w:tr>
      <w:tr w:rsidR="00284C17" w:rsidRPr="006929BB" w14:paraId="0CC537E3"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center"/>
            <w:hideMark/>
          </w:tcPr>
          <w:p w14:paraId="7D9CE9FF" w14:textId="2F94254D" w:rsidR="00284C17" w:rsidRPr="006929BB" w:rsidRDefault="00284C17" w:rsidP="00284C17">
            <w:pPr>
              <w:jc w:val="right"/>
              <w:rPr>
                <w:rFonts w:ascii="Calibri" w:hAnsi="Calibri"/>
                <w:color w:val="000000"/>
                <w:lang w:eastAsia="en-GB"/>
              </w:rPr>
            </w:pPr>
            <w:r>
              <w:rPr>
                <w:rFonts w:ascii="Calibri" w:hAnsi="Calibri"/>
                <w:color w:val="000000"/>
                <w:lang w:eastAsia="en-GB"/>
              </w:rPr>
              <w:t>67</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07C9C43E" w14:textId="2C538393" w:rsidR="00284C17" w:rsidRPr="006929BB" w:rsidRDefault="00284C17" w:rsidP="00284C17">
            <w:pPr>
              <w:jc w:val="right"/>
              <w:rPr>
                <w:rFonts w:ascii="Calibri" w:hAnsi="Calibri"/>
                <w:color w:val="000000"/>
                <w:lang w:eastAsia="en-GB"/>
              </w:rPr>
            </w:pPr>
            <w:r>
              <w:rPr>
                <w:rFonts w:ascii="Calibri" w:hAnsi="Calibri"/>
                <w:color w:val="000000"/>
                <w:lang w:eastAsia="en-GB"/>
              </w:rPr>
              <w:t>96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627A2183" w14:textId="0AFBAE77" w:rsidR="00284C17" w:rsidRPr="006929BB" w:rsidRDefault="00284C17" w:rsidP="00284C17">
            <w:pPr>
              <w:jc w:val="right"/>
              <w:rPr>
                <w:rFonts w:ascii="Calibri" w:hAnsi="Calibri"/>
                <w:color w:val="000000"/>
                <w:lang w:eastAsia="en-GB"/>
              </w:rPr>
            </w:pPr>
            <w:r>
              <w:rPr>
                <w:rFonts w:ascii="Calibri" w:hAnsi="Calibri"/>
                <w:color w:val="000000"/>
                <w:lang w:eastAsia="en-GB"/>
              </w:rPr>
              <w:t>163</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02649821" w14:textId="3ABB5709" w:rsidR="00284C17" w:rsidRPr="006929BB" w:rsidRDefault="00284C17" w:rsidP="00284C17">
            <w:pPr>
              <w:rPr>
                <w:rFonts w:ascii="Calibri" w:hAnsi="Calibri"/>
                <w:color w:val="000000"/>
                <w:lang w:eastAsia="en-GB"/>
              </w:rPr>
            </w:pPr>
            <w:r w:rsidRPr="006929BB">
              <w:rPr>
                <w:rFonts w:ascii="Calibri" w:hAnsi="Calibri"/>
                <w:color w:val="000000"/>
                <w:lang w:eastAsia="en-GB"/>
              </w:rPr>
              <w:t>Allowance for impairment</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682CCEED" w14:textId="7E69A96B" w:rsidR="00284C17" w:rsidRPr="006929BB" w:rsidRDefault="00284C17" w:rsidP="00284C17">
            <w:pPr>
              <w:jc w:val="right"/>
              <w:rPr>
                <w:rFonts w:ascii="Calibri" w:hAnsi="Calibri"/>
                <w:color w:val="000000"/>
                <w:lang w:eastAsia="en-GB"/>
              </w:rPr>
            </w:pPr>
            <w:r>
              <w:rPr>
                <w:rFonts w:ascii="Calibri" w:hAnsi="Calibri"/>
                <w:color w:val="000000"/>
                <w:lang w:eastAsia="en-GB"/>
              </w:rPr>
              <w:t>125</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1A0B48FF" w14:textId="70C2CA98" w:rsidR="00284C17" w:rsidRPr="006929BB" w:rsidRDefault="00284C17" w:rsidP="00284C17">
            <w:pPr>
              <w:jc w:val="right"/>
              <w:rPr>
                <w:rFonts w:ascii="Calibri" w:hAnsi="Calibri"/>
                <w:color w:val="000000"/>
                <w:lang w:eastAsia="en-GB"/>
              </w:rPr>
            </w:pPr>
            <w:r>
              <w:rPr>
                <w:rFonts w:ascii="Calibri" w:hAnsi="Calibri"/>
                <w:color w:val="000000"/>
                <w:lang w:eastAsia="en-GB"/>
              </w:rPr>
              <w:t>66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3DFC2286" w14:textId="3B774E03" w:rsidR="00284C17" w:rsidRPr="006929BB" w:rsidRDefault="00284C17" w:rsidP="00284C17">
            <w:pPr>
              <w:jc w:val="right"/>
              <w:rPr>
                <w:rFonts w:ascii="Calibri" w:hAnsi="Calibri"/>
                <w:color w:val="000000"/>
                <w:lang w:eastAsia="en-GB"/>
              </w:rPr>
            </w:pPr>
            <w:r>
              <w:rPr>
                <w:rFonts w:ascii="Calibri" w:hAnsi="Calibri"/>
                <w:color w:val="000000"/>
                <w:lang w:eastAsia="en-GB"/>
              </w:rPr>
              <w:t>191</w:t>
            </w:r>
          </w:p>
        </w:tc>
      </w:tr>
      <w:tr w:rsidR="00284C17" w:rsidRPr="006929BB" w14:paraId="1BFB50F4" w14:textId="77777777" w:rsidTr="00AD168A">
        <w:trPr>
          <w:trHeight w:val="51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04FDC4B4"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166FDA93" w14:textId="534EB847" w:rsidR="00284C17" w:rsidRPr="006929BB" w:rsidRDefault="00284C17" w:rsidP="00284C17">
            <w:pPr>
              <w:jc w:val="right"/>
              <w:rPr>
                <w:rFonts w:ascii="Calibri" w:hAnsi="Calibri"/>
                <w:color w:val="000000"/>
                <w:lang w:eastAsia="en-GB"/>
              </w:rPr>
            </w:pPr>
            <w:r w:rsidRPr="006929BB">
              <w:rPr>
                <w:rFonts w:ascii="Calibri" w:hAnsi="Calibri"/>
                <w:color w:val="000000"/>
                <w:lang w:eastAsia="en-GB"/>
              </w:rPr>
              <w:t>6</w:t>
            </w:r>
            <w:r>
              <w:rPr>
                <w:rFonts w:ascii="Calibri" w:hAnsi="Calibri"/>
                <w:color w:val="000000"/>
                <w:lang w:eastAsia="en-GB"/>
              </w:rPr>
              <w:t>2</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5C21012F" w14:textId="3E4A59E2" w:rsidR="00284C17" w:rsidRPr="006929BB" w:rsidRDefault="00284C17" w:rsidP="00284C17">
            <w:pPr>
              <w:jc w:val="right"/>
              <w:rPr>
                <w:rFonts w:ascii="Calibri" w:hAnsi="Calibri"/>
                <w:color w:val="000000"/>
                <w:lang w:eastAsia="en-GB"/>
              </w:rPr>
            </w:pPr>
            <w:r w:rsidRPr="006929BB">
              <w:rPr>
                <w:rFonts w:ascii="Calibri" w:hAnsi="Calibri"/>
                <w:color w:val="000000"/>
                <w:lang w:eastAsia="en-GB"/>
              </w:rPr>
              <w:t>6</w:t>
            </w:r>
            <w:r>
              <w:rPr>
                <w:rFonts w:ascii="Calibri" w:hAnsi="Calibri"/>
                <w:color w:val="000000"/>
                <w:lang w:eastAsia="en-GB"/>
              </w:rPr>
              <w:t>2</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7937425C"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Charge to General Fund for allowable collection costs for non-domestic rates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57F9BEE7"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231D8AF2" w14:textId="50C51381" w:rsidR="00284C17" w:rsidRPr="006929BB" w:rsidRDefault="00284C17" w:rsidP="00284C17">
            <w:pPr>
              <w:jc w:val="right"/>
              <w:rPr>
                <w:rFonts w:ascii="Calibri" w:hAnsi="Calibri"/>
                <w:color w:val="000000"/>
                <w:lang w:eastAsia="en-GB"/>
              </w:rPr>
            </w:pPr>
            <w:r>
              <w:rPr>
                <w:rFonts w:ascii="Calibri" w:hAnsi="Calibri"/>
                <w:color w:val="000000"/>
                <w:lang w:eastAsia="en-GB"/>
              </w:rPr>
              <w:t>62</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3F683663" w14:textId="3EEF64DF" w:rsidR="00284C17" w:rsidRPr="006929BB" w:rsidRDefault="00B14925" w:rsidP="00284C17">
            <w:pPr>
              <w:jc w:val="right"/>
              <w:rPr>
                <w:rFonts w:ascii="Calibri" w:hAnsi="Calibri"/>
                <w:color w:val="000000"/>
                <w:lang w:eastAsia="en-GB"/>
              </w:rPr>
            </w:pPr>
            <w:r>
              <w:rPr>
                <w:rFonts w:ascii="Calibri" w:hAnsi="Calibri"/>
                <w:color w:val="000000"/>
                <w:lang w:eastAsia="en-GB"/>
              </w:rPr>
              <w:t>62</w:t>
            </w:r>
          </w:p>
        </w:tc>
      </w:tr>
      <w:tr w:rsidR="00284C17" w:rsidRPr="006929BB" w14:paraId="48DBBD8C" w14:textId="77777777" w:rsidTr="00AD168A">
        <w:trPr>
          <w:trHeight w:val="510"/>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hideMark/>
          </w:tcPr>
          <w:p w14:paraId="135D6414"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 </w:t>
            </w:r>
          </w:p>
        </w:tc>
        <w:tc>
          <w:tcPr>
            <w:tcW w:w="980" w:type="dxa"/>
            <w:tcBorders>
              <w:top w:val="nil"/>
              <w:left w:val="nil"/>
              <w:bottom w:val="single" w:sz="4" w:space="0" w:color="FFFFFF"/>
              <w:right w:val="single" w:sz="4" w:space="0" w:color="FFFFFF"/>
            </w:tcBorders>
            <w:shd w:val="clear" w:color="auto" w:fill="C6D9F1" w:themeFill="text2" w:themeFillTint="33"/>
            <w:noWrap/>
            <w:vAlign w:val="center"/>
            <w:hideMark/>
          </w:tcPr>
          <w:p w14:paraId="00D51907" w14:textId="4BE541D2" w:rsidR="00284C17" w:rsidRPr="006929BB" w:rsidRDefault="00284C17" w:rsidP="00284C17">
            <w:pPr>
              <w:jc w:val="right"/>
              <w:rPr>
                <w:rFonts w:ascii="Calibri" w:hAnsi="Calibri"/>
                <w:color w:val="000000"/>
                <w:lang w:eastAsia="en-GB"/>
              </w:rPr>
            </w:pPr>
            <w:r>
              <w:rPr>
                <w:rFonts w:ascii="Calibri" w:hAnsi="Calibri"/>
                <w:color w:val="000000"/>
                <w:lang w:eastAsia="en-GB"/>
              </w:rPr>
              <w:t>-406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0A2DD925" w14:textId="23E81E41" w:rsidR="00284C17" w:rsidRPr="006929BB" w:rsidRDefault="00284C17" w:rsidP="00284C17">
            <w:pPr>
              <w:jc w:val="right"/>
              <w:rPr>
                <w:rFonts w:ascii="Calibri" w:hAnsi="Calibri"/>
                <w:color w:val="000000"/>
                <w:lang w:eastAsia="en-GB"/>
              </w:rPr>
            </w:pPr>
            <w:r>
              <w:rPr>
                <w:rFonts w:ascii="Calibri" w:hAnsi="Calibri"/>
                <w:color w:val="000000"/>
                <w:lang w:eastAsia="en-GB"/>
              </w:rPr>
              <w:t>-406</w:t>
            </w:r>
          </w:p>
        </w:tc>
        <w:tc>
          <w:tcPr>
            <w:tcW w:w="4800" w:type="dxa"/>
            <w:tcBorders>
              <w:top w:val="nil"/>
              <w:left w:val="nil"/>
              <w:bottom w:val="single" w:sz="4" w:space="0" w:color="FFFFFF"/>
              <w:right w:val="single" w:sz="4" w:space="0" w:color="FFFFFF"/>
            </w:tcBorders>
            <w:shd w:val="clear" w:color="auto" w:fill="C6D9F1" w:themeFill="text2" w:themeFillTint="33"/>
            <w:vAlign w:val="center"/>
            <w:hideMark/>
          </w:tcPr>
          <w:p w14:paraId="1BF00B61" w14:textId="77777777" w:rsidR="00284C17" w:rsidRPr="006929BB" w:rsidRDefault="00284C17" w:rsidP="00284C17">
            <w:pPr>
              <w:rPr>
                <w:rFonts w:ascii="Calibri" w:hAnsi="Calibri"/>
                <w:color w:val="000000"/>
                <w:lang w:eastAsia="en-GB"/>
              </w:rPr>
            </w:pPr>
            <w:r w:rsidRPr="006929BB">
              <w:rPr>
                <w:rFonts w:ascii="Calibri" w:hAnsi="Calibri"/>
                <w:color w:val="000000"/>
                <w:lang w:eastAsia="en-GB"/>
              </w:rPr>
              <w:t>Other transfers to collection fund in accordance with non-domestic rates regulations</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62F14A49"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5DBBC3FF" w14:textId="025E2C15" w:rsidR="00284C17" w:rsidRPr="006929BB" w:rsidRDefault="00284C17" w:rsidP="00284C17">
            <w:pPr>
              <w:jc w:val="right"/>
              <w:rPr>
                <w:rFonts w:ascii="Calibri" w:hAnsi="Calibri"/>
                <w:color w:val="000000"/>
                <w:lang w:eastAsia="en-GB"/>
              </w:rPr>
            </w:pPr>
            <w:r>
              <w:rPr>
                <w:rFonts w:ascii="Calibri" w:hAnsi="Calibri"/>
                <w:color w:val="000000"/>
                <w:lang w:eastAsia="en-GB"/>
              </w:rPr>
              <w:t>510</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075AFE55" w14:textId="77C63407" w:rsidR="00284C17" w:rsidRPr="006929BB" w:rsidRDefault="00B14925" w:rsidP="00284C17">
            <w:pPr>
              <w:jc w:val="right"/>
              <w:rPr>
                <w:rFonts w:ascii="Calibri" w:hAnsi="Calibri"/>
                <w:color w:val="000000"/>
                <w:lang w:eastAsia="en-GB"/>
              </w:rPr>
            </w:pPr>
            <w:r>
              <w:rPr>
                <w:rFonts w:ascii="Calibri" w:hAnsi="Calibri"/>
                <w:color w:val="000000"/>
                <w:lang w:eastAsia="en-GB"/>
              </w:rPr>
              <w:t>510</w:t>
            </w:r>
          </w:p>
        </w:tc>
      </w:tr>
      <w:tr w:rsidR="00284C17" w:rsidRPr="006929BB" w14:paraId="5DC31AA1" w14:textId="77777777" w:rsidTr="00467DE1">
        <w:trPr>
          <w:trHeight w:val="331"/>
        </w:trPr>
        <w:tc>
          <w:tcPr>
            <w:tcW w:w="960" w:type="dxa"/>
            <w:tcBorders>
              <w:top w:val="nil"/>
              <w:left w:val="single" w:sz="4" w:space="0" w:color="FFFFFF"/>
              <w:bottom w:val="single" w:sz="4" w:space="0" w:color="FFFFFF"/>
              <w:right w:val="single" w:sz="4" w:space="0" w:color="FFFFFF"/>
            </w:tcBorders>
            <w:shd w:val="clear" w:color="auto" w:fill="C6D9F1" w:themeFill="text2" w:themeFillTint="33"/>
            <w:noWrap/>
            <w:vAlign w:val="bottom"/>
          </w:tcPr>
          <w:p w14:paraId="1B30F222" w14:textId="33301D97" w:rsidR="00284C17" w:rsidRPr="006929BB" w:rsidRDefault="00284C17" w:rsidP="00284C17">
            <w:pPr>
              <w:jc w:val="right"/>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3FC5BDEB" w14:textId="7EFF2E19" w:rsidR="00284C17" w:rsidRDefault="00284C17" w:rsidP="00284C17">
            <w:pPr>
              <w:jc w:val="right"/>
              <w:rPr>
                <w:rFonts w:ascii="Calibri" w:hAnsi="Calibri"/>
                <w:color w:val="000000"/>
                <w:lang w:eastAsia="en-GB"/>
              </w:rPr>
            </w:pPr>
            <w:r>
              <w:rPr>
                <w:rFonts w:ascii="Calibri" w:hAnsi="Calibri"/>
                <w:color w:val="000000"/>
                <w:lang w:eastAsia="en-GB"/>
              </w:rPr>
              <w:t>-306</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013C9B9" w14:textId="0FF19A56" w:rsidR="00284C17" w:rsidRDefault="00284C17" w:rsidP="00284C17">
            <w:pPr>
              <w:jc w:val="right"/>
              <w:rPr>
                <w:rFonts w:ascii="Calibri" w:hAnsi="Calibri"/>
                <w:color w:val="000000"/>
                <w:lang w:eastAsia="en-GB"/>
              </w:rPr>
            </w:pPr>
            <w:r>
              <w:rPr>
                <w:rFonts w:ascii="Calibri" w:hAnsi="Calibri"/>
                <w:color w:val="000000"/>
                <w:lang w:eastAsia="en-GB"/>
              </w:rPr>
              <w:t>-306</w:t>
            </w:r>
          </w:p>
        </w:tc>
        <w:tc>
          <w:tcPr>
            <w:tcW w:w="4800" w:type="dxa"/>
            <w:tcBorders>
              <w:top w:val="nil"/>
              <w:left w:val="nil"/>
              <w:bottom w:val="single" w:sz="4" w:space="0" w:color="FFFFFF"/>
              <w:right w:val="single" w:sz="4" w:space="0" w:color="FFFFFF"/>
            </w:tcBorders>
            <w:shd w:val="clear" w:color="auto" w:fill="C6D9F1" w:themeFill="text2" w:themeFillTint="33"/>
            <w:vAlign w:val="center"/>
          </w:tcPr>
          <w:p w14:paraId="322E8085" w14:textId="450FDD17" w:rsidR="00284C17" w:rsidRPr="006929BB" w:rsidRDefault="00284C17" w:rsidP="00284C17">
            <w:pPr>
              <w:rPr>
                <w:rFonts w:ascii="Calibri" w:hAnsi="Calibri"/>
                <w:color w:val="000000"/>
                <w:lang w:eastAsia="en-GB"/>
              </w:rPr>
            </w:pPr>
            <w:r>
              <w:rPr>
                <w:rFonts w:ascii="Calibri" w:hAnsi="Calibri"/>
                <w:color w:val="000000"/>
                <w:lang w:eastAsia="en-GB"/>
              </w:rPr>
              <w:t>Change in Provision</w:t>
            </w:r>
          </w:p>
        </w:tc>
        <w:tc>
          <w:tcPr>
            <w:tcW w:w="960" w:type="dxa"/>
            <w:tcBorders>
              <w:top w:val="nil"/>
              <w:left w:val="nil"/>
              <w:bottom w:val="single" w:sz="4" w:space="0" w:color="FFFFFF"/>
              <w:right w:val="single" w:sz="4" w:space="0" w:color="FFFFFF"/>
            </w:tcBorders>
            <w:shd w:val="clear" w:color="auto" w:fill="C6D9F1" w:themeFill="text2" w:themeFillTint="33"/>
            <w:noWrap/>
            <w:vAlign w:val="center"/>
          </w:tcPr>
          <w:p w14:paraId="3D053EA4" w14:textId="77777777" w:rsidR="00284C17" w:rsidRPr="006929BB" w:rsidRDefault="00284C17" w:rsidP="00284C17">
            <w:pPr>
              <w:rPr>
                <w:rFonts w:ascii="Calibri" w:hAnsi="Calibri"/>
                <w:color w:val="000000"/>
                <w:lang w:eastAsia="en-GB"/>
              </w:rPr>
            </w:pPr>
          </w:p>
        </w:tc>
        <w:tc>
          <w:tcPr>
            <w:tcW w:w="980" w:type="dxa"/>
            <w:tcBorders>
              <w:top w:val="nil"/>
              <w:left w:val="nil"/>
              <w:bottom w:val="single" w:sz="4" w:space="0" w:color="FFFFFF"/>
              <w:right w:val="single" w:sz="4" w:space="0" w:color="FFFFFF"/>
            </w:tcBorders>
            <w:shd w:val="clear" w:color="auto" w:fill="C6D9F1" w:themeFill="text2" w:themeFillTint="33"/>
            <w:noWrap/>
            <w:vAlign w:val="center"/>
          </w:tcPr>
          <w:p w14:paraId="0D40E8A2" w14:textId="2FB54B29" w:rsidR="00284C17" w:rsidRDefault="00284C17" w:rsidP="00284C17">
            <w:pPr>
              <w:jc w:val="right"/>
              <w:rPr>
                <w:rFonts w:ascii="Calibri" w:hAnsi="Calibri"/>
                <w:color w:val="000000"/>
                <w:lang w:eastAsia="en-GB"/>
              </w:rPr>
            </w:pPr>
            <w:r>
              <w:rPr>
                <w:rFonts w:ascii="Calibri" w:hAnsi="Calibri"/>
                <w:color w:val="000000"/>
                <w:lang w:eastAsia="en-GB"/>
              </w:rPr>
              <w:t>-464</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0E29342B" w14:textId="4D8B27C3" w:rsidR="00284C17" w:rsidRDefault="00B14925" w:rsidP="00284C17">
            <w:pPr>
              <w:jc w:val="right"/>
              <w:rPr>
                <w:rFonts w:ascii="Calibri" w:hAnsi="Calibri"/>
                <w:color w:val="000000"/>
                <w:lang w:eastAsia="en-GB"/>
              </w:rPr>
            </w:pPr>
            <w:r>
              <w:rPr>
                <w:rFonts w:ascii="Calibri" w:hAnsi="Calibri"/>
                <w:color w:val="000000"/>
                <w:lang w:eastAsia="en-GB"/>
              </w:rPr>
              <w:t>-464</w:t>
            </w:r>
          </w:p>
        </w:tc>
      </w:tr>
      <w:tr w:rsidR="00284C17" w:rsidRPr="006929BB" w14:paraId="0C1B3C08"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8DB3E2" w:themeFill="text2" w:themeFillTint="66"/>
            <w:noWrap/>
            <w:vAlign w:val="center"/>
            <w:hideMark/>
          </w:tcPr>
          <w:p w14:paraId="31038651" w14:textId="6477CFA5"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-413</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hideMark/>
          </w:tcPr>
          <w:p w14:paraId="6F449ED3" w14:textId="14E1B952"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-5,371</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368DF6D8" w14:textId="211D98D6"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-5,784</w:t>
            </w:r>
          </w:p>
        </w:tc>
        <w:tc>
          <w:tcPr>
            <w:tcW w:w="4800" w:type="dxa"/>
            <w:tcBorders>
              <w:top w:val="nil"/>
              <w:left w:val="nil"/>
              <w:bottom w:val="single" w:sz="4" w:space="0" w:color="FFFFFF"/>
              <w:right w:val="single" w:sz="4" w:space="0" w:color="FFFFFF"/>
            </w:tcBorders>
            <w:shd w:val="clear" w:color="auto" w:fill="8DB3E2" w:themeFill="text2" w:themeFillTint="66"/>
            <w:noWrap/>
            <w:vAlign w:val="center"/>
            <w:hideMark/>
          </w:tcPr>
          <w:p w14:paraId="7F438F69" w14:textId="77777777" w:rsidR="00284C17" w:rsidRPr="006929BB" w:rsidRDefault="00284C17" w:rsidP="00284C17">
            <w:pPr>
              <w:rPr>
                <w:rFonts w:ascii="Calibri" w:hAnsi="Calibri"/>
                <w:b/>
                <w:bCs/>
                <w:color w:val="000000"/>
                <w:lang w:eastAsia="en-GB"/>
              </w:rPr>
            </w:pPr>
            <w:r w:rsidRPr="006929BB">
              <w:rPr>
                <w:rFonts w:ascii="Calibri" w:hAnsi="Calibri"/>
                <w:b/>
                <w:bCs/>
                <w:color w:val="000000"/>
                <w:lang w:eastAsia="en-GB"/>
              </w:rPr>
              <w:t>Movement on Fund Balance</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5DE1B244" w14:textId="5409E836" w:rsidR="00284C17" w:rsidRPr="006929BB" w:rsidRDefault="00463536" w:rsidP="00284C17">
            <w:pPr>
              <w:jc w:val="right"/>
              <w:rPr>
                <w:rFonts w:ascii="Calibri" w:hAnsi="Calibri"/>
                <w:b/>
                <w:bCs/>
                <w:color w:val="000000"/>
                <w:lang w:eastAsia="en-GB"/>
              </w:rPr>
            </w:pPr>
            <w:r>
              <w:rPr>
                <w:rFonts w:ascii="Calibri" w:hAnsi="Calibri"/>
                <w:b/>
                <w:bCs/>
                <w:color w:val="000000"/>
                <w:lang w:eastAsia="en-GB"/>
              </w:rPr>
              <w:t>83</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tcPr>
          <w:p w14:paraId="3680D61C" w14:textId="0AF78554"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1,389</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07A2D03C" w14:textId="5D77F108" w:rsidR="00284C17" w:rsidRPr="006929BB" w:rsidRDefault="00B14925" w:rsidP="00284C17">
            <w:pPr>
              <w:jc w:val="right"/>
              <w:rPr>
                <w:rFonts w:ascii="Calibri" w:hAnsi="Calibri"/>
                <w:b/>
                <w:bCs/>
                <w:color w:val="000000"/>
                <w:lang w:eastAsia="en-GB"/>
              </w:rPr>
            </w:pPr>
            <w:r>
              <w:rPr>
                <w:rFonts w:ascii="Calibri" w:hAnsi="Calibri"/>
                <w:b/>
                <w:bCs/>
                <w:color w:val="000000"/>
                <w:lang w:eastAsia="en-GB"/>
              </w:rPr>
              <w:t>1,472</w:t>
            </w:r>
          </w:p>
        </w:tc>
      </w:tr>
      <w:tr w:rsidR="00284C17" w:rsidRPr="006929BB" w14:paraId="0C33EB79"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8DB3E2" w:themeFill="text2" w:themeFillTint="66"/>
            <w:noWrap/>
            <w:vAlign w:val="center"/>
            <w:hideMark/>
          </w:tcPr>
          <w:p w14:paraId="0BDAB528" w14:textId="2A31FF19"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492</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hideMark/>
          </w:tcPr>
          <w:p w14:paraId="6064867D" w14:textId="2A289726"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7,129</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0B8843C7" w14:textId="093CCDE9"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7,621</w:t>
            </w:r>
          </w:p>
        </w:tc>
        <w:tc>
          <w:tcPr>
            <w:tcW w:w="4800" w:type="dxa"/>
            <w:tcBorders>
              <w:top w:val="nil"/>
              <w:left w:val="nil"/>
              <w:bottom w:val="single" w:sz="4" w:space="0" w:color="FFFFFF"/>
              <w:right w:val="single" w:sz="4" w:space="0" w:color="FFFFFF"/>
            </w:tcBorders>
            <w:shd w:val="clear" w:color="auto" w:fill="8DB3E2" w:themeFill="text2" w:themeFillTint="66"/>
            <w:vAlign w:val="center"/>
            <w:hideMark/>
          </w:tcPr>
          <w:p w14:paraId="059CDF05" w14:textId="77777777" w:rsidR="00284C17" w:rsidRPr="006929BB" w:rsidRDefault="00284C17" w:rsidP="00284C17">
            <w:pPr>
              <w:rPr>
                <w:rFonts w:ascii="Calibri" w:hAnsi="Calibri"/>
                <w:b/>
                <w:bCs/>
                <w:color w:val="000000"/>
                <w:lang w:eastAsia="en-GB"/>
              </w:rPr>
            </w:pPr>
            <w:r w:rsidRPr="006929BB">
              <w:rPr>
                <w:rFonts w:ascii="Calibri" w:hAnsi="Calibri"/>
                <w:b/>
                <w:bCs/>
                <w:color w:val="000000"/>
                <w:lang w:eastAsia="en-GB"/>
              </w:rPr>
              <w:t>Opening Fund Balance</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6E247F5B" w14:textId="75BF1C3B"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79</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tcPr>
          <w:p w14:paraId="0936BD46" w14:textId="2EBDBC15"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1,758</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1407D99C" w14:textId="470C8B4A"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1,837</w:t>
            </w:r>
          </w:p>
        </w:tc>
      </w:tr>
      <w:tr w:rsidR="00284C17" w:rsidRPr="006929BB" w14:paraId="0976E977" w14:textId="77777777" w:rsidTr="00AD168A">
        <w:trPr>
          <w:trHeight w:val="300"/>
        </w:trPr>
        <w:tc>
          <w:tcPr>
            <w:tcW w:w="960" w:type="dxa"/>
            <w:tcBorders>
              <w:top w:val="nil"/>
              <w:left w:val="single" w:sz="4" w:space="0" w:color="FFFFFF"/>
              <w:bottom w:val="single" w:sz="4" w:space="0" w:color="FFFFFF"/>
              <w:right w:val="single" w:sz="4" w:space="0" w:color="FFFFFF"/>
            </w:tcBorders>
            <w:shd w:val="clear" w:color="auto" w:fill="8DB3E2" w:themeFill="text2" w:themeFillTint="66"/>
            <w:noWrap/>
            <w:vAlign w:val="center"/>
            <w:hideMark/>
          </w:tcPr>
          <w:p w14:paraId="3EDD4478" w14:textId="330462F8"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79</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hideMark/>
          </w:tcPr>
          <w:p w14:paraId="49987C52" w14:textId="0BC45E35"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1,758</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hideMark/>
          </w:tcPr>
          <w:p w14:paraId="79E62FA0" w14:textId="47BAFE0B"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1,837</w:t>
            </w:r>
          </w:p>
        </w:tc>
        <w:tc>
          <w:tcPr>
            <w:tcW w:w="4800" w:type="dxa"/>
            <w:tcBorders>
              <w:top w:val="nil"/>
              <w:left w:val="nil"/>
              <w:bottom w:val="single" w:sz="4" w:space="0" w:color="FFFFFF"/>
              <w:right w:val="single" w:sz="4" w:space="0" w:color="FFFFFF"/>
            </w:tcBorders>
            <w:shd w:val="clear" w:color="auto" w:fill="8DB3E2" w:themeFill="text2" w:themeFillTint="66"/>
            <w:vAlign w:val="center"/>
            <w:hideMark/>
          </w:tcPr>
          <w:p w14:paraId="0EBE052A" w14:textId="77777777" w:rsidR="00284C17" w:rsidRPr="006929BB" w:rsidRDefault="00284C17" w:rsidP="00284C17">
            <w:pPr>
              <w:rPr>
                <w:rFonts w:ascii="Calibri" w:hAnsi="Calibri"/>
                <w:b/>
                <w:bCs/>
                <w:color w:val="000000"/>
                <w:lang w:eastAsia="en-GB"/>
              </w:rPr>
            </w:pPr>
            <w:r w:rsidRPr="006929BB">
              <w:rPr>
                <w:rFonts w:ascii="Calibri" w:hAnsi="Calibri"/>
                <w:b/>
                <w:bCs/>
                <w:color w:val="000000"/>
                <w:lang w:eastAsia="en-GB"/>
              </w:rPr>
              <w:t>Closing Fund Balance</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2AD8CF6F" w14:textId="09FCE570" w:rsidR="00284C17" w:rsidRPr="006929BB" w:rsidRDefault="00463536" w:rsidP="00284C17">
            <w:pPr>
              <w:jc w:val="right"/>
              <w:rPr>
                <w:rFonts w:ascii="Calibri" w:hAnsi="Calibri"/>
                <w:b/>
                <w:bCs/>
                <w:color w:val="000000"/>
                <w:lang w:eastAsia="en-GB"/>
              </w:rPr>
            </w:pPr>
            <w:r>
              <w:rPr>
                <w:rFonts w:ascii="Calibri" w:hAnsi="Calibri"/>
                <w:b/>
                <w:bCs/>
                <w:color w:val="000000"/>
                <w:lang w:eastAsia="en-GB"/>
              </w:rPr>
              <w:t>162</w:t>
            </w:r>
          </w:p>
        </w:tc>
        <w:tc>
          <w:tcPr>
            <w:tcW w:w="980" w:type="dxa"/>
            <w:tcBorders>
              <w:top w:val="nil"/>
              <w:left w:val="nil"/>
              <w:bottom w:val="single" w:sz="4" w:space="0" w:color="FFFFFF"/>
              <w:right w:val="single" w:sz="4" w:space="0" w:color="FFFFFF"/>
            </w:tcBorders>
            <w:shd w:val="clear" w:color="auto" w:fill="8DB3E2" w:themeFill="text2" w:themeFillTint="66"/>
            <w:noWrap/>
            <w:vAlign w:val="center"/>
          </w:tcPr>
          <w:p w14:paraId="5A9AB17C" w14:textId="1DDB227F" w:rsidR="00284C17" w:rsidRPr="006929BB" w:rsidRDefault="00284C17" w:rsidP="00284C17">
            <w:pPr>
              <w:jc w:val="right"/>
              <w:rPr>
                <w:rFonts w:ascii="Calibri" w:hAnsi="Calibri"/>
                <w:b/>
                <w:bCs/>
                <w:color w:val="000000"/>
                <w:lang w:eastAsia="en-GB"/>
              </w:rPr>
            </w:pPr>
            <w:r>
              <w:rPr>
                <w:rFonts w:ascii="Calibri" w:hAnsi="Calibri"/>
                <w:b/>
                <w:bCs/>
                <w:color w:val="000000"/>
                <w:lang w:eastAsia="en-GB"/>
              </w:rPr>
              <w:t>3,147</w:t>
            </w:r>
          </w:p>
        </w:tc>
        <w:tc>
          <w:tcPr>
            <w:tcW w:w="960" w:type="dxa"/>
            <w:tcBorders>
              <w:top w:val="nil"/>
              <w:left w:val="nil"/>
              <w:bottom w:val="single" w:sz="4" w:space="0" w:color="FFFFFF"/>
              <w:right w:val="single" w:sz="4" w:space="0" w:color="FFFFFF"/>
            </w:tcBorders>
            <w:shd w:val="clear" w:color="auto" w:fill="8DB3E2" w:themeFill="text2" w:themeFillTint="66"/>
            <w:noWrap/>
            <w:vAlign w:val="center"/>
          </w:tcPr>
          <w:p w14:paraId="7B97CBEB" w14:textId="7120AF11" w:rsidR="00284C17" w:rsidRPr="006929BB" w:rsidRDefault="00B14925" w:rsidP="00284C17">
            <w:pPr>
              <w:jc w:val="right"/>
              <w:rPr>
                <w:rFonts w:ascii="Calibri" w:hAnsi="Calibri"/>
                <w:b/>
                <w:bCs/>
                <w:color w:val="000000"/>
                <w:lang w:eastAsia="en-GB"/>
              </w:rPr>
            </w:pPr>
            <w:r>
              <w:rPr>
                <w:rFonts w:ascii="Calibri" w:hAnsi="Calibri"/>
                <w:b/>
                <w:bCs/>
                <w:color w:val="000000"/>
                <w:lang w:eastAsia="en-GB"/>
              </w:rPr>
              <w:t>3,309</w:t>
            </w:r>
          </w:p>
        </w:tc>
      </w:tr>
    </w:tbl>
    <w:p w14:paraId="31E72DB5" w14:textId="77777777" w:rsidR="0056338F" w:rsidRDefault="0056338F" w:rsidP="0014320D">
      <w:pPr>
        <w:jc w:val="both"/>
        <w:rPr>
          <w:rFonts w:ascii="Arial" w:hAnsi="Arial" w:cs="Arial"/>
        </w:rPr>
      </w:pPr>
    </w:p>
    <w:p w14:paraId="13958823" w14:textId="77777777" w:rsidR="0052402C" w:rsidRPr="00A12B28" w:rsidRDefault="0052402C" w:rsidP="0052402C">
      <w:pPr>
        <w:widowControl w:val="0"/>
        <w:tabs>
          <w:tab w:val="left" w:pos="1080"/>
          <w:tab w:val="left" w:pos="2520"/>
          <w:tab w:val="left" w:pos="6480"/>
          <w:tab w:val="left" w:pos="7920"/>
          <w:tab w:val="left" w:pos="10800"/>
        </w:tabs>
        <w:ind w:right="90"/>
        <w:rPr>
          <w:rFonts w:asciiTheme="minorHAnsi" w:hAnsiTheme="minorHAnsi" w:cs="Arial"/>
          <w:b/>
          <w:sz w:val="24"/>
          <w:szCs w:val="24"/>
        </w:rPr>
      </w:pPr>
      <w:r w:rsidRPr="00A12B28">
        <w:rPr>
          <w:rFonts w:asciiTheme="minorHAnsi" w:hAnsiTheme="minorHAnsi" w:cs="Arial"/>
          <w:b/>
          <w:sz w:val="24"/>
          <w:szCs w:val="24"/>
        </w:rPr>
        <w:lastRenderedPageBreak/>
        <w:t>Bad Debt Provision – Summary (Memorandum)</w:t>
      </w:r>
    </w:p>
    <w:p w14:paraId="6A947277" w14:textId="77777777" w:rsidR="0052402C" w:rsidRPr="004C6DC4" w:rsidRDefault="0052402C" w:rsidP="0052402C">
      <w:pPr>
        <w:widowControl w:val="0"/>
        <w:tabs>
          <w:tab w:val="left" w:pos="1080"/>
          <w:tab w:val="left" w:pos="2520"/>
          <w:tab w:val="left" w:pos="6480"/>
          <w:tab w:val="left" w:pos="7920"/>
          <w:tab w:val="left" w:pos="10800"/>
        </w:tabs>
        <w:ind w:right="90"/>
        <w:rPr>
          <w:rFonts w:ascii="Arial" w:hAnsi="Arial" w:cs="Arial"/>
          <w:b/>
        </w:rPr>
      </w:pPr>
    </w:p>
    <w:tbl>
      <w:tblPr>
        <w:tblW w:w="10505" w:type="dxa"/>
        <w:tblInd w:w="93" w:type="dxa"/>
        <w:tblLook w:val="04A0" w:firstRow="1" w:lastRow="0" w:firstColumn="1" w:lastColumn="0" w:noHBand="0" w:noVBand="1"/>
        <w:tblCaption w:val="Bad Debt Provision for the Collection Fund"/>
        <w:tblDescription w:val="Bad Debt Provision for the Collection Fund"/>
      </w:tblPr>
      <w:tblGrid>
        <w:gridCol w:w="1720"/>
        <w:gridCol w:w="2123"/>
        <w:gridCol w:w="1517"/>
        <w:gridCol w:w="1460"/>
        <w:gridCol w:w="1440"/>
        <w:gridCol w:w="2245"/>
      </w:tblGrid>
      <w:tr w:rsidR="00A12B28" w:rsidRPr="00A12B28" w14:paraId="51478D83" w14:textId="77777777" w:rsidTr="00110931">
        <w:trPr>
          <w:cantSplit/>
          <w:trHeight w:val="300"/>
          <w:tblHeader/>
        </w:trPr>
        <w:tc>
          <w:tcPr>
            <w:tcW w:w="1720" w:type="dxa"/>
            <w:tcBorders>
              <w:top w:val="single" w:sz="4" w:space="0" w:color="FFFFFF"/>
              <w:left w:val="single" w:sz="4" w:space="0" w:color="FFFFFF"/>
              <w:bottom w:val="nil"/>
              <w:right w:val="single" w:sz="4" w:space="0" w:color="FFFFFF"/>
            </w:tcBorders>
            <w:shd w:val="clear" w:color="auto" w:fill="548DD4" w:themeFill="text2" w:themeFillTint="99"/>
            <w:vAlign w:val="center"/>
            <w:hideMark/>
          </w:tcPr>
          <w:p w14:paraId="5BF83192" w14:textId="77777777" w:rsidR="00A12B28" w:rsidRPr="00A12B28" w:rsidRDefault="00A12B28" w:rsidP="00A12B28">
            <w:pPr>
              <w:rPr>
                <w:rFonts w:ascii="Calibri" w:hAnsi="Calibri"/>
                <w:color w:val="000000"/>
                <w:lang w:eastAsia="en-GB"/>
              </w:rPr>
            </w:pPr>
            <w:r w:rsidRPr="00A12B28">
              <w:rPr>
                <w:rFonts w:ascii="Calibri" w:hAnsi="Calibri"/>
                <w:color w:val="000000"/>
                <w:lang w:eastAsia="en-GB"/>
              </w:rPr>
              <w:t> </w:t>
            </w:r>
          </w:p>
        </w:tc>
        <w:tc>
          <w:tcPr>
            <w:tcW w:w="212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5B928EEC" w14:textId="1907B62C" w:rsidR="00A12B28" w:rsidRPr="00A12B28" w:rsidRDefault="00A12B28" w:rsidP="0076338E">
            <w:pPr>
              <w:jc w:val="right"/>
              <w:rPr>
                <w:rFonts w:ascii="Calibri" w:hAnsi="Calibri"/>
                <w:color w:val="000000"/>
                <w:lang w:eastAsia="en-GB"/>
              </w:rPr>
            </w:pPr>
            <w:r w:rsidRPr="00A12B28">
              <w:rPr>
                <w:rFonts w:ascii="Calibri" w:hAnsi="Calibri"/>
                <w:color w:val="000000"/>
                <w:lang w:eastAsia="en-GB"/>
              </w:rPr>
              <w:t>Balance 31 March 20</w:t>
            </w:r>
            <w:r w:rsidR="0076338E">
              <w:rPr>
                <w:rFonts w:ascii="Calibri" w:hAnsi="Calibri"/>
                <w:color w:val="000000"/>
                <w:lang w:eastAsia="en-GB"/>
              </w:rPr>
              <w:t>2</w:t>
            </w:r>
            <w:r w:rsidR="00626C51">
              <w:rPr>
                <w:rFonts w:ascii="Calibri" w:hAnsi="Calibri"/>
                <w:color w:val="000000"/>
                <w:lang w:eastAsia="en-GB"/>
              </w:rPr>
              <w:t>2</w:t>
            </w:r>
          </w:p>
        </w:tc>
        <w:tc>
          <w:tcPr>
            <w:tcW w:w="1517"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2081C841"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Write-offs</w:t>
            </w:r>
          </w:p>
        </w:tc>
        <w:tc>
          <w:tcPr>
            <w:tcW w:w="146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2DEC3B42"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Increased Provision</w:t>
            </w:r>
          </w:p>
        </w:tc>
        <w:tc>
          <w:tcPr>
            <w:tcW w:w="144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5AAA1E0E"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Reduced Provision</w:t>
            </w:r>
          </w:p>
        </w:tc>
        <w:tc>
          <w:tcPr>
            <w:tcW w:w="2245"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4B4FD913" w14:textId="73242937" w:rsidR="00A12B28" w:rsidRPr="00A12B28" w:rsidRDefault="00A12B28" w:rsidP="0076338E">
            <w:pPr>
              <w:jc w:val="right"/>
              <w:rPr>
                <w:rFonts w:ascii="Calibri" w:hAnsi="Calibri"/>
                <w:color w:val="000000"/>
                <w:lang w:eastAsia="en-GB"/>
              </w:rPr>
            </w:pPr>
            <w:r w:rsidRPr="00A12B28">
              <w:rPr>
                <w:rFonts w:ascii="Calibri" w:hAnsi="Calibri"/>
                <w:color w:val="000000"/>
                <w:lang w:eastAsia="en-GB"/>
              </w:rPr>
              <w:t>Balance 31 March 20</w:t>
            </w:r>
            <w:r w:rsidR="0027637B">
              <w:rPr>
                <w:rFonts w:ascii="Calibri" w:hAnsi="Calibri"/>
                <w:color w:val="000000"/>
                <w:lang w:eastAsia="en-GB"/>
              </w:rPr>
              <w:t>2</w:t>
            </w:r>
            <w:r w:rsidR="00626C51">
              <w:rPr>
                <w:rFonts w:ascii="Calibri" w:hAnsi="Calibri"/>
                <w:color w:val="000000"/>
                <w:lang w:eastAsia="en-GB"/>
              </w:rPr>
              <w:t>3</w:t>
            </w:r>
          </w:p>
        </w:tc>
      </w:tr>
      <w:tr w:rsidR="00A12B28" w:rsidRPr="00A12B28" w14:paraId="7868F538" w14:textId="77777777" w:rsidTr="007F516A">
        <w:trPr>
          <w:trHeight w:val="300"/>
        </w:trPr>
        <w:tc>
          <w:tcPr>
            <w:tcW w:w="1720" w:type="dxa"/>
            <w:tcBorders>
              <w:top w:val="nil"/>
              <w:left w:val="single" w:sz="4" w:space="0" w:color="FFFFFF"/>
              <w:bottom w:val="nil"/>
              <w:right w:val="single" w:sz="4" w:space="0" w:color="FFFFFF"/>
            </w:tcBorders>
            <w:shd w:val="clear" w:color="auto" w:fill="548DD4" w:themeFill="text2" w:themeFillTint="99"/>
            <w:vAlign w:val="center"/>
            <w:hideMark/>
          </w:tcPr>
          <w:p w14:paraId="410CABBD" w14:textId="77777777" w:rsidR="00A12B28" w:rsidRPr="00A12B28" w:rsidRDefault="00A12B28" w:rsidP="00A12B28">
            <w:pPr>
              <w:rPr>
                <w:rFonts w:ascii="Calibri" w:hAnsi="Calibri"/>
                <w:color w:val="000000"/>
                <w:lang w:eastAsia="en-GB"/>
              </w:rPr>
            </w:pPr>
            <w:r w:rsidRPr="00A12B28">
              <w:rPr>
                <w:rFonts w:ascii="Calibri" w:hAnsi="Calibri"/>
                <w:color w:val="000000"/>
                <w:lang w:eastAsia="en-GB"/>
              </w:rPr>
              <w:t> </w:t>
            </w:r>
          </w:p>
        </w:tc>
        <w:tc>
          <w:tcPr>
            <w:tcW w:w="212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1E2540A3" w14:textId="77777777" w:rsidR="00A12B28" w:rsidRPr="00A12B28" w:rsidRDefault="00A12B28" w:rsidP="00A12B28">
            <w:pPr>
              <w:rPr>
                <w:rFonts w:ascii="Calibri" w:hAnsi="Calibri"/>
                <w:color w:val="000000"/>
                <w:lang w:eastAsia="en-GB"/>
              </w:rPr>
            </w:pPr>
          </w:p>
        </w:tc>
        <w:tc>
          <w:tcPr>
            <w:tcW w:w="1517"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162D71ED" w14:textId="77777777" w:rsidR="00A12B28" w:rsidRPr="00A12B28" w:rsidRDefault="00A12B28" w:rsidP="00A12B28">
            <w:pPr>
              <w:rPr>
                <w:rFonts w:ascii="Calibri" w:hAnsi="Calibri"/>
                <w:color w:val="000000"/>
                <w:lang w:eastAsia="en-GB"/>
              </w:rPr>
            </w:pPr>
          </w:p>
        </w:tc>
        <w:tc>
          <w:tcPr>
            <w:tcW w:w="146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68785A3A" w14:textId="77777777" w:rsidR="00A12B28" w:rsidRPr="00A12B28" w:rsidRDefault="00A12B28" w:rsidP="00A12B28">
            <w:pPr>
              <w:rPr>
                <w:rFonts w:ascii="Calibri" w:hAnsi="Calibri"/>
                <w:color w:val="000000"/>
                <w:lang w:eastAsia="en-GB"/>
              </w:rPr>
            </w:pPr>
          </w:p>
        </w:tc>
        <w:tc>
          <w:tcPr>
            <w:tcW w:w="144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6C2A47B2" w14:textId="77777777" w:rsidR="00A12B28" w:rsidRPr="00A12B28" w:rsidRDefault="00A12B28" w:rsidP="00A12B28">
            <w:pPr>
              <w:rPr>
                <w:rFonts w:ascii="Calibri" w:hAnsi="Calibri"/>
                <w:color w:val="000000"/>
                <w:lang w:eastAsia="en-GB"/>
              </w:rPr>
            </w:pPr>
          </w:p>
        </w:tc>
        <w:tc>
          <w:tcPr>
            <w:tcW w:w="2245"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2D0D75B2" w14:textId="77777777" w:rsidR="00A12B28" w:rsidRPr="00A12B28" w:rsidRDefault="00A12B28" w:rsidP="00A12B28">
            <w:pPr>
              <w:rPr>
                <w:rFonts w:ascii="Calibri" w:hAnsi="Calibri"/>
                <w:color w:val="000000"/>
                <w:lang w:eastAsia="en-GB"/>
              </w:rPr>
            </w:pPr>
          </w:p>
        </w:tc>
      </w:tr>
      <w:tr w:rsidR="00A12B28" w:rsidRPr="00A12B28" w14:paraId="1D277623" w14:textId="77777777" w:rsidTr="007F516A">
        <w:trPr>
          <w:trHeight w:val="300"/>
        </w:trPr>
        <w:tc>
          <w:tcPr>
            <w:tcW w:w="1720" w:type="dxa"/>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D945117"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 </w:t>
            </w:r>
          </w:p>
        </w:tc>
        <w:tc>
          <w:tcPr>
            <w:tcW w:w="2123" w:type="dxa"/>
            <w:tcBorders>
              <w:top w:val="nil"/>
              <w:left w:val="nil"/>
              <w:bottom w:val="single" w:sz="4" w:space="0" w:color="FFFFFF"/>
              <w:right w:val="single" w:sz="4" w:space="0" w:color="FFFFFF"/>
            </w:tcBorders>
            <w:shd w:val="clear" w:color="auto" w:fill="548DD4" w:themeFill="text2" w:themeFillTint="99"/>
            <w:vAlign w:val="center"/>
            <w:hideMark/>
          </w:tcPr>
          <w:p w14:paraId="6DF7C0FC"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£’000</w:t>
            </w:r>
          </w:p>
        </w:tc>
        <w:tc>
          <w:tcPr>
            <w:tcW w:w="1517" w:type="dxa"/>
            <w:tcBorders>
              <w:top w:val="nil"/>
              <w:left w:val="nil"/>
              <w:bottom w:val="single" w:sz="4" w:space="0" w:color="FFFFFF"/>
              <w:right w:val="single" w:sz="4" w:space="0" w:color="FFFFFF"/>
            </w:tcBorders>
            <w:shd w:val="clear" w:color="auto" w:fill="548DD4" w:themeFill="text2" w:themeFillTint="99"/>
            <w:vAlign w:val="center"/>
            <w:hideMark/>
          </w:tcPr>
          <w:p w14:paraId="54B37776"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£’000</w:t>
            </w:r>
          </w:p>
        </w:tc>
        <w:tc>
          <w:tcPr>
            <w:tcW w:w="1460" w:type="dxa"/>
            <w:tcBorders>
              <w:top w:val="nil"/>
              <w:left w:val="nil"/>
              <w:bottom w:val="single" w:sz="4" w:space="0" w:color="FFFFFF"/>
              <w:right w:val="single" w:sz="4" w:space="0" w:color="FFFFFF"/>
            </w:tcBorders>
            <w:shd w:val="clear" w:color="auto" w:fill="548DD4" w:themeFill="text2" w:themeFillTint="99"/>
            <w:vAlign w:val="center"/>
            <w:hideMark/>
          </w:tcPr>
          <w:p w14:paraId="03FAC3B6"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£’000</w:t>
            </w:r>
          </w:p>
        </w:tc>
        <w:tc>
          <w:tcPr>
            <w:tcW w:w="1440" w:type="dxa"/>
            <w:tcBorders>
              <w:top w:val="nil"/>
              <w:left w:val="nil"/>
              <w:bottom w:val="single" w:sz="4" w:space="0" w:color="FFFFFF"/>
              <w:right w:val="single" w:sz="4" w:space="0" w:color="FFFFFF"/>
            </w:tcBorders>
            <w:shd w:val="clear" w:color="auto" w:fill="548DD4" w:themeFill="text2" w:themeFillTint="99"/>
            <w:vAlign w:val="center"/>
            <w:hideMark/>
          </w:tcPr>
          <w:p w14:paraId="4632C86D"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£’000</w:t>
            </w:r>
          </w:p>
        </w:tc>
        <w:tc>
          <w:tcPr>
            <w:tcW w:w="2245" w:type="dxa"/>
            <w:tcBorders>
              <w:top w:val="nil"/>
              <w:left w:val="nil"/>
              <w:bottom w:val="single" w:sz="4" w:space="0" w:color="FFFFFF"/>
              <w:right w:val="single" w:sz="4" w:space="0" w:color="FFFFFF"/>
            </w:tcBorders>
            <w:shd w:val="clear" w:color="auto" w:fill="548DD4" w:themeFill="text2" w:themeFillTint="99"/>
            <w:vAlign w:val="center"/>
            <w:hideMark/>
          </w:tcPr>
          <w:p w14:paraId="253FD6FD" w14:textId="77777777" w:rsidR="00A12B28" w:rsidRPr="00A12B28" w:rsidRDefault="00A12B28" w:rsidP="00A12B28">
            <w:pPr>
              <w:jc w:val="right"/>
              <w:rPr>
                <w:rFonts w:ascii="Calibri" w:hAnsi="Calibri"/>
                <w:color w:val="000000"/>
                <w:lang w:eastAsia="en-GB"/>
              </w:rPr>
            </w:pPr>
            <w:r w:rsidRPr="00A12B28">
              <w:rPr>
                <w:rFonts w:ascii="Calibri" w:hAnsi="Calibri"/>
                <w:color w:val="000000"/>
                <w:lang w:eastAsia="en-GB"/>
              </w:rPr>
              <w:t>£’000</w:t>
            </w:r>
          </w:p>
        </w:tc>
      </w:tr>
      <w:tr w:rsidR="00A12B28" w:rsidRPr="00A12B28" w14:paraId="1CBA5F3A" w14:textId="77777777" w:rsidTr="00DA44C9">
        <w:trPr>
          <w:trHeight w:val="300"/>
        </w:trPr>
        <w:tc>
          <w:tcPr>
            <w:tcW w:w="172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0DEBE879" w14:textId="77777777" w:rsidR="00A12B28" w:rsidRPr="00A12B28" w:rsidRDefault="00A12B28" w:rsidP="00A12B28">
            <w:pPr>
              <w:rPr>
                <w:rFonts w:ascii="Calibri" w:hAnsi="Calibri"/>
                <w:color w:val="000000"/>
                <w:lang w:eastAsia="en-GB"/>
              </w:rPr>
            </w:pPr>
            <w:r w:rsidRPr="00A12B28">
              <w:rPr>
                <w:rFonts w:ascii="Calibri" w:hAnsi="Calibri"/>
                <w:color w:val="000000"/>
                <w:lang w:eastAsia="en-GB"/>
              </w:rPr>
              <w:t>Business Rates</w:t>
            </w:r>
          </w:p>
        </w:tc>
        <w:tc>
          <w:tcPr>
            <w:tcW w:w="2123" w:type="dxa"/>
            <w:tcBorders>
              <w:top w:val="nil"/>
              <w:left w:val="nil"/>
              <w:bottom w:val="single" w:sz="4" w:space="0" w:color="FFFFFF"/>
              <w:right w:val="single" w:sz="4" w:space="0" w:color="FFFFFF"/>
            </w:tcBorders>
            <w:shd w:val="clear" w:color="auto" w:fill="8DB3E2" w:themeFill="text2" w:themeFillTint="66"/>
            <w:vAlign w:val="center"/>
            <w:hideMark/>
          </w:tcPr>
          <w:p w14:paraId="2E420F93" w14:textId="1FBDDDE1" w:rsidR="00A12B28" w:rsidRPr="00A12B28" w:rsidRDefault="00D26465" w:rsidP="00511DCA">
            <w:pPr>
              <w:jc w:val="right"/>
              <w:rPr>
                <w:rFonts w:ascii="Calibri" w:hAnsi="Calibri"/>
                <w:color w:val="000000"/>
                <w:lang w:eastAsia="en-GB"/>
              </w:rPr>
            </w:pPr>
            <w:r>
              <w:rPr>
                <w:rFonts w:ascii="Calibri" w:hAnsi="Calibri"/>
                <w:color w:val="000000"/>
                <w:lang w:eastAsia="en-GB"/>
              </w:rPr>
              <w:t>1</w:t>
            </w:r>
            <w:r w:rsidR="00626C51">
              <w:rPr>
                <w:rFonts w:ascii="Calibri" w:hAnsi="Calibri"/>
                <w:color w:val="000000"/>
                <w:lang w:eastAsia="en-GB"/>
              </w:rPr>
              <w:t>77</w:t>
            </w:r>
          </w:p>
        </w:tc>
        <w:tc>
          <w:tcPr>
            <w:tcW w:w="1517" w:type="dxa"/>
            <w:tcBorders>
              <w:top w:val="nil"/>
              <w:left w:val="nil"/>
              <w:bottom w:val="single" w:sz="4" w:space="0" w:color="FFFFFF"/>
              <w:right w:val="single" w:sz="4" w:space="0" w:color="FFFFFF"/>
            </w:tcBorders>
            <w:shd w:val="clear" w:color="auto" w:fill="C6D9F1" w:themeFill="text2" w:themeFillTint="33"/>
            <w:vAlign w:val="center"/>
          </w:tcPr>
          <w:p w14:paraId="375C34EC" w14:textId="19B6A192" w:rsidR="00A12B28" w:rsidRPr="00A12B28" w:rsidRDefault="00B14925" w:rsidP="00B31B33">
            <w:pPr>
              <w:jc w:val="right"/>
              <w:rPr>
                <w:rFonts w:ascii="Calibri" w:hAnsi="Calibri"/>
                <w:color w:val="000000"/>
                <w:lang w:eastAsia="en-GB"/>
              </w:rPr>
            </w:pPr>
            <w:r>
              <w:rPr>
                <w:rFonts w:ascii="Calibri" w:hAnsi="Calibri"/>
                <w:color w:val="000000"/>
                <w:lang w:eastAsia="en-GB"/>
              </w:rPr>
              <w:t>26</w:t>
            </w:r>
          </w:p>
        </w:tc>
        <w:tc>
          <w:tcPr>
            <w:tcW w:w="1460" w:type="dxa"/>
            <w:tcBorders>
              <w:top w:val="nil"/>
              <w:left w:val="nil"/>
              <w:bottom w:val="single" w:sz="4" w:space="0" w:color="FFFFFF"/>
              <w:right w:val="single" w:sz="4" w:space="0" w:color="FFFFFF"/>
            </w:tcBorders>
            <w:shd w:val="clear" w:color="auto" w:fill="C6D9F1" w:themeFill="text2" w:themeFillTint="33"/>
            <w:vAlign w:val="center"/>
          </w:tcPr>
          <w:p w14:paraId="67671640" w14:textId="064B56BE" w:rsidR="00A12B28" w:rsidRPr="00A12B28" w:rsidRDefault="00B14925" w:rsidP="00A12B28">
            <w:pPr>
              <w:jc w:val="right"/>
              <w:rPr>
                <w:rFonts w:ascii="Calibri" w:hAnsi="Calibri"/>
                <w:color w:val="000000"/>
                <w:lang w:eastAsia="en-GB"/>
              </w:rPr>
            </w:pPr>
            <w:r>
              <w:rPr>
                <w:rFonts w:ascii="Calibri" w:hAnsi="Calibri"/>
                <w:color w:val="000000"/>
                <w:lang w:eastAsia="en-GB"/>
              </w:rPr>
              <w:t>66</w:t>
            </w:r>
          </w:p>
        </w:tc>
        <w:tc>
          <w:tcPr>
            <w:tcW w:w="1440" w:type="dxa"/>
            <w:tcBorders>
              <w:top w:val="nil"/>
              <w:left w:val="nil"/>
              <w:bottom w:val="single" w:sz="4" w:space="0" w:color="FFFFFF"/>
              <w:right w:val="single" w:sz="4" w:space="0" w:color="FFFFFF"/>
            </w:tcBorders>
            <w:shd w:val="clear" w:color="auto" w:fill="C6D9F1" w:themeFill="text2" w:themeFillTint="33"/>
            <w:vAlign w:val="center"/>
          </w:tcPr>
          <w:p w14:paraId="78CD9141" w14:textId="584571ED" w:rsidR="00A12B28" w:rsidRPr="00A12B28" w:rsidRDefault="00B14925" w:rsidP="00A12B28">
            <w:pPr>
              <w:jc w:val="right"/>
              <w:rPr>
                <w:rFonts w:ascii="Calibri" w:hAnsi="Calibri"/>
                <w:color w:val="000000"/>
                <w:lang w:eastAsia="en-GB"/>
              </w:rPr>
            </w:pPr>
            <w:r>
              <w:rPr>
                <w:rFonts w:ascii="Calibri" w:hAnsi="Calibri"/>
                <w:color w:val="000000"/>
                <w:lang w:eastAsia="en-GB"/>
              </w:rPr>
              <w:t>0</w:t>
            </w:r>
          </w:p>
        </w:tc>
        <w:tc>
          <w:tcPr>
            <w:tcW w:w="2245" w:type="dxa"/>
            <w:tcBorders>
              <w:top w:val="nil"/>
              <w:left w:val="nil"/>
              <w:bottom w:val="single" w:sz="4" w:space="0" w:color="FFFFFF"/>
              <w:right w:val="single" w:sz="4" w:space="0" w:color="FFFFFF"/>
            </w:tcBorders>
            <w:shd w:val="clear" w:color="auto" w:fill="8DB3E2" w:themeFill="text2" w:themeFillTint="66"/>
            <w:vAlign w:val="center"/>
          </w:tcPr>
          <w:p w14:paraId="014A5C0F" w14:textId="58EA6EEA" w:rsidR="00A12B28" w:rsidRPr="00A12B28" w:rsidRDefault="00B3471E" w:rsidP="00A12B28">
            <w:pPr>
              <w:jc w:val="right"/>
              <w:rPr>
                <w:rFonts w:ascii="Calibri" w:hAnsi="Calibri"/>
                <w:color w:val="000000"/>
                <w:lang w:eastAsia="en-GB"/>
              </w:rPr>
            </w:pPr>
            <w:r>
              <w:rPr>
                <w:rFonts w:ascii="Calibri" w:hAnsi="Calibri"/>
                <w:color w:val="000000"/>
                <w:lang w:eastAsia="en-GB"/>
              </w:rPr>
              <w:t>217</w:t>
            </w:r>
          </w:p>
        </w:tc>
      </w:tr>
      <w:tr w:rsidR="00A12B28" w:rsidRPr="00A12B28" w14:paraId="70B8209F" w14:textId="77777777" w:rsidTr="00DA44C9">
        <w:trPr>
          <w:trHeight w:val="300"/>
        </w:trPr>
        <w:tc>
          <w:tcPr>
            <w:tcW w:w="172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34E3FB41" w14:textId="77777777" w:rsidR="00A12B28" w:rsidRPr="00A12B28" w:rsidRDefault="00A12B28" w:rsidP="00A12B28">
            <w:pPr>
              <w:rPr>
                <w:rFonts w:ascii="Calibri" w:hAnsi="Calibri"/>
                <w:color w:val="000000"/>
                <w:lang w:eastAsia="en-GB"/>
              </w:rPr>
            </w:pPr>
            <w:r w:rsidRPr="00A12B28">
              <w:rPr>
                <w:rFonts w:ascii="Calibri" w:hAnsi="Calibri"/>
                <w:color w:val="000000"/>
                <w:lang w:eastAsia="en-GB"/>
              </w:rPr>
              <w:t>Council Tax</w:t>
            </w:r>
          </w:p>
        </w:tc>
        <w:tc>
          <w:tcPr>
            <w:tcW w:w="2123" w:type="dxa"/>
            <w:tcBorders>
              <w:top w:val="nil"/>
              <w:left w:val="nil"/>
              <w:bottom w:val="single" w:sz="4" w:space="0" w:color="FFFFFF"/>
              <w:right w:val="single" w:sz="4" w:space="0" w:color="FFFFFF"/>
            </w:tcBorders>
            <w:shd w:val="clear" w:color="auto" w:fill="8DB3E2" w:themeFill="text2" w:themeFillTint="66"/>
            <w:vAlign w:val="center"/>
            <w:hideMark/>
          </w:tcPr>
          <w:p w14:paraId="292AC106" w14:textId="4FEA08E4" w:rsidR="00A12B28" w:rsidRPr="00A12B28" w:rsidRDefault="00D26465" w:rsidP="00A12B28">
            <w:pPr>
              <w:jc w:val="right"/>
              <w:rPr>
                <w:rFonts w:ascii="Calibri" w:hAnsi="Calibri"/>
                <w:color w:val="000000"/>
                <w:lang w:eastAsia="en-GB"/>
              </w:rPr>
            </w:pPr>
            <w:r>
              <w:rPr>
                <w:rFonts w:ascii="Calibri" w:hAnsi="Calibri"/>
                <w:color w:val="000000"/>
                <w:lang w:eastAsia="en-GB"/>
              </w:rPr>
              <w:t>5</w:t>
            </w:r>
            <w:r w:rsidR="00626C51">
              <w:rPr>
                <w:rFonts w:ascii="Calibri" w:hAnsi="Calibri"/>
                <w:color w:val="000000"/>
                <w:lang w:eastAsia="en-GB"/>
              </w:rPr>
              <w:t>95</w:t>
            </w:r>
          </w:p>
        </w:tc>
        <w:tc>
          <w:tcPr>
            <w:tcW w:w="1517" w:type="dxa"/>
            <w:tcBorders>
              <w:top w:val="nil"/>
              <w:left w:val="nil"/>
              <w:bottom w:val="single" w:sz="4" w:space="0" w:color="FFFFFF"/>
              <w:right w:val="single" w:sz="4" w:space="0" w:color="FFFFFF"/>
            </w:tcBorders>
            <w:shd w:val="clear" w:color="auto" w:fill="C6D9F1" w:themeFill="text2" w:themeFillTint="33"/>
            <w:vAlign w:val="center"/>
          </w:tcPr>
          <w:p w14:paraId="683BBB30" w14:textId="30BD331D" w:rsidR="00A12B28" w:rsidRPr="00A12B28" w:rsidRDefault="00B14925" w:rsidP="00B31B33">
            <w:pPr>
              <w:jc w:val="right"/>
              <w:rPr>
                <w:rFonts w:ascii="Calibri" w:hAnsi="Calibri"/>
                <w:color w:val="000000"/>
                <w:lang w:eastAsia="en-GB"/>
              </w:rPr>
            </w:pPr>
            <w:r>
              <w:rPr>
                <w:rFonts w:ascii="Calibri" w:hAnsi="Calibri"/>
                <w:color w:val="000000"/>
                <w:lang w:eastAsia="en-GB"/>
              </w:rPr>
              <w:t>131</w:t>
            </w:r>
          </w:p>
        </w:tc>
        <w:tc>
          <w:tcPr>
            <w:tcW w:w="1460" w:type="dxa"/>
            <w:tcBorders>
              <w:top w:val="nil"/>
              <w:left w:val="nil"/>
              <w:bottom w:val="single" w:sz="4" w:space="0" w:color="FFFFFF"/>
              <w:right w:val="single" w:sz="4" w:space="0" w:color="FFFFFF"/>
            </w:tcBorders>
            <w:shd w:val="clear" w:color="auto" w:fill="C6D9F1" w:themeFill="text2" w:themeFillTint="33"/>
            <w:vAlign w:val="center"/>
          </w:tcPr>
          <w:p w14:paraId="568904E1" w14:textId="6E37E628" w:rsidR="00A12B28" w:rsidRPr="00A12B28" w:rsidRDefault="00B14925" w:rsidP="00A12B28">
            <w:pPr>
              <w:jc w:val="right"/>
              <w:rPr>
                <w:rFonts w:ascii="Calibri" w:hAnsi="Calibri"/>
                <w:color w:val="000000"/>
                <w:lang w:eastAsia="en-GB"/>
              </w:rPr>
            </w:pPr>
            <w:r>
              <w:rPr>
                <w:rFonts w:ascii="Calibri" w:hAnsi="Calibri"/>
                <w:color w:val="000000"/>
                <w:lang w:eastAsia="en-GB"/>
              </w:rPr>
              <w:t>257</w:t>
            </w:r>
          </w:p>
        </w:tc>
        <w:tc>
          <w:tcPr>
            <w:tcW w:w="1440" w:type="dxa"/>
            <w:tcBorders>
              <w:top w:val="nil"/>
              <w:left w:val="nil"/>
              <w:bottom w:val="single" w:sz="4" w:space="0" w:color="FFFFFF"/>
              <w:right w:val="single" w:sz="4" w:space="0" w:color="FFFFFF"/>
            </w:tcBorders>
            <w:shd w:val="clear" w:color="auto" w:fill="C6D9F1" w:themeFill="text2" w:themeFillTint="33"/>
            <w:vAlign w:val="center"/>
          </w:tcPr>
          <w:p w14:paraId="618D0533" w14:textId="7B306756" w:rsidR="00A12B28" w:rsidRPr="00A12B28" w:rsidRDefault="00B14925" w:rsidP="00A12B28">
            <w:pPr>
              <w:jc w:val="right"/>
              <w:rPr>
                <w:rFonts w:ascii="Calibri" w:hAnsi="Calibri"/>
                <w:color w:val="000000"/>
                <w:lang w:eastAsia="en-GB"/>
              </w:rPr>
            </w:pPr>
            <w:r>
              <w:rPr>
                <w:rFonts w:ascii="Calibri" w:hAnsi="Calibri"/>
                <w:color w:val="000000"/>
                <w:lang w:eastAsia="en-GB"/>
              </w:rPr>
              <w:t>0</w:t>
            </w:r>
          </w:p>
        </w:tc>
        <w:tc>
          <w:tcPr>
            <w:tcW w:w="2245" w:type="dxa"/>
            <w:tcBorders>
              <w:top w:val="nil"/>
              <w:left w:val="nil"/>
              <w:bottom w:val="single" w:sz="4" w:space="0" w:color="FFFFFF"/>
              <w:right w:val="single" w:sz="4" w:space="0" w:color="FFFFFF"/>
            </w:tcBorders>
            <w:shd w:val="clear" w:color="auto" w:fill="8DB3E2" w:themeFill="text2" w:themeFillTint="66"/>
            <w:vAlign w:val="center"/>
          </w:tcPr>
          <w:p w14:paraId="7A0D7115" w14:textId="2EDD036E" w:rsidR="00A12B28" w:rsidRPr="00A12B28" w:rsidRDefault="00B3471E" w:rsidP="00264430">
            <w:pPr>
              <w:jc w:val="right"/>
              <w:rPr>
                <w:rFonts w:ascii="Calibri" w:hAnsi="Calibri"/>
                <w:color w:val="000000"/>
                <w:lang w:eastAsia="en-GB"/>
              </w:rPr>
            </w:pPr>
            <w:r>
              <w:rPr>
                <w:rFonts w:ascii="Calibri" w:hAnsi="Calibri"/>
                <w:color w:val="000000"/>
                <w:lang w:eastAsia="en-GB"/>
              </w:rPr>
              <w:t>721</w:t>
            </w:r>
          </w:p>
        </w:tc>
      </w:tr>
      <w:tr w:rsidR="00A12B28" w:rsidRPr="00A12B28" w14:paraId="00C1327A" w14:textId="77777777" w:rsidTr="00DA44C9">
        <w:trPr>
          <w:trHeight w:val="300"/>
        </w:trPr>
        <w:tc>
          <w:tcPr>
            <w:tcW w:w="1720" w:type="dxa"/>
            <w:tcBorders>
              <w:top w:val="nil"/>
              <w:left w:val="single" w:sz="4" w:space="0" w:color="FFFFFF"/>
              <w:bottom w:val="single" w:sz="4" w:space="0" w:color="FFFFFF"/>
              <w:right w:val="single" w:sz="4" w:space="0" w:color="FFFFFF"/>
            </w:tcBorders>
            <w:shd w:val="clear" w:color="auto" w:fill="8DB3E2" w:themeFill="text2" w:themeFillTint="66"/>
            <w:vAlign w:val="center"/>
            <w:hideMark/>
          </w:tcPr>
          <w:p w14:paraId="62C8667A" w14:textId="77777777" w:rsidR="00A12B28" w:rsidRPr="00A12B28" w:rsidRDefault="00A12B28" w:rsidP="00A12B28">
            <w:pPr>
              <w:rPr>
                <w:rFonts w:ascii="Calibri" w:hAnsi="Calibri"/>
                <w:color w:val="000000"/>
                <w:lang w:eastAsia="en-GB"/>
              </w:rPr>
            </w:pPr>
            <w:r w:rsidRPr="00A12B28">
              <w:rPr>
                <w:rFonts w:ascii="Calibri" w:hAnsi="Calibri"/>
                <w:color w:val="000000"/>
                <w:lang w:eastAsia="en-GB"/>
              </w:rPr>
              <w:t> </w:t>
            </w:r>
          </w:p>
        </w:tc>
        <w:tc>
          <w:tcPr>
            <w:tcW w:w="2123" w:type="dxa"/>
            <w:tcBorders>
              <w:top w:val="nil"/>
              <w:left w:val="nil"/>
              <w:bottom w:val="single" w:sz="4" w:space="0" w:color="FFFFFF"/>
              <w:right w:val="single" w:sz="4" w:space="0" w:color="FFFFFF"/>
            </w:tcBorders>
            <w:shd w:val="clear" w:color="auto" w:fill="8DB3E2" w:themeFill="text2" w:themeFillTint="66"/>
            <w:vAlign w:val="center"/>
            <w:hideMark/>
          </w:tcPr>
          <w:p w14:paraId="3D1033C2" w14:textId="30BCBCB7" w:rsidR="00A12B28" w:rsidRPr="00A12B28" w:rsidRDefault="00626C51" w:rsidP="00A12B28">
            <w:pPr>
              <w:jc w:val="right"/>
              <w:rPr>
                <w:rFonts w:ascii="Calibri" w:hAnsi="Calibri"/>
                <w:b/>
                <w:bCs/>
                <w:color w:val="000000"/>
                <w:lang w:eastAsia="en-GB"/>
              </w:rPr>
            </w:pPr>
            <w:r>
              <w:rPr>
                <w:rFonts w:ascii="Calibri" w:hAnsi="Calibri"/>
                <w:b/>
                <w:bCs/>
                <w:color w:val="000000"/>
                <w:lang w:eastAsia="en-GB"/>
              </w:rPr>
              <w:t>772</w:t>
            </w:r>
          </w:p>
        </w:tc>
        <w:tc>
          <w:tcPr>
            <w:tcW w:w="1517" w:type="dxa"/>
            <w:tcBorders>
              <w:top w:val="nil"/>
              <w:left w:val="nil"/>
              <w:bottom w:val="single" w:sz="4" w:space="0" w:color="FFFFFF"/>
              <w:right w:val="single" w:sz="4" w:space="0" w:color="FFFFFF"/>
            </w:tcBorders>
            <w:shd w:val="clear" w:color="auto" w:fill="8DB3E2" w:themeFill="text2" w:themeFillTint="66"/>
            <w:vAlign w:val="center"/>
          </w:tcPr>
          <w:p w14:paraId="319E605C" w14:textId="493FF9AB" w:rsidR="00A12B28" w:rsidRPr="00A12B28" w:rsidRDefault="00B14925" w:rsidP="00B7744C">
            <w:pPr>
              <w:jc w:val="right"/>
              <w:rPr>
                <w:rFonts w:ascii="Calibri" w:hAnsi="Calibri"/>
                <w:b/>
                <w:bCs/>
                <w:color w:val="000000"/>
                <w:lang w:eastAsia="en-GB"/>
              </w:rPr>
            </w:pPr>
            <w:r>
              <w:rPr>
                <w:rFonts w:ascii="Calibri" w:hAnsi="Calibri"/>
                <w:b/>
                <w:bCs/>
                <w:color w:val="000000"/>
                <w:lang w:eastAsia="en-GB"/>
              </w:rPr>
              <w:t>157</w:t>
            </w:r>
          </w:p>
        </w:tc>
        <w:tc>
          <w:tcPr>
            <w:tcW w:w="1460" w:type="dxa"/>
            <w:tcBorders>
              <w:top w:val="nil"/>
              <w:left w:val="nil"/>
              <w:bottom w:val="single" w:sz="4" w:space="0" w:color="FFFFFF"/>
              <w:right w:val="single" w:sz="4" w:space="0" w:color="FFFFFF"/>
            </w:tcBorders>
            <w:shd w:val="clear" w:color="auto" w:fill="8DB3E2" w:themeFill="text2" w:themeFillTint="66"/>
            <w:vAlign w:val="center"/>
          </w:tcPr>
          <w:p w14:paraId="23E37CD2" w14:textId="7D9F0310" w:rsidR="00A12B28" w:rsidRPr="00A12B28" w:rsidRDefault="00B14925" w:rsidP="00A12B28">
            <w:pPr>
              <w:jc w:val="right"/>
              <w:rPr>
                <w:rFonts w:ascii="Calibri" w:hAnsi="Calibri"/>
                <w:b/>
                <w:bCs/>
                <w:color w:val="000000"/>
                <w:lang w:eastAsia="en-GB"/>
              </w:rPr>
            </w:pPr>
            <w:r>
              <w:rPr>
                <w:rFonts w:ascii="Calibri" w:hAnsi="Calibri"/>
                <w:b/>
                <w:bCs/>
                <w:color w:val="000000"/>
                <w:lang w:eastAsia="en-GB"/>
              </w:rPr>
              <w:t>323</w:t>
            </w:r>
          </w:p>
        </w:tc>
        <w:tc>
          <w:tcPr>
            <w:tcW w:w="1440" w:type="dxa"/>
            <w:tcBorders>
              <w:top w:val="nil"/>
              <w:left w:val="nil"/>
              <w:bottom w:val="single" w:sz="4" w:space="0" w:color="FFFFFF"/>
              <w:right w:val="single" w:sz="4" w:space="0" w:color="FFFFFF"/>
            </w:tcBorders>
            <w:shd w:val="clear" w:color="auto" w:fill="8DB3E2" w:themeFill="text2" w:themeFillTint="66"/>
            <w:vAlign w:val="center"/>
          </w:tcPr>
          <w:p w14:paraId="69383E22" w14:textId="0AF95112" w:rsidR="00A12B28" w:rsidRPr="00A12B28" w:rsidRDefault="00B14925" w:rsidP="00A12B28">
            <w:pPr>
              <w:jc w:val="right"/>
              <w:rPr>
                <w:rFonts w:ascii="Calibri" w:hAnsi="Calibri"/>
                <w:b/>
                <w:bCs/>
                <w:color w:val="000000"/>
                <w:lang w:eastAsia="en-GB"/>
              </w:rPr>
            </w:pPr>
            <w:r>
              <w:rPr>
                <w:rFonts w:ascii="Calibri" w:hAnsi="Calibri"/>
                <w:b/>
                <w:bCs/>
                <w:color w:val="000000"/>
                <w:lang w:eastAsia="en-GB"/>
              </w:rPr>
              <w:t>0</w:t>
            </w:r>
          </w:p>
        </w:tc>
        <w:tc>
          <w:tcPr>
            <w:tcW w:w="2245" w:type="dxa"/>
            <w:tcBorders>
              <w:top w:val="nil"/>
              <w:left w:val="nil"/>
              <w:bottom w:val="single" w:sz="4" w:space="0" w:color="FFFFFF"/>
              <w:right w:val="single" w:sz="4" w:space="0" w:color="FFFFFF"/>
            </w:tcBorders>
            <w:shd w:val="clear" w:color="auto" w:fill="8DB3E2" w:themeFill="text2" w:themeFillTint="66"/>
            <w:vAlign w:val="center"/>
          </w:tcPr>
          <w:p w14:paraId="2DB480E2" w14:textId="22469EB5" w:rsidR="00A12B28" w:rsidRPr="00A12B28" w:rsidRDefault="00B14925" w:rsidP="00A12B28">
            <w:pPr>
              <w:jc w:val="right"/>
              <w:rPr>
                <w:rFonts w:ascii="Calibri" w:hAnsi="Calibri"/>
                <w:b/>
                <w:bCs/>
                <w:color w:val="000000"/>
                <w:lang w:eastAsia="en-GB"/>
              </w:rPr>
            </w:pPr>
            <w:r>
              <w:rPr>
                <w:rFonts w:ascii="Calibri" w:hAnsi="Calibri"/>
                <w:b/>
                <w:bCs/>
                <w:color w:val="000000"/>
                <w:lang w:eastAsia="en-GB"/>
              </w:rPr>
              <w:t>938</w:t>
            </w:r>
          </w:p>
        </w:tc>
      </w:tr>
    </w:tbl>
    <w:p w14:paraId="0EBA13AB" w14:textId="77777777" w:rsidR="0052402C" w:rsidRPr="004C6DC4" w:rsidRDefault="0052402C" w:rsidP="000563A6">
      <w:pPr>
        <w:widowControl w:val="0"/>
        <w:rPr>
          <w:rFonts w:ascii="Arial" w:hAnsi="Arial" w:cs="Arial"/>
        </w:rPr>
      </w:pPr>
    </w:p>
    <w:p w14:paraId="13913415" w14:textId="77777777" w:rsidR="0052402C" w:rsidRPr="0068302D" w:rsidRDefault="0052402C" w:rsidP="007C6C6F">
      <w:pPr>
        <w:pStyle w:val="Heading1"/>
      </w:pPr>
      <w:bookmarkStart w:id="16" w:name="_Hlk134203832"/>
      <w:r w:rsidRPr="0068302D">
        <w:t>N</w:t>
      </w:r>
      <w:r w:rsidR="0068302D" w:rsidRPr="0068302D">
        <w:t>otes to Collection Fund Statement</w:t>
      </w:r>
    </w:p>
    <w:p w14:paraId="4487C802" w14:textId="77777777" w:rsidR="0052402C" w:rsidRPr="004C6DC4" w:rsidRDefault="0052402C" w:rsidP="0052402C">
      <w:pPr>
        <w:widowControl w:val="0"/>
        <w:tabs>
          <w:tab w:val="left" w:pos="2160"/>
          <w:tab w:val="left" w:pos="5040"/>
          <w:tab w:val="left" w:pos="7020"/>
        </w:tabs>
        <w:ind w:left="720" w:hanging="720"/>
        <w:rPr>
          <w:rFonts w:ascii="Arial" w:hAnsi="Arial" w:cs="Arial"/>
        </w:rPr>
      </w:pPr>
    </w:p>
    <w:p w14:paraId="2810C3AA" w14:textId="77777777" w:rsidR="0052402C" w:rsidRPr="0068302D" w:rsidRDefault="0052402C" w:rsidP="000F0E91">
      <w:pPr>
        <w:tabs>
          <w:tab w:val="left" w:pos="426"/>
        </w:tabs>
        <w:rPr>
          <w:rFonts w:asciiTheme="minorHAnsi" w:hAnsiTheme="minorHAnsi" w:cs="Arial"/>
          <w:b/>
          <w:sz w:val="24"/>
          <w:szCs w:val="24"/>
          <w:u w:val="single"/>
        </w:rPr>
      </w:pPr>
      <w:r w:rsidRPr="0068302D">
        <w:rPr>
          <w:rFonts w:asciiTheme="minorHAnsi" w:hAnsiTheme="minorHAnsi" w:cs="Arial"/>
          <w:b/>
          <w:bCs/>
          <w:sz w:val="24"/>
          <w:szCs w:val="24"/>
        </w:rPr>
        <w:t>1</w:t>
      </w:r>
      <w:r w:rsidRPr="0068302D">
        <w:rPr>
          <w:rFonts w:asciiTheme="minorHAnsi" w:hAnsiTheme="minorHAnsi" w:cs="Arial"/>
          <w:b/>
          <w:sz w:val="24"/>
          <w:szCs w:val="24"/>
        </w:rPr>
        <w:tab/>
        <w:t>Council Tax Base</w:t>
      </w:r>
    </w:p>
    <w:p w14:paraId="262F2521" w14:textId="77777777" w:rsidR="0052402C" w:rsidRPr="004C6DC4" w:rsidRDefault="0052402C" w:rsidP="0052402C">
      <w:pPr>
        <w:rPr>
          <w:rFonts w:ascii="Arial" w:hAnsi="Arial" w:cs="Arial"/>
        </w:rPr>
      </w:pPr>
    </w:p>
    <w:tbl>
      <w:tblPr>
        <w:tblW w:w="8980" w:type="dxa"/>
        <w:tblInd w:w="93" w:type="dxa"/>
        <w:tblLook w:val="04A0" w:firstRow="1" w:lastRow="0" w:firstColumn="1" w:lastColumn="0" w:noHBand="0" w:noVBand="1"/>
        <w:tblCaption w:val="Council Tax Base"/>
        <w:tblDescription w:val="Council Tax Base"/>
      </w:tblPr>
      <w:tblGrid>
        <w:gridCol w:w="960"/>
        <w:gridCol w:w="3400"/>
        <w:gridCol w:w="2620"/>
        <w:gridCol w:w="2000"/>
      </w:tblGrid>
      <w:tr w:rsidR="0068302D" w:rsidRPr="0068302D" w14:paraId="02268C5B" w14:textId="77777777" w:rsidTr="00110931">
        <w:trPr>
          <w:cantSplit/>
          <w:trHeight w:val="300"/>
          <w:tblHeader/>
        </w:trPr>
        <w:tc>
          <w:tcPr>
            <w:tcW w:w="96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79B02AB1" w14:textId="77777777" w:rsidR="0068302D" w:rsidRPr="0068302D" w:rsidRDefault="0068302D" w:rsidP="0068302D">
            <w:pPr>
              <w:rPr>
                <w:rFonts w:ascii="Calibri" w:hAnsi="Calibri"/>
                <w:b/>
                <w:bCs/>
                <w:color w:val="000000"/>
                <w:lang w:eastAsia="en-GB"/>
              </w:rPr>
            </w:pPr>
            <w:r w:rsidRPr="0068302D">
              <w:rPr>
                <w:rFonts w:ascii="Calibri" w:hAnsi="Calibri"/>
                <w:b/>
                <w:bCs/>
                <w:color w:val="000000"/>
                <w:lang w:eastAsia="en-GB"/>
              </w:rPr>
              <w:t>Band</w:t>
            </w:r>
          </w:p>
        </w:tc>
        <w:tc>
          <w:tcPr>
            <w:tcW w:w="340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7662C1FB" w14:textId="77777777" w:rsidR="0068302D" w:rsidRPr="0068302D" w:rsidRDefault="0068302D" w:rsidP="0068302D">
            <w:pPr>
              <w:rPr>
                <w:rFonts w:ascii="Calibri" w:hAnsi="Calibri"/>
                <w:b/>
                <w:bCs/>
                <w:color w:val="000000"/>
                <w:lang w:eastAsia="en-GB"/>
              </w:rPr>
            </w:pPr>
            <w:r w:rsidRPr="0068302D">
              <w:rPr>
                <w:rFonts w:ascii="Calibri" w:hAnsi="Calibri"/>
                <w:b/>
                <w:bCs/>
                <w:color w:val="000000"/>
                <w:lang w:eastAsia="en-GB"/>
              </w:rPr>
              <w:t>Range of Values</w:t>
            </w:r>
          </w:p>
        </w:tc>
        <w:tc>
          <w:tcPr>
            <w:tcW w:w="262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45B8B9C9" w14:textId="26179C7F" w:rsidR="0068302D" w:rsidRPr="0068302D" w:rsidRDefault="0068302D" w:rsidP="00264430">
            <w:pPr>
              <w:jc w:val="right"/>
              <w:rPr>
                <w:rFonts w:ascii="Calibri" w:hAnsi="Calibri"/>
                <w:b/>
                <w:bCs/>
                <w:color w:val="000000"/>
                <w:lang w:eastAsia="en-GB"/>
              </w:rPr>
            </w:pPr>
            <w:r w:rsidRPr="0068302D">
              <w:rPr>
                <w:rFonts w:ascii="Calibri" w:hAnsi="Calibri"/>
                <w:b/>
                <w:bCs/>
                <w:color w:val="000000"/>
                <w:lang w:eastAsia="en-GB"/>
              </w:rPr>
              <w:t>Number of Properties (Valuation List March 20</w:t>
            </w:r>
            <w:r w:rsidR="00264430">
              <w:rPr>
                <w:rFonts w:ascii="Calibri" w:hAnsi="Calibri"/>
                <w:b/>
                <w:bCs/>
                <w:color w:val="000000"/>
                <w:lang w:eastAsia="en-GB"/>
              </w:rPr>
              <w:t>2</w:t>
            </w:r>
            <w:r w:rsidR="00626C51">
              <w:rPr>
                <w:rFonts w:ascii="Calibri" w:hAnsi="Calibri"/>
                <w:b/>
                <w:bCs/>
                <w:color w:val="000000"/>
                <w:lang w:eastAsia="en-GB"/>
              </w:rPr>
              <w:t>2</w:t>
            </w:r>
            <w:r w:rsidRPr="0068302D">
              <w:rPr>
                <w:rFonts w:ascii="Calibri" w:hAnsi="Calibri"/>
                <w:b/>
                <w:bCs/>
                <w:color w:val="000000"/>
                <w:lang w:eastAsia="en-GB"/>
              </w:rPr>
              <w:t>)</w:t>
            </w:r>
          </w:p>
        </w:tc>
        <w:tc>
          <w:tcPr>
            <w:tcW w:w="2000"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5ABC3ABF" w14:textId="77777777" w:rsidR="0068302D" w:rsidRPr="0068302D" w:rsidRDefault="0068302D" w:rsidP="0068302D">
            <w:pPr>
              <w:jc w:val="right"/>
              <w:rPr>
                <w:rFonts w:ascii="Calibri" w:hAnsi="Calibri"/>
                <w:b/>
                <w:bCs/>
                <w:color w:val="000000"/>
                <w:lang w:eastAsia="en-GB"/>
              </w:rPr>
            </w:pPr>
            <w:r w:rsidRPr="0068302D">
              <w:rPr>
                <w:rFonts w:ascii="Calibri" w:hAnsi="Calibri"/>
                <w:b/>
                <w:bCs/>
                <w:color w:val="000000"/>
                <w:lang w:eastAsia="en-GB"/>
              </w:rPr>
              <w:t>Council Tax Base Band D Equivalents*</w:t>
            </w:r>
          </w:p>
        </w:tc>
      </w:tr>
      <w:tr w:rsidR="0068302D" w:rsidRPr="0068302D" w14:paraId="012A197A" w14:textId="77777777" w:rsidTr="007F516A">
        <w:trPr>
          <w:trHeight w:val="300"/>
        </w:trPr>
        <w:tc>
          <w:tcPr>
            <w:tcW w:w="96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1BE31FCE" w14:textId="77777777" w:rsidR="0068302D" w:rsidRPr="0068302D" w:rsidRDefault="0068302D" w:rsidP="0068302D">
            <w:pPr>
              <w:rPr>
                <w:rFonts w:ascii="Calibri" w:hAnsi="Calibri"/>
                <w:b/>
                <w:bCs/>
                <w:color w:val="000000"/>
                <w:lang w:eastAsia="en-GB"/>
              </w:rPr>
            </w:pPr>
          </w:p>
        </w:tc>
        <w:tc>
          <w:tcPr>
            <w:tcW w:w="340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7347E3C6" w14:textId="77777777" w:rsidR="0068302D" w:rsidRPr="0068302D" w:rsidRDefault="0068302D" w:rsidP="0068302D">
            <w:pPr>
              <w:rPr>
                <w:rFonts w:ascii="Calibri" w:hAnsi="Calibri"/>
                <w:b/>
                <w:bCs/>
                <w:color w:val="000000"/>
                <w:lang w:eastAsia="en-GB"/>
              </w:rPr>
            </w:pPr>
          </w:p>
        </w:tc>
        <w:tc>
          <w:tcPr>
            <w:tcW w:w="262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27FA0DC7" w14:textId="77777777" w:rsidR="0068302D" w:rsidRPr="0068302D" w:rsidRDefault="0068302D" w:rsidP="0068302D">
            <w:pPr>
              <w:rPr>
                <w:rFonts w:ascii="Calibri" w:hAnsi="Calibri"/>
                <w:b/>
                <w:bCs/>
                <w:color w:val="000000"/>
                <w:lang w:eastAsia="en-GB"/>
              </w:rPr>
            </w:pPr>
          </w:p>
        </w:tc>
        <w:tc>
          <w:tcPr>
            <w:tcW w:w="2000"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3EEF6608" w14:textId="77777777" w:rsidR="0068302D" w:rsidRPr="0068302D" w:rsidRDefault="0068302D" w:rsidP="0068302D">
            <w:pPr>
              <w:rPr>
                <w:rFonts w:ascii="Calibri" w:hAnsi="Calibri"/>
                <w:b/>
                <w:bCs/>
                <w:color w:val="000000"/>
                <w:lang w:eastAsia="en-GB"/>
              </w:rPr>
            </w:pPr>
          </w:p>
        </w:tc>
      </w:tr>
      <w:tr w:rsidR="0068302D" w:rsidRPr="0068302D" w14:paraId="2317D3B1"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47200542" w14:textId="77777777" w:rsidR="0068302D" w:rsidRPr="0068302D" w:rsidRDefault="004A2A77" w:rsidP="0068302D">
            <w:pPr>
              <w:rPr>
                <w:rFonts w:ascii="Calibri" w:hAnsi="Calibri"/>
                <w:color w:val="000000"/>
                <w:lang w:eastAsia="en-GB"/>
              </w:rPr>
            </w:pPr>
            <w:r>
              <w:rPr>
                <w:rFonts w:ascii="Calibri" w:hAnsi="Calibri"/>
                <w:color w:val="000000"/>
                <w:lang w:eastAsia="en-GB"/>
              </w:rPr>
              <w:t>&lt;A</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327687B3" w14:textId="77777777" w:rsidR="0068302D" w:rsidRPr="0068302D" w:rsidRDefault="0068302D" w:rsidP="0068302D">
            <w:pPr>
              <w:rPr>
                <w:rFonts w:ascii="Calibri" w:hAnsi="Calibri"/>
                <w:color w:val="000000"/>
                <w:lang w:eastAsia="en-GB"/>
              </w:rPr>
            </w:pPr>
            <w:r w:rsidRPr="0068302D">
              <w:rPr>
                <w:rFonts w:ascii="Calibri" w:hAnsi="Calibri"/>
                <w:color w:val="000000"/>
                <w:lang w:eastAsia="en-GB"/>
              </w:rPr>
              <w:t>Adapted for disabled use</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0840B15A" w14:textId="76E64F46" w:rsidR="0068302D" w:rsidRPr="0068302D" w:rsidRDefault="0068302D" w:rsidP="00264430">
            <w:pPr>
              <w:jc w:val="right"/>
              <w:rPr>
                <w:rFonts w:ascii="Calibri" w:hAnsi="Calibri"/>
                <w:color w:val="000000"/>
                <w:lang w:eastAsia="en-GB"/>
              </w:rPr>
            </w:pP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34E07C93" w14:textId="7D49F9EF" w:rsidR="0068302D" w:rsidRPr="0068302D" w:rsidRDefault="000040B7" w:rsidP="00C07C4A">
            <w:pPr>
              <w:jc w:val="right"/>
              <w:rPr>
                <w:rFonts w:ascii="Calibri" w:hAnsi="Calibri"/>
                <w:color w:val="000000"/>
                <w:lang w:eastAsia="en-GB"/>
              </w:rPr>
            </w:pPr>
            <w:r>
              <w:rPr>
                <w:rFonts w:ascii="Calibri" w:hAnsi="Calibri"/>
                <w:color w:val="000000"/>
                <w:lang w:eastAsia="en-GB"/>
              </w:rPr>
              <w:t>4</w:t>
            </w:r>
          </w:p>
        </w:tc>
      </w:tr>
      <w:tr w:rsidR="00510506" w:rsidRPr="0068302D" w14:paraId="7AA9004E"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6421014B"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A</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613B8BD6"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Up to £40,000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447078AB" w14:textId="658B41BF" w:rsidR="00510506" w:rsidRPr="0068302D" w:rsidRDefault="000040B7" w:rsidP="00510506">
            <w:pPr>
              <w:jc w:val="right"/>
              <w:rPr>
                <w:rFonts w:ascii="Calibri" w:hAnsi="Calibri"/>
                <w:color w:val="000000"/>
                <w:lang w:eastAsia="en-GB"/>
              </w:rPr>
            </w:pPr>
            <w:r>
              <w:rPr>
                <w:rFonts w:ascii="Calibri" w:hAnsi="Calibri"/>
                <w:color w:val="000000"/>
                <w:lang w:eastAsia="en-GB"/>
              </w:rPr>
              <w:t>3,638</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29D20F7D" w14:textId="4AD892A6" w:rsidR="00510506" w:rsidRPr="0068302D" w:rsidRDefault="000040B7" w:rsidP="00510506">
            <w:pPr>
              <w:jc w:val="right"/>
              <w:rPr>
                <w:rFonts w:ascii="Calibri" w:hAnsi="Calibri"/>
                <w:color w:val="000000"/>
                <w:lang w:eastAsia="en-GB"/>
              </w:rPr>
            </w:pPr>
            <w:r>
              <w:rPr>
                <w:rFonts w:ascii="Calibri" w:hAnsi="Calibri"/>
                <w:color w:val="000000"/>
                <w:lang w:eastAsia="en-GB"/>
              </w:rPr>
              <w:t>1,659</w:t>
            </w:r>
          </w:p>
        </w:tc>
      </w:tr>
      <w:tr w:rsidR="00510506" w:rsidRPr="0068302D" w14:paraId="6F0FE42B"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407D9EA1"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B</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2E3B6EB7"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£40,000 and up to £52,000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39132F5C" w14:textId="4B039DC0" w:rsidR="00510506" w:rsidRPr="0068302D" w:rsidRDefault="000040B7" w:rsidP="00510506">
            <w:pPr>
              <w:jc w:val="right"/>
              <w:rPr>
                <w:rFonts w:ascii="Calibri" w:hAnsi="Calibri"/>
                <w:color w:val="000000"/>
                <w:lang w:eastAsia="en-GB"/>
              </w:rPr>
            </w:pPr>
            <w:r>
              <w:rPr>
                <w:rFonts w:ascii="Calibri" w:hAnsi="Calibri"/>
                <w:color w:val="000000"/>
                <w:lang w:eastAsia="en-GB"/>
              </w:rPr>
              <w:t>7,465</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300C9DD6" w14:textId="61BC0D0E" w:rsidR="00510506" w:rsidRPr="0068302D" w:rsidRDefault="000040B7" w:rsidP="00510506">
            <w:pPr>
              <w:jc w:val="right"/>
              <w:rPr>
                <w:rFonts w:ascii="Calibri" w:hAnsi="Calibri"/>
                <w:color w:val="000000"/>
                <w:lang w:eastAsia="en-GB"/>
              </w:rPr>
            </w:pPr>
            <w:r>
              <w:rPr>
                <w:rFonts w:ascii="Calibri" w:hAnsi="Calibri"/>
                <w:color w:val="000000"/>
                <w:lang w:eastAsia="en-GB"/>
              </w:rPr>
              <w:t>4,637</w:t>
            </w:r>
          </w:p>
        </w:tc>
      </w:tr>
      <w:tr w:rsidR="00510506" w:rsidRPr="0068302D" w14:paraId="0CD5E2A4"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4FB1461F"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C</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5EDC00E1"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£52,000 and up to £68,000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391AADFA" w14:textId="71D12D5C" w:rsidR="00510506" w:rsidRPr="0068302D" w:rsidRDefault="000040B7" w:rsidP="00510506">
            <w:pPr>
              <w:jc w:val="right"/>
              <w:rPr>
                <w:rFonts w:ascii="Calibri" w:hAnsi="Calibri"/>
                <w:color w:val="000000"/>
                <w:lang w:eastAsia="en-GB"/>
              </w:rPr>
            </w:pPr>
            <w:r>
              <w:rPr>
                <w:rFonts w:ascii="Calibri" w:hAnsi="Calibri"/>
                <w:color w:val="000000"/>
                <w:lang w:eastAsia="en-GB"/>
              </w:rPr>
              <w:t>3,908</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4F911B6C" w14:textId="6DFBD43F" w:rsidR="00510506" w:rsidRPr="0068302D" w:rsidRDefault="000040B7" w:rsidP="00510506">
            <w:pPr>
              <w:jc w:val="right"/>
              <w:rPr>
                <w:rFonts w:ascii="Calibri" w:hAnsi="Calibri"/>
                <w:color w:val="000000"/>
                <w:lang w:eastAsia="en-GB"/>
              </w:rPr>
            </w:pPr>
            <w:r>
              <w:rPr>
                <w:rFonts w:ascii="Calibri" w:hAnsi="Calibri"/>
                <w:color w:val="000000"/>
                <w:lang w:eastAsia="en-GB"/>
              </w:rPr>
              <w:t>3,021</w:t>
            </w:r>
          </w:p>
        </w:tc>
      </w:tr>
      <w:tr w:rsidR="00510506" w:rsidRPr="0068302D" w14:paraId="5A3FCC67"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04647058"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D</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1C368D61"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£68,000 and up to £88,000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73DA788F" w14:textId="7E11A94B" w:rsidR="00510506" w:rsidRPr="0068302D" w:rsidRDefault="000040B7" w:rsidP="00510506">
            <w:pPr>
              <w:jc w:val="right"/>
              <w:rPr>
                <w:rFonts w:ascii="Calibri" w:hAnsi="Calibri"/>
                <w:color w:val="000000"/>
                <w:lang w:eastAsia="en-GB"/>
              </w:rPr>
            </w:pPr>
            <w:r>
              <w:rPr>
                <w:rFonts w:ascii="Calibri" w:hAnsi="Calibri"/>
                <w:color w:val="000000"/>
                <w:lang w:eastAsia="en-GB"/>
              </w:rPr>
              <w:t>3,700</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1F4FFA3E" w14:textId="053012D0" w:rsidR="00510506" w:rsidRPr="0068302D" w:rsidRDefault="000040B7" w:rsidP="00510506">
            <w:pPr>
              <w:jc w:val="right"/>
              <w:rPr>
                <w:rFonts w:ascii="Calibri" w:hAnsi="Calibri"/>
                <w:color w:val="000000"/>
                <w:lang w:eastAsia="en-GB"/>
              </w:rPr>
            </w:pPr>
            <w:r>
              <w:rPr>
                <w:rFonts w:ascii="Calibri" w:hAnsi="Calibri"/>
                <w:color w:val="000000"/>
                <w:lang w:eastAsia="en-GB"/>
              </w:rPr>
              <w:t>3,364</w:t>
            </w:r>
          </w:p>
        </w:tc>
      </w:tr>
      <w:tr w:rsidR="00510506" w:rsidRPr="0068302D" w14:paraId="1402F980"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5C9167E1"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E</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514B021F"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£88,000 and up to £120,000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459D41DE" w14:textId="6D7C7AFF" w:rsidR="00510506" w:rsidRPr="0068302D" w:rsidRDefault="000040B7" w:rsidP="00510506">
            <w:pPr>
              <w:jc w:val="right"/>
              <w:rPr>
                <w:rFonts w:ascii="Calibri" w:hAnsi="Calibri"/>
                <w:color w:val="000000"/>
                <w:lang w:eastAsia="en-GB"/>
              </w:rPr>
            </w:pPr>
            <w:r>
              <w:rPr>
                <w:rFonts w:ascii="Calibri" w:hAnsi="Calibri"/>
                <w:color w:val="000000"/>
                <w:lang w:eastAsia="en-GB"/>
              </w:rPr>
              <w:t>2,521</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3CF4BCFD" w14:textId="2E502D1F" w:rsidR="00510506" w:rsidRPr="0068302D" w:rsidRDefault="000040B7" w:rsidP="00510506">
            <w:pPr>
              <w:jc w:val="right"/>
              <w:rPr>
                <w:rFonts w:ascii="Calibri" w:hAnsi="Calibri"/>
                <w:color w:val="000000"/>
                <w:lang w:eastAsia="en-GB"/>
              </w:rPr>
            </w:pPr>
            <w:r>
              <w:rPr>
                <w:rFonts w:ascii="Calibri" w:hAnsi="Calibri"/>
                <w:color w:val="000000"/>
                <w:lang w:eastAsia="en-GB"/>
              </w:rPr>
              <w:t>2,856</w:t>
            </w:r>
          </w:p>
        </w:tc>
      </w:tr>
      <w:tr w:rsidR="00510506" w:rsidRPr="0068302D" w14:paraId="199EEA8B"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512A50D5"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F</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5F6BD118"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£120,000 and up to £160,000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46417E21" w14:textId="14C60F57" w:rsidR="00510506" w:rsidRPr="0068302D" w:rsidRDefault="000040B7" w:rsidP="00510506">
            <w:pPr>
              <w:jc w:val="right"/>
              <w:rPr>
                <w:rFonts w:ascii="Calibri" w:hAnsi="Calibri"/>
                <w:color w:val="000000"/>
                <w:lang w:eastAsia="en-GB"/>
              </w:rPr>
            </w:pPr>
            <w:r>
              <w:rPr>
                <w:rFonts w:ascii="Calibri" w:hAnsi="Calibri"/>
                <w:color w:val="000000"/>
                <w:lang w:eastAsia="en-GB"/>
              </w:rPr>
              <w:t>1,549</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59908DDB" w14:textId="6E78A5C1" w:rsidR="00510506" w:rsidRPr="0068302D" w:rsidRDefault="00A05812" w:rsidP="00510506">
            <w:pPr>
              <w:jc w:val="right"/>
              <w:rPr>
                <w:rFonts w:ascii="Calibri" w:hAnsi="Calibri"/>
                <w:color w:val="000000"/>
                <w:lang w:eastAsia="en-GB"/>
              </w:rPr>
            </w:pPr>
            <w:r>
              <w:rPr>
                <w:rFonts w:ascii="Calibri" w:hAnsi="Calibri"/>
                <w:color w:val="000000"/>
                <w:lang w:eastAsia="en-GB"/>
              </w:rPr>
              <w:t>2,101</w:t>
            </w:r>
          </w:p>
        </w:tc>
      </w:tr>
      <w:tr w:rsidR="00510506" w:rsidRPr="0068302D" w14:paraId="1B0069D9"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0098A420"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G</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7ADD19FE"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£160,000 and up to £320,000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0F3B1239" w14:textId="62EF4513" w:rsidR="00510506" w:rsidRPr="0068302D" w:rsidRDefault="000040B7" w:rsidP="00510506">
            <w:pPr>
              <w:jc w:val="right"/>
              <w:rPr>
                <w:rFonts w:ascii="Calibri" w:hAnsi="Calibri"/>
                <w:color w:val="000000"/>
                <w:lang w:eastAsia="en-GB"/>
              </w:rPr>
            </w:pPr>
            <w:r>
              <w:rPr>
                <w:rFonts w:ascii="Calibri" w:hAnsi="Calibri"/>
                <w:color w:val="000000"/>
                <w:lang w:eastAsia="en-GB"/>
              </w:rPr>
              <w:t>998</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6836D7C4" w14:textId="252C40BD" w:rsidR="00510506" w:rsidRPr="0068302D" w:rsidRDefault="000040B7" w:rsidP="00510506">
            <w:pPr>
              <w:jc w:val="right"/>
              <w:rPr>
                <w:rFonts w:ascii="Calibri" w:hAnsi="Calibri"/>
                <w:color w:val="000000"/>
                <w:lang w:eastAsia="en-GB"/>
              </w:rPr>
            </w:pPr>
            <w:r>
              <w:rPr>
                <w:rFonts w:ascii="Calibri" w:hAnsi="Calibri"/>
                <w:color w:val="000000"/>
                <w:lang w:eastAsia="en-GB"/>
              </w:rPr>
              <w:t>1,548</w:t>
            </w:r>
          </w:p>
        </w:tc>
      </w:tr>
      <w:tr w:rsidR="00510506" w:rsidRPr="0068302D" w14:paraId="5119E4F6"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79E97608"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H</w:t>
            </w:r>
          </w:p>
        </w:tc>
        <w:tc>
          <w:tcPr>
            <w:tcW w:w="3400" w:type="dxa"/>
            <w:tcBorders>
              <w:top w:val="nil"/>
              <w:left w:val="nil"/>
              <w:bottom w:val="single" w:sz="4" w:space="0" w:color="FFFFFF"/>
              <w:right w:val="single" w:sz="4" w:space="0" w:color="FFFFFF"/>
            </w:tcBorders>
            <w:shd w:val="clear" w:color="auto" w:fill="C6D9F1" w:themeFill="text2" w:themeFillTint="33"/>
            <w:vAlign w:val="center"/>
            <w:hideMark/>
          </w:tcPr>
          <w:p w14:paraId="0C6206B2"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Over £320,000</w:t>
            </w:r>
          </w:p>
        </w:tc>
        <w:tc>
          <w:tcPr>
            <w:tcW w:w="262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27A7A2D2" w14:textId="175B708E" w:rsidR="00510506" w:rsidRPr="0068302D" w:rsidRDefault="000040B7" w:rsidP="00510506">
            <w:pPr>
              <w:jc w:val="right"/>
              <w:rPr>
                <w:rFonts w:ascii="Calibri" w:hAnsi="Calibri"/>
                <w:color w:val="000000"/>
                <w:lang w:eastAsia="en-GB"/>
              </w:rPr>
            </w:pPr>
            <w:r>
              <w:rPr>
                <w:rFonts w:ascii="Calibri" w:hAnsi="Calibri"/>
                <w:color w:val="000000"/>
                <w:lang w:eastAsia="en-GB"/>
              </w:rPr>
              <w:t>91</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tcPr>
          <w:p w14:paraId="651E290E" w14:textId="1C1347F8" w:rsidR="00510506" w:rsidRPr="0068302D" w:rsidRDefault="000040B7" w:rsidP="00510506">
            <w:pPr>
              <w:jc w:val="right"/>
              <w:rPr>
                <w:rFonts w:ascii="Calibri" w:hAnsi="Calibri"/>
                <w:color w:val="000000"/>
                <w:lang w:eastAsia="en-GB"/>
              </w:rPr>
            </w:pPr>
            <w:r>
              <w:rPr>
                <w:rFonts w:ascii="Calibri" w:hAnsi="Calibri"/>
                <w:color w:val="000000"/>
                <w:lang w:eastAsia="en-GB"/>
              </w:rPr>
              <w:t>168</w:t>
            </w:r>
          </w:p>
        </w:tc>
      </w:tr>
      <w:tr w:rsidR="00510506" w:rsidRPr="0068302D" w14:paraId="12726137" w14:textId="77777777" w:rsidTr="008405EB">
        <w:trPr>
          <w:trHeight w:val="300"/>
        </w:trPr>
        <w:tc>
          <w:tcPr>
            <w:tcW w:w="960" w:type="dxa"/>
            <w:tcBorders>
              <w:top w:val="nil"/>
              <w:left w:val="single" w:sz="4" w:space="0" w:color="FFFFFF"/>
              <w:bottom w:val="single" w:sz="4" w:space="0" w:color="FFFFFF"/>
              <w:right w:val="single" w:sz="4" w:space="0" w:color="FFFFFF"/>
            </w:tcBorders>
            <w:shd w:val="clear" w:color="auto" w:fill="8DB3E2" w:themeFill="text2" w:themeFillTint="66"/>
            <w:vAlign w:val="center"/>
            <w:hideMark/>
          </w:tcPr>
          <w:p w14:paraId="69719A44" w14:textId="77777777" w:rsidR="00510506" w:rsidRPr="0068302D" w:rsidRDefault="00510506" w:rsidP="00510506">
            <w:pPr>
              <w:rPr>
                <w:rFonts w:ascii="Calibri" w:hAnsi="Calibri"/>
                <w:b/>
                <w:bCs/>
                <w:color w:val="000000"/>
                <w:lang w:eastAsia="en-GB"/>
              </w:rPr>
            </w:pPr>
            <w:r w:rsidRPr="0068302D">
              <w:rPr>
                <w:rFonts w:ascii="Calibri" w:hAnsi="Calibri"/>
                <w:b/>
                <w:bCs/>
                <w:color w:val="000000"/>
                <w:lang w:eastAsia="en-GB"/>
              </w:rPr>
              <w:t>Total</w:t>
            </w:r>
          </w:p>
        </w:tc>
        <w:tc>
          <w:tcPr>
            <w:tcW w:w="3400" w:type="dxa"/>
            <w:tcBorders>
              <w:top w:val="nil"/>
              <w:left w:val="nil"/>
              <w:bottom w:val="single" w:sz="4" w:space="0" w:color="FFFFFF"/>
              <w:right w:val="single" w:sz="4" w:space="0" w:color="FFFFFF"/>
            </w:tcBorders>
            <w:shd w:val="clear" w:color="auto" w:fill="8DB3E2" w:themeFill="text2" w:themeFillTint="66"/>
            <w:vAlign w:val="center"/>
            <w:hideMark/>
          </w:tcPr>
          <w:p w14:paraId="463807EE" w14:textId="77777777" w:rsidR="00510506" w:rsidRPr="0068302D" w:rsidRDefault="00510506" w:rsidP="00510506">
            <w:pPr>
              <w:rPr>
                <w:rFonts w:ascii="Calibri" w:hAnsi="Calibri"/>
                <w:color w:val="000000"/>
                <w:lang w:eastAsia="en-GB"/>
              </w:rPr>
            </w:pPr>
            <w:r w:rsidRPr="0068302D">
              <w:rPr>
                <w:rFonts w:ascii="Calibri" w:hAnsi="Calibri"/>
                <w:color w:val="000000"/>
                <w:lang w:eastAsia="en-GB"/>
              </w:rPr>
              <w:t> </w:t>
            </w:r>
          </w:p>
        </w:tc>
        <w:tc>
          <w:tcPr>
            <w:tcW w:w="2620" w:type="dxa"/>
            <w:tcBorders>
              <w:top w:val="single" w:sz="4" w:space="0" w:color="FFFFFF"/>
              <w:left w:val="nil"/>
              <w:bottom w:val="single" w:sz="4" w:space="0" w:color="FFFFFF"/>
              <w:right w:val="single" w:sz="4" w:space="0" w:color="FFFFFF"/>
            </w:tcBorders>
            <w:shd w:val="clear" w:color="auto" w:fill="8DB3E2" w:themeFill="text2" w:themeFillTint="66"/>
            <w:vAlign w:val="center"/>
          </w:tcPr>
          <w:p w14:paraId="6E951E82" w14:textId="61E3B6A7" w:rsidR="00510506" w:rsidRPr="0068302D" w:rsidRDefault="000040B7" w:rsidP="00510506">
            <w:pPr>
              <w:jc w:val="right"/>
              <w:rPr>
                <w:rFonts w:ascii="Calibri" w:hAnsi="Calibri"/>
                <w:b/>
                <w:bCs/>
                <w:color w:val="000000"/>
                <w:lang w:eastAsia="en-GB"/>
              </w:rPr>
            </w:pPr>
            <w:r>
              <w:rPr>
                <w:rFonts w:ascii="Calibri" w:hAnsi="Calibri"/>
                <w:b/>
                <w:bCs/>
                <w:color w:val="000000"/>
                <w:lang w:eastAsia="en-GB"/>
              </w:rPr>
              <w:t>23,870</w:t>
            </w:r>
          </w:p>
        </w:tc>
        <w:tc>
          <w:tcPr>
            <w:tcW w:w="2000" w:type="dxa"/>
            <w:tcBorders>
              <w:top w:val="single" w:sz="4" w:space="0" w:color="FFFFFF"/>
              <w:left w:val="nil"/>
              <w:bottom w:val="single" w:sz="4" w:space="0" w:color="FFFFFF"/>
              <w:right w:val="single" w:sz="4" w:space="0" w:color="FFFFFF"/>
            </w:tcBorders>
            <w:shd w:val="clear" w:color="auto" w:fill="8DB3E2" w:themeFill="text2" w:themeFillTint="66"/>
            <w:vAlign w:val="center"/>
          </w:tcPr>
          <w:p w14:paraId="69C05464" w14:textId="685AAAB7" w:rsidR="00510506" w:rsidRPr="0068302D" w:rsidRDefault="00A05812" w:rsidP="00510506">
            <w:pPr>
              <w:jc w:val="right"/>
              <w:rPr>
                <w:rFonts w:ascii="Calibri" w:hAnsi="Calibri"/>
                <w:b/>
                <w:bCs/>
                <w:color w:val="000000"/>
                <w:lang w:eastAsia="en-GB"/>
              </w:rPr>
            </w:pPr>
            <w:r>
              <w:rPr>
                <w:rFonts w:ascii="Calibri" w:hAnsi="Calibri"/>
                <w:b/>
                <w:bCs/>
                <w:color w:val="000000"/>
                <w:lang w:eastAsia="en-GB"/>
              </w:rPr>
              <w:t>19</w:t>
            </w:r>
            <w:r w:rsidR="000040B7">
              <w:rPr>
                <w:rFonts w:ascii="Calibri" w:hAnsi="Calibri"/>
                <w:b/>
                <w:bCs/>
                <w:color w:val="000000"/>
                <w:lang w:eastAsia="en-GB"/>
              </w:rPr>
              <w:t>,358</w:t>
            </w:r>
          </w:p>
        </w:tc>
      </w:tr>
      <w:tr w:rsidR="00510506" w:rsidRPr="0068302D" w14:paraId="14510981" w14:textId="77777777" w:rsidTr="007F516A">
        <w:trPr>
          <w:trHeight w:val="510"/>
        </w:trPr>
        <w:tc>
          <w:tcPr>
            <w:tcW w:w="6980" w:type="dxa"/>
            <w:gridSpan w:val="3"/>
            <w:tcBorders>
              <w:top w:val="single" w:sz="4" w:space="0" w:color="FFFFFF"/>
              <w:left w:val="single" w:sz="4" w:space="0" w:color="FFFFFF"/>
              <w:bottom w:val="single" w:sz="4" w:space="0" w:color="FFFFFF"/>
              <w:right w:val="nil"/>
            </w:tcBorders>
            <w:shd w:val="clear" w:color="auto" w:fill="C6D9F1" w:themeFill="text2" w:themeFillTint="33"/>
            <w:vAlign w:val="center"/>
            <w:hideMark/>
          </w:tcPr>
          <w:p w14:paraId="49082923" w14:textId="7B081464" w:rsidR="00510506" w:rsidRPr="0068302D" w:rsidRDefault="00510506" w:rsidP="00510506">
            <w:pPr>
              <w:rPr>
                <w:rFonts w:ascii="Calibri" w:hAnsi="Calibri"/>
                <w:b/>
                <w:bCs/>
                <w:color w:val="000000"/>
                <w:lang w:eastAsia="en-GB"/>
              </w:rPr>
            </w:pPr>
            <w:r w:rsidRPr="0068302D">
              <w:rPr>
                <w:rFonts w:ascii="Calibri" w:hAnsi="Calibri"/>
                <w:b/>
                <w:bCs/>
                <w:color w:val="000000"/>
                <w:lang w:eastAsia="en-GB"/>
              </w:rPr>
              <w:t>*</w:t>
            </w:r>
            <w:r w:rsidRPr="0068302D">
              <w:rPr>
                <w:rFonts w:ascii="Calibri" w:hAnsi="Calibri"/>
                <w:color w:val="000000"/>
                <w:lang w:eastAsia="en-GB"/>
              </w:rPr>
              <w:t xml:space="preserve">  Used for the purpose of setting the Council Tax for 20</w:t>
            </w:r>
            <w:r>
              <w:rPr>
                <w:rFonts w:ascii="Calibri" w:hAnsi="Calibri"/>
                <w:color w:val="000000"/>
                <w:lang w:eastAsia="en-GB"/>
              </w:rPr>
              <w:t>2</w:t>
            </w:r>
            <w:r w:rsidR="00626C51">
              <w:rPr>
                <w:rFonts w:ascii="Calibri" w:hAnsi="Calibri"/>
                <w:color w:val="000000"/>
                <w:lang w:eastAsia="en-GB"/>
              </w:rPr>
              <w:t>2</w:t>
            </w:r>
            <w:r>
              <w:rPr>
                <w:rFonts w:ascii="Calibri" w:hAnsi="Calibri"/>
                <w:color w:val="000000"/>
                <w:lang w:eastAsia="en-GB"/>
              </w:rPr>
              <w:t>-2</w:t>
            </w:r>
            <w:r w:rsidR="00626C51">
              <w:rPr>
                <w:rFonts w:ascii="Calibri" w:hAnsi="Calibri"/>
                <w:color w:val="000000"/>
                <w:lang w:eastAsia="en-GB"/>
              </w:rPr>
              <w:t>3</w:t>
            </w:r>
          </w:p>
        </w:tc>
        <w:tc>
          <w:tcPr>
            <w:tcW w:w="2000" w:type="dxa"/>
            <w:tcBorders>
              <w:top w:val="single" w:sz="4" w:space="0" w:color="FFFFFF"/>
              <w:left w:val="nil"/>
              <w:bottom w:val="single" w:sz="4" w:space="0" w:color="FFFFFF"/>
              <w:right w:val="single" w:sz="4" w:space="0" w:color="FFFFFF"/>
            </w:tcBorders>
            <w:shd w:val="clear" w:color="auto" w:fill="C6D9F1" w:themeFill="text2" w:themeFillTint="33"/>
            <w:vAlign w:val="center"/>
            <w:hideMark/>
          </w:tcPr>
          <w:p w14:paraId="591EF95B" w14:textId="77777777" w:rsidR="00510506" w:rsidRPr="0068302D" w:rsidRDefault="00510506" w:rsidP="00510506">
            <w:pPr>
              <w:jc w:val="right"/>
              <w:rPr>
                <w:rFonts w:ascii="Calibri" w:hAnsi="Calibri"/>
                <w:color w:val="000000"/>
                <w:lang w:eastAsia="en-GB"/>
              </w:rPr>
            </w:pPr>
            <w:r w:rsidRPr="0068302D">
              <w:rPr>
                <w:rFonts w:ascii="Calibri" w:hAnsi="Calibri"/>
                <w:color w:val="000000"/>
                <w:lang w:eastAsia="en-GB"/>
              </w:rPr>
              <w:t> </w:t>
            </w:r>
          </w:p>
        </w:tc>
      </w:tr>
    </w:tbl>
    <w:p w14:paraId="03E64D7E" w14:textId="77777777" w:rsidR="00F13C2A" w:rsidRPr="004C6DC4" w:rsidRDefault="00F13C2A" w:rsidP="0052402C">
      <w:pPr>
        <w:pStyle w:val="Footer"/>
        <w:tabs>
          <w:tab w:val="clear" w:pos="4153"/>
          <w:tab w:val="clear" w:pos="8306"/>
        </w:tabs>
        <w:rPr>
          <w:rFonts w:ascii="Arial" w:hAnsi="Arial" w:cs="Arial"/>
          <w:szCs w:val="24"/>
        </w:rPr>
      </w:pPr>
    </w:p>
    <w:p w14:paraId="35379405" w14:textId="77777777" w:rsidR="0052402C" w:rsidRPr="0068302D" w:rsidRDefault="0052402C" w:rsidP="000F0E91">
      <w:pPr>
        <w:pStyle w:val="Footer"/>
        <w:tabs>
          <w:tab w:val="clear" w:pos="4153"/>
          <w:tab w:val="clear" w:pos="8306"/>
          <w:tab w:val="left" w:pos="426"/>
        </w:tabs>
        <w:rPr>
          <w:rFonts w:asciiTheme="minorHAnsi" w:hAnsiTheme="minorHAnsi" w:cs="Arial"/>
          <w:bCs/>
          <w:sz w:val="24"/>
          <w:szCs w:val="24"/>
        </w:rPr>
      </w:pPr>
      <w:r w:rsidRPr="0068302D">
        <w:rPr>
          <w:rFonts w:asciiTheme="minorHAnsi" w:hAnsiTheme="minorHAnsi" w:cs="Arial"/>
          <w:b/>
          <w:bCs/>
          <w:sz w:val="24"/>
          <w:szCs w:val="24"/>
        </w:rPr>
        <w:t>2</w:t>
      </w:r>
      <w:r w:rsidRPr="0068302D">
        <w:rPr>
          <w:rFonts w:asciiTheme="minorHAnsi" w:hAnsiTheme="minorHAnsi" w:cs="Arial"/>
          <w:bCs/>
          <w:sz w:val="24"/>
          <w:szCs w:val="24"/>
        </w:rPr>
        <w:tab/>
      </w:r>
      <w:proofErr w:type="gramStart"/>
      <w:r w:rsidRPr="0068302D">
        <w:rPr>
          <w:rFonts w:asciiTheme="minorHAnsi" w:hAnsiTheme="minorHAnsi" w:cs="Arial"/>
          <w:b/>
          <w:sz w:val="24"/>
          <w:szCs w:val="24"/>
        </w:rPr>
        <w:t>Non Domestic</w:t>
      </w:r>
      <w:proofErr w:type="gramEnd"/>
      <w:r w:rsidRPr="0068302D">
        <w:rPr>
          <w:rFonts w:asciiTheme="minorHAnsi" w:hAnsiTheme="minorHAnsi" w:cs="Arial"/>
          <w:b/>
          <w:sz w:val="24"/>
          <w:szCs w:val="24"/>
        </w:rPr>
        <w:t xml:space="preserve"> Rates</w:t>
      </w:r>
    </w:p>
    <w:p w14:paraId="303654F7" w14:textId="77777777" w:rsidR="0052402C" w:rsidRDefault="0052402C" w:rsidP="0052402C">
      <w:pPr>
        <w:rPr>
          <w:rFonts w:ascii="Arial" w:hAnsi="Arial" w:cs="Arial"/>
        </w:rPr>
      </w:pPr>
    </w:p>
    <w:tbl>
      <w:tblPr>
        <w:tblW w:w="8946" w:type="dxa"/>
        <w:tblInd w:w="93" w:type="dxa"/>
        <w:tblLook w:val="04A0" w:firstRow="1" w:lastRow="0" w:firstColumn="1" w:lastColumn="0" w:noHBand="0" w:noVBand="1"/>
        <w:tblCaption w:val="Non Domestic Rates"/>
        <w:tblDescription w:val="Non Domestic Rates"/>
      </w:tblPr>
      <w:tblGrid>
        <w:gridCol w:w="5220"/>
        <w:gridCol w:w="1741"/>
        <w:gridCol w:w="1985"/>
      </w:tblGrid>
      <w:tr w:rsidR="004079FA" w:rsidRPr="004079FA" w14:paraId="2483C60D" w14:textId="77777777" w:rsidTr="00110931">
        <w:trPr>
          <w:cantSplit/>
          <w:trHeight w:val="300"/>
          <w:tblHeader/>
        </w:trPr>
        <w:tc>
          <w:tcPr>
            <w:tcW w:w="5220" w:type="dxa"/>
            <w:tcBorders>
              <w:top w:val="nil"/>
              <w:left w:val="nil"/>
              <w:bottom w:val="nil"/>
              <w:right w:val="nil"/>
            </w:tcBorders>
            <w:shd w:val="clear" w:color="000000" w:fill="538DD5"/>
            <w:vAlign w:val="center"/>
            <w:hideMark/>
          </w:tcPr>
          <w:p w14:paraId="2F6656B5" w14:textId="77777777" w:rsidR="004079FA" w:rsidRPr="004079FA" w:rsidRDefault="004079FA" w:rsidP="004079FA">
            <w:pPr>
              <w:rPr>
                <w:rFonts w:ascii="Calibri" w:hAnsi="Calibri"/>
                <w:color w:val="000000"/>
                <w:lang w:eastAsia="en-GB"/>
              </w:rPr>
            </w:pPr>
            <w:proofErr w:type="gramStart"/>
            <w:r w:rsidRPr="004079FA">
              <w:rPr>
                <w:rFonts w:ascii="Calibri" w:hAnsi="Calibri"/>
                <w:color w:val="000000"/>
                <w:lang w:eastAsia="en-GB"/>
              </w:rPr>
              <w:t>Non Domestic</w:t>
            </w:r>
            <w:proofErr w:type="gramEnd"/>
            <w:r w:rsidRPr="004079FA">
              <w:rPr>
                <w:rFonts w:ascii="Calibri" w:hAnsi="Calibri"/>
                <w:color w:val="000000"/>
                <w:lang w:eastAsia="en-GB"/>
              </w:rPr>
              <w:t xml:space="preserve"> Rateable Value as at</w:t>
            </w:r>
          </w:p>
        </w:tc>
        <w:tc>
          <w:tcPr>
            <w:tcW w:w="1741" w:type="dxa"/>
            <w:tcBorders>
              <w:top w:val="nil"/>
              <w:left w:val="nil"/>
              <w:bottom w:val="nil"/>
              <w:right w:val="nil"/>
            </w:tcBorders>
            <w:shd w:val="clear" w:color="000000" w:fill="538DD5"/>
            <w:vAlign w:val="center"/>
            <w:hideMark/>
          </w:tcPr>
          <w:p w14:paraId="04192278" w14:textId="5F956E7C" w:rsidR="004079FA" w:rsidRPr="004079FA" w:rsidRDefault="004079FA" w:rsidP="0076338E">
            <w:pPr>
              <w:jc w:val="right"/>
              <w:rPr>
                <w:rFonts w:ascii="Calibri" w:hAnsi="Calibri"/>
                <w:color w:val="000000"/>
                <w:lang w:eastAsia="en-GB"/>
              </w:rPr>
            </w:pPr>
            <w:r w:rsidRPr="004079FA">
              <w:rPr>
                <w:rFonts w:ascii="Calibri" w:hAnsi="Calibri"/>
                <w:color w:val="000000"/>
                <w:lang w:eastAsia="en-GB"/>
              </w:rPr>
              <w:t>31 March 20</w:t>
            </w:r>
            <w:r w:rsidR="0076338E">
              <w:rPr>
                <w:rFonts w:ascii="Calibri" w:hAnsi="Calibri"/>
                <w:color w:val="000000"/>
                <w:lang w:eastAsia="en-GB"/>
              </w:rPr>
              <w:t>2</w:t>
            </w:r>
            <w:r w:rsidR="00626C51">
              <w:rPr>
                <w:rFonts w:ascii="Calibri" w:hAnsi="Calibri"/>
                <w:color w:val="000000"/>
                <w:lang w:eastAsia="en-GB"/>
              </w:rPr>
              <w:t>2</w:t>
            </w:r>
          </w:p>
        </w:tc>
        <w:tc>
          <w:tcPr>
            <w:tcW w:w="1985" w:type="dxa"/>
            <w:tcBorders>
              <w:top w:val="nil"/>
              <w:left w:val="nil"/>
              <w:bottom w:val="nil"/>
              <w:right w:val="nil"/>
            </w:tcBorders>
            <w:shd w:val="clear" w:color="000000" w:fill="538DD5"/>
            <w:vAlign w:val="center"/>
            <w:hideMark/>
          </w:tcPr>
          <w:p w14:paraId="534BF85C" w14:textId="11AABC4D" w:rsidR="004079FA" w:rsidRPr="004079FA" w:rsidRDefault="004079FA" w:rsidP="0076338E">
            <w:pPr>
              <w:jc w:val="right"/>
              <w:rPr>
                <w:rFonts w:ascii="Calibri" w:hAnsi="Calibri"/>
                <w:color w:val="000000"/>
                <w:lang w:eastAsia="en-GB"/>
              </w:rPr>
            </w:pPr>
            <w:r w:rsidRPr="004079FA">
              <w:rPr>
                <w:rFonts w:ascii="Calibri" w:hAnsi="Calibri"/>
                <w:color w:val="000000"/>
                <w:lang w:eastAsia="en-GB"/>
              </w:rPr>
              <w:t>31 March 20</w:t>
            </w:r>
            <w:r w:rsidR="0027637B">
              <w:rPr>
                <w:rFonts w:ascii="Calibri" w:hAnsi="Calibri"/>
                <w:color w:val="000000"/>
                <w:lang w:eastAsia="en-GB"/>
              </w:rPr>
              <w:t>2</w:t>
            </w:r>
            <w:r w:rsidR="00626C51">
              <w:rPr>
                <w:rFonts w:ascii="Calibri" w:hAnsi="Calibri"/>
                <w:color w:val="000000"/>
                <w:lang w:eastAsia="en-GB"/>
              </w:rPr>
              <w:t>3</w:t>
            </w:r>
          </w:p>
        </w:tc>
      </w:tr>
      <w:tr w:rsidR="004079FA" w:rsidRPr="004079FA" w14:paraId="7C942A66" w14:textId="77777777" w:rsidTr="00E24654">
        <w:trPr>
          <w:trHeight w:val="300"/>
        </w:trPr>
        <w:tc>
          <w:tcPr>
            <w:tcW w:w="5220" w:type="dxa"/>
            <w:tcBorders>
              <w:top w:val="single" w:sz="4" w:space="0" w:color="FFFFFF"/>
              <w:left w:val="single" w:sz="4" w:space="0" w:color="FFFFFF"/>
              <w:bottom w:val="single" w:sz="4" w:space="0" w:color="FFFFFF"/>
              <w:right w:val="single" w:sz="4" w:space="0" w:color="FFFFFF"/>
            </w:tcBorders>
            <w:shd w:val="clear" w:color="000000" w:fill="C5D9F1"/>
            <w:vAlign w:val="center"/>
            <w:hideMark/>
          </w:tcPr>
          <w:p w14:paraId="6E51B863" w14:textId="77777777" w:rsidR="004079FA" w:rsidRPr="004079FA" w:rsidRDefault="004079FA" w:rsidP="004079FA">
            <w:pPr>
              <w:rPr>
                <w:rFonts w:ascii="Calibri" w:hAnsi="Calibri"/>
                <w:color w:val="000000"/>
                <w:lang w:eastAsia="en-GB"/>
              </w:rPr>
            </w:pPr>
            <w:r w:rsidRPr="004079FA">
              <w:rPr>
                <w:rFonts w:ascii="Calibri" w:hAnsi="Calibri"/>
                <w:color w:val="000000"/>
                <w:lang w:eastAsia="en-GB"/>
              </w:rPr>
              <w:t> </w:t>
            </w:r>
          </w:p>
        </w:tc>
        <w:tc>
          <w:tcPr>
            <w:tcW w:w="1741" w:type="dxa"/>
            <w:tcBorders>
              <w:top w:val="single" w:sz="4" w:space="0" w:color="FFFFFF"/>
              <w:left w:val="nil"/>
              <w:bottom w:val="single" w:sz="4" w:space="0" w:color="FFFFFF"/>
              <w:right w:val="single" w:sz="4" w:space="0" w:color="FFFFFF"/>
            </w:tcBorders>
            <w:shd w:val="clear" w:color="000000" w:fill="C5D9F1"/>
            <w:vAlign w:val="center"/>
            <w:hideMark/>
          </w:tcPr>
          <w:p w14:paraId="501B9BBC" w14:textId="52A02448" w:rsidR="004079FA" w:rsidRPr="004079FA" w:rsidRDefault="004079FA" w:rsidP="0076338E">
            <w:pPr>
              <w:jc w:val="right"/>
              <w:rPr>
                <w:rFonts w:ascii="Calibri" w:hAnsi="Calibri"/>
                <w:color w:val="000000"/>
                <w:lang w:eastAsia="en-GB"/>
              </w:rPr>
            </w:pPr>
            <w:r w:rsidRPr="004079FA">
              <w:rPr>
                <w:rFonts w:ascii="Calibri" w:hAnsi="Calibri"/>
                <w:color w:val="000000"/>
                <w:lang w:eastAsia="en-GB"/>
              </w:rPr>
              <w:t>£3</w:t>
            </w:r>
            <w:r w:rsidR="0027637B">
              <w:rPr>
                <w:rFonts w:ascii="Calibri" w:hAnsi="Calibri"/>
                <w:color w:val="000000"/>
                <w:lang w:eastAsia="en-GB"/>
              </w:rPr>
              <w:t>9</w:t>
            </w:r>
            <w:r w:rsidRPr="004079FA">
              <w:rPr>
                <w:rFonts w:ascii="Calibri" w:hAnsi="Calibri"/>
                <w:color w:val="000000"/>
                <w:lang w:eastAsia="en-GB"/>
              </w:rPr>
              <w:t>,</w:t>
            </w:r>
            <w:r w:rsidR="00626C51">
              <w:rPr>
                <w:rFonts w:ascii="Calibri" w:hAnsi="Calibri"/>
                <w:color w:val="000000"/>
                <w:lang w:eastAsia="en-GB"/>
              </w:rPr>
              <w:t>631</w:t>
            </w:r>
            <w:r w:rsidR="00884D3C">
              <w:rPr>
                <w:rFonts w:ascii="Calibri" w:hAnsi="Calibri"/>
                <w:color w:val="000000"/>
                <w:lang w:eastAsia="en-GB"/>
              </w:rPr>
              <w:t>,</w:t>
            </w:r>
            <w:r w:rsidR="00626C51">
              <w:rPr>
                <w:rFonts w:ascii="Calibri" w:hAnsi="Calibri"/>
                <w:color w:val="000000"/>
                <w:lang w:eastAsia="en-GB"/>
              </w:rPr>
              <w:t>829</w:t>
            </w:r>
          </w:p>
        </w:tc>
        <w:tc>
          <w:tcPr>
            <w:tcW w:w="1985" w:type="dxa"/>
            <w:tcBorders>
              <w:top w:val="single" w:sz="4" w:space="0" w:color="FFFFFF"/>
              <w:left w:val="nil"/>
              <w:bottom w:val="single" w:sz="4" w:space="0" w:color="FFFFFF"/>
              <w:right w:val="single" w:sz="4" w:space="0" w:color="FFFFFF"/>
            </w:tcBorders>
            <w:shd w:val="clear" w:color="000000" w:fill="C5D9F1"/>
            <w:vAlign w:val="center"/>
            <w:hideMark/>
          </w:tcPr>
          <w:p w14:paraId="4E32592E" w14:textId="693140AA" w:rsidR="004079FA" w:rsidRPr="004079FA" w:rsidRDefault="000040B7" w:rsidP="00884D3C">
            <w:pPr>
              <w:jc w:val="right"/>
              <w:rPr>
                <w:rFonts w:ascii="Calibri" w:hAnsi="Calibri"/>
                <w:color w:val="000000"/>
                <w:lang w:eastAsia="en-GB"/>
              </w:rPr>
            </w:pPr>
            <w:r>
              <w:rPr>
                <w:rFonts w:ascii="Calibri" w:hAnsi="Calibri"/>
                <w:color w:val="000000"/>
                <w:lang w:eastAsia="en-GB"/>
              </w:rPr>
              <w:t>£39,745,098</w:t>
            </w:r>
          </w:p>
        </w:tc>
      </w:tr>
      <w:tr w:rsidR="004079FA" w:rsidRPr="004079FA" w14:paraId="2D1D013F" w14:textId="77777777" w:rsidTr="00E24654">
        <w:trPr>
          <w:trHeight w:val="300"/>
        </w:trPr>
        <w:tc>
          <w:tcPr>
            <w:tcW w:w="5220" w:type="dxa"/>
            <w:tcBorders>
              <w:top w:val="nil"/>
              <w:left w:val="single" w:sz="4" w:space="0" w:color="FFFFFF"/>
              <w:bottom w:val="single" w:sz="4" w:space="0" w:color="FFFFFF"/>
              <w:right w:val="nil"/>
            </w:tcBorders>
            <w:shd w:val="clear" w:color="000000" w:fill="538DD5"/>
            <w:vAlign w:val="center"/>
            <w:hideMark/>
          </w:tcPr>
          <w:p w14:paraId="5B2B9273" w14:textId="77777777" w:rsidR="004079FA" w:rsidRPr="004079FA" w:rsidRDefault="004079FA" w:rsidP="004079FA">
            <w:pPr>
              <w:rPr>
                <w:rFonts w:ascii="Calibri" w:hAnsi="Calibri"/>
                <w:color w:val="000000"/>
                <w:lang w:eastAsia="en-GB"/>
              </w:rPr>
            </w:pPr>
            <w:r w:rsidRPr="004079FA">
              <w:rPr>
                <w:rFonts w:ascii="Calibri" w:hAnsi="Calibri"/>
                <w:color w:val="000000"/>
                <w:lang w:eastAsia="en-GB"/>
              </w:rPr>
              <w:t xml:space="preserve">Rate Multiplier for </w:t>
            </w:r>
          </w:p>
        </w:tc>
        <w:tc>
          <w:tcPr>
            <w:tcW w:w="1741" w:type="dxa"/>
            <w:tcBorders>
              <w:top w:val="nil"/>
              <w:left w:val="nil"/>
              <w:bottom w:val="single" w:sz="4" w:space="0" w:color="FFFFFF"/>
              <w:right w:val="nil"/>
            </w:tcBorders>
            <w:shd w:val="clear" w:color="000000" w:fill="538DD5"/>
            <w:vAlign w:val="center"/>
            <w:hideMark/>
          </w:tcPr>
          <w:p w14:paraId="319E284F" w14:textId="49B75AF4" w:rsidR="004079FA" w:rsidRPr="004079FA" w:rsidRDefault="004079FA" w:rsidP="0076338E">
            <w:pPr>
              <w:jc w:val="right"/>
              <w:rPr>
                <w:rFonts w:ascii="Calibri" w:hAnsi="Calibri"/>
                <w:color w:val="000000"/>
                <w:lang w:eastAsia="en-GB"/>
              </w:rPr>
            </w:pPr>
            <w:r w:rsidRPr="004079FA">
              <w:rPr>
                <w:rFonts w:ascii="Calibri" w:hAnsi="Calibri"/>
                <w:color w:val="000000"/>
                <w:lang w:eastAsia="en-GB"/>
              </w:rPr>
              <w:t>20</w:t>
            </w:r>
            <w:r w:rsidR="00D26465">
              <w:rPr>
                <w:rFonts w:ascii="Calibri" w:hAnsi="Calibri"/>
                <w:color w:val="000000"/>
                <w:lang w:eastAsia="en-GB"/>
              </w:rPr>
              <w:t>2</w:t>
            </w:r>
            <w:r w:rsidR="00626C51">
              <w:rPr>
                <w:rFonts w:ascii="Calibri" w:hAnsi="Calibri"/>
                <w:color w:val="000000"/>
                <w:lang w:eastAsia="en-GB"/>
              </w:rPr>
              <w:t>1</w:t>
            </w:r>
            <w:r w:rsidR="00B315FA">
              <w:rPr>
                <w:rFonts w:ascii="Calibri" w:hAnsi="Calibri"/>
                <w:color w:val="000000"/>
                <w:lang w:eastAsia="en-GB"/>
              </w:rPr>
              <w:t>-</w:t>
            </w:r>
            <w:r w:rsidR="0076338E">
              <w:rPr>
                <w:rFonts w:ascii="Calibri" w:hAnsi="Calibri"/>
                <w:color w:val="000000"/>
                <w:lang w:eastAsia="en-GB"/>
              </w:rPr>
              <w:t>2</w:t>
            </w:r>
            <w:r w:rsidR="00626C51">
              <w:rPr>
                <w:rFonts w:ascii="Calibri" w:hAnsi="Calibri"/>
                <w:color w:val="000000"/>
                <w:lang w:eastAsia="en-GB"/>
              </w:rPr>
              <w:t>2</w:t>
            </w:r>
          </w:p>
        </w:tc>
        <w:tc>
          <w:tcPr>
            <w:tcW w:w="1985" w:type="dxa"/>
            <w:tcBorders>
              <w:top w:val="nil"/>
              <w:left w:val="nil"/>
              <w:bottom w:val="single" w:sz="4" w:space="0" w:color="FFFFFF"/>
              <w:right w:val="single" w:sz="4" w:space="0" w:color="FFFFFF"/>
            </w:tcBorders>
            <w:shd w:val="clear" w:color="000000" w:fill="538DD5"/>
            <w:vAlign w:val="center"/>
            <w:hideMark/>
          </w:tcPr>
          <w:p w14:paraId="1B7D3312" w14:textId="49A63309" w:rsidR="004079FA" w:rsidRPr="004079FA" w:rsidRDefault="0076338E" w:rsidP="0076338E">
            <w:pPr>
              <w:jc w:val="right"/>
              <w:rPr>
                <w:rFonts w:ascii="Calibri" w:hAnsi="Calibri"/>
                <w:color w:val="000000"/>
                <w:lang w:eastAsia="en-GB"/>
              </w:rPr>
            </w:pPr>
            <w:r>
              <w:rPr>
                <w:rFonts w:ascii="Calibri" w:hAnsi="Calibri"/>
                <w:color w:val="000000"/>
                <w:lang w:eastAsia="en-GB"/>
              </w:rPr>
              <w:t>202</w:t>
            </w:r>
            <w:r w:rsidR="00626C51">
              <w:rPr>
                <w:rFonts w:ascii="Calibri" w:hAnsi="Calibri"/>
                <w:color w:val="000000"/>
                <w:lang w:eastAsia="en-GB"/>
              </w:rPr>
              <w:t>2</w:t>
            </w:r>
            <w:r w:rsidR="00D26465">
              <w:rPr>
                <w:rFonts w:ascii="Calibri" w:hAnsi="Calibri"/>
                <w:color w:val="000000"/>
                <w:lang w:eastAsia="en-GB"/>
              </w:rPr>
              <w:t>-</w:t>
            </w:r>
            <w:r w:rsidR="0027637B">
              <w:rPr>
                <w:rFonts w:ascii="Calibri" w:hAnsi="Calibri"/>
                <w:color w:val="000000"/>
                <w:lang w:eastAsia="en-GB"/>
              </w:rPr>
              <w:t>2</w:t>
            </w:r>
            <w:r w:rsidR="00626C51">
              <w:rPr>
                <w:rFonts w:ascii="Calibri" w:hAnsi="Calibri"/>
                <w:color w:val="000000"/>
                <w:lang w:eastAsia="en-GB"/>
              </w:rPr>
              <w:t>3</w:t>
            </w:r>
          </w:p>
        </w:tc>
      </w:tr>
      <w:tr w:rsidR="004079FA" w:rsidRPr="004079FA" w14:paraId="18719098" w14:textId="77777777" w:rsidTr="00DA44C9">
        <w:trPr>
          <w:trHeight w:val="300"/>
        </w:trPr>
        <w:tc>
          <w:tcPr>
            <w:tcW w:w="5220" w:type="dxa"/>
            <w:tcBorders>
              <w:top w:val="nil"/>
              <w:left w:val="single" w:sz="4" w:space="0" w:color="FFFFFF"/>
              <w:bottom w:val="single" w:sz="4" w:space="0" w:color="FFFFFF"/>
              <w:right w:val="single" w:sz="4" w:space="0" w:color="FFFFFF"/>
            </w:tcBorders>
            <w:shd w:val="clear" w:color="000000" w:fill="C5D9F1"/>
            <w:vAlign w:val="center"/>
            <w:hideMark/>
          </w:tcPr>
          <w:p w14:paraId="4CC5A135" w14:textId="70A8F839" w:rsidR="004079FA" w:rsidRPr="004079FA" w:rsidRDefault="004079FA" w:rsidP="003D4F83">
            <w:pPr>
              <w:rPr>
                <w:rFonts w:ascii="Calibri" w:hAnsi="Calibri"/>
                <w:color w:val="000000"/>
                <w:lang w:eastAsia="en-GB"/>
              </w:rPr>
            </w:pPr>
            <w:r w:rsidRPr="004079FA">
              <w:rPr>
                <w:rFonts w:ascii="Calibri" w:hAnsi="Calibri"/>
                <w:color w:val="000000"/>
                <w:lang w:eastAsia="en-GB"/>
              </w:rPr>
              <w:t xml:space="preserve">     </w:t>
            </w:r>
            <w:r w:rsidR="003D4F83" w:rsidRPr="003D4F83">
              <w:rPr>
                <w:rFonts w:ascii="Calibri" w:hAnsi="Calibri"/>
                <w:color w:val="000000"/>
                <w:lang w:eastAsia="en-GB"/>
              </w:rPr>
              <w:t xml:space="preserve">Small business Non –domestic rating multiplier </w:t>
            </w:r>
          </w:p>
        </w:tc>
        <w:tc>
          <w:tcPr>
            <w:tcW w:w="1741" w:type="dxa"/>
            <w:tcBorders>
              <w:top w:val="nil"/>
              <w:left w:val="nil"/>
              <w:bottom w:val="single" w:sz="4" w:space="0" w:color="FFFFFF"/>
              <w:right w:val="single" w:sz="4" w:space="0" w:color="FFFFFF"/>
            </w:tcBorders>
            <w:shd w:val="clear" w:color="000000" w:fill="C5D9F1"/>
            <w:vAlign w:val="center"/>
            <w:hideMark/>
          </w:tcPr>
          <w:p w14:paraId="54C6477E" w14:textId="41DA56F3" w:rsidR="004079FA" w:rsidRPr="004079FA" w:rsidRDefault="004079FA" w:rsidP="0027637B">
            <w:pPr>
              <w:jc w:val="right"/>
              <w:rPr>
                <w:rFonts w:ascii="Calibri" w:hAnsi="Calibri"/>
                <w:color w:val="000000"/>
                <w:lang w:eastAsia="en-GB"/>
              </w:rPr>
            </w:pPr>
            <w:r w:rsidRPr="004079FA">
              <w:rPr>
                <w:rFonts w:ascii="Calibri" w:hAnsi="Calibri"/>
                <w:color w:val="000000"/>
                <w:lang w:eastAsia="en-GB"/>
              </w:rPr>
              <w:t>4</w:t>
            </w:r>
            <w:r w:rsidR="0076338E">
              <w:rPr>
                <w:rFonts w:ascii="Calibri" w:hAnsi="Calibri"/>
                <w:color w:val="000000"/>
                <w:lang w:eastAsia="en-GB"/>
              </w:rPr>
              <w:t>9</w:t>
            </w:r>
            <w:r w:rsidRPr="004079FA">
              <w:rPr>
                <w:rFonts w:ascii="Calibri" w:hAnsi="Calibri"/>
                <w:color w:val="000000"/>
                <w:lang w:eastAsia="en-GB"/>
              </w:rPr>
              <w:t>.</w:t>
            </w:r>
            <w:r w:rsidR="004E768F">
              <w:rPr>
                <w:rFonts w:ascii="Calibri" w:hAnsi="Calibri"/>
                <w:color w:val="000000"/>
                <w:lang w:eastAsia="en-GB"/>
              </w:rPr>
              <w:t>9</w:t>
            </w:r>
          </w:p>
        </w:tc>
        <w:tc>
          <w:tcPr>
            <w:tcW w:w="1985" w:type="dxa"/>
            <w:tcBorders>
              <w:top w:val="nil"/>
              <w:left w:val="nil"/>
              <w:bottom w:val="single" w:sz="4" w:space="0" w:color="FFFFFF"/>
              <w:right w:val="single" w:sz="4" w:space="0" w:color="FFFFFF"/>
            </w:tcBorders>
            <w:shd w:val="clear" w:color="000000" w:fill="C5D9F1"/>
            <w:vAlign w:val="center"/>
          </w:tcPr>
          <w:p w14:paraId="55B1936D" w14:textId="2CA346D3" w:rsidR="004079FA" w:rsidRPr="004079FA" w:rsidRDefault="000040B7" w:rsidP="004079FA">
            <w:pPr>
              <w:jc w:val="right"/>
              <w:rPr>
                <w:rFonts w:ascii="Calibri" w:hAnsi="Calibri"/>
                <w:color w:val="000000"/>
                <w:lang w:eastAsia="en-GB"/>
              </w:rPr>
            </w:pPr>
            <w:r>
              <w:rPr>
                <w:rFonts w:ascii="Calibri" w:hAnsi="Calibri"/>
                <w:color w:val="000000"/>
                <w:lang w:eastAsia="en-GB"/>
              </w:rPr>
              <w:t>49.9</w:t>
            </w:r>
          </w:p>
        </w:tc>
      </w:tr>
      <w:tr w:rsidR="004079FA" w:rsidRPr="004079FA" w14:paraId="4995915A" w14:textId="77777777" w:rsidTr="00DA44C9">
        <w:trPr>
          <w:trHeight w:val="300"/>
        </w:trPr>
        <w:tc>
          <w:tcPr>
            <w:tcW w:w="5220" w:type="dxa"/>
            <w:tcBorders>
              <w:top w:val="nil"/>
              <w:left w:val="single" w:sz="4" w:space="0" w:color="FFFFFF"/>
              <w:bottom w:val="single" w:sz="4" w:space="0" w:color="FFFFFF"/>
              <w:right w:val="single" w:sz="4" w:space="0" w:color="FFFFFF"/>
            </w:tcBorders>
            <w:shd w:val="clear" w:color="000000" w:fill="C5D9F1"/>
            <w:vAlign w:val="center"/>
            <w:hideMark/>
          </w:tcPr>
          <w:p w14:paraId="57C4E272" w14:textId="77777777" w:rsidR="004079FA" w:rsidRPr="004079FA" w:rsidRDefault="004079FA" w:rsidP="003D4F83">
            <w:pPr>
              <w:rPr>
                <w:rFonts w:ascii="Calibri" w:hAnsi="Calibri"/>
                <w:color w:val="000000"/>
                <w:lang w:eastAsia="en-GB"/>
              </w:rPr>
            </w:pPr>
            <w:r w:rsidRPr="004079FA">
              <w:rPr>
                <w:rFonts w:ascii="Calibri" w:hAnsi="Calibri"/>
                <w:color w:val="000000"/>
                <w:lang w:eastAsia="en-GB"/>
              </w:rPr>
              <w:t xml:space="preserve">     </w:t>
            </w:r>
            <w:r w:rsidR="003D4F83">
              <w:rPr>
                <w:rFonts w:ascii="Calibri" w:hAnsi="Calibri"/>
                <w:color w:val="000000"/>
                <w:lang w:eastAsia="en-GB"/>
              </w:rPr>
              <w:t>Non-Domestic rating multiplier</w:t>
            </w:r>
          </w:p>
        </w:tc>
        <w:tc>
          <w:tcPr>
            <w:tcW w:w="1741" w:type="dxa"/>
            <w:tcBorders>
              <w:top w:val="nil"/>
              <w:left w:val="nil"/>
              <w:bottom w:val="single" w:sz="4" w:space="0" w:color="FFFFFF"/>
              <w:right w:val="single" w:sz="4" w:space="0" w:color="FFFFFF"/>
            </w:tcBorders>
            <w:shd w:val="clear" w:color="000000" w:fill="C5D9F1"/>
            <w:vAlign w:val="center"/>
            <w:hideMark/>
          </w:tcPr>
          <w:p w14:paraId="37301757" w14:textId="3E9D5709" w:rsidR="004079FA" w:rsidRPr="004079FA" w:rsidRDefault="0076338E" w:rsidP="0076338E">
            <w:pPr>
              <w:jc w:val="right"/>
              <w:rPr>
                <w:rFonts w:ascii="Calibri" w:hAnsi="Calibri"/>
                <w:color w:val="000000"/>
                <w:lang w:eastAsia="en-GB"/>
              </w:rPr>
            </w:pPr>
            <w:r>
              <w:rPr>
                <w:rFonts w:ascii="Calibri" w:hAnsi="Calibri"/>
                <w:color w:val="000000"/>
                <w:lang w:eastAsia="en-GB"/>
              </w:rPr>
              <w:t>5</w:t>
            </w:r>
            <w:r w:rsidR="004E768F">
              <w:rPr>
                <w:rFonts w:ascii="Calibri" w:hAnsi="Calibri"/>
                <w:color w:val="000000"/>
                <w:lang w:eastAsia="en-GB"/>
              </w:rPr>
              <w:t>1.2</w:t>
            </w:r>
          </w:p>
        </w:tc>
        <w:tc>
          <w:tcPr>
            <w:tcW w:w="1985" w:type="dxa"/>
            <w:tcBorders>
              <w:top w:val="nil"/>
              <w:left w:val="nil"/>
              <w:bottom w:val="single" w:sz="4" w:space="0" w:color="FFFFFF"/>
              <w:right w:val="single" w:sz="4" w:space="0" w:color="FFFFFF"/>
            </w:tcBorders>
            <w:shd w:val="clear" w:color="000000" w:fill="C5D9F1"/>
            <w:vAlign w:val="center"/>
          </w:tcPr>
          <w:p w14:paraId="4AFC3BF9" w14:textId="178EEA6C" w:rsidR="00510506" w:rsidRPr="004079FA" w:rsidRDefault="000040B7" w:rsidP="00510506">
            <w:pPr>
              <w:jc w:val="right"/>
              <w:rPr>
                <w:rFonts w:ascii="Calibri" w:hAnsi="Calibri"/>
                <w:color w:val="000000"/>
                <w:lang w:eastAsia="en-GB"/>
              </w:rPr>
            </w:pPr>
            <w:r>
              <w:rPr>
                <w:rFonts w:ascii="Calibri" w:hAnsi="Calibri"/>
                <w:color w:val="000000"/>
                <w:lang w:eastAsia="en-GB"/>
              </w:rPr>
              <w:t>51.2</w:t>
            </w:r>
          </w:p>
        </w:tc>
      </w:tr>
      <w:bookmarkEnd w:id="16"/>
    </w:tbl>
    <w:p w14:paraId="09F617FE" w14:textId="77777777" w:rsidR="004079FA" w:rsidRDefault="004079FA" w:rsidP="0052402C">
      <w:pPr>
        <w:rPr>
          <w:rFonts w:ascii="Arial" w:hAnsi="Arial" w:cs="Arial"/>
        </w:rPr>
      </w:pPr>
    </w:p>
    <w:p w14:paraId="41032D23" w14:textId="77777777" w:rsidR="0052402C" w:rsidRPr="0068302D" w:rsidRDefault="00417E22" w:rsidP="000F0E91">
      <w:pPr>
        <w:tabs>
          <w:tab w:val="left" w:pos="426"/>
        </w:tabs>
        <w:jc w:val="both"/>
        <w:rPr>
          <w:rFonts w:asciiTheme="minorHAnsi" w:hAnsiTheme="minorHAnsi" w:cs="Arial"/>
          <w:b/>
          <w:sz w:val="24"/>
          <w:szCs w:val="24"/>
          <w:u w:val="single"/>
        </w:rPr>
      </w:pPr>
      <w:bookmarkStart w:id="17" w:name="_Hlk134204128"/>
      <w:r w:rsidRPr="00264430">
        <w:rPr>
          <w:rFonts w:asciiTheme="minorHAnsi" w:hAnsiTheme="minorHAnsi" w:cs="Arial"/>
          <w:b/>
          <w:sz w:val="24"/>
          <w:szCs w:val="24"/>
        </w:rPr>
        <w:t>3</w:t>
      </w:r>
      <w:r w:rsidR="0052402C" w:rsidRPr="0068302D">
        <w:rPr>
          <w:rFonts w:asciiTheme="minorHAnsi" w:hAnsiTheme="minorHAnsi" w:cs="Arial"/>
          <w:sz w:val="24"/>
          <w:szCs w:val="24"/>
        </w:rPr>
        <w:tab/>
      </w:r>
      <w:r w:rsidR="0052402C" w:rsidRPr="0068302D">
        <w:rPr>
          <w:rFonts w:asciiTheme="minorHAnsi" w:hAnsiTheme="minorHAnsi" w:cs="Arial"/>
          <w:b/>
          <w:sz w:val="24"/>
          <w:szCs w:val="24"/>
        </w:rPr>
        <w:t>Collection Fund Arrears</w:t>
      </w:r>
      <w:r w:rsidR="0052402C" w:rsidRPr="0068302D">
        <w:rPr>
          <w:rFonts w:asciiTheme="minorHAnsi" w:hAnsiTheme="minorHAnsi" w:cs="Arial"/>
          <w:b/>
          <w:sz w:val="24"/>
          <w:szCs w:val="24"/>
          <w:u w:val="single"/>
        </w:rPr>
        <w:t xml:space="preserve"> </w:t>
      </w:r>
    </w:p>
    <w:p w14:paraId="31E76498" w14:textId="77777777" w:rsidR="0052402C" w:rsidRPr="004C6DC4" w:rsidRDefault="0052402C" w:rsidP="0052402C">
      <w:pPr>
        <w:rPr>
          <w:rFonts w:ascii="Arial" w:hAnsi="Arial" w:cs="Arial"/>
        </w:rPr>
      </w:pPr>
    </w:p>
    <w:tbl>
      <w:tblPr>
        <w:tblW w:w="9000" w:type="dxa"/>
        <w:tblInd w:w="93" w:type="dxa"/>
        <w:tblLook w:val="04A0" w:firstRow="1" w:lastRow="0" w:firstColumn="1" w:lastColumn="0" w:noHBand="0" w:noVBand="1"/>
        <w:tblCaption w:val="Collection Fund Arrears"/>
        <w:tblDescription w:val="Collection Fund Arrears"/>
      </w:tblPr>
      <w:tblGrid>
        <w:gridCol w:w="1480"/>
        <w:gridCol w:w="1320"/>
        <w:gridCol w:w="3700"/>
        <w:gridCol w:w="1320"/>
        <w:gridCol w:w="1180"/>
      </w:tblGrid>
      <w:tr w:rsidR="00122403" w:rsidRPr="00122403" w14:paraId="4B069ACA" w14:textId="77777777" w:rsidTr="00110931">
        <w:trPr>
          <w:cantSplit/>
          <w:trHeight w:val="300"/>
          <w:tblHeader/>
        </w:trPr>
        <w:tc>
          <w:tcPr>
            <w:tcW w:w="2800" w:type="dxa"/>
            <w:gridSpan w:val="2"/>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150ADCA2" w14:textId="5069EECD" w:rsidR="00122403" w:rsidRPr="00122403" w:rsidRDefault="00122403" w:rsidP="0076338E">
            <w:pPr>
              <w:jc w:val="center"/>
              <w:rPr>
                <w:rFonts w:ascii="Calibri" w:hAnsi="Calibri"/>
                <w:color w:val="000000"/>
                <w:lang w:eastAsia="en-GB"/>
              </w:rPr>
            </w:pPr>
            <w:r w:rsidRPr="00122403">
              <w:rPr>
                <w:rFonts w:ascii="Calibri" w:hAnsi="Calibri"/>
                <w:color w:val="000000"/>
                <w:lang w:eastAsia="en-GB"/>
              </w:rPr>
              <w:t>20</w:t>
            </w:r>
            <w:r w:rsidR="004E768F">
              <w:rPr>
                <w:rFonts w:ascii="Calibri" w:hAnsi="Calibri"/>
                <w:color w:val="000000"/>
                <w:lang w:eastAsia="en-GB"/>
              </w:rPr>
              <w:t>2</w:t>
            </w:r>
            <w:r w:rsidR="00626C51">
              <w:rPr>
                <w:rFonts w:ascii="Calibri" w:hAnsi="Calibri"/>
                <w:color w:val="000000"/>
                <w:lang w:eastAsia="en-GB"/>
              </w:rPr>
              <w:t>1</w:t>
            </w:r>
            <w:r w:rsidRPr="00122403">
              <w:rPr>
                <w:rFonts w:ascii="Calibri" w:hAnsi="Calibri"/>
                <w:color w:val="000000"/>
                <w:lang w:eastAsia="en-GB"/>
              </w:rPr>
              <w:t>-</w:t>
            </w:r>
            <w:r w:rsidR="0076338E">
              <w:rPr>
                <w:rFonts w:ascii="Calibri" w:hAnsi="Calibri"/>
                <w:color w:val="000000"/>
                <w:lang w:eastAsia="en-GB"/>
              </w:rPr>
              <w:t>2</w:t>
            </w:r>
            <w:r w:rsidR="00626C51">
              <w:rPr>
                <w:rFonts w:ascii="Calibri" w:hAnsi="Calibri"/>
                <w:color w:val="000000"/>
                <w:lang w:eastAsia="en-GB"/>
              </w:rPr>
              <w:t>2</w:t>
            </w:r>
          </w:p>
        </w:tc>
        <w:tc>
          <w:tcPr>
            <w:tcW w:w="3700" w:type="dxa"/>
            <w:tcBorders>
              <w:top w:val="single" w:sz="4" w:space="0" w:color="FFFFFF"/>
              <w:left w:val="nil"/>
              <w:bottom w:val="nil"/>
              <w:right w:val="single" w:sz="4" w:space="0" w:color="FFFFFF"/>
            </w:tcBorders>
            <w:shd w:val="clear" w:color="auto" w:fill="548DD4" w:themeFill="text2" w:themeFillTint="99"/>
            <w:vAlign w:val="center"/>
            <w:hideMark/>
          </w:tcPr>
          <w:p w14:paraId="5CBEFC48" w14:textId="77777777" w:rsidR="00122403" w:rsidRPr="00122403" w:rsidRDefault="00122403" w:rsidP="00122403">
            <w:pPr>
              <w:rPr>
                <w:rFonts w:ascii="Calibri" w:hAnsi="Calibri"/>
                <w:color w:val="000000"/>
                <w:lang w:eastAsia="en-GB"/>
              </w:rPr>
            </w:pPr>
            <w:r w:rsidRPr="00122403">
              <w:rPr>
                <w:rFonts w:ascii="Calibri" w:hAnsi="Calibri"/>
                <w:color w:val="000000"/>
                <w:lang w:eastAsia="en-GB"/>
              </w:rPr>
              <w:t> </w:t>
            </w:r>
          </w:p>
        </w:tc>
        <w:tc>
          <w:tcPr>
            <w:tcW w:w="2500" w:type="dxa"/>
            <w:gridSpan w:val="2"/>
            <w:tcBorders>
              <w:top w:val="single" w:sz="4" w:space="0" w:color="FFFFFF"/>
              <w:left w:val="nil"/>
              <w:bottom w:val="single" w:sz="4" w:space="0" w:color="FFFFFF"/>
              <w:right w:val="single" w:sz="4" w:space="0" w:color="FFFFFF"/>
            </w:tcBorders>
            <w:shd w:val="clear" w:color="auto" w:fill="548DD4" w:themeFill="text2" w:themeFillTint="99"/>
            <w:vAlign w:val="center"/>
            <w:hideMark/>
          </w:tcPr>
          <w:p w14:paraId="25E1304C" w14:textId="3A324C13" w:rsidR="00122403" w:rsidRPr="00122403" w:rsidRDefault="00122403" w:rsidP="0076338E">
            <w:pPr>
              <w:jc w:val="center"/>
              <w:rPr>
                <w:rFonts w:ascii="Calibri" w:hAnsi="Calibri"/>
                <w:color w:val="000000"/>
                <w:lang w:eastAsia="en-GB"/>
              </w:rPr>
            </w:pPr>
            <w:r w:rsidRPr="00122403">
              <w:rPr>
                <w:rFonts w:ascii="Calibri" w:hAnsi="Calibri"/>
                <w:color w:val="000000"/>
                <w:lang w:eastAsia="en-GB"/>
              </w:rPr>
              <w:t>20</w:t>
            </w:r>
            <w:r w:rsidR="0076338E">
              <w:rPr>
                <w:rFonts w:ascii="Calibri" w:hAnsi="Calibri"/>
                <w:color w:val="000000"/>
                <w:lang w:eastAsia="en-GB"/>
              </w:rPr>
              <w:t>2</w:t>
            </w:r>
            <w:r w:rsidR="00626C51">
              <w:rPr>
                <w:rFonts w:ascii="Calibri" w:hAnsi="Calibri"/>
                <w:color w:val="000000"/>
                <w:lang w:eastAsia="en-GB"/>
              </w:rPr>
              <w:t>2</w:t>
            </w:r>
            <w:r w:rsidRPr="00122403">
              <w:rPr>
                <w:rFonts w:ascii="Calibri" w:hAnsi="Calibri"/>
                <w:color w:val="000000"/>
                <w:lang w:eastAsia="en-GB"/>
              </w:rPr>
              <w:t>-</w:t>
            </w:r>
            <w:r w:rsidR="0027637B">
              <w:rPr>
                <w:rFonts w:ascii="Calibri" w:hAnsi="Calibri"/>
                <w:color w:val="000000"/>
                <w:lang w:eastAsia="en-GB"/>
              </w:rPr>
              <w:t>2</w:t>
            </w:r>
            <w:r w:rsidR="00626C51">
              <w:rPr>
                <w:rFonts w:ascii="Calibri" w:hAnsi="Calibri"/>
                <w:color w:val="000000"/>
                <w:lang w:eastAsia="en-GB"/>
              </w:rPr>
              <w:t>3</w:t>
            </w:r>
          </w:p>
        </w:tc>
      </w:tr>
      <w:tr w:rsidR="00122403" w:rsidRPr="00122403" w14:paraId="75F78203" w14:textId="77777777" w:rsidTr="007F516A">
        <w:trPr>
          <w:trHeight w:val="300"/>
        </w:trPr>
        <w:tc>
          <w:tcPr>
            <w:tcW w:w="1480" w:type="dxa"/>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576D26A6"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£’000</w:t>
            </w:r>
          </w:p>
        </w:tc>
        <w:tc>
          <w:tcPr>
            <w:tcW w:w="1320" w:type="dxa"/>
            <w:tcBorders>
              <w:top w:val="nil"/>
              <w:left w:val="nil"/>
              <w:bottom w:val="single" w:sz="4" w:space="0" w:color="FFFFFF"/>
              <w:right w:val="single" w:sz="4" w:space="0" w:color="FFFFFF"/>
            </w:tcBorders>
            <w:shd w:val="clear" w:color="auto" w:fill="548DD4" w:themeFill="text2" w:themeFillTint="99"/>
            <w:vAlign w:val="center"/>
            <w:hideMark/>
          </w:tcPr>
          <w:p w14:paraId="1170A465"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£’000</w:t>
            </w:r>
          </w:p>
        </w:tc>
        <w:tc>
          <w:tcPr>
            <w:tcW w:w="3700" w:type="dxa"/>
            <w:tcBorders>
              <w:top w:val="nil"/>
              <w:left w:val="nil"/>
              <w:bottom w:val="single" w:sz="4" w:space="0" w:color="FFFFFF"/>
              <w:right w:val="single" w:sz="4" w:space="0" w:color="FFFFFF"/>
            </w:tcBorders>
            <w:shd w:val="clear" w:color="auto" w:fill="548DD4" w:themeFill="text2" w:themeFillTint="99"/>
            <w:vAlign w:val="center"/>
            <w:hideMark/>
          </w:tcPr>
          <w:p w14:paraId="295F745C" w14:textId="77777777" w:rsidR="00122403" w:rsidRPr="00122403" w:rsidRDefault="00122403" w:rsidP="00122403">
            <w:pPr>
              <w:ind w:firstLineChars="100" w:firstLine="200"/>
              <w:jc w:val="right"/>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548DD4" w:themeFill="text2" w:themeFillTint="99"/>
            <w:vAlign w:val="center"/>
            <w:hideMark/>
          </w:tcPr>
          <w:p w14:paraId="4DFFB3B4"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£’000</w:t>
            </w:r>
          </w:p>
        </w:tc>
        <w:tc>
          <w:tcPr>
            <w:tcW w:w="1180" w:type="dxa"/>
            <w:tcBorders>
              <w:top w:val="nil"/>
              <w:left w:val="nil"/>
              <w:bottom w:val="single" w:sz="4" w:space="0" w:color="FFFFFF"/>
              <w:right w:val="single" w:sz="4" w:space="0" w:color="FFFFFF"/>
            </w:tcBorders>
            <w:shd w:val="clear" w:color="auto" w:fill="548DD4" w:themeFill="text2" w:themeFillTint="99"/>
            <w:vAlign w:val="center"/>
            <w:hideMark/>
          </w:tcPr>
          <w:p w14:paraId="659DE8C4"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£’000</w:t>
            </w:r>
          </w:p>
        </w:tc>
      </w:tr>
      <w:tr w:rsidR="00122403" w:rsidRPr="00122403" w14:paraId="5F3D2BB2"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3343B2FD" w14:textId="53162575" w:rsidR="00122403" w:rsidRPr="00122403" w:rsidRDefault="00626C51" w:rsidP="00122403">
            <w:pPr>
              <w:jc w:val="right"/>
              <w:rPr>
                <w:rFonts w:ascii="Calibri" w:hAnsi="Calibri"/>
                <w:color w:val="000000"/>
                <w:lang w:eastAsia="en-GB"/>
              </w:rPr>
            </w:pPr>
            <w:r>
              <w:rPr>
                <w:rFonts w:ascii="Calibri" w:hAnsi="Calibri"/>
                <w:color w:val="000000"/>
                <w:lang w:eastAsia="en-GB"/>
              </w:rPr>
              <w:t>320</w:t>
            </w:r>
          </w:p>
        </w:tc>
        <w:tc>
          <w:tcPr>
            <w:tcW w:w="1320" w:type="dxa"/>
            <w:tcBorders>
              <w:top w:val="nil"/>
              <w:left w:val="nil"/>
              <w:bottom w:val="single" w:sz="4" w:space="0" w:color="FFFFFF"/>
              <w:right w:val="single" w:sz="4" w:space="0" w:color="FFFFFF"/>
            </w:tcBorders>
            <w:shd w:val="clear" w:color="auto" w:fill="C6D9F1" w:themeFill="text2" w:themeFillTint="33"/>
            <w:vAlign w:val="center"/>
            <w:hideMark/>
          </w:tcPr>
          <w:p w14:paraId="47365E2A" w14:textId="77777777" w:rsidR="00122403" w:rsidRPr="00122403" w:rsidRDefault="00122403" w:rsidP="00122403">
            <w:pPr>
              <w:rPr>
                <w:rFonts w:ascii="Calibri" w:hAnsi="Calibri"/>
                <w:color w:val="000000"/>
                <w:lang w:eastAsia="en-GB"/>
              </w:rPr>
            </w:pPr>
            <w:r w:rsidRPr="00122403">
              <w:rPr>
                <w:rFonts w:ascii="Calibri" w:hAnsi="Calibri"/>
                <w:color w:val="000000"/>
                <w:lang w:eastAsia="en-GB"/>
              </w:rPr>
              <w:t> </w:t>
            </w:r>
          </w:p>
        </w:tc>
        <w:tc>
          <w:tcPr>
            <w:tcW w:w="3700" w:type="dxa"/>
            <w:tcBorders>
              <w:top w:val="nil"/>
              <w:left w:val="nil"/>
              <w:bottom w:val="single" w:sz="4" w:space="0" w:color="FFFFFF"/>
              <w:right w:val="single" w:sz="4" w:space="0" w:color="FFFFFF"/>
            </w:tcBorders>
            <w:shd w:val="clear" w:color="auto" w:fill="C6D9F1" w:themeFill="text2" w:themeFillTint="33"/>
            <w:vAlign w:val="center"/>
            <w:hideMark/>
          </w:tcPr>
          <w:p w14:paraId="0BC74B53" w14:textId="77777777" w:rsidR="00122403" w:rsidRPr="00122403" w:rsidRDefault="00122403" w:rsidP="00122403">
            <w:pPr>
              <w:ind w:firstLineChars="600" w:firstLine="1200"/>
              <w:rPr>
                <w:rFonts w:ascii="Calibri" w:hAnsi="Calibri"/>
                <w:color w:val="000000"/>
                <w:lang w:eastAsia="en-GB"/>
              </w:rPr>
            </w:pPr>
            <w:r w:rsidRPr="00122403">
              <w:rPr>
                <w:rFonts w:ascii="Calibri" w:hAnsi="Calibri"/>
                <w:color w:val="000000"/>
                <w:lang w:eastAsia="en-GB"/>
              </w:rPr>
              <w:t xml:space="preserve">   Business Ratepayers</w:t>
            </w:r>
          </w:p>
        </w:tc>
        <w:tc>
          <w:tcPr>
            <w:tcW w:w="1320" w:type="dxa"/>
            <w:tcBorders>
              <w:top w:val="nil"/>
              <w:left w:val="nil"/>
              <w:bottom w:val="single" w:sz="4" w:space="0" w:color="FFFFFF"/>
              <w:right w:val="single" w:sz="4" w:space="0" w:color="FFFFFF"/>
            </w:tcBorders>
            <w:shd w:val="clear" w:color="auto" w:fill="C6D9F1" w:themeFill="text2" w:themeFillTint="33"/>
            <w:vAlign w:val="center"/>
          </w:tcPr>
          <w:p w14:paraId="77A16F5D" w14:textId="4E39BAD3" w:rsidR="00122403" w:rsidRPr="00122403" w:rsidRDefault="00D47FE5" w:rsidP="00122403">
            <w:pPr>
              <w:jc w:val="right"/>
              <w:rPr>
                <w:rFonts w:ascii="Calibri" w:hAnsi="Calibri"/>
                <w:color w:val="000000"/>
                <w:lang w:eastAsia="en-GB"/>
              </w:rPr>
            </w:pPr>
            <w:r>
              <w:rPr>
                <w:rFonts w:ascii="Calibri" w:hAnsi="Calibri"/>
                <w:color w:val="000000"/>
                <w:lang w:eastAsia="en-GB"/>
              </w:rPr>
              <w:t>537</w:t>
            </w:r>
          </w:p>
        </w:tc>
        <w:tc>
          <w:tcPr>
            <w:tcW w:w="1180" w:type="dxa"/>
            <w:tcBorders>
              <w:top w:val="nil"/>
              <w:left w:val="nil"/>
              <w:bottom w:val="single" w:sz="4" w:space="0" w:color="FFFFFF"/>
              <w:right w:val="single" w:sz="4" w:space="0" w:color="FFFFFF"/>
            </w:tcBorders>
            <w:shd w:val="clear" w:color="auto" w:fill="C6D9F1" w:themeFill="text2" w:themeFillTint="33"/>
            <w:vAlign w:val="center"/>
          </w:tcPr>
          <w:p w14:paraId="073A362E" w14:textId="77777777" w:rsidR="00122403" w:rsidRPr="00122403" w:rsidRDefault="00122403" w:rsidP="008160C9">
            <w:pPr>
              <w:jc w:val="center"/>
              <w:rPr>
                <w:rFonts w:ascii="Calibri" w:hAnsi="Calibri"/>
                <w:color w:val="000000"/>
                <w:lang w:eastAsia="en-GB"/>
              </w:rPr>
            </w:pPr>
          </w:p>
        </w:tc>
      </w:tr>
      <w:tr w:rsidR="00122403" w:rsidRPr="00122403" w14:paraId="4C6B3D4F"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48C23337" w14:textId="37C230EA" w:rsidR="00122403" w:rsidRPr="00122403" w:rsidRDefault="00DA44C9" w:rsidP="0027637B">
            <w:pPr>
              <w:jc w:val="right"/>
              <w:rPr>
                <w:rFonts w:ascii="Calibri" w:hAnsi="Calibri"/>
                <w:color w:val="000000"/>
                <w:lang w:eastAsia="en-GB"/>
              </w:rPr>
            </w:pPr>
            <w:r>
              <w:rPr>
                <w:rFonts w:ascii="Calibri" w:hAnsi="Calibri"/>
                <w:color w:val="000000"/>
                <w:lang w:eastAsia="en-GB"/>
              </w:rPr>
              <w:t>-</w:t>
            </w:r>
            <w:r w:rsidR="00626C51">
              <w:rPr>
                <w:rFonts w:ascii="Calibri" w:hAnsi="Calibri"/>
                <w:color w:val="000000"/>
                <w:lang w:eastAsia="en-GB"/>
              </w:rPr>
              <w:t>177</w:t>
            </w:r>
          </w:p>
        </w:tc>
        <w:tc>
          <w:tcPr>
            <w:tcW w:w="1320" w:type="dxa"/>
            <w:tcBorders>
              <w:top w:val="nil"/>
              <w:left w:val="nil"/>
              <w:bottom w:val="single" w:sz="4" w:space="0" w:color="FFFFFF"/>
              <w:right w:val="single" w:sz="4" w:space="0" w:color="FFFFFF"/>
            </w:tcBorders>
            <w:shd w:val="clear" w:color="auto" w:fill="C6D9F1" w:themeFill="text2" w:themeFillTint="33"/>
            <w:vAlign w:val="center"/>
            <w:hideMark/>
          </w:tcPr>
          <w:p w14:paraId="5D339FDE" w14:textId="77777777" w:rsidR="00122403" w:rsidRPr="00122403" w:rsidRDefault="00122403" w:rsidP="00122403">
            <w:pPr>
              <w:rPr>
                <w:rFonts w:ascii="Calibri" w:hAnsi="Calibri"/>
                <w:color w:val="000000"/>
                <w:lang w:eastAsia="en-GB"/>
              </w:rPr>
            </w:pPr>
            <w:r w:rsidRPr="00122403">
              <w:rPr>
                <w:rFonts w:ascii="Calibri" w:hAnsi="Calibri"/>
                <w:color w:val="000000"/>
                <w:lang w:eastAsia="en-GB"/>
              </w:rPr>
              <w:t> </w:t>
            </w:r>
          </w:p>
        </w:tc>
        <w:tc>
          <w:tcPr>
            <w:tcW w:w="3700" w:type="dxa"/>
            <w:tcBorders>
              <w:top w:val="nil"/>
              <w:left w:val="nil"/>
              <w:bottom w:val="single" w:sz="4" w:space="0" w:color="FFFFFF"/>
              <w:right w:val="single" w:sz="4" w:space="0" w:color="FFFFFF"/>
            </w:tcBorders>
            <w:shd w:val="clear" w:color="auto" w:fill="C6D9F1" w:themeFill="text2" w:themeFillTint="33"/>
            <w:vAlign w:val="center"/>
            <w:hideMark/>
          </w:tcPr>
          <w:p w14:paraId="2088EE27" w14:textId="77777777" w:rsidR="00122403" w:rsidRPr="00122403" w:rsidRDefault="00122403" w:rsidP="00122403">
            <w:pPr>
              <w:ind w:firstLineChars="600" w:firstLine="1200"/>
              <w:rPr>
                <w:rFonts w:ascii="Calibri" w:hAnsi="Calibri"/>
                <w:color w:val="000000"/>
                <w:lang w:eastAsia="en-GB"/>
              </w:rPr>
            </w:pPr>
            <w:r w:rsidRPr="00122403">
              <w:rPr>
                <w:rFonts w:ascii="Calibri" w:hAnsi="Calibri"/>
                <w:color w:val="000000"/>
                <w:lang w:eastAsia="en-GB"/>
              </w:rPr>
              <w:t xml:space="preserve">   Provision for Bad Debts</w:t>
            </w:r>
          </w:p>
        </w:tc>
        <w:tc>
          <w:tcPr>
            <w:tcW w:w="1320" w:type="dxa"/>
            <w:tcBorders>
              <w:top w:val="nil"/>
              <w:left w:val="nil"/>
              <w:bottom w:val="single" w:sz="4" w:space="0" w:color="FFFFFF"/>
              <w:right w:val="single" w:sz="4" w:space="0" w:color="FFFFFF"/>
            </w:tcBorders>
            <w:shd w:val="clear" w:color="auto" w:fill="C6D9F1" w:themeFill="text2" w:themeFillTint="33"/>
            <w:vAlign w:val="center"/>
          </w:tcPr>
          <w:p w14:paraId="4025143A" w14:textId="448EAD11" w:rsidR="00122403" w:rsidRPr="00122403" w:rsidRDefault="00BE5CB1" w:rsidP="00122403">
            <w:pPr>
              <w:jc w:val="right"/>
              <w:rPr>
                <w:rFonts w:ascii="Calibri" w:hAnsi="Calibri"/>
                <w:color w:val="000000"/>
                <w:lang w:eastAsia="en-GB"/>
              </w:rPr>
            </w:pPr>
            <w:r>
              <w:rPr>
                <w:rFonts w:ascii="Calibri" w:hAnsi="Calibri"/>
                <w:color w:val="000000"/>
                <w:lang w:eastAsia="en-GB"/>
              </w:rPr>
              <w:t>-217</w:t>
            </w:r>
          </w:p>
        </w:tc>
        <w:tc>
          <w:tcPr>
            <w:tcW w:w="1180" w:type="dxa"/>
            <w:tcBorders>
              <w:top w:val="nil"/>
              <w:left w:val="nil"/>
              <w:bottom w:val="single" w:sz="4" w:space="0" w:color="FFFFFF"/>
              <w:right w:val="single" w:sz="4" w:space="0" w:color="FFFFFF"/>
            </w:tcBorders>
            <w:shd w:val="clear" w:color="auto" w:fill="C6D9F1" w:themeFill="text2" w:themeFillTint="33"/>
            <w:vAlign w:val="center"/>
          </w:tcPr>
          <w:p w14:paraId="6985C88A" w14:textId="77777777" w:rsidR="00122403" w:rsidRPr="00122403" w:rsidRDefault="00122403" w:rsidP="00122403">
            <w:pPr>
              <w:jc w:val="right"/>
              <w:rPr>
                <w:rFonts w:ascii="Calibri" w:hAnsi="Calibri"/>
                <w:color w:val="000000"/>
                <w:lang w:eastAsia="en-GB"/>
              </w:rPr>
            </w:pPr>
          </w:p>
        </w:tc>
      </w:tr>
      <w:tr w:rsidR="00122403" w:rsidRPr="00122403" w14:paraId="260FA30F"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8DB3E2" w:themeFill="text2" w:themeFillTint="66"/>
            <w:vAlign w:val="center"/>
            <w:hideMark/>
          </w:tcPr>
          <w:p w14:paraId="491BDE1C"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8DB3E2" w:themeFill="text2" w:themeFillTint="66"/>
            <w:vAlign w:val="center"/>
            <w:hideMark/>
          </w:tcPr>
          <w:p w14:paraId="4D24ACEA" w14:textId="7A7BBA00" w:rsidR="00122403" w:rsidRPr="00122403" w:rsidRDefault="00626C51" w:rsidP="0027637B">
            <w:pPr>
              <w:jc w:val="right"/>
              <w:rPr>
                <w:rFonts w:ascii="Calibri" w:hAnsi="Calibri"/>
                <w:color w:val="000000"/>
                <w:lang w:eastAsia="en-GB"/>
              </w:rPr>
            </w:pPr>
            <w:r>
              <w:rPr>
                <w:rFonts w:ascii="Calibri" w:hAnsi="Calibri"/>
                <w:color w:val="000000"/>
                <w:lang w:eastAsia="en-GB"/>
              </w:rPr>
              <w:t>143</w:t>
            </w:r>
          </w:p>
        </w:tc>
        <w:tc>
          <w:tcPr>
            <w:tcW w:w="3700" w:type="dxa"/>
            <w:tcBorders>
              <w:top w:val="nil"/>
              <w:left w:val="nil"/>
              <w:bottom w:val="single" w:sz="4" w:space="0" w:color="FFFFFF"/>
              <w:right w:val="nil"/>
            </w:tcBorders>
            <w:shd w:val="clear" w:color="auto" w:fill="8DB3E2" w:themeFill="text2" w:themeFillTint="66"/>
            <w:vAlign w:val="center"/>
            <w:hideMark/>
          </w:tcPr>
          <w:p w14:paraId="130A778F" w14:textId="77777777" w:rsidR="00122403" w:rsidRPr="00122403" w:rsidRDefault="00122403" w:rsidP="00122403">
            <w:pPr>
              <w:ind w:firstLineChars="600" w:firstLine="1200"/>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8DB3E2" w:themeFill="text2" w:themeFillTint="66"/>
            <w:vAlign w:val="center"/>
          </w:tcPr>
          <w:p w14:paraId="139967AB" w14:textId="77777777" w:rsidR="00122403" w:rsidRPr="00122403" w:rsidRDefault="00122403" w:rsidP="00122403">
            <w:pPr>
              <w:rPr>
                <w:rFonts w:ascii="Calibri" w:hAnsi="Calibri"/>
                <w:color w:val="000000"/>
                <w:lang w:eastAsia="en-GB"/>
              </w:rPr>
            </w:pPr>
          </w:p>
        </w:tc>
        <w:tc>
          <w:tcPr>
            <w:tcW w:w="1180" w:type="dxa"/>
            <w:tcBorders>
              <w:top w:val="nil"/>
              <w:left w:val="nil"/>
              <w:bottom w:val="single" w:sz="4" w:space="0" w:color="FFFFFF"/>
              <w:right w:val="single" w:sz="4" w:space="0" w:color="FFFFFF"/>
            </w:tcBorders>
            <w:shd w:val="clear" w:color="auto" w:fill="8DB3E2" w:themeFill="text2" w:themeFillTint="66"/>
            <w:vAlign w:val="center"/>
          </w:tcPr>
          <w:p w14:paraId="7F2ABFDE" w14:textId="131D145C" w:rsidR="00122403" w:rsidRPr="00122403" w:rsidRDefault="00D47FE5" w:rsidP="00122403">
            <w:pPr>
              <w:jc w:val="right"/>
              <w:rPr>
                <w:rFonts w:ascii="Calibri" w:hAnsi="Calibri"/>
                <w:color w:val="000000"/>
                <w:lang w:eastAsia="en-GB"/>
              </w:rPr>
            </w:pPr>
            <w:r>
              <w:rPr>
                <w:rFonts w:ascii="Calibri" w:hAnsi="Calibri"/>
                <w:color w:val="000000"/>
                <w:lang w:eastAsia="en-GB"/>
              </w:rPr>
              <w:t>320</w:t>
            </w:r>
          </w:p>
        </w:tc>
      </w:tr>
      <w:tr w:rsidR="00122403" w:rsidRPr="00122403" w14:paraId="0B33C58F"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40EF3038" w14:textId="0E97F17B" w:rsidR="00122403" w:rsidRPr="00122403" w:rsidRDefault="004E768F" w:rsidP="00511DCA">
            <w:pPr>
              <w:jc w:val="right"/>
              <w:rPr>
                <w:rFonts w:ascii="Calibri" w:hAnsi="Calibri"/>
                <w:color w:val="000000"/>
                <w:lang w:eastAsia="en-GB"/>
              </w:rPr>
            </w:pPr>
            <w:r>
              <w:rPr>
                <w:rFonts w:ascii="Calibri" w:hAnsi="Calibri"/>
                <w:color w:val="000000"/>
                <w:lang w:eastAsia="en-GB"/>
              </w:rPr>
              <w:t>2,</w:t>
            </w:r>
            <w:r w:rsidR="00626C51">
              <w:rPr>
                <w:rFonts w:ascii="Calibri" w:hAnsi="Calibri"/>
                <w:color w:val="000000"/>
                <w:lang w:eastAsia="en-GB"/>
              </w:rPr>
              <w:t>158</w:t>
            </w:r>
          </w:p>
        </w:tc>
        <w:tc>
          <w:tcPr>
            <w:tcW w:w="1320" w:type="dxa"/>
            <w:tcBorders>
              <w:top w:val="nil"/>
              <w:left w:val="nil"/>
              <w:bottom w:val="single" w:sz="4" w:space="0" w:color="FFFFFF"/>
              <w:right w:val="single" w:sz="4" w:space="0" w:color="FFFFFF"/>
            </w:tcBorders>
            <w:shd w:val="clear" w:color="auto" w:fill="C6D9F1" w:themeFill="text2" w:themeFillTint="33"/>
            <w:vAlign w:val="center"/>
            <w:hideMark/>
          </w:tcPr>
          <w:p w14:paraId="3319AFE8" w14:textId="77777777" w:rsidR="00122403" w:rsidRPr="00122403" w:rsidRDefault="00122403" w:rsidP="00122403">
            <w:pPr>
              <w:rPr>
                <w:rFonts w:ascii="Calibri" w:hAnsi="Calibri"/>
                <w:color w:val="000000"/>
                <w:lang w:eastAsia="en-GB"/>
              </w:rPr>
            </w:pPr>
            <w:r w:rsidRPr="00122403">
              <w:rPr>
                <w:rFonts w:ascii="Calibri" w:hAnsi="Calibri"/>
                <w:color w:val="000000"/>
                <w:lang w:eastAsia="en-GB"/>
              </w:rPr>
              <w:t> </w:t>
            </w:r>
          </w:p>
        </w:tc>
        <w:tc>
          <w:tcPr>
            <w:tcW w:w="3700" w:type="dxa"/>
            <w:tcBorders>
              <w:top w:val="nil"/>
              <w:left w:val="nil"/>
              <w:bottom w:val="single" w:sz="4" w:space="0" w:color="FFFFFF"/>
              <w:right w:val="single" w:sz="4" w:space="0" w:color="FFFFFF"/>
            </w:tcBorders>
            <w:shd w:val="clear" w:color="auto" w:fill="C6D9F1" w:themeFill="text2" w:themeFillTint="33"/>
            <w:vAlign w:val="center"/>
            <w:hideMark/>
          </w:tcPr>
          <w:p w14:paraId="7B7E2FC5" w14:textId="77777777" w:rsidR="00122403" w:rsidRPr="00122403" w:rsidRDefault="00122403" w:rsidP="00122403">
            <w:pPr>
              <w:ind w:firstLineChars="600" w:firstLine="1200"/>
              <w:rPr>
                <w:rFonts w:ascii="Calibri" w:hAnsi="Calibri"/>
                <w:color w:val="000000"/>
                <w:lang w:eastAsia="en-GB"/>
              </w:rPr>
            </w:pPr>
            <w:r w:rsidRPr="00122403">
              <w:rPr>
                <w:rFonts w:ascii="Calibri" w:hAnsi="Calibri"/>
                <w:color w:val="000000"/>
                <w:lang w:eastAsia="en-GB"/>
              </w:rPr>
              <w:t xml:space="preserve">   Council Taxpayers </w:t>
            </w:r>
          </w:p>
        </w:tc>
        <w:tc>
          <w:tcPr>
            <w:tcW w:w="1320" w:type="dxa"/>
            <w:tcBorders>
              <w:top w:val="nil"/>
              <w:left w:val="nil"/>
              <w:bottom w:val="single" w:sz="4" w:space="0" w:color="FFFFFF"/>
              <w:right w:val="single" w:sz="4" w:space="0" w:color="FFFFFF"/>
            </w:tcBorders>
            <w:shd w:val="clear" w:color="auto" w:fill="C6D9F1" w:themeFill="text2" w:themeFillTint="33"/>
            <w:vAlign w:val="center"/>
          </w:tcPr>
          <w:p w14:paraId="32FB8643" w14:textId="0635B636" w:rsidR="00122403" w:rsidRPr="00122403" w:rsidRDefault="00D47FE5" w:rsidP="00122403">
            <w:pPr>
              <w:jc w:val="right"/>
              <w:rPr>
                <w:rFonts w:ascii="Calibri" w:hAnsi="Calibri"/>
                <w:color w:val="000000"/>
                <w:lang w:eastAsia="en-GB"/>
              </w:rPr>
            </w:pPr>
            <w:r>
              <w:rPr>
                <w:rFonts w:ascii="Calibri" w:hAnsi="Calibri"/>
                <w:color w:val="000000"/>
                <w:lang w:eastAsia="en-GB"/>
              </w:rPr>
              <w:t>2,848</w:t>
            </w:r>
          </w:p>
        </w:tc>
        <w:tc>
          <w:tcPr>
            <w:tcW w:w="1180" w:type="dxa"/>
            <w:tcBorders>
              <w:top w:val="nil"/>
              <w:left w:val="nil"/>
              <w:bottom w:val="single" w:sz="4" w:space="0" w:color="FFFFFF"/>
              <w:right w:val="single" w:sz="4" w:space="0" w:color="FFFFFF"/>
            </w:tcBorders>
            <w:shd w:val="clear" w:color="auto" w:fill="C6D9F1" w:themeFill="text2" w:themeFillTint="33"/>
            <w:vAlign w:val="center"/>
          </w:tcPr>
          <w:p w14:paraId="765A8F2E" w14:textId="77777777" w:rsidR="00122403" w:rsidRPr="00122403" w:rsidRDefault="00122403" w:rsidP="00122403">
            <w:pPr>
              <w:jc w:val="center"/>
              <w:rPr>
                <w:rFonts w:ascii="Calibri" w:hAnsi="Calibri"/>
                <w:color w:val="000000"/>
                <w:lang w:eastAsia="en-GB"/>
              </w:rPr>
            </w:pPr>
          </w:p>
        </w:tc>
      </w:tr>
      <w:tr w:rsidR="00122403" w:rsidRPr="00122403" w14:paraId="4DD3DE11"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C6D9F1" w:themeFill="text2" w:themeFillTint="33"/>
            <w:vAlign w:val="center"/>
            <w:hideMark/>
          </w:tcPr>
          <w:p w14:paraId="5C2EBD83" w14:textId="40892B29" w:rsidR="00122403" w:rsidRPr="00122403" w:rsidRDefault="00DA44C9" w:rsidP="0076338E">
            <w:pPr>
              <w:jc w:val="right"/>
              <w:rPr>
                <w:rFonts w:ascii="Calibri" w:hAnsi="Calibri"/>
                <w:color w:val="000000"/>
                <w:lang w:eastAsia="en-GB"/>
              </w:rPr>
            </w:pPr>
            <w:r>
              <w:rPr>
                <w:rFonts w:ascii="Calibri" w:hAnsi="Calibri"/>
                <w:color w:val="000000"/>
                <w:lang w:eastAsia="en-GB"/>
              </w:rPr>
              <w:t>-</w:t>
            </w:r>
            <w:r w:rsidR="004E768F">
              <w:rPr>
                <w:rFonts w:ascii="Calibri" w:hAnsi="Calibri"/>
                <w:color w:val="000000"/>
                <w:lang w:eastAsia="en-GB"/>
              </w:rPr>
              <w:t>5</w:t>
            </w:r>
            <w:r w:rsidR="00626C51">
              <w:rPr>
                <w:rFonts w:ascii="Calibri" w:hAnsi="Calibri"/>
                <w:color w:val="000000"/>
                <w:lang w:eastAsia="en-GB"/>
              </w:rPr>
              <w:t>95</w:t>
            </w:r>
          </w:p>
        </w:tc>
        <w:tc>
          <w:tcPr>
            <w:tcW w:w="1320" w:type="dxa"/>
            <w:tcBorders>
              <w:top w:val="nil"/>
              <w:left w:val="nil"/>
              <w:bottom w:val="single" w:sz="4" w:space="0" w:color="FFFFFF"/>
              <w:right w:val="single" w:sz="4" w:space="0" w:color="FFFFFF"/>
            </w:tcBorders>
            <w:shd w:val="clear" w:color="auto" w:fill="C6D9F1" w:themeFill="text2" w:themeFillTint="33"/>
            <w:vAlign w:val="center"/>
            <w:hideMark/>
          </w:tcPr>
          <w:p w14:paraId="08293E22" w14:textId="77777777" w:rsidR="00122403" w:rsidRPr="00122403" w:rsidRDefault="00122403" w:rsidP="00122403">
            <w:pPr>
              <w:rPr>
                <w:rFonts w:ascii="Calibri" w:hAnsi="Calibri"/>
                <w:color w:val="000000"/>
                <w:lang w:eastAsia="en-GB"/>
              </w:rPr>
            </w:pPr>
            <w:r w:rsidRPr="00122403">
              <w:rPr>
                <w:rFonts w:ascii="Calibri" w:hAnsi="Calibri"/>
                <w:color w:val="000000"/>
                <w:lang w:eastAsia="en-GB"/>
              </w:rPr>
              <w:t> </w:t>
            </w:r>
          </w:p>
        </w:tc>
        <w:tc>
          <w:tcPr>
            <w:tcW w:w="3700" w:type="dxa"/>
            <w:tcBorders>
              <w:top w:val="nil"/>
              <w:left w:val="nil"/>
              <w:bottom w:val="single" w:sz="4" w:space="0" w:color="FFFFFF"/>
              <w:right w:val="single" w:sz="4" w:space="0" w:color="FFFFFF"/>
            </w:tcBorders>
            <w:shd w:val="clear" w:color="auto" w:fill="C6D9F1" w:themeFill="text2" w:themeFillTint="33"/>
            <w:vAlign w:val="center"/>
            <w:hideMark/>
          </w:tcPr>
          <w:p w14:paraId="31415546" w14:textId="77777777" w:rsidR="00122403" w:rsidRPr="00122403" w:rsidRDefault="00122403" w:rsidP="00122403">
            <w:pPr>
              <w:ind w:firstLineChars="600" w:firstLine="1200"/>
              <w:rPr>
                <w:rFonts w:ascii="Calibri" w:hAnsi="Calibri"/>
                <w:color w:val="000000"/>
                <w:lang w:eastAsia="en-GB"/>
              </w:rPr>
            </w:pPr>
            <w:r w:rsidRPr="00122403">
              <w:rPr>
                <w:rFonts w:ascii="Calibri" w:hAnsi="Calibri"/>
                <w:color w:val="000000"/>
                <w:lang w:eastAsia="en-GB"/>
              </w:rPr>
              <w:t xml:space="preserve">   Provision for Bad Debts</w:t>
            </w:r>
          </w:p>
        </w:tc>
        <w:tc>
          <w:tcPr>
            <w:tcW w:w="1320" w:type="dxa"/>
            <w:tcBorders>
              <w:top w:val="nil"/>
              <w:left w:val="nil"/>
              <w:bottom w:val="single" w:sz="4" w:space="0" w:color="FFFFFF"/>
              <w:right w:val="single" w:sz="4" w:space="0" w:color="FFFFFF"/>
            </w:tcBorders>
            <w:shd w:val="clear" w:color="auto" w:fill="C6D9F1" w:themeFill="text2" w:themeFillTint="33"/>
            <w:vAlign w:val="center"/>
          </w:tcPr>
          <w:p w14:paraId="32713DBD" w14:textId="353FF7EF" w:rsidR="00122403" w:rsidRPr="00122403" w:rsidRDefault="00BE5CB1" w:rsidP="00122403">
            <w:pPr>
              <w:jc w:val="right"/>
              <w:rPr>
                <w:rFonts w:ascii="Calibri" w:hAnsi="Calibri"/>
                <w:color w:val="000000"/>
                <w:lang w:eastAsia="en-GB"/>
              </w:rPr>
            </w:pPr>
            <w:r>
              <w:rPr>
                <w:rFonts w:ascii="Calibri" w:hAnsi="Calibri"/>
                <w:color w:val="000000"/>
                <w:lang w:eastAsia="en-GB"/>
              </w:rPr>
              <w:t>-721</w:t>
            </w:r>
          </w:p>
        </w:tc>
        <w:tc>
          <w:tcPr>
            <w:tcW w:w="1180" w:type="dxa"/>
            <w:tcBorders>
              <w:top w:val="nil"/>
              <w:left w:val="nil"/>
              <w:bottom w:val="single" w:sz="4" w:space="0" w:color="FFFFFF"/>
              <w:right w:val="single" w:sz="4" w:space="0" w:color="FFFFFF"/>
            </w:tcBorders>
            <w:shd w:val="clear" w:color="auto" w:fill="C6D9F1" w:themeFill="text2" w:themeFillTint="33"/>
            <w:vAlign w:val="center"/>
          </w:tcPr>
          <w:p w14:paraId="3D5A574C" w14:textId="77777777" w:rsidR="00122403" w:rsidRPr="00122403" w:rsidRDefault="00122403" w:rsidP="00122403">
            <w:pPr>
              <w:jc w:val="right"/>
              <w:rPr>
                <w:rFonts w:ascii="Calibri" w:hAnsi="Calibri"/>
                <w:color w:val="000000"/>
                <w:lang w:eastAsia="en-GB"/>
              </w:rPr>
            </w:pPr>
          </w:p>
        </w:tc>
      </w:tr>
      <w:tr w:rsidR="00122403" w:rsidRPr="00122403" w14:paraId="0C33E710" w14:textId="77777777" w:rsidTr="00DA44C9">
        <w:trPr>
          <w:trHeight w:val="300"/>
        </w:trPr>
        <w:tc>
          <w:tcPr>
            <w:tcW w:w="1480" w:type="dxa"/>
            <w:tcBorders>
              <w:top w:val="nil"/>
              <w:left w:val="single" w:sz="4" w:space="0" w:color="FFFFFF"/>
              <w:bottom w:val="nil"/>
              <w:right w:val="single" w:sz="4" w:space="0" w:color="FFFFFF"/>
            </w:tcBorders>
            <w:shd w:val="clear" w:color="auto" w:fill="8DB3E2" w:themeFill="text2" w:themeFillTint="66"/>
            <w:vAlign w:val="center"/>
            <w:hideMark/>
          </w:tcPr>
          <w:p w14:paraId="53FB1BC0"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8DB3E2" w:themeFill="text2" w:themeFillTint="66"/>
            <w:vAlign w:val="center"/>
            <w:hideMark/>
          </w:tcPr>
          <w:p w14:paraId="63646BF7" w14:textId="62106CF2" w:rsidR="00122403" w:rsidRPr="00122403" w:rsidRDefault="00DA44C9" w:rsidP="0076338E">
            <w:pPr>
              <w:jc w:val="right"/>
              <w:rPr>
                <w:rFonts w:ascii="Calibri" w:hAnsi="Calibri"/>
                <w:color w:val="000000"/>
                <w:lang w:eastAsia="en-GB"/>
              </w:rPr>
            </w:pPr>
            <w:r>
              <w:rPr>
                <w:rFonts w:ascii="Calibri" w:hAnsi="Calibri"/>
                <w:color w:val="000000"/>
                <w:lang w:eastAsia="en-GB"/>
              </w:rPr>
              <w:t>1,</w:t>
            </w:r>
            <w:r w:rsidR="004E768F">
              <w:rPr>
                <w:rFonts w:ascii="Calibri" w:hAnsi="Calibri"/>
                <w:color w:val="000000"/>
                <w:lang w:eastAsia="en-GB"/>
              </w:rPr>
              <w:t>5</w:t>
            </w:r>
            <w:r w:rsidR="00626C51">
              <w:rPr>
                <w:rFonts w:ascii="Calibri" w:hAnsi="Calibri"/>
                <w:color w:val="000000"/>
                <w:lang w:eastAsia="en-GB"/>
              </w:rPr>
              <w:t>63</w:t>
            </w:r>
          </w:p>
        </w:tc>
        <w:tc>
          <w:tcPr>
            <w:tcW w:w="3700" w:type="dxa"/>
            <w:tcBorders>
              <w:top w:val="nil"/>
              <w:left w:val="nil"/>
              <w:bottom w:val="nil"/>
              <w:right w:val="nil"/>
            </w:tcBorders>
            <w:shd w:val="clear" w:color="auto" w:fill="8DB3E2" w:themeFill="text2" w:themeFillTint="66"/>
            <w:vAlign w:val="center"/>
            <w:hideMark/>
          </w:tcPr>
          <w:p w14:paraId="1E8ECD0E" w14:textId="77777777" w:rsidR="00122403" w:rsidRPr="00122403" w:rsidRDefault="00122403" w:rsidP="00122403">
            <w:pPr>
              <w:ind w:firstLineChars="100" w:firstLine="200"/>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nil"/>
              <w:right w:val="single" w:sz="4" w:space="0" w:color="FFFFFF"/>
            </w:tcBorders>
            <w:shd w:val="clear" w:color="auto" w:fill="8DB3E2" w:themeFill="text2" w:themeFillTint="66"/>
            <w:vAlign w:val="center"/>
          </w:tcPr>
          <w:p w14:paraId="675D6242" w14:textId="77777777" w:rsidR="00122403" w:rsidRPr="00122403" w:rsidRDefault="00122403" w:rsidP="00122403">
            <w:pPr>
              <w:jc w:val="right"/>
              <w:rPr>
                <w:rFonts w:ascii="Calibri" w:hAnsi="Calibri"/>
                <w:color w:val="000000"/>
                <w:lang w:eastAsia="en-GB"/>
              </w:rPr>
            </w:pPr>
          </w:p>
        </w:tc>
        <w:tc>
          <w:tcPr>
            <w:tcW w:w="1180" w:type="dxa"/>
            <w:tcBorders>
              <w:top w:val="nil"/>
              <w:left w:val="nil"/>
              <w:bottom w:val="single" w:sz="4" w:space="0" w:color="FFFFFF"/>
              <w:right w:val="single" w:sz="4" w:space="0" w:color="FFFFFF"/>
            </w:tcBorders>
            <w:shd w:val="clear" w:color="auto" w:fill="8DB3E2" w:themeFill="text2" w:themeFillTint="66"/>
            <w:vAlign w:val="center"/>
          </w:tcPr>
          <w:p w14:paraId="048F6575" w14:textId="7ABD9286" w:rsidR="00122403" w:rsidRPr="00122403" w:rsidRDefault="00D47FE5" w:rsidP="00122403">
            <w:pPr>
              <w:jc w:val="right"/>
              <w:rPr>
                <w:rFonts w:ascii="Calibri" w:hAnsi="Calibri"/>
                <w:color w:val="000000"/>
                <w:lang w:eastAsia="en-GB"/>
              </w:rPr>
            </w:pPr>
            <w:r>
              <w:rPr>
                <w:rFonts w:ascii="Calibri" w:hAnsi="Calibri"/>
                <w:color w:val="000000"/>
                <w:lang w:eastAsia="en-GB"/>
              </w:rPr>
              <w:t>2,127</w:t>
            </w:r>
          </w:p>
        </w:tc>
      </w:tr>
      <w:tr w:rsidR="00122403" w:rsidRPr="00122403" w14:paraId="22B73A73" w14:textId="77777777" w:rsidTr="00DA44C9">
        <w:trPr>
          <w:trHeight w:val="300"/>
        </w:trPr>
        <w:tc>
          <w:tcPr>
            <w:tcW w:w="1480" w:type="dxa"/>
            <w:tcBorders>
              <w:top w:val="nil"/>
              <w:left w:val="single" w:sz="4" w:space="0" w:color="FFFFFF"/>
              <w:bottom w:val="single" w:sz="4" w:space="0" w:color="FFFFFF"/>
              <w:right w:val="single" w:sz="4" w:space="0" w:color="FFFFFF"/>
            </w:tcBorders>
            <w:shd w:val="clear" w:color="auto" w:fill="8DB3E2" w:themeFill="text2" w:themeFillTint="66"/>
            <w:vAlign w:val="center"/>
            <w:hideMark/>
          </w:tcPr>
          <w:p w14:paraId="3E341513" w14:textId="77777777" w:rsidR="00122403" w:rsidRPr="00122403" w:rsidRDefault="00122403" w:rsidP="00122403">
            <w:pPr>
              <w:jc w:val="right"/>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8DB3E2" w:themeFill="text2" w:themeFillTint="66"/>
            <w:vAlign w:val="center"/>
            <w:hideMark/>
          </w:tcPr>
          <w:p w14:paraId="6F193F95" w14:textId="780E1A26" w:rsidR="00122403" w:rsidRPr="00122403" w:rsidRDefault="00511DCA" w:rsidP="00511DCA">
            <w:pPr>
              <w:jc w:val="right"/>
              <w:rPr>
                <w:rFonts w:ascii="Calibri" w:hAnsi="Calibri"/>
                <w:b/>
                <w:bCs/>
                <w:color w:val="000000"/>
                <w:lang w:eastAsia="en-GB"/>
              </w:rPr>
            </w:pPr>
            <w:r>
              <w:rPr>
                <w:rFonts w:ascii="Calibri" w:hAnsi="Calibri"/>
                <w:b/>
                <w:bCs/>
                <w:color w:val="000000"/>
                <w:lang w:eastAsia="en-GB"/>
              </w:rPr>
              <w:t>1</w:t>
            </w:r>
            <w:r w:rsidR="00DA44C9">
              <w:rPr>
                <w:rFonts w:ascii="Calibri" w:hAnsi="Calibri"/>
                <w:b/>
                <w:bCs/>
                <w:color w:val="000000"/>
                <w:lang w:eastAsia="en-GB"/>
              </w:rPr>
              <w:t>,</w:t>
            </w:r>
            <w:r w:rsidR="00626C51">
              <w:rPr>
                <w:rFonts w:ascii="Calibri" w:hAnsi="Calibri"/>
                <w:b/>
                <w:bCs/>
                <w:color w:val="000000"/>
                <w:lang w:eastAsia="en-GB"/>
              </w:rPr>
              <w:t>706</w:t>
            </w:r>
          </w:p>
        </w:tc>
        <w:tc>
          <w:tcPr>
            <w:tcW w:w="3700" w:type="dxa"/>
            <w:tcBorders>
              <w:top w:val="nil"/>
              <w:left w:val="nil"/>
              <w:bottom w:val="single" w:sz="4" w:space="0" w:color="FFFFFF"/>
              <w:right w:val="nil"/>
            </w:tcBorders>
            <w:shd w:val="clear" w:color="auto" w:fill="8DB3E2" w:themeFill="text2" w:themeFillTint="66"/>
            <w:vAlign w:val="center"/>
            <w:hideMark/>
          </w:tcPr>
          <w:p w14:paraId="36A9347C" w14:textId="77777777" w:rsidR="00122403" w:rsidRPr="00122403" w:rsidRDefault="00122403" w:rsidP="00122403">
            <w:pPr>
              <w:ind w:firstLineChars="100" w:firstLine="200"/>
              <w:rPr>
                <w:rFonts w:ascii="Calibri" w:hAnsi="Calibri"/>
                <w:color w:val="000000"/>
                <w:lang w:eastAsia="en-GB"/>
              </w:rPr>
            </w:pPr>
            <w:r w:rsidRPr="00122403">
              <w:rPr>
                <w:rFonts w:ascii="Calibri" w:hAnsi="Calibri"/>
                <w:color w:val="000000"/>
                <w:lang w:eastAsia="en-GB"/>
              </w:rPr>
              <w:t> </w:t>
            </w:r>
          </w:p>
        </w:tc>
        <w:tc>
          <w:tcPr>
            <w:tcW w:w="1320" w:type="dxa"/>
            <w:tcBorders>
              <w:top w:val="nil"/>
              <w:left w:val="nil"/>
              <w:bottom w:val="single" w:sz="4" w:space="0" w:color="FFFFFF"/>
              <w:right w:val="single" w:sz="4" w:space="0" w:color="FFFFFF"/>
            </w:tcBorders>
            <w:shd w:val="clear" w:color="auto" w:fill="8DB3E2" w:themeFill="text2" w:themeFillTint="66"/>
            <w:vAlign w:val="center"/>
          </w:tcPr>
          <w:p w14:paraId="144F4E8B" w14:textId="77777777" w:rsidR="00122403" w:rsidRPr="00122403" w:rsidRDefault="00122403" w:rsidP="00122403">
            <w:pPr>
              <w:jc w:val="right"/>
              <w:rPr>
                <w:rFonts w:ascii="Calibri" w:hAnsi="Calibri"/>
                <w:color w:val="000000"/>
                <w:lang w:eastAsia="en-GB"/>
              </w:rPr>
            </w:pPr>
          </w:p>
        </w:tc>
        <w:tc>
          <w:tcPr>
            <w:tcW w:w="1180" w:type="dxa"/>
            <w:tcBorders>
              <w:top w:val="nil"/>
              <w:left w:val="nil"/>
              <w:bottom w:val="single" w:sz="4" w:space="0" w:color="FFFFFF"/>
              <w:right w:val="single" w:sz="4" w:space="0" w:color="FFFFFF"/>
            </w:tcBorders>
            <w:shd w:val="clear" w:color="auto" w:fill="8DB3E2" w:themeFill="text2" w:themeFillTint="66"/>
            <w:vAlign w:val="center"/>
          </w:tcPr>
          <w:p w14:paraId="4184E7A3" w14:textId="35A0530C" w:rsidR="00122403" w:rsidRPr="00122403" w:rsidRDefault="00D47FE5" w:rsidP="00122403">
            <w:pPr>
              <w:jc w:val="right"/>
              <w:rPr>
                <w:rFonts w:ascii="Calibri" w:hAnsi="Calibri"/>
                <w:b/>
                <w:bCs/>
                <w:color w:val="000000"/>
                <w:lang w:eastAsia="en-GB"/>
              </w:rPr>
            </w:pPr>
            <w:r>
              <w:rPr>
                <w:rFonts w:ascii="Calibri" w:hAnsi="Calibri"/>
                <w:b/>
                <w:bCs/>
                <w:color w:val="000000"/>
                <w:lang w:eastAsia="en-GB"/>
              </w:rPr>
              <w:t>2,447</w:t>
            </w:r>
          </w:p>
        </w:tc>
      </w:tr>
    </w:tbl>
    <w:p w14:paraId="590F469C" w14:textId="77777777" w:rsidR="00E72803" w:rsidRPr="005C34FA" w:rsidRDefault="00E72803" w:rsidP="000F0E91">
      <w:pPr>
        <w:tabs>
          <w:tab w:val="left" w:pos="426"/>
        </w:tabs>
        <w:rPr>
          <w:rFonts w:asciiTheme="minorHAnsi" w:hAnsiTheme="minorHAnsi" w:cs="Arial"/>
          <w:b/>
        </w:rPr>
      </w:pPr>
    </w:p>
    <w:bookmarkEnd w:id="17"/>
    <w:p w14:paraId="2FE8E1CD" w14:textId="6147F679" w:rsidR="00E72803" w:rsidRDefault="00417E22" w:rsidP="00E72803">
      <w:pPr>
        <w:tabs>
          <w:tab w:val="left" w:pos="426"/>
        </w:tabs>
        <w:rPr>
          <w:rFonts w:asciiTheme="minorHAnsi" w:hAnsiTheme="minorHAnsi" w:cs="Arial"/>
          <w:b/>
          <w:bCs/>
          <w:sz w:val="24"/>
          <w:szCs w:val="24"/>
        </w:rPr>
      </w:pPr>
      <w:r w:rsidRPr="00122403">
        <w:rPr>
          <w:rFonts w:asciiTheme="minorHAnsi" w:hAnsiTheme="minorHAnsi" w:cs="Arial"/>
          <w:b/>
          <w:sz w:val="24"/>
          <w:szCs w:val="24"/>
        </w:rPr>
        <w:t>4</w:t>
      </w:r>
      <w:r w:rsidR="0052402C" w:rsidRPr="00122403">
        <w:rPr>
          <w:rFonts w:asciiTheme="minorHAnsi" w:hAnsiTheme="minorHAnsi" w:cs="Arial"/>
          <w:sz w:val="24"/>
          <w:szCs w:val="24"/>
        </w:rPr>
        <w:tab/>
      </w:r>
      <w:r w:rsidR="0052402C" w:rsidRPr="00122403">
        <w:rPr>
          <w:rFonts w:asciiTheme="minorHAnsi" w:hAnsiTheme="minorHAnsi" w:cs="Arial"/>
          <w:b/>
          <w:bCs/>
          <w:sz w:val="24"/>
          <w:szCs w:val="24"/>
        </w:rPr>
        <w:t>Collection Rate</w:t>
      </w:r>
    </w:p>
    <w:p w14:paraId="7DC93C94" w14:textId="467DF7BF" w:rsidR="0052402C" w:rsidRDefault="0052402C" w:rsidP="00E72803">
      <w:pPr>
        <w:tabs>
          <w:tab w:val="left" w:pos="426"/>
        </w:tabs>
        <w:rPr>
          <w:rFonts w:asciiTheme="minorHAnsi" w:hAnsiTheme="minorHAnsi" w:cs="Arial"/>
          <w:sz w:val="22"/>
          <w:szCs w:val="22"/>
        </w:rPr>
      </w:pPr>
      <w:r w:rsidRPr="00122403">
        <w:rPr>
          <w:rFonts w:asciiTheme="minorHAnsi" w:hAnsiTheme="minorHAnsi" w:cs="Arial"/>
          <w:sz w:val="22"/>
          <w:szCs w:val="22"/>
        </w:rPr>
        <w:t>The</w:t>
      </w:r>
      <w:r w:rsidR="00191BC7">
        <w:rPr>
          <w:rFonts w:asciiTheme="minorHAnsi" w:hAnsiTheme="minorHAnsi" w:cs="Arial"/>
          <w:sz w:val="22"/>
          <w:szCs w:val="22"/>
        </w:rPr>
        <w:t xml:space="preserve"> assumed</w:t>
      </w:r>
      <w:r w:rsidRPr="00122403">
        <w:rPr>
          <w:rFonts w:asciiTheme="minorHAnsi" w:hAnsiTheme="minorHAnsi" w:cs="Arial"/>
          <w:sz w:val="22"/>
          <w:szCs w:val="22"/>
        </w:rPr>
        <w:t xml:space="preserve"> collection </w:t>
      </w:r>
      <w:r w:rsidR="00DF3654" w:rsidRPr="00122403">
        <w:rPr>
          <w:rFonts w:asciiTheme="minorHAnsi" w:hAnsiTheme="minorHAnsi" w:cs="Arial"/>
          <w:sz w:val="22"/>
          <w:szCs w:val="22"/>
        </w:rPr>
        <w:t xml:space="preserve">rate for </w:t>
      </w:r>
      <w:r w:rsidR="00191BC7">
        <w:rPr>
          <w:rFonts w:asciiTheme="minorHAnsi" w:hAnsiTheme="minorHAnsi" w:cs="Arial"/>
          <w:sz w:val="22"/>
          <w:szCs w:val="22"/>
        </w:rPr>
        <w:t>the calculation of the Council Tax Base</w:t>
      </w:r>
      <w:r w:rsidR="00DF3654" w:rsidRPr="00122403">
        <w:rPr>
          <w:rFonts w:asciiTheme="minorHAnsi" w:hAnsiTheme="minorHAnsi" w:cs="Arial"/>
          <w:sz w:val="22"/>
          <w:szCs w:val="22"/>
        </w:rPr>
        <w:t xml:space="preserve"> in 20</w:t>
      </w:r>
      <w:r w:rsidR="0076338E">
        <w:rPr>
          <w:rFonts w:asciiTheme="minorHAnsi" w:hAnsiTheme="minorHAnsi" w:cs="Arial"/>
          <w:sz w:val="22"/>
          <w:szCs w:val="22"/>
        </w:rPr>
        <w:t>2</w:t>
      </w:r>
      <w:r w:rsidR="00626C51">
        <w:rPr>
          <w:rFonts w:asciiTheme="minorHAnsi" w:hAnsiTheme="minorHAnsi" w:cs="Arial"/>
          <w:sz w:val="22"/>
          <w:szCs w:val="22"/>
        </w:rPr>
        <w:t>2</w:t>
      </w:r>
      <w:r w:rsidR="00702A1E" w:rsidRPr="00122403">
        <w:rPr>
          <w:rFonts w:asciiTheme="minorHAnsi" w:hAnsiTheme="minorHAnsi" w:cs="Arial"/>
          <w:sz w:val="22"/>
          <w:szCs w:val="22"/>
        </w:rPr>
        <w:t>-</w:t>
      </w:r>
      <w:r w:rsidR="0027637B">
        <w:rPr>
          <w:rFonts w:asciiTheme="minorHAnsi" w:hAnsiTheme="minorHAnsi" w:cs="Arial"/>
          <w:sz w:val="22"/>
          <w:szCs w:val="22"/>
        </w:rPr>
        <w:t>2</w:t>
      </w:r>
      <w:r w:rsidR="00626C51">
        <w:rPr>
          <w:rFonts w:asciiTheme="minorHAnsi" w:hAnsiTheme="minorHAnsi" w:cs="Arial"/>
          <w:sz w:val="22"/>
          <w:szCs w:val="22"/>
        </w:rPr>
        <w:t>3</w:t>
      </w:r>
      <w:r w:rsidR="006C585D" w:rsidRPr="005B7F23">
        <w:rPr>
          <w:rFonts w:asciiTheme="minorHAnsi" w:hAnsiTheme="minorHAnsi" w:cs="Arial"/>
          <w:sz w:val="22"/>
          <w:szCs w:val="22"/>
        </w:rPr>
        <w:t xml:space="preserve"> </w:t>
      </w:r>
      <w:r w:rsidR="00427DCF" w:rsidRPr="00B14925">
        <w:rPr>
          <w:rFonts w:asciiTheme="minorHAnsi" w:hAnsiTheme="minorHAnsi" w:cs="Arial"/>
          <w:sz w:val="22"/>
          <w:szCs w:val="22"/>
        </w:rPr>
        <w:t>was</w:t>
      </w:r>
      <w:r w:rsidR="006B31C6" w:rsidRPr="00B14925">
        <w:rPr>
          <w:rFonts w:asciiTheme="minorHAnsi" w:hAnsiTheme="minorHAnsi" w:cs="Arial"/>
          <w:sz w:val="22"/>
          <w:szCs w:val="22"/>
        </w:rPr>
        <w:t xml:space="preserve"> </w:t>
      </w:r>
      <w:r w:rsidR="005B7F23" w:rsidRPr="00B14925">
        <w:rPr>
          <w:rFonts w:asciiTheme="minorHAnsi" w:hAnsiTheme="minorHAnsi" w:cs="Arial"/>
          <w:sz w:val="22"/>
          <w:szCs w:val="22"/>
        </w:rPr>
        <w:t>99.1</w:t>
      </w:r>
      <w:r w:rsidR="00702A1E" w:rsidRPr="00B14925">
        <w:rPr>
          <w:rFonts w:asciiTheme="minorHAnsi" w:hAnsiTheme="minorHAnsi" w:cs="Arial"/>
          <w:sz w:val="22"/>
          <w:szCs w:val="22"/>
        </w:rPr>
        <w:t>% (</w:t>
      </w:r>
      <w:r w:rsidR="00702A1E" w:rsidRPr="00122403">
        <w:rPr>
          <w:rFonts w:asciiTheme="minorHAnsi" w:hAnsiTheme="minorHAnsi" w:cs="Arial"/>
          <w:sz w:val="22"/>
          <w:szCs w:val="22"/>
        </w:rPr>
        <w:t>20</w:t>
      </w:r>
      <w:r w:rsidR="004E768F">
        <w:rPr>
          <w:rFonts w:asciiTheme="minorHAnsi" w:hAnsiTheme="minorHAnsi" w:cs="Arial"/>
          <w:sz w:val="22"/>
          <w:szCs w:val="22"/>
        </w:rPr>
        <w:t>2</w:t>
      </w:r>
      <w:r w:rsidR="00626C51">
        <w:rPr>
          <w:rFonts w:asciiTheme="minorHAnsi" w:hAnsiTheme="minorHAnsi" w:cs="Arial"/>
          <w:sz w:val="22"/>
          <w:szCs w:val="22"/>
        </w:rPr>
        <w:t>1</w:t>
      </w:r>
      <w:r w:rsidR="00DF3654" w:rsidRPr="00122403">
        <w:rPr>
          <w:rFonts w:asciiTheme="minorHAnsi" w:hAnsiTheme="minorHAnsi" w:cs="Arial"/>
          <w:sz w:val="22"/>
          <w:szCs w:val="22"/>
        </w:rPr>
        <w:t>-</w:t>
      </w:r>
      <w:r w:rsidR="0076338E">
        <w:rPr>
          <w:rFonts w:asciiTheme="minorHAnsi" w:hAnsiTheme="minorHAnsi" w:cs="Arial"/>
          <w:sz w:val="22"/>
          <w:szCs w:val="22"/>
        </w:rPr>
        <w:t>2</w:t>
      </w:r>
      <w:r w:rsidR="00626C51">
        <w:rPr>
          <w:rFonts w:asciiTheme="minorHAnsi" w:hAnsiTheme="minorHAnsi" w:cs="Arial"/>
          <w:sz w:val="22"/>
          <w:szCs w:val="22"/>
        </w:rPr>
        <w:t>2</w:t>
      </w:r>
      <w:r w:rsidR="004A2A77">
        <w:rPr>
          <w:rFonts w:asciiTheme="minorHAnsi" w:hAnsiTheme="minorHAnsi" w:cs="Arial"/>
          <w:sz w:val="22"/>
          <w:szCs w:val="22"/>
        </w:rPr>
        <w:t xml:space="preserve"> </w:t>
      </w:r>
      <w:r w:rsidR="006C585D" w:rsidRPr="00122403">
        <w:rPr>
          <w:rFonts w:asciiTheme="minorHAnsi" w:hAnsiTheme="minorHAnsi" w:cs="Arial"/>
          <w:sz w:val="22"/>
          <w:szCs w:val="22"/>
        </w:rPr>
        <w:t>99.</w:t>
      </w:r>
      <w:r w:rsidR="0085539F" w:rsidRPr="00122403">
        <w:rPr>
          <w:rFonts w:asciiTheme="minorHAnsi" w:hAnsiTheme="minorHAnsi" w:cs="Arial"/>
          <w:sz w:val="22"/>
          <w:szCs w:val="22"/>
        </w:rPr>
        <w:t>1</w:t>
      </w:r>
      <w:r w:rsidRPr="00122403">
        <w:rPr>
          <w:rFonts w:asciiTheme="minorHAnsi" w:hAnsiTheme="minorHAnsi" w:cs="Arial"/>
          <w:sz w:val="22"/>
          <w:szCs w:val="22"/>
        </w:rPr>
        <w:t>%)</w:t>
      </w:r>
      <w:r w:rsidR="008474CF" w:rsidRPr="00122403">
        <w:rPr>
          <w:rFonts w:asciiTheme="minorHAnsi" w:hAnsiTheme="minorHAnsi" w:cs="Arial"/>
          <w:sz w:val="22"/>
          <w:szCs w:val="22"/>
        </w:rPr>
        <w:t>.</w:t>
      </w:r>
    </w:p>
    <w:p w14:paraId="2C260775" w14:textId="77777777" w:rsidR="00B77683" w:rsidRPr="00122403" w:rsidRDefault="003A3783" w:rsidP="007C6C6F">
      <w:pPr>
        <w:pStyle w:val="Heading1"/>
      </w:pPr>
      <w:r w:rsidRPr="00122403">
        <w:lastRenderedPageBreak/>
        <w:t>G</w:t>
      </w:r>
      <w:r w:rsidR="00122403" w:rsidRPr="00122403">
        <w:t>lossary of Financial Terms</w:t>
      </w:r>
    </w:p>
    <w:p w14:paraId="49F8D990" w14:textId="77777777" w:rsidR="003A3783" w:rsidRPr="004C6DC4" w:rsidRDefault="003A3783" w:rsidP="006C585D">
      <w:pPr>
        <w:rPr>
          <w:rFonts w:ascii="Arial" w:hAnsi="Arial" w:cs="Arial"/>
          <w:b/>
        </w:rPr>
      </w:pPr>
    </w:p>
    <w:p w14:paraId="6ABF3CC8" w14:textId="77777777" w:rsidR="003A3783" w:rsidRPr="00122403" w:rsidRDefault="003A3783" w:rsidP="006C585D">
      <w:pPr>
        <w:rPr>
          <w:rFonts w:asciiTheme="minorHAnsi" w:hAnsiTheme="minorHAnsi" w:cs="Arial"/>
          <w:sz w:val="22"/>
          <w:szCs w:val="22"/>
        </w:rPr>
      </w:pPr>
      <w:r w:rsidRPr="00122403">
        <w:rPr>
          <w:rFonts w:asciiTheme="minorHAnsi" w:hAnsiTheme="minorHAnsi" w:cs="Arial"/>
          <w:sz w:val="22"/>
          <w:szCs w:val="22"/>
        </w:rPr>
        <w:t>This section explains the technical terms that have been used throughout this document.</w:t>
      </w:r>
    </w:p>
    <w:p w14:paraId="458BABD5" w14:textId="77777777" w:rsidR="00AE4221" w:rsidRPr="00122403" w:rsidRDefault="00AE4221" w:rsidP="006C585D">
      <w:pPr>
        <w:rPr>
          <w:rFonts w:asciiTheme="minorHAnsi" w:hAnsiTheme="minorHAnsi" w:cs="Arial"/>
          <w:sz w:val="22"/>
          <w:szCs w:val="22"/>
        </w:rPr>
      </w:pPr>
    </w:p>
    <w:p w14:paraId="1A4BE8CB" w14:textId="77777777" w:rsidR="008B1D06" w:rsidRPr="00122403" w:rsidRDefault="008B1D06" w:rsidP="006C585D">
      <w:pPr>
        <w:rPr>
          <w:rFonts w:asciiTheme="minorHAnsi" w:hAnsiTheme="minorHAnsi" w:cs="Arial"/>
          <w:b/>
          <w:sz w:val="22"/>
          <w:szCs w:val="22"/>
        </w:rPr>
      </w:pPr>
      <w:r w:rsidRPr="00122403">
        <w:rPr>
          <w:rFonts w:asciiTheme="minorHAnsi" w:hAnsiTheme="minorHAnsi" w:cs="Arial"/>
          <w:b/>
          <w:sz w:val="22"/>
          <w:szCs w:val="22"/>
        </w:rPr>
        <w:t>Accumulated Absences Account</w:t>
      </w:r>
    </w:p>
    <w:p w14:paraId="6D2E6220" w14:textId="77777777" w:rsidR="008B1D06" w:rsidRPr="00122403" w:rsidRDefault="008B1D06" w:rsidP="003B4D9E">
      <w:pPr>
        <w:jc w:val="both"/>
        <w:rPr>
          <w:rFonts w:asciiTheme="minorHAnsi" w:hAnsiTheme="minorHAnsi" w:cs="Arial"/>
          <w:sz w:val="22"/>
          <w:szCs w:val="22"/>
        </w:rPr>
      </w:pPr>
      <w:r w:rsidRPr="00122403">
        <w:rPr>
          <w:rFonts w:asciiTheme="minorHAnsi" w:hAnsiTheme="minorHAnsi" w:cs="Arial"/>
          <w:sz w:val="22"/>
          <w:szCs w:val="22"/>
        </w:rPr>
        <w:t xml:space="preserve">This account absorbs the differences that would otherwise arise on the General </w:t>
      </w:r>
      <w:r w:rsidR="003B4D9E" w:rsidRPr="00122403">
        <w:rPr>
          <w:rFonts w:asciiTheme="minorHAnsi" w:hAnsiTheme="minorHAnsi" w:cs="Arial"/>
          <w:sz w:val="22"/>
          <w:szCs w:val="22"/>
        </w:rPr>
        <w:t xml:space="preserve">Fund Balance from accruing for compensated absences earned but not taken in the year </w:t>
      </w:r>
      <w:proofErr w:type="gramStart"/>
      <w:r w:rsidR="003B4D9E" w:rsidRPr="00122403">
        <w:rPr>
          <w:rFonts w:asciiTheme="minorHAnsi" w:hAnsiTheme="minorHAnsi" w:cs="Arial"/>
          <w:sz w:val="22"/>
          <w:szCs w:val="22"/>
        </w:rPr>
        <w:t>e.g.</w:t>
      </w:r>
      <w:proofErr w:type="gramEnd"/>
      <w:r w:rsidR="003B4D9E" w:rsidRPr="00122403">
        <w:rPr>
          <w:rFonts w:asciiTheme="minorHAnsi" w:hAnsiTheme="minorHAnsi" w:cs="Arial"/>
          <w:sz w:val="22"/>
          <w:szCs w:val="22"/>
        </w:rPr>
        <w:t xml:space="preserve"> annual leave entitlement carried forward at 31 March. Statutory arrangements require that the impact on the General Fund Balance is neutralised by transfers to or from the Account.</w:t>
      </w:r>
    </w:p>
    <w:p w14:paraId="2777502D" w14:textId="77777777" w:rsidR="003B4D9E" w:rsidRPr="00122403" w:rsidRDefault="003B4D9E" w:rsidP="003B4D9E">
      <w:pPr>
        <w:jc w:val="both"/>
        <w:rPr>
          <w:rFonts w:asciiTheme="minorHAnsi" w:hAnsiTheme="minorHAnsi" w:cs="Arial"/>
          <w:sz w:val="22"/>
          <w:szCs w:val="22"/>
        </w:rPr>
      </w:pPr>
    </w:p>
    <w:p w14:paraId="274B8D37" w14:textId="77777777" w:rsidR="003A3783" w:rsidRPr="00122403" w:rsidRDefault="00DE4413" w:rsidP="006C585D">
      <w:pPr>
        <w:rPr>
          <w:rFonts w:asciiTheme="minorHAnsi" w:hAnsiTheme="minorHAnsi" w:cs="Arial"/>
          <w:b/>
          <w:sz w:val="22"/>
          <w:szCs w:val="22"/>
        </w:rPr>
      </w:pPr>
      <w:r w:rsidRPr="00122403">
        <w:rPr>
          <w:rFonts w:asciiTheme="minorHAnsi" w:hAnsiTheme="minorHAnsi" w:cs="Arial"/>
          <w:b/>
          <w:sz w:val="22"/>
          <w:szCs w:val="22"/>
        </w:rPr>
        <w:t>Accruals</w:t>
      </w:r>
    </w:p>
    <w:p w14:paraId="187539AB" w14:textId="77777777" w:rsidR="00DE4413" w:rsidRPr="00122403" w:rsidRDefault="00DE4413" w:rsidP="006C585D">
      <w:pPr>
        <w:rPr>
          <w:rFonts w:asciiTheme="minorHAnsi" w:hAnsiTheme="minorHAnsi" w:cs="Arial"/>
          <w:sz w:val="22"/>
          <w:szCs w:val="22"/>
        </w:rPr>
      </w:pPr>
      <w:r w:rsidRPr="00122403">
        <w:rPr>
          <w:rFonts w:asciiTheme="minorHAnsi" w:hAnsiTheme="minorHAnsi" w:cs="Arial"/>
          <w:sz w:val="22"/>
          <w:szCs w:val="22"/>
        </w:rPr>
        <w:t xml:space="preserve">The concept that income and expenditure </w:t>
      </w:r>
      <w:r w:rsidR="00254F6B" w:rsidRPr="00122403">
        <w:rPr>
          <w:rFonts w:asciiTheme="minorHAnsi" w:hAnsiTheme="minorHAnsi" w:cs="Arial"/>
          <w:sz w:val="22"/>
          <w:szCs w:val="22"/>
        </w:rPr>
        <w:t>is</w:t>
      </w:r>
      <w:r w:rsidRPr="00122403">
        <w:rPr>
          <w:rFonts w:asciiTheme="minorHAnsi" w:hAnsiTheme="minorHAnsi" w:cs="Arial"/>
          <w:sz w:val="22"/>
          <w:szCs w:val="22"/>
        </w:rPr>
        <w:t xml:space="preserve"> recognised as </w:t>
      </w:r>
      <w:r w:rsidR="00254F6B" w:rsidRPr="00122403">
        <w:rPr>
          <w:rFonts w:asciiTheme="minorHAnsi" w:hAnsiTheme="minorHAnsi" w:cs="Arial"/>
          <w:sz w:val="22"/>
          <w:szCs w:val="22"/>
        </w:rPr>
        <w:t>it is</w:t>
      </w:r>
      <w:r w:rsidRPr="00122403">
        <w:rPr>
          <w:rFonts w:asciiTheme="minorHAnsi" w:hAnsiTheme="minorHAnsi" w:cs="Arial"/>
          <w:sz w:val="22"/>
          <w:szCs w:val="22"/>
        </w:rPr>
        <w:t xml:space="preserve"> earned or incurred, not as money is received or paid.</w:t>
      </w:r>
    </w:p>
    <w:p w14:paraId="643221EC" w14:textId="77777777" w:rsidR="00DE4413" w:rsidRPr="00122403" w:rsidRDefault="00DE4413" w:rsidP="006C585D">
      <w:pPr>
        <w:rPr>
          <w:rFonts w:asciiTheme="minorHAnsi" w:hAnsiTheme="minorHAnsi" w:cs="Arial"/>
          <w:sz w:val="22"/>
          <w:szCs w:val="22"/>
        </w:rPr>
      </w:pPr>
    </w:p>
    <w:p w14:paraId="724C3B8A" w14:textId="77777777" w:rsidR="00DE4413" w:rsidRPr="00122403" w:rsidRDefault="00DE4413" w:rsidP="006C585D">
      <w:pPr>
        <w:rPr>
          <w:rFonts w:asciiTheme="minorHAnsi" w:hAnsiTheme="minorHAnsi" w:cs="Arial"/>
          <w:b/>
          <w:sz w:val="22"/>
          <w:szCs w:val="22"/>
        </w:rPr>
      </w:pPr>
      <w:r w:rsidRPr="00122403">
        <w:rPr>
          <w:rFonts w:asciiTheme="minorHAnsi" w:hAnsiTheme="minorHAnsi" w:cs="Arial"/>
          <w:b/>
          <w:sz w:val="22"/>
          <w:szCs w:val="22"/>
        </w:rPr>
        <w:t xml:space="preserve">Actuarial </w:t>
      </w:r>
      <w:r w:rsidR="00AE4221" w:rsidRPr="00122403">
        <w:rPr>
          <w:rFonts w:asciiTheme="minorHAnsi" w:hAnsiTheme="minorHAnsi" w:cs="Arial"/>
          <w:b/>
          <w:sz w:val="22"/>
          <w:szCs w:val="22"/>
        </w:rPr>
        <w:t>G</w:t>
      </w:r>
      <w:r w:rsidRPr="00122403">
        <w:rPr>
          <w:rFonts w:asciiTheme="minorHAnsi" w:hAnsiTheme="minorHAnsi" w:cs="Arial"/>
          <w:b/>
          <w:sz w:val="22"/>
          <w:szCs w:val="22"/>
        </w:rPr>
        <w:t xml:space="preserve">ains and </w:t>
      </w:r>
      <w:r w:rsidR="00AE4221" w:rsidRPr="00122403">
        <w:rPr>
          <w:rFonts w:asciiTheme="minorHAnsi" w:hAnsiTheme="minorHAnsi" w:cs="Arial"/>
          <w:b/>
          <w:sz w:val="22"/>
          <w:szCs w:val="22"/>
        </w:rPr>
        <w:t>L</w:t>
      </w:r>
      <w:r w:rsidRPr="00122403">
        <w:rPr>
          <w:rFonts w:asciiTheme="minorHAnsi" w:hAnsiTheme="minorHAnsi" w:cs="Arial"/>
          <w:b/>
          <w:sz w:val="22"/>
          <w:szCs w:val="22"/>
        </w:rPr>
        <w:t>osses</w:t>
      </w:r>
    </w:p>
    <w:p w14:paraId="7195110B" w14:textId="77777777" w:rsidR="00DE4413" w:rsidRPr="00122403" w:rsidRDefault="00DE4413" w:rsidP="006C585D">
      <w:pPr>
        <w:rPr>
          <w:rFonts w:asciiTheme="minorHAnsi" w:hAnsiTheme="minorHAnsi" w:cs="Arial"/>
          <w:sz w:val="22"/>
          <w:szCs w:val="22"/>
        </w:rPr>
      </w:pPr>
      <w:r w:rsidRPr="00122403">
        <w:rPr>
          <w:rFonts w:asciiTheme="minorHAnsi" w:hAnsiTheme="minorHAnsi" w:cs="Arial"/>
          <w:sz w:val="22"/>
          <w:szCs w:val="22"/>
        </w:rPr>
        <w:t>For a defined benefit pension scheme, the changes in actuarial deficits or surpluses that arise because:</w:t>
      </w:r>
    </w:p>
    <w:p w14:paraId="7EBBD332" w14:textId="77777777" w:rsidR="00DE4413" w:rsidRPr="00122403" w:rsidRDefault="00DE4413" w:rsidP="00DE4413">
      <w:pPr>
        <w:ind w:left="720" w:hanging="720"/>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t xml:space="preserve">events have not coincided with the actuarial assumptions made for the last valuation (experience gains and </w:t>
      </w:r>
      <w:r w:rsidR="00F3726B" w:rsidRPr="00122403">
        <w:rPr>
          <w:rFonts w:asciiTheme="minorHAnsi" w:hAnsiTheme="minorHAnsi" w:cs="Arial"/>
          <w:sz w:val="22"/>
          <w:szCs w:val="22"/>
        </w:rPr>
        <w:t>losses)</w:t>
      </w:r>
      <w:r w:rsidRPr="00122403">
        <w:rPr>
          <w:rFonts w:asciiTheme="minorHAnsi" w:hAnsiTheme="minorHAnsi" w:cs="Arial"/>
          <w:sz w:val="22"/>
          <w:szCs w:val="22"/>
        </w:rPr>
        <w:t xml:space="preserve"> or</w:t>
      </w:r>
    </w:p>
    <w:p w14:paraId="06A21D47" w14:textId="77777777" w:rsidR="00DE4413" w:rsidRPr="00122403" w:rsidRDefault="00DE4413" w:rsidP="006C585D">
      <w:pPr>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r>
      <w:r w:rsidR="00F3726B" w:rsidRPr="00122403">
        <w:rPr>
          <w:rFonts w:asciiTheme="minorHAnsi" w:hAnsiTheme="minorHAnsi" w:cs="Arial"/>
          <w:sz w:val="22"/>
          <w:szCs w:val="22"/>
        </w:rPr>
        <w:t>the actuarial assumptions have changed</w:t>
      </w:r>
    </w:p>
    <w:p w14:paraId="1449E6DE" w14:textId="77777777" w:rsidR="00DE4413" w:rsidRPr="00122403" w:rsidRDefault="00DE4413" w:rsidP="006C585D">
      <w:pPr>
        <w:rPr>
          <w:rFonts w:asciiTheme="minorHAnsi" w:hAnsiTheme="minorHAnsi" w:cs="Arial"/>
          <w:sz w:val="22"/>
          <w:szCs w:val="22"/>
        </w:rPr>
      </w:pPr>
    </w:p>
    <w:p w14:paraId="722A7D5B" w14:textId="77777777" w:rsidR="007D7DAA" w:rsidRPr="00122403" w:rsidRDefault="007D7DAA" w:rsidP="006C585D">
      <w:pPr>
        <w:rPr>
          <w:rFonts w:asciiTheme="minorHAnsi" w:hAnsiTheme="minorHAnsi" w:cs="Arial"/>
          <w:b/>
          <w:sz w:val="22"/>
          <w:szCs w:val="22"/>
        </w:rPr>
      </w:pPr>
      <w:r w:rsidRPr="00122403">
        <w:rPr>
          <w:rFonts w:asciiTheme="minorHAnsi" w:hAnsiTheme="minorHAnsi" w:cs="Arial"/>
          <w:b/>
          <w:sz w:val="22"/>
          <w:szCs w:val="22"/>
        </w:rPr>
        <w:t>Actuary</w:t>
      </w:r>
    </w:p>
    <w:p w14:paraId="6317FA6D" w14:textId="77777777" w:rsidR="007D7DAA" w:rsidRPr="00122403" w:rsidRDefault="007D7DAA" w:rsidP="006C585D">
      <w:pPr>
        <w:rPr>
          <w:rFonts w:asciiTheme="minorHAnsi" w:hAnsiTheme="minorHAnsi" w:cs="Arial"/>
          <w:sz w:val="22"/>
          <w:szCs w:val="22"/>
        </w:rPr>
      </w:pPr>
      <w:r w:rsidRPr="00122403">
        <w:rPr>
          <w:rFonts w:asciiTheme="minorHAnsi" w:hAnsiTheme="minorHAnsi" w:cs="Arial"/>
          <w:sz w:val="22"/>
          <w:szCs w:val="22"/>
        </w:rPr>
        <w:t xml:space="preserve">An expert on rates of </w:t>
      </w:r>
      <w:r w:rsidR="00254F6B" w:rsidRPr="00122403">
        <w:rPr>
          <w:rFonts w:asciiTheme="minorHAnsi" w:hAnsiTheme="minorHAnsi" w:cs="Arial"/>
          <w:sz w:val="22"/>
          <w:szCs w:val="22"/>
        </w:rPr>
        <w:t xml:space="preserve">death and insurance statistics, </w:t>
      </w:r>
      <w:r w:rsidRPr="00122403">
        <w:rPr>
          <w:rFonts w:asciiTheme="minorHAnsi" w:hAnsiTheme="minorHAnsi" w:cs="Arial"/>
          <w:sz w:val="22"/>
          <w:szCs w:val="22"/>
        </w:rPr>
        <w:t>who assesses whether our pension fund is adequate.</w:t>
      </w:r>
    </w:p>
    <w:p w14:paraId="29EF16DE" w14:textId="77777777" w:rsidR="007D7DAA" w:rsidRPr="00122403" w:rsidRDefault="007D7DAA" w:rsidP="006C585D">
      <w:pPr>
        <w:rPr>
          <w:rFonts w:asciiTheme="minorHAnsi" w:hAnsiTheme="minorHAnsi" w:cs="Arial"/>
          <w:sz w:val="22"/>
          <w:szCs w:val="22"/>
        </w:rPr>
      </w:pPr>
    </w:p>
    <w:p w14:paraId="544D125F" w14:textId="77777777" w:rsidR="007D7DAA" w:rsidRPr="00122403" w:rsidRDefault="007D7DAA" w:rsidP="006C585D">
      <w:pPr>
        <w:rPr>
          <w:rFonts w:asciiTheme="minorHAnsi" w:hAnsiTheme="minorHAnsi" w:cs="Arial"/>
          <w:b/>
          <w:sz w:val="22"/>
          <w:szCs w:val="22"/>
        </w:rPr>
      </w:pPr>
      <w:r w:rsidRPr="00122403">
        <w:rPr>
          <w:rFonts w:asciiTheme="minorHAnsi" w:hAnsiTheme="minorHAnsi" w:cs="Arial"/>
          <w:b/>
          <w:sz w:val="22"/>
          <w:szCs w:val="22"/>
        </w:rPr>
        <w:t>Amortisation</w:t>
      </w:r>
    </w:p>
    <w:p w14:paraId="2BC6AA8B" w14:textId="77777777" w:rsidR="007D7DAA" w:rsidRPr="00122403" w:rsidRDefault="00D75EFC" w:rsidP="006C585D">
      <w:pPr>
        <w:rPr>
          <w:rFonts w:asciiTheme="minorHAnsi" w:hAnsiTheme="minorHAnsi" w:cs="Arial"/>
          <w:sz w:val="22"/>
          <w:szCs w:val="22"/>
        </w:rPr>
      </w:pPr>
      <w:r w:rsidRPr="00122403">
        <w:rPr>
          <w:rFonts w:asciiTheme="minorHAnsi" w:hAnsiTheme="minorHAnsi" w:cs="Arial"/>
          <w:sz w:val="22"/>
          <w:szCs w:val="22"/>
        </w:rPr>
        <w:t>A reduction in the value of an intangible asset over</w:t>
      </w:r>
      <w:r w:rsidR="00E10060" w:rsidRPr="00122403">
        <w:rPr>
          <w:rFonts w:asciiTheme="minorHAnsi" w:hAnsiTheme="minorHAnsi" w:cs="Arial"/>
          <w:sz w:val="22"/>
          <w:szCs w:val="22"/>
        </w:rPr>
        <w:t xml:space="preserve"> </w:t>
      </w:r>
      <w:r w:rsidRPr="00122403">
        <w:rPr>
          <w:rFonts w:asciiTheme="minorHAnsi" w:hAnsiTheme="minorHAnsi" w:cs="Arial"/>
          <w:sz w:val="22"/>
          <w:szCs w:val="22"/>
        </w:rPr>
        <w:t>time</w:t>
      </w:r>
      <w:r w:rsidR="00E10060" w:rsidRPr="00122403">
        <w:rPr>
          <w:rFonts w:asciiTheme="minorHAnsi" w:hAnsiTheme="minorHAnsi" w:cs="Arial"/>
          <w:sz w:val="22"/>
          <w:szCs w:val="22"/>
        </w:rPr>
        <w:t>,</w:t>
      </w:r>
      <w:r w:rsidRPr="00122403">
        <w:rPr>
          <w:rFonts w:asciiTheme="minorHAnsi" w:hAnsiTheme="minorHAnsi" w:cs="Arial"/>
          <w:sz w:val="22"/>
          <w:szCs w:val="22"/>
        </w:rPr>
        <w:t xml:space="preserve"> due to wear and tear.</w:t>
      </w:r>
    </w:p>
    <w:p w14:paraId="7F895CC6" w14:textId="77777777" w:rsidR="00D75EFC" w:rsidRDefault="00D75EFC" w:rsidP="006C585D">
      <w:pPr>
        <w:rPr>
          <w:rFonts w:asciiTheme="minorHAnsi" w:hAnsiTheme="minorHAnsi" w:cs="Arial"/>
          <w:sz w:val="22"/>
          <w:szCs w:val="22"/>
        </w:rPr>
      </w:pPr>
    </w:p>
    <w:p w14:paraId="53B926AB" w14:textId="77777777" w:rsidR="00D75EFC" w:rsidRPr="00122403" w:rsidRDefault="00D75EFC" w:rsidP="006C585D">
      <w:pPr>
        <w:rPr>
          <w:rFonts w:asciiTheme="minorHAnsi" w:hAnsiTheme="minorHAnsi" w:cs="Arial"/>
          <w:b/>
          <w:sz w:val="22"/>
          <w:szCs w:val="22"/>
        </w:rPr>
      </w:pPr>
      <w:r w:rsidRPr="00122403">
        <w:rPr>
          <w:rFonts w:asciiTheme="minorHAnsi" w:hAnsiTheme="minorHAnsi" w:cs="Arial"/>
          <w:b/>
          <w:sz w:val="22"/>
          <w:szCs w:val="22"/>
        </w:rPr>
        <w:t xml:space="preserve">Balance </w:t>
      </w:r>
      <w:r w:rsidR="00AE4221" w:rsidRPr="00122403">
        <w:rPr>
          <w:rFonts w:asciiTheme="minorHAnsi" w:hAnsiTheme="minorHAnsi" w:cs="Arial"/>
          <w:b/>
          <w:sz w:val="22"/>
          <w:szCs w:val="22"/>
        </w:rPr>
        <w:t>S</w:t>
      </w:r>
      <w:r w:rsidRPr="00122403">
        <w:rPr>
          <w:rFonts w:asciiTheme="minorHAnsi" w:hAnsiTheme="minorHAnsi" w:cs="Arial"/>
          <w:b/>
          <w:sz w:val="22"/>
          <w:szCs w:val="22"/>
        </w:rPr>
        <w:t>heet</w:t>
      </w:r>
    </w:p>
    <w:p w14:paraId="010D4903" w14:textId="77777777" w:rsidR="00D75EFC" w:rsidRPr="00122403" w:rsidRDefault="00D75EFC" w:rsidP="006C585D">
      <w:pPr>
        <w:rPr>
          <w:rFonts w:asciiTheme="minorHAnsi" w:hAnsiTheme="minorHAnsi" w:cs="Arial"/>
          <w:sz w:val="22"/>
          <w:szCs w:val="22"/>
        </w:rPr>
      </w:pPr>
      <w:r w:rsidRPr="00122403">
        <w:rPr>
          <w:rFonts w:asciiTheme="minorHAnsi" w:hAnsiTheme="minorHAnsi" w:cs="Arial"/>
          <w:sz w:val="22"/>
          <w:szCs w:val="22"/>
        </w:rPr>
        <w:t xml:space="preserve">A statement of all our assets, liabilities and balances at the end </w:t>
      </w:r>
      <w:r w:rsidR="00532B31">
        <w:rPr>
          <w:rFonts w:asciiTheme="minorHAnsi" w:hAnsiTheme="minorHAnsi" w:cs="Arial"/>
          <w:sz w:val="22"/>
          <w:szCs w:val="22"/>
        </w:rPr>
        <w:t xml:space="preserve">date </w:t>
      </w:r>
      <w:r w:rsidRPr="00122403">
        <w:rPr>
          <w:rFonts w:asciiTheme="minorHAnsi" w:hAnsiTheme="minorHAnsi" w:cs="Arial"/>
          <w:sz w:val="22"/>
          <w:szCs w:val="22"/>
        </w:rPr>
        <w:t>of the financial year.</w:t>
      </w:r>
    </w:p>
    <w:p w14:paraId="75B6B83A" w14:textId="77777777" w:rsidR="00F3726B" w:rsidRPr="00122403" w:rsidRDefault="00F3726B" w:rsidP="006C585D">
      <w:pPr>
        <w:rPr>
          <w:rFonts w:asciiTheme="minorHAnsi" w:hAnsiTheme="minorHAnsi" w:cs="Arial"/>
          <w:sz w:val="22"/>
          <w:szCs w:val="22"/>
        </w:rPr>
      </w:pPr>
    </w:p>
    <w:p w14:paraId="7DC6757D" w14:textId="77777777" w:rsidR="00A6075F" w:rsidRPr="00122403" w:rsidRDefault="00A6075F" w:rsidP="006C585D">
      <w:pPr>
        <w:rPr>
          <w:rFonts w:asciiTheme="minorHAnsi" w:hAnsiTheme="minorHAnsi" w:cs="Arial"/>
          <w:b/>
          <w:sz w:val="22"/>
          <w:szCs w:val="22"/>
        </w:rPr>
      </w:pPr>
      <w:r w:rsidRPr="00122403">
        <w:rPr>
          <w:rFonts w:asciiTheme="minorHAnsi" w:hAnsiTheme="minorHAnsi" w:cs="Arial"/>
          <w:b/>
          <w:sz w:val="22"/>
          <w:szCs w:val="22"/>
        </w:rPr>
        <w:t>Business Rates Retention Scheme</w:t>
      </w:r>
    </w:p>
    <w:p w14:paraId="419641DC" w14:textId="77777777" w:rsidR="00A6075F" w:rsidRPr="00122403" w:rsidRDefault="00A6075F" w:rsidP="00633753">
      <w:pPr>
        <w:jc w:val="both"/>
        <w:rPr>
          <w:rFonts w:asciiTheme="minorHAnsi" w:hAnsiTheme="minorHAnsi" w:cs="Arial"/>
          <w:sz w:val="22"/>
          <w:szCs w:val="22"/>
        </w:rPr>
      </w:pPr>
      <w:r w:rsidRPr="00122403">
        <w:rPr>
          <w:rFonts w:asciiTheme="minorHAnsi" w:hAnsiTheme="minorHAnsi" w:cs="Arial"/>
          <w:sz w:val="22"/>
          <w:szCs w:val="22"/>
        </w:rPr>
        <w:t>Whereby the Council retains a proportion of the business rates it collects, a</w:t>
      </w:r>
      <w:r w:rsidR="00B7744C">
        <w:rPr>
          <w:rFonts w:asciiTheme="minorHAnsi" w:hAnsiTheme="minorHAnsi" w:cs="Arial"/>
          <w:sz w:val="22"/>
          <w:szCs w:val="22"/>
        </w:rPr>
        <w:t>llowing an incentive to Council</w:t>
      </w:r>
      <w:r w:rsidRPr="00122403">
        <w:rPr>
          <w:rFonts w:asciiTheme="minorHAnsi" w:hAnsiTheme="minorHAnsi" w:cs="Arial"/>
          <w:sz w:val="22"/>
          <w:szCs w:val="22"/>
        </w:rPr>
        <w:t>s to encourage growth.</w:t>
      </w:r>
    </w:p>
    <w:p w14:paraId="3C695BBB" w14:textId="77777777" w:rsidR="00A6075F" w:rsidRPr="00122403" w:rsidRDefault="00A6075F" w:rsidP="006C585D">
      <w:pPr>
        <w:rPr>
          <w:rFonts w:asciiTheme="minorHAnsi" w:hAnsiTheme="minorHAnsi" w:cs="Arial"/>
          <w:sz w:val="22"/>
          <w:szCs w:val="22"/>
        </w:rPr>
      </w:pPr>
    </w:p>
    <w:p w14:paraId="30F0E15D" w14:textId="77777777" w:rsidR="006C29D2" w:rsidRPr="00122403" w:rsidRDefault="006C29D2" w:rsidP="006C585D">
      <w:pPr>
        <w:rPr>
          <w:rFonts w:asciiTheme="minorHAnsi" w:hAnsiTheme="minorHAnsi" w:cs="Arial"/>
          <w:b/>
          <w:sz w:val="22"/>
          <w:szCs w:val="22"/>
        </w:rPr>
      </w:pPr>
      <w:r w:rsidRPr="00122403">
        <w:rPr>
          <w:rFonts w:asciiTheme="minorHAnsi" w:hAnsiTheme="minorHAnsi" w:cs="Arial"/>
          <w:b/>
          <w:sz w:val="22"/>
          <w:szCs w:val="22"/>
        </w:rPr>
        <w:t>Capital Adjustment Account</w:t>
      </w:r>
    </w:p>
    <w:p w14:paraId="24026AC1" w14:textId="77777777" w:rsidR="006C29D2" w:rsidRPr="00122403" w:rsidRDefault="006C29D2" w:rsidP="006C29D2">
      <w:pPr>
        <w:jc w:val="both"/>
        <w:rPr>
          <w:rFonts w:asciiTheme="minorHAnsi" w:hAnsiTheme="minorHAnsi" w:cs="Arial"/>
          <w:sz w:val="22"/>
          <w:szCs w:val="22"/>
        </w:rPr>
      </w:pPr>
      <w:r w:rsidRPr="00122403">
        <w:rPr>
          <w:rFonts w:asciiTheme="minorHAnsi" w:hAnsiTheme="minorHAnsi" w:cs="Arial"/>
          <w:sz w:val="22"/>
          <w:szCs w:val="22"/>
        </w:rPr>
        <w:t>This account absorbs the timing differences arising from the different arrangements for accounting for the consumption of non-current assets and for financing the acquisition, construction or enhancement of those assets under statutory provisions.</w:t>
      </w:r>
    </w:p>
    <w:p w14:paraId="0BC629E9" w14:textId="77777777" w:rsidR="006C29D2" w:rsidRPr="00122403" w:rsidRDefault="006C29D2" w:rsidP="006C585D">
      <w:pPr>
        <w:rPr>
          <w:rFonts w:asciiTheme="minorHAnsi" w:hAnsiTheme="minorHAnsi" w:cs="Arial"/>
          <w:sz w:val="22"/>
          <w:szCs w:val="22"/>
        </w:rPr>
      </w:pPr>
      <w:r w:rsidRPr="00122403">
        <w:rPr>
          <w:rFonts w:asciiTheme="minorHAnsi" w:hAnsiTheme="minorHAnsi" w:cs="Arial"/>
          <w:sz w:val="22"/>
          <w:szCs w:val="22"/>
        </w:rPr>
        <w:t xml:space="preserve">  </w:t>
      </w:r>
    </w:p>
    <w:p w14:paraId="4C42812C" w14:textId="77777777" w:rsidR="00F3726B" w:rsidRPr="00122403" w:rsidRDefault="00F3726B" w:rsidP="006C585D">
      <w:pPr>
        <w:rPr>
          <w:rFonts w:asciiTheme="minorHAnsi" w:hAnsiTheme="minorHAnsi" w:cs="Arial"/>
          <w:b/>
          <w:sz w:val="22"/>
          <w:szCs w:val="22"/>
        </w:rPr>
      </w:pPr>
      <w:r w:rsidRPr="00122403">
        <w:rPr>
          <w:rFonts w:asciiTheme="minorHAnsi" w:hAnsiTheme="minorHAnsi" w:cs="Arial"/>
          <w:b/>
          <w:sz w:val="22"/>
          <w:szCs w:val="22"/>
        </w:rPr>
        <w:t xml:space="preserve">Capital </w:t>
      </w:r>
      <w:r w:rsidR="00AE4221" w:rsidRPr="00122403">
        <w:rPr>
          <w:rFonts w:asciiTheme="minorHAnsi" w:hAnsiTheme="minorHAnsi" w:cs="Arial"/>
          <w:b/>
          <w:sz w:val="22"/>
          <w:szCs w:val="22"/>
        </w:rPr>
        <w:t>E</w:t>
      </w:r>
      <w:r w:rsidRPr="00122403">
        <w:rPr>
          <w:rFonts w:asciiTheme="minorHAnsi" w:hAnsiTheme="minorHAnsi" w:cs="Arial"/>
          <w:b/>
          <w:sz w:val="22"/>
          <w:szCs w:val="22"/>
        </w:rPr>
        <w:t>xpenditure</w:t>
      </w:r>
    </w:p>
    <w:p w14:paraId="2E62514C" w14:textId="77777777" w:rsidR="00F3726B" w:rsidRPr="00122403" w:rsidRDefault="00F3726B" w:rsidP="00DB4C26">
      <w:pPr>
        <w:jc w:val="both"/>
        <w:rPr>
          <w:rFonts w:asciiTheme="minorHAnsi" w:hAnsiTheme="minorHAnsi" w:cs="Arial"/>
          <w:sz w:val="22"/>
          <w:szCs w:val="22"/>
        </w:rPr>
      </w:pPr>
      <w:r w:rsidRPr="00122403">
        <w:rPr>
          <w:rFonts w:asciiTheme="minorHAnsi" w:hAnsiTheme="minorHAnsi" w:cs="Arial"/>
          <w:sz w:val="22"/>
          <w:szCs w:val="22"/>
        </w:rPr>
        <w:t xml:space="preserve">Expenditure </w:t>
      </w:r>
      <w:r w:rsidR="00DB4C26" w:rsidRPr="00122403">
        <w:rPr>
          <w:rFonts w:asciiTheme="minorHAnsi" w:hAnsiTheme="minorHAnsi" w:cs="Arial"/>
          <w:sz w:val="22"/>
          <w:szCs w:val="22"/>
        </w:rPr>
        <w:t>on the acquisition of a non-current</w:t>
      </w:r>
      <w:r w:rsidRPr="00122403">
        <w:rPr>
          <w:rFonts w:asciiTheme="minorHAnsi" w:hAnsiTheme="minorHAnsi" w:cs="Arial"/>
          <w:sz w:val="22"/>
          <w:szCs w:val="22"/>
        </w:rPr>
        <w:t xml:space="preserve"> asset or expenditure which adds to and not merely maintains the value of an existing asset.</w:t>
      </w:r>
    </w:p>
    <w:p w14:paraId="0CD5A20F" w14:textId="77777777" w:rsidR="00D75EFC" w:rsidRPr="00122403" w:rsidRDefault="00D75EFC" w:rsidP="006C585D">
      <w:pPr>
        <w:rPr>
          <w:rFonts w:asciiTheme="minorHAnsi" w:hAnsiTheme="minorHAnsi" w:cs="Arial"/>
          <w:sz w:val="22"/>
          <w:szCs w:val="22"/>
        </w:rPr>
      </w:pPr>
    </w:p>
    <w:p w14:paraId="7AB6DDEE" w14:textId="77777777" w:rsidR="00D75EFC" w:rsidRPr="00122403" w:rsidRDefault="00D75EFC" w:rsidP="006C585D">
      <w:pPr>
        <w:rPr>
          <w:rFonts w:asciiTheme="minorHAnsi" w:hAnsiTheme="minorHAnsi" w:cs="Arial"/>
          <w:sz w:val="22"/>
          <w:szCs w:val="22"/>
        </w:rPr>
      </w:pPr>
      <w:r w:rsidRPr="00122403">
        <w:rPr>
          <w:rFonts w:asciiTheme="minorHAnsi" w:hAnsiTheme="minorHAnsi" w:cs="Arial"/>
          <w:b/>
          <w:sz w:val="22"/>
          <w:szCs w:val="22"/>
        </w:rPr>
        <w:t xml:space="preserve">Capital </w:t>
      </w:r>
      <w:r w:rsidR="00AE4221" w:rsidRPr="00122403">
        <w:rPr>
          <w:rFonts w:asciiTheme="minorHAnsi" w:hAnsiTheme="minorHAnsi" w:cs="Arial"/>
          <w:b/>
          <w:sz w:val="22"/>
          <w:szCs w:val="22"/>
        </w:rPr>
        <w:t>R</w:t>
      </w:r>
      <w:r w:rsidRPr="00122403">
        <w:rPr>
          <w:rFonts w:asciiTheme="minorHAnsi" w:hAnsiTheme="minorHAnsi" w:cs="Arial"/>
          <w:b/>
          <w:sz w:val="22"/>
          <w:szCs w:val="22"/>
        </w:rPr>
        <w:t>eceipt</w:t>
      </w:r>
    </w:p>
    <w:p w14:paraId="546CF469" w14:textId="77777777" w:rsidR="00D75EFC" w:rsidRPr="00122403" w:rsidRDefault="00B90044" w:rsidP="00B7744C">
      <w:pPr>
        <w:jc w:val="both"/>
        <w:rPr>
          <w:rFonts w:asciiTheme="minorHAnsi" w:hAnsiTheme="minorHAnsi" w:cs="Arial"/>
          <w:sz w:val="22"/>
          <w:szCs w:val="22"/>
        </w:rPr>
      </w:pPr>
      <w:r w:rsidRPr="00122403">
        <w:rPr>
          <w:rFonts w:asciiTheme="minorHAnsi" w:hAnsiTheme="minorHAnsi" w:cs="Arial"/>
          <w:sz w:val="22"/>
          <w:szCs w:val="22"/>
        </w:rPr>
        <w:t>Income fro</w:t>
      </w:r>
      <w:r w:rsidR="00D75EFC" w:rsidRPr="00122403">
        <w:rPr>
          <w:rFonts w:asciiTheme="minorHAnsi" w:hAnsiTheme="minorHAnsi" w:cs="Arial"/>
          <w:sz w:val="22"/>
          <w:szCs w:val="22"/>
        </w:rPr>
        <w:t>m selling assets that have a long-term value and may be used to repay loan debt or to finance new capital expenditure.</w:t>
      </w:r>
    </w:p>
    <w:p w14:paraId="72E95135" w14:textId="77777777" w:rsidR="00C05A20" w:rsidRPr="00122403" w:rsidRDefault="00C05A20" w:rsidP="006C585D">
      <w:pPr>
        <w:rPr>
          <w:rFonts w:asciiTheme="minorHAnsi" w:hAnsiTheme="minorHAnsi" w:cs="Arial"/>
          <w:sz w:val="22"/>
          <w:szCs w:val="22"/>
        </w:rPr>
      </w:pPr>
    </w:p>
    <w:p w14:paraId="7BDD6220" w14:textId="77777777" w:rsidR="00C05A20" w:rsidRPr="00122403" w:rsidRDefault="00C05A20" w:rsidP="006C585D">
      <w:pPr>
        <w:rPr>
          <w:rFonts w:asciiTheme="minorHAnsi" w:hAnsiTheme="minorHAnsi" w:cs="Arial"/>
          <w:b/>
          <w:sz w:val="22"/>
          <w:szCs w:val="22"/>
        </w:rPr>
      </w:pPr>
      <w:r w:rsidRPr="00122403">
        <w:rPr>
          <w:rFonts w:asciiTheme="minorHAnsi" w:hAnsiTheme="minorHAnsi" w:cs="Arial"/>
          <w:b/>
          <w:sz w:val="22"/>
          <w:szCs w:val="22"/>
        </w:rPr>
        <w:t>Cash Equivalents</w:t>
      </w:r>
    </w:p>
    <w:p w14:paraId="770A59D6" w14:textId="77777777" w:rsidR="00D75EFC" w:rsidRPr="00122403" w:rsidRDefault="00C05A20" w:rsidP="00B7744C">
      <w:pPr>
        <w:jc w:val="both"/>
        <w:rPr>
          <w:rFonts w:asciiTheme="minorHAnsi" w:hAnsiTheme="minorHAnsi" w:cs="Arial"/>
          <w:sz w:val="22"/>
          <w:szCs w:val="22"/>
        </w:rPr>
      </w:pPr>
      <w:r w:rsidRPr="00122403">
        <w:rPr>
          <w:rFonts w:asciiTheme="minorHAnsi" w:hAnsiTheme="minorHAnsi" w:cs="Arial"/>
          <w:sz w:val="22"/>
          <w:szCs w:val="22"/>
        </w:rPr>
        <w:t xml:space="preserve">These are short-term, highly liquid investments that are readily convertible to known amounts of cash and which are subject to an insignificant risk of changes in value. </w:t>
      </w:r>
    </w:p>
    <w:p w14:paraId="63255C74" w14:textId="77777777" w:rsidR="00C05A20" w:rsidRPr="00122403" w:rsidRDefault="00C05A20" w:rsidP="006C585D">
      <w:pPr>
        <w:rPr>
          <w:rFonts w:asciiTheme="minorHAnsi" w:hAnsiTheme="minorHAnsi" w:cs="Arial"/>
          <w:sz w:val="22"/>
          <w:szCs w:val="22"/>
        </w:rPr>
      </w:pPr>
    </w:p>
    <w:p w14:paraId="2B58B5C5" w14:textId="77777777" w:rsidR="007D7DAA" w:rsidRPr="00122403" w:rsidRDefault="00D75EFC" w:rsidP="006C585D">
      <w:pPr>
        <w:rPr>
          <w:rFonts w:asciiTheme="minorHAnsi" w:hAnsiTheme="minorHAnsi" w:cs="Arial"/>
          <w:b/>
          <w:sz w:val="22"/>
          <w:szCs w:val="22"/>
        </w:rPr>
      </w:pPr>
      <w:r w:rsidRPr="00122403">
        <w:rPr>
          <w:rFonts w:asciiTheme="minorHAnsi" w:hAnsiTheme="minorHAnsi" w:cs="Arial"/>
          <w:b/>
          <w:sz w:val="22"/>
          <w:szCs w:val="22"/>
        </w:rPr>
        <w:t>Cash-</w:t>
      </w:r>
      <w:r w:rsidR="00AE4221" w:rsidRPr="00122403">
        <w:rPr>
          <w:rFonts w:asciiTheme="minorHAnsi" w:hAnsiTheme="minorHAnsi" w:cs="Arial"/>
          <w:b/>
          <w:sz w:val="22"/>
          <w:szCs w:val="22"/>
        </w:rPr>
        <w:t>F</w:t>
      </w:r>
      <w:r w:rsidRPr="00122403">
        <w:rPr>
          <w:rFonts w:asciiTheme="minorHAnsi" w:hAnsiTheme="minorHAnsi" w:cs="Arial"/>
          <w:b/>
          <w:sz w:val="22"/>
          <w:szCs w:val="22"/>
        </w:rPr>
        <w:t xml:space="preserve">low </w:t>
      </w:r>
      <w:r w:rsidR="00AE4221" w:rsidRPr="00122403">
        <w:rPr>
          <w:rFonts w:asciiTheme="minorHAnsi" w:hAnsiTheme="minorHAnsi" w:cs="Arial"/>
          <w:b/>
          <w:sz w:val="22"/>
          <w:szCs w:val="22"/>
        </w:rPr>
        <w:t>S</w:t>
      </w:r>
      <w:r w:rsidRPr="00122403">
        <w:rPr>
          <w:rFonts w:asciiTheme="minorHAnsi" w:hAnsiTheme="minorHAnsi" w:cs="Arial"/>
          <w:b/>
          <w:sz w:val="22"/>
          <w:szCs w:val="22"/>
        </w:rPr>
        <w:t>tatement</w:t>
      </w:r>
    </w:p>
    <w:p w14:paraId="05420210" w14:textId="77777777" w:rsidR="00D75EFC" w:rsidRDefault="00D75EFC" w:rsidP="006C585D">
      <w:pPr>
        <w:rPr>
          <w:rFonts w:asciiTheme="minorHAnsi" w:hAnsiTheme="minorHAnsi" w:cs="Arial"/>
          <w:sz w:val="22"/>
          <w:szCs w:val="22"/>
        </w:rPr>
      </w:pPr>
      <w:r w:rsidRPr="00122403">
        <w:rPr>
          <w:rFonts w:asciiTheme="minorHAnsi" w:hAnsiTheme="minorHAnsi" w:cs="Arial"/>
          <w:sz w:val="22"/>
          <w:szCs w:val="22"/>
        </w:rPr>
        <w:t>This is a statement which shows the changes in our cash and bank balances since we prepared the previous year’s accounts. It also shows the changes in our other assets</w:t>
      </w:r>
      <w:r w:rsidR="0001408E" w:rsidRPr="00122403">
        <w:rPr>
          <w:rFonts w:asciiTheme="minorHAnsi" w:hAnsiTheme="minorHAnsi" w:cs="Arial"/>
          <w:sz w:val="22"/>
          <w:szCs w:val="22"/>
        </w:rPr>
        <w:t>, liabilities and other accounts in our balance sheet.</w:t>
      </w:r>
    </w:p>
    <w:p w14:paraId="5055DBD4" w14:textId="77777777" w:rsidR="00B7744C" w:rsidRDefault="00B7744C" w:rsidP="006C585D">
      <w:pPr>
        <w:rPr>
          <w:rFonts w:asciiTheme="minorHAnsi" w:hAnsiTheme="minorHAnsi" w:cs="Arial"/>
          <w:sz w:val="22"/>
          <w:szCs w:val="22"/>
        </w:rPr>
      </w:pPr>
    </w:p>
    <w:p w14:paraId="08DF40D1" w14:textId="77777777" w:rsidR="00924587" w:rsidRPr="00122403" w:rsidRDefault="00924587" w:rsidP="006C585D">
      <w:pPr>
        <w:rPr>
          <w:rFonts w:asciiTheme="minorHAnsi" w:hAnsiTheme="minorHAnsi" w:cs="Arial"/>
          <w:sz w:val="22"/>
          <w:szCs w:val="22"/>
        </w:rPr>
      </w:pPr>
    </w:p>
    <w:p w14:paraId="77C63B82" w14:textId="77777777" w:rsidR="0001408E" w:rsidRPr="00122403" w:rsidRDefault="0001408E" w:rsidP="006C585D">
      <w:pPr>
        <w:rPr>
          <w:rFonts w:asciiTheme="minorHAnsi" w:hAnsiTheme="minorHAnsi" w:cs="Arial"/>
          <w:b/>
          <w:sz w:val="22"/>
          <w:szCs w:val="22"/>
        </w:rPr>
      </w:pPr>
      <w:r w:rsidRPr="00122403">
        <w:rPr>
          <w:rFonts w:asciiTheme="minorHAnsi" w:hAnsiTheme="minorHAnsi" w:cs="Arial"/>
          <w:b/>
          <w:sz w:val="22"/>
          <w:szCs w:val="22"/>
        </w:rPr>
        <w:lastRenderedPageBreak/>
        <w:t xml:space="preserve">Collection </w:t>
      </w:r>
      <w:r w:rsidR="00AE4221" w:rsidRPr="00122403">
        <w:rPr>
          <w:rFonts w:asciiTheme="minorHAnsi" w:hAnsiTheme="minorHAnsi" w:cs="Arial"/>
          <w:b/>
          <w:sz w:val="22"/>
          <w:szCs w:val="22"/>
        </w:rPr>
        <w:t>F</w:t>
      </w:r>
      <w:r w:rsidRPr="00122403">
        <w:rPr>
          <w:rFonts w:asciiTheme="minorHAnsi" w:hAnsiTheme="minorHAnsi" w:cs="Arial"/>
          <w:b/>
          <w:sz w:val="22"/>
          <w:szCs w:val="22"/>
        </w:rPr>
        <w:t>und</w:t>
      </w:r>
    </w:p>
    <w:p w14:paraId="0AE5E32A" w14:textId="77777777" w:rsidR="0001408E" w:rsidRPr="00122403" w:rsidRDefault="0001408E" w:rsidP="006C585D">
      <w:pPr>
        <w:rPr>
          <w:rFonts w:asciiTheme="minorHAnsi" w:hAnsiTheme="minorHAnsi" w:cs="Arial"/>
          <w:sz w:val="22"/>
          <w:szCs w:val="22"/>
        </w:rPr>
      </w:pPr>
      <w:r w:rsidRPr="00122403">
        <w:rPr>
          <w:rFonts w:asciiTheme="minorHAnsi" w:hAnsiTheme="minorHAnsi" w:cs="Arial"/>
          <w:sz w:val="22"/>
          <w:szCs w:val="22"/>
        </w:rPr>
        <w:t>A fund we use t</w:t>
      </w:r>
      <w:r w:rsidR="00B36611" w:rsidRPr="00122403">
        <w:rPr>
          <w:rFonts w:asciiTheme="minorHAnsi" w:hAnsiTheme="minorHAnsi" w:cs="Arial"/>
          <w:sz w:val="22"/>
          <w:szCs w:val="22"/>
        </w:rPr>
        <w:t xml:space="preserve">o show what happens to </w:t>
      </w:r>
      <w:r w:rsidR="00DB4C26" w:rsidRPr="00122403">
        <w:rPr>
          <w:rFonts w:asciiTheme="minorHAnsi" w:hAnsiTheme="minorHAnsi" w:cs="Arial"/>
          <w:sz w:val="22"/>
          <w:szCs w:val="22"/>
        </w:rPr>
        <w:t>c</w:t>
      </w:r>
      <w:r w:rsidR="00B36611" w:rsidRPr="00122403">
        <w:rPr>
          <w:rFonts w:asciiTheme="minorHAnsi" w:hAnsiTheme="minorHAnsi" w:cs="Arial"/>
          <w:sz w:val="22"/>
          <w:szCs w:val="22"/>
        </w:rPr>
        <w:t xml:space="preserve">ouncil </w:t>
      </w:r>
      <w:r w:rsidR="00DB4C26" w:rsidRPr="00122403">
        <w:rPr>
          <w:rFonts w:asciiTheme="minorHAnsi" w:hAnsiTheme="minorHAnsi" w:cs="Arial"/>
          <w:sz w:val="22"/>
          <w:szCs w:val="22"/>
        </w:rPr>
        <w:t xml:space="preserve">tax and </w:t>
      </w:r>
      <w:r w:rsidR="00A6075F" w:rsidRPr="00122403">
        <w:rPr>
          <w:rFonts w:asciiTheme="minorHAnsi" w:hAnsiTheme="minorHAnsi" w:cs="Arial"/>
          <w:sz w:val="22"/>
          <w:szCs w:val="22"/>
        </w:rPr>
        <w:t>business rate retention scheme income</w:t>
      </w:r>
      <w:r w:rsidRPr="00122403">
        <w:rPr>
          <w:rFonts w:asciiTheme="minorHAnsi" w:hAnsiTheme="minorHAnsi" w:cs="Arial"/>
          <w:sz w:val="22"/>
          <w:szCs w:val="22"/>
        </w:rPr>
        <w:t>.</w:t>
      </w:r>
    </w:p>
    <w:p w14:paraId="30487C54" w14:textId="77777777" w:rsidR="00063138" w:rsidRPr="00122403" w:rsidRDefault="00063138" w:rsidP="006C585D">
      <w:pPr>
        <w:rPr>
          <w:rFonts w:asciiTheme="minorHAnsi" w:hAnsiTheme="minorHAnsi" w:cs="Arial"/>
          <w:sz w:val="22"/>
          <w:szCs w:val="22"/>
        </w:rPr>
      </w:pPr>
    </w:p>
    <w:p w14:paraId="67D67396" w14:textId="77777777" w:rsidR="00063138" w:rsidRPr="00122403" w:rsidRDefault="00063138" w:rsidP="006C585D">
      <w:pPr>
        <w:rPr>
          <w:rFonts w:asciiTheme="minorHAnsi" w:hAnsiTheme="minorHAnsi" w:cs="Arial"/>
          <w:b/>
          <w:sz w:val="22"/>
          <w:szCs w:val="22"/>
        </w:rPr>
      </w:pPr>
      <w:r w:rsidRPr="00122403">
        <w:rPr>
          <w:rFonts w:asciiTheme="minorHAnsi" w:hAnsiTheme="minorHAnsi" w:cs="Arial"/>
          <w:b/>
          <w:sz w:val="22"/>
          <w:szCs w:val="22"/>
        </w:rPr>
        <w:t>Collection Fund Adjustment Account</w:t>
      </w:r>
    </w:p>
    <w:p w14:paraId="291D2FDD" w14:textId="77777777" w:rsidR="00063138" w:rsidRPr="00122403" w:rsidRDefault="008B1D06" w:rsidP="008B1D06">
      <w:pPr>
        <w:jc w:val="both"/>
        <w:rPr>
          <w:rFonts w:asciiTheme="minorHAnsi" w:hAnsiTheme="minorHAnsi" w:cs="Arial"/>
          <w:sz w:val="22"/>
          <w:szCs w:val="22"/>
        </w:rPr>
      </w:pPr>
      <w:r w:rsidRPr="00122403">
        <w:rPr>
          <w:rFonts w:asciiTheme="minorHAnsi" w:hAnsiTheme="minorHAnsi" w:cs="Arial"/>
          <w:sz w:val="22"/>
          <w:szCs w:val="22"/>
        </w:rPr>
        <w:t xml:space="preserve">This account manages the differences arising from the recognition of council tax income in the Comprehensive Income and Expenditure Statement as it falls due from council </w:t>
      </w:r>
      <w:proofErr w:type="gramStart"/>
      <w:r w:rsidRPr="00122403">
        <w:rPr>
          <w:rFonts w:asciiTheme="minorHAnsi" w:hAnsiTheme="minorHAnsi" w:cs="Arial"/>
          <w:sz w:val="22"/>
          <w:szCs w:val="22"/>
        </w:rPr>
        <w:t>tax payers</w:t>
      </w:r>
      <w:proofErr w:type="gramEnd"/>
      <w:r w:rsidRPr="00122403">
        <w:rPr>
          <w:rFonts w:asciiTheme="minorHAnsi" w:hAnsiTheme="minorHAnsi" w:cs="Arial"/>
          <w:sz w:val="22"/>
          <w:szCs w:val="22"/>
        </w:rPr>
        <w:t xml:space="preserve"> compared with the statutory arrangements for paying across amounts to the General Fund from the Collection Fund.</w:t>
      </w:r>
    </w:p>
    <w:p w14:paraId="5FC1FA1D" w14:textId="77777777" w:rsidR="0001408E" w:rsidRPr="00122403" w:rsidRDefault="0001408E" w:rsidP="008B1D06">
      <w:pPr>
        <w:jc w:val="both"/>
        <w:rPr>
          <w:rFonts w:asciiTheme="minorHAnsi" w:hAnsiTheme="minorHAnsi" w:cs="Arial"/>
          <w:sz w:val="22"/>
          <w:szCs w:val="22"/>
        </w:rPr>
      </w:pPr>
    </w:p>
    <w:p w14:paraId="2FA519A8" w14:textId="77777777" w:rsidR="0001408E" w:rsidRPr="00122403" w:rsidRDefault="0001408E" w:rsidP="006C585D">
      <w:pPr>
        <w:rPr>
          <w:rFonts w:asciiTheme="minorHAnsi" w:hAnsiTheme="minorHAnsi" w:cs="Arial"/>
          <w:b/>
          <w:sz w:val="22"/>
          <w:szCs w:val="22"/>
        </w:rPr>
      </w:pPr>
      <w:r w:rsidRPr="00122403">
        <w:rPr>
          <w:rFonts w:asciiTheme="minorHAnsi" w:hAnsiTheme="minorHAnsi" w:cs="Arial"/>
          <w:b/>
          <w:sz w:val="22"/>
          <w:szCs w:val="22"/>
        </w:rPr>
        <w:t xml:space="preserve">Community </w:t>
      </w:r>
      <w:r w:rsidR="00AE4221" w:rsidRPr="00122403">
        <w:rPr>
          <w:rFonts w:asciiTheme="minorHAnsi" w:hAnsiTheme="minorHAnsi" w:cs="Arial"/>
          <w:b/>
          <w:sz w:val="22"/>
          <w:szCs w:val="22"/>
        </w:rPr>
        <w:t>A</w:t>
      </w:r>
      <w:r w:rsidRPr="00122403">
        <w:rPr>
          <w:rFonts w:asciiTheme="minorHAnsi" w:hAnsiTheme="minorHAnsi" w:cs="Arial"/>
          <w:b/>
          <w:sz w:val="22"/>
          <w:szCs w:val="22"/>
        </w:rPr>
        <w:t>ssets</w:t>
      </w:r>
    </w:p>
    <w:p w14:paraId="6BD603D1" w14:textId="77777777" w:rsidR="0001408E" w:rsidRPr="00122403" w:rsidRDefault="0001408E" w:rsidP="00F4084C">
      <w:pPr>
        <w:jc w:val="both"/>
        <w:rPr>
          <w:rFonts w:asciiTheme="minorHAnsi" w:hAnsiTheme="minorHAnsi" w:cs="Arial"/>
          <w:sz w:val="22"/>
          <w:szCs w:val="22"/>
        </w:rPr>
      </w:pPr>
      <w:r w:rsidRPr="00122403">
        <w:rPr>
          <w:rFonts w:asciiTheme="minorHAnsi" w:hAnsiTheme="minorHAnsi" w:cs="Arial"/>
          <w:sz w:val="22"/>
          <w:szCs w:val="22"/>
        </w:rPr>
        <w:t xml:space="preserve">Assets we do not plan to </w:t>
      </w:r>
      <w:proofErr w:type="gramStart"/>
      <w:r w:rsidRPr="00122403">
        <w:rPr>
          <w:rFonts w:asciiTheme="minorHAnsi" w:hAnsiTheme="minorHAnsi" w:cs="Arial"/>
          <w:sz w:val="22"/>
          <w:szCs w:val="22"/>
        </w:rPr>
        <w:t>sell</w:t>
      </w:r>
      <w:proofErr w:type="gramEnd"/>
      <w:r w:rsidRPr="00122403">
        <w:rPr>
          <w:rFonts w:asciiTheme="minorHAnsi" w:hAnsiTheme="minorHAnsi" w:cs="Arial"/>
          <w:sz w:val="22"/>
          <w:szCs w:val="22"/>
        </w:rPr>
        <w:t xml:space="preserve"> and which have no definite useful life. Examples of community assets are parks and historic buildings</w:t>
      </w:r>
      <w:r w:rsidR="004A292A" w:rsidRPr="00122403">
        <w:rPr>
          <w:rFonts w:asciiTheme="minorHAnsi" w:hAnsiTheme="minorHAnsi" w:cs="Arial"/>
          <w:sz w:val="22"/>
          <w:szCs w:val="22"/>
        </w:rPr>
        <w:t xml:space="preserve"> which do not qualify as heritage assets</w:t>
      </w:r>
      <w:r w:rsidRPr="00122403">
        <w:rPr>
          <w:rFonts w:asciiTheme="minorHAnsi" w:hAnsiTheme="minorHAnsi" w:cs="Arial"/>
          <w:sz w:val="22"/>
          <w:szCs w:val="22"/>
        </w:rPr>
        <w:t>.</w:t>
      </w:r>
    </w:p>
    <w:p w14:paraId="0C5D5533" w14:textId="77777777" w:rsidR="0068534A" w:rsidRPr="00122403" w:rsidRDefault="0068534A" w:rsidP="00F4084C">
      <w:pPr>
        <w:jc w:val="both"/>
        <w:rPr>
          <w:rFonts w:asciiTheme="minorHAnsi" w:hAnsiTheme="minorHAnsi" w:cs="Arial"/>
          <w:sz w:val="22"/>
          <w:szCs w:val="22"/>
        </w:rPr>
      </w:pPr>
    </w:p>
    <w:p w14:paraId="739A4B22" w14:textId="77777777" w:rsidR="0068534A" w:rsidRPr="00122403" w:rsidRDefault="0068534A" w:rsidP="00F4084C">
      <w:pPr>
        <w:jc w:val="both"/>
        <w:rPr>
          <w:rFonts w:asciiTheme="minorHAnsi" w:hAnsiTheme="minorHAnsi" w:cs="Arial"/>
          <w:b/>
          <w:sz w:val="22"/>
          <w:szCs w:val="22"/>
        </w:rPr>
      </w:pPr>
      <w:r w:rsidRPr="00122403">
        <w:rPr>
          <w:rFonts w:asciiTheme="minorHAnsi" w:hAnsiTheme="minorHAnsi" w:cs="Arial"/>
          <w:b/>
          <w:sz w:val="22"/>
          <w:szCs w:val="22"/>
        </w:rPr>
        <w:t>Comprehensive Income and Expenditure Statement</w:t>
      </w:r>
    </w:p>
    <w:p w14:paraId="01414DBE" w14:textId="77777777" w:rsidR="0068534A" w:rsidRPr="00122403" w:rsidRDefault="0068534A" w:rsidP="0068534A">
      <w:pPr>
        <w:rPr>
          <w:rFonts w:asciiTheme="minorHAnsi" w:hAnsiTheme="minorHAnsi" w:cs="Arial"/>
          <w:sz w:val="22"/>
          <w:szCs w:val="22"/>
        </w:rPr>
      </w:pPr>
      <w:r w:rsidRPr="00122403">
        <w:rPr>
          <w:rFonts w:asciiTheme="minorHAnsi" w:hAnsiTheme="minorHAnsi" w:cs="Arial"/>
          <w:sz w:val="22"/>
          <w:szCs w:val="22"/>
        </w:rPr>
        <w:t>The account which reports the income and spending on our services.</w:t>
      </w:r>
    </w:p>
    <w:p w14:paraId="41502533" w14:textId="77777777" w:rsidR="00DB4C26" w:rsidRPr="00122403" w:rsidRDefault="00DB4C26" w:rsidP="006C585D">
      <w:pPr>
        <w:rPr>
          <w:rFonts w:asciiTheme="minorHAnsi" w:hAnsiTheme="minorHAnsi" w:cs="Arial"/>
          <w:sz w:val="22"/>
          <w:szCs w:val="22"/>
        </w:rPr>
      </w:pPr>
    </w:p>
    <w:p w14:paraId="3AAFF1B1" w14:textId="77777777" w:rsidR="008254E3" w:rsidRPr="00122403" w:rsidRDefault="008254E3" w:rsidP="006C585D">
      <w:pPr>
        <w:rPr>
          <w:rFonts w:asciiTheme="minorHAnsi" w:hAnsiTheme="minorHAnsi" w:cs="Arial"/>
          <w:b/>
          <w:sz w:val="22"/>
          <w:szCs w:val="22"/>
        </w:rPr>
      </w:pPr>
      <w:r w:rsidRPr="00122403">
        <w:rPr>
          <w:rFonts w:asciiTheme="minorHAnsi" w:hAnsiTheme="minorHAnsi" w:cs="Arial"/>
          <w:b/>
          <w:sz w:val="22"/>
          <w:szCs w:val="22"/>
        </w:rPr>
        <w:t>Contingency</w:t>
      </w:r>
    </w:p>
    <w:p w14:paraId="0AD7E247" w14:textId="77777777" w:rsidR="008254E3" w:rsidRPr="00122403" w:rsidRDefault="008254E3" w:rsidP="00696E9F">
      <w:pPr>
        <w:jc w:val="both"/>
        <w:rPr>
          <w:rFonts w:asciiTheme="minorHAnsi" w:hAnsiTheme="minorHAnsi" w:cs="Arial"/>
          <w:sz w:val="22"/>
          <w:szCs w:val="22"/>
        </w:rPr>
      </w:pPr>
      <w:r w:rsidRPr="00122403">
        <w:rPr>
          <w:rFonts w:asciiTheme="minorHAnsi" w:hAnsiTheme="minorHAnsi" w:cs="Arial"/>
          <w:sz w:val="22"/>
          <w:szCs w:val="22"/>
        </w:rPr>
        <w:t>A condition which exists at the balance sheet date, where the outcome will be confirmed only on the occurrence or non-occurrence of one or more uncertain future events.</w:t>
      </w:r>
    </w:p>
    <w:p w14:paraId="17108281" w14:textId="77777777" w:rsidR="002929CD" w:rsidRPr="00122403" w:rsidRDefault="002929CD" w:rsidP="00696E9F">
      <w:pPr>
        <w:jc w:val="both"/>
        <w:rPr>
          <w:rFonts w:asciiTheme="minorHAnsi" w:hAnsiTheme="minorHAnsi" w:cs="Arial"/>
          <w:sz w:val="22"/>
          <w:szCs w:val="22"/>
        </w:rPr>
      </w:pPr>
    </w:p>
    <w:p w14:paraId="6F6B57FE" w14:textId="77777777" w:rsidR="002929CD" w:rsidRPr="00122403" w:rsidRDefault="002929CD" w:rsidP="00696E9F">
      <w:pPr>
        <w:jc w:val="both"/>
        <w:rPr>
          <w:rFonts w:asciiTheme="minorHAnsi" w:hAnsiTheme="minorHAnsi" w:cs="Arial"/>
          <w:b/>
          <w:sz w:val="22"/>
          <w:szCs w:val="22"/>
        </w:rPr>
      </w:pPr>
      <w:r w:rsidRPr="00122403">
        <w:rPr>
          <w:rFonts w:asciiTheme="minorHAnsi" w:hAnsiTheme="minorHAnsi" w:cs="Arial"/>
          <w:b/>
          <w:sz w:val="22"/>
          <w:szCs w:val="22"/>
        </w:rPr>
        <w:t xml:space="preserve">Contingent Asset </w:t>
      </w:r>
    </w:p>
    <w:p w14:paraId="041B8FE8" w14:textId="77777777" w:rsidR="002929CD" w:rsidRPr="00122403" w:rsidRDefault="002929CD" w:rsidP="00696E9F">
      <w:pPr>
        <w:jc w:val="both"/>
        <w:rPr>
          <w:rFonts w:asciiTheme="minorHAnsi" w:hAnsiTheme="minorHAnsi" w:cs="Arial"/>
          <w:sz w:val="22"/>
          <w:szCs w:val="22"/>
        </w:rPr>
      </w:pPr>
      <w:r w:rsidRPr="00122403">
        <w:rPr>
          <w:rFonts w:asciiTheme="minorHAnsi" w:hAnsiTheme="minorHAnsi" w:cs="Arial"/>
          <w:sz w:val="22"/>
          <w:szCs w:val="22"/>
        </w:rPr>
        <w:t xml:space="preserve">Money that may be owed to </w:t>
      </w:r>
      <w:r w:rsidR="00DB4C26" w:rsidRPr="00122403">
        <w:rPr>
          <w:rFonts w:asciiTheme="minorHAnsi" w:hAnsiTheme="minorHAnsi" w:cs="Arial"/>
          <w:sz w:val="22"/>
          <w:szCs w:val="22"/>
        </w:rPr>
        <w:t>us</w:t>
      </w:r>
      <w:r w:rsidRPr="00122403">
        <w:rPr>
          <w:rFonts w:asciiTheme="minorHAnsi" w:hAnsiTheme="minorHAnsi" w:cs="Arial"/>
          <w:sz w:val="22"/>
          <w:szCs w:val="22"/>
        </w:rPr>
        <w:t>, but we cannot be certain of the exact amount.</w:t>
      </w:r>
    </w:p>
    <w:p w14:paraId="306C68A9" w14:textId="77777777" w:rsidR="008254E3" w:rsidRPr="00122403" w:rsidRDefault="008254E3" w:rsidP="006C585D">
      <w:pPr>
        <w:rPr>
          <w:rFonts w:asciiTheme="minorHAnsi" w:hAnsiTheme="minorHAnsi" w:cs="Arial"/>
          <w:sz w:val="22"/>
          <w:szCs w:val="22"/>
        </w:rPr>
      </w:pPr>
    </w:p>
    <w:p w14:paraId="49F7E9C5" w14:textId="77777777" w:rsidR="0001408E" w:rsidRPr="00122403" w:rsidRDefault="0001408E" w:rsidP="006C585D">
      <w:pPr>
        <w:rPr>
          <w:rFonts w:asciiTheme="minorHAnsi" w:hAnsiTheme="minorHAnsi" w:cs="Arial"/>
          <w:b/>
          <w:sz w:val="22"/>
          <w:szCs w:val="22"/>
        </w:rPr>
      </w:pPr>
      <w:r w:rsidRPr="00122403">
        <w:rPr>
          <w:rFonts w:asciiTheme="minorHAnsi" w:hAnsiTheme="minorHAnsi" w:cs="Arial"/>
          <w:b/>
          <w:sz w:val="22"/>
          <w:szCs w:val="22"/>
        </w:rPr>
        <w:t xml:space="preserve">Contingent </w:t>
      </w:r>
      <w:r w:rsidR="00AE4221" w:rsidRPr="00122403">
        <w:rPr>
          <w:rFonts w:asciiTheme="minorHAnsi" w:hAnsiTheme="minorHAnsi" w:cs="Arial"/>
          <w:b/>
          <w:sz w:val="22"/>
          <w:szCs w:val="22"/>
        </w:rPr>
        <w:t>L</w:t>
      </w:r>
      <w:r w:rsidRPr="00122403">
        <w:rPr>
          <w:rFonts w:asciiTheme="minorHAnsi" w:hAnsiTheme="minorHAnsi" w:cs="Arial"/>
          <w:b/>
          <w:sz w:val="22"/>
          <w:szCs w:val="22"/>
        </w:rPr>
        <w:t>iability</w:t>
      </w:r>
    </w:p>
    <w:p w14:paraId="46D00441" w14:textId="77777777" w:rsidR="0001408E" w:rsidRPr="00122403" w:rsidRDefault="0001408E" w:rsidP="006C585D">
      <w:pPr>
        <w:rPr>
          <w:rFonts w:asciiTheme="minorHAnsi" w:hAnsiTheme="minorHAnsi" w:cs="Arial"/>
          <w:sz w:val="22"/>
          <w:szCs w:val="22"/>
        </w:rPr>
      </w:pPr>
      <w:r w:rsidRPr="00122403">
        <w:rPr>
          <w:rFonts w:asciiTheme="minorHAnsi" w:hAnsiTheme="minorHAnsi" w:cs="Arial"/>
          <w:sz w:val="22"/>
          <w:szCs w:val="22"/>
        </w:rPr>
        <w:t xml:space="preserve">Money that </w:t>
      </w:r>
      <w:r w:rsidR="00DB4C26" w:rsidRPr="00122403">
        <w:rPr>
          <w:rFonts w:asciiTheme="minorHAnsi" w:hAnsiTheme="minorHAnsi" w:cs="Arial"/>
          <w:sz w:val="22"/>
          <w:szCs w:val="22"/>
        </w:rPr>
        <w:t>we</w:t>
      </w:r>
      <w:r w:rsidRPr="00122403">
        <w:rPr>
          <w:rFonts w:asciiTheme="minorHAnsi" w:hAnsiTheme="minorHAnsi" w:cs="Arial"/>
          <w:sz w:val="22"/>
          <w:szCs w:val="22"/>
        </w:rPr>
        <w:t xml:space="preserve"> may owe, but we cannot be certain of the exact amount.</w:t>
      </w:r>
    </w:p>
    <w:p w14:paraId="35401BB6" w14:textId="77777777" w:rsidR="0001408E" w:rsidRPr="00122403" w:rsidRDefault="0001408E" w:rsidP="006C585D">
      <w:pPr>
        <w:rPr>
          <w:rFonts w:asciiTheme="minorHAnsi" w:hAnsiTheme="minorHAnsi" w:cs="Arial"/>
          <w:sz w:val="22"/>
          <w:szCs w:val="22"/>
        </w:rPr>
      </w:pPr>
    </w:p>
    <w:p w14:paraId="7773F6BF" w14:textId="77777777" w:rsidR="008254E3" w:rsidRPr="00122403" w:rsidRDefault="008254E3" w:rsidP="006C585D">
      <w:pPr>
        <w:rPr>
          <w:rFonts w:asciiTheme="minorHAnsi" w:hAnsiTheme="minorHAnsi" w:cs="Arial"/>
          <w:b/>
          <w:sz w:val="22"/>
          <w:szCs w:val="22"/>
        </w:rPr>
      </w:pPr>
      <w:r w:rsidRPr="00122403">
        <w:rPr>
          <w:rFonts w:asciiTheme="minorHAnsi" w:hAnsiTheme="minorHAnsi" w:cs="Arial"/>
          <w:b/>
          <w:sz w:val="22"/>
          <w:szCs w:val="22"/>
        </w:rPr>
        <w:t xml:space="preserve">Corporate and Democratic </w:t>
      </w:r>
      <w:r w:rsidR="00AE4221" w:rsidRPr="00122403">
        <w:rPr>
          <w:rFonts w:asciiTheme="minorHAnsi" w:hAnsiTheme="minorHAnsi" w:cs="Arial"/>
          <w:b/>
          <w:sz w:val="22"/>
          <w:szCs w:val="22"/>
        </w:rPr>
        <w:t>C</w:t>
      </w:r>
      <w:r w:rsidRPr="00122403">
        <w:rPr>
          <w:rFonts w:asciiTheme="minorHAnsi" w:hAnsiTheme="minorHAnsi" w:cs="Arial"/>
          <w:b/>
          <w:sz w:val="22"/>
          <w:szCs w:val="22"/>
        </w:rPr>
        <w:t>ore</w:t>
      </w:r>
    </w:p>
    <w:p w14:paraId="36CDF13A" w14:textId="77777777" w:rsidR="008254E3" w:rsidRPr="00122403" w:rsidRDefault="008254E3" w:rsidP="00F4084C">
      <w:pPr>
        <w:jc w:val="both"/>
        <w:rPr>
          <w:rFonts w:asciiTheme="minorHAnsi" w:hAnsiTheme="minorHAnsi" w:cs="Arial"/>
          <w:b/>
          <w:sz w:val="22"/>
          <w:szCs w:val="22"/>
        </w:rPr>
      </w:pPr>
      <w:r w:rsidRPr="00122403">
        <w:rPr>
          <w:rFonts w:asciiTheme="minorHAnsi" w:hAnsiTheme="minorHAnsi" w:cs="Arial"/>
          <w:sz w:val="22"/>
          <w:szCs w:val="22"/>
        </w:rPr>
        <w:t xml:space="preserve">The corporate and democratic core comprises all activities which local authorities engage in specifically because they are elected, multi-purpose authorities. The cost of these activities </w:t>
      </w:r>
      <w:proofErr w:type="gramStart"/>
      <w:r w:rsidRPr="00122403">
        <w:rPr>
          <w:rFonts w:asciiTheme="minorHAnsi" w:hAnsiTheme="minorHAnsi" w:cs="Arial"/>
          <w:sz w:val="22"/>
          <w:szCs w:val="22"/>
        </w:rPr>
        <w:t>are</w:t>
      </w:r>
      <w:proofErr w:type="gramEnd"/>
      <w:r w:rsidRPr="00122403">
        <w:rPr>
          <w:rFonts w:asciiTheme="minorHAnsi" w:hAnsiTheme="minorHAnsi" w:cs="Arial"/>
          <w:sz w:val="22"/>
          <w:szCs w:val="22"/>
        </w:rPr>
        <w:t xml:space="preserve"> thus over and above those which would be incurred by a series of independent, single purpose, nominated bodies managing the same activities. There is therefore no logical basis for apportioning these costs to services.</w:t>
      </w:r>
    </w:p>
    <w:p w14:paraId="15AC1105" w14:textId="77777777" w:rsidR="001814A7" w:rsidRPr="00122403" w:rsidRDefault="001814A7" w:rsidP="006C585D">
      <w:pPr>
        <w:rPr>
          <w:rFonts w:asciiTheme="minorHAnsi" w:hAnsiTheme="minorHAnsi" w:cs="Arial"/>
          <w:b/>
          <w:sz w:val="22"/>
          <w:szCs w:val="22"/>
        </w:rPr>
      </w:pPr>
    </w:p>
    <w:p w14:paraId="0515A338" w14:textId="77777777" w:rsidR="0001408E" w:rsidRPr="00122403" w:rsidRDefault="0001408E" w:rsidP="006C585D">
      <w:pPr>
        <w:rPr>
          <w:rFonts w:asciiTheme="minorHAnsi" w:hAnsiTheme="minorHAnsi" w:cs="Arial"/>
          <w:b/>
          <w:sz w:val="22"/>
          <w:szCs w:val="22"/>
        </w:rPr>
      </w:pPr>
      <w:r w:rsidRPr="00122403">
        <w:rPr>
          <w:rFonts w:asciiTheme="minorHAnsi" w:hAnsiTheme="minorHAnsi" w:cs="Arial"/>
          <w:b/>
          <w:sz w:val="22"/>
          <w:szCs w:val="22"/>
        </w:rPr>
        <w:t xml:space="preserve">Current </w:t>
      </w:r>
      <w:r w:rsidR="00A655A7" w:rsidRPr="00122403">
        <w:rPr>
          <w:rFonts w:asciiTheme="minorHAnsi" w:hAnsiTheme="minorHAnsi" w:cs="Arial"/>
          <w:b/>
          <w:sz w:val="22"/>
          <w:szCs w:val="22"/>
        </w:rPr>
        <w:t>A</w:t>
      </w:r>
      <w:r w:rsidRPr="00122403">
        <w:rPr>
          <w:rFonts w:asciiTheme="minorHAnsi" w:hAnsiTheme="minorHAnsi" w:cs="Arial"/>
          <w:b/>
          <w:sz w:val="22"/>
          <w:szCs w:val="22"/>
        </w:rPr>
        <w:t>ssets</w:t>
      </w:r>
    </w:p>
    <w:p w14:paraId="2A2349E0" w14:textId="77777777" w:rsidR="0001408E" w:rsidRPr="00122403" w:rsidRDefault="0001408E" w:rsidP="006C585D">
      <w:pPr>
        <w:rPr>
          <w:rFonts w:asciiTheme="minorHAnsi" w:hAnsiTheme="minorHAnsi" w:cs="Arial"/>
          <w:sz w:val="22"/>
          <w:szCs w:val="22"/>
        </w:rPr>
      </w:pPr>
      <w:r w:rsidRPr="00122403">
        <w:rPr>
          <w:rFonts w:asciiTheme="minorHAnsi" w:hAnsiTheme="minorHAnsi" w:cs="Arial"/>
          <w:sz w:val="22"/>
          <w:szCs w:val="22"/>
        </w:rPr>
        <w:t>These are the short-term ass</w:t>
      </w:r>
      <w:r w:rsidR="00DB4C26" w:rsidRPr="00122403">
        <w:rPr>
          <w:rFonts w:asciiTheme="minorHAnsi" w:hAnsiTheme="minorHAnsi" w:cs="Arial"/>
          <w:sz w:val="22"/>
          <w:szCs w:val="22"/>
        </w:rPr>
        <w:t>ets we have at the date of our Balance S</w:t>
      </w:r>
      <w:r w:rsidRPr="00122403">
        <w:rPr>
          <w:rFonts w:asciiTheme="minorHAnsi" w:hAnsiTheme="minorHAnsi" w:cs="Arial"/>
          <w:sz w:val="22"/>
          <w:szCs w:val="22"/>
        </w:rPr>
        <w:t>heet, which we can use in the following year.</w:t>
      </w:r>
    </w:p>
    <w:p w14:paraId="26D5E880" w14:textId="77777777" w:rsidR="00DD1C93" w:rsidRPr="00122403" w:rsidRDefault="00DD1C93" w:rsidP="006C585D">
      <w:pPr>
        <w:rPr>
          <w:rFonts w:asciiTheme="minorHAnsi" w:hAnsiTheme="minorHAnsi" w:cs="Arial"/>
          <w:sz w:val="22"/>
          <w:szCs w:val="22"/>
        </w:rPr>
      </w:pPr>
    </w:p>
    <w:p w14:paraId="77452CF8" w14:textId="77777777" w:rsidR="0001408E" w:rsidRPr="00122403" w:rsidRDefault="0001408E" w:rsidP="006C585D">
      <w:pPr>
        <w:rPr>
          <w:rFonts w:asciiTheme="minorHAnsi" w:hAnsiTheme="minorHAnsi" w:cs="Arial"/>
          <w:b/>
          <w:sz w:val="22"/>
          <w:szCs w:val="22"/>
        </w:rPr>
      </w:pPr>
      <w:r w:rsidRPr="00122403">
        <w:rPr>
          <w:rFonts w:asciiTheme="minorHAnsi" w:hAnsiTheme="minorHAnsi" w:cs="Arial"/>
          <w:b/>
          <w:sz w:val="22"/>
          <w:szCs w:val="22"/>
        </w:rPr>
        <w:t xml:space="preserve">Current </w:t>
      </w:r>
      <w:r w:rsidR="00A655A7" w:rsidRPr="00122403">
        <w:rPr>
          <w:rFonts w:asciiTheme="minorHAnsi" w:hAnsiTheme="minorHAnsi" w:cs="Arial"/>
          <w:b/>
          <w:sz w:val="22"/>
          <w:szCs w:val="22"/>
        </w:rPr>
        <w:t>L</w:t>
      </w:r>
      <w:r w:rsidRPr="00122403">
        <w:rPr>
          <w:rFonts w:asciiTheme="minorHAnsi" w:hAnsiTheme="minorHAnsi" w:cs="Arial"/>
          <w:b/>
          <w:sz w:val="22"/>
          <w:szCs w:val="22"/>
        </w:rPr>
        <w:t>iabilities</w:t>
      </w:r>
    </w:p>
    <w:p w14:paraId="33DB2852" w14:textId="77777777" w:rsidR="0001408E" w:rsidRPr="00122403" w:rsidRDefault="0001408E" w:rsidP="00B7744C">
      <w:pPr>
        <w:jc w:val="both"/>
        <w:rPr>
          <w:rFonts w:asciiTheme="minorHAnsi" w:hAnsiTheme="minorHAnsi" w:cs="Arial"/>
          <w:sz w:val="22"/>
          <w:szCs w:val="22"/>
        </w:rPr>
      </w:pPr>
      <w:r w:rsidRPr="00122403">
        <w:rPr>
          <w:rFonts w:asciiTheme="minorHAnsi" w:hAnsiTheme="minorHAnsi" w:cs="Arial"/>
          <w:sz w:val="22"/>
          <w:szCs w:val="22"/>
        </w:rPr>
        <w:t>These are the short-term liabili</w:t>
      </w:r>
      <w:r w:rsidR="00DB4C26" w:rsidRPr="00122403">
        <w:rPr>
          <w:rFonts w:asciiTheme="minorHAnsi" w:hAnsiTheme="minorHAnsi" w:cs="Arial"/>
          <w:sz w:val="22"/>
          <w:szCs w:val="22"/>
        </w:rPr>
        <w:t>ties we owe at the date of our B</w:t>
      </w:r>
      <w:r w:rsidRPr="00122403">
        <w:rPr>
          <w:rFonts w:asciiTheme="minorHAnsi" w:hAnsiTheme="minorHAnsi" w:cs="Arial"/>
          <w:sz w:val="22"/>
          <w:szCs w:val="22"/>
        </w:rPr>
        <w:t xml:space="preserve">alance </w:t>
      </w:r>
      <w:r w:rsidR="00DB4C26" w:rsidRPr="00122403">
        <w:rPr>
          <w:rFonts w:asciiTheme="minorHAnsi" w:hAnsiTheme="minorHAnsi" w:cs="Arial"/>
          <w:sz w:val="22"/>
          <w:szCs w:val="22"/>
        </w:rPr>
        <w:t>S</w:t>
      </w:r>
      <w:r w:rsidRPr="00122403">
        <w:rPr>
          <w:rFonts w:asciiTheme="minorHAnsi" w:hAnsiTheme="minorHAnsi" w:cs="Arial"/>
          <w:sz w:val="22"/>
          <w:szCs w:val="22"/>
        </w:rPr>
        <w:t>heet, which we will pay in the following year.</w:t>
      </w:r>
    </w:p>
    <w:p w14:paraId="79A69FF0" w14:textId="77777777" w:rsidR="003065CD" w:rsidRPr="00122403" w:rsidRDefault="003065CD" w:rsidP="00F4084C">
      <w:pPr>
        <w:rPr>
          <w:rFonts w:asciiTheme="minorHAnsi" w:hAnsiTheme="minorHAnsi" w:cs="Arial"/>
          <w:b/>
          <w:sz w:val="22"/>
          <w:szCs w:val="22"/>
        </w:rPr>
      </w:pPr>
    </w:p>
    <w:p w14:paraId="0852A557" w14:textId="77777777" w:rsidR="00F4084C" w:rsidRPr="00122403" w:rsidRDefault="00F4084C" w:rsidP="00F4084C">
      <w:pPr>
        <w:rPr>
          <w:rFonts w:asciiTheme="minorHAnsi" w:hAnsiTheme="minorHAnsi" w:cs="Arial"/>
          <w:b/>
          <w:sz w:val="22"/>
          <w:szCs w:val="22"/>
        </w:rPr>
      </w:pPr>
      <w:r w:rsidRPr="00122403">
        <w:rPr>
          <w:rFonts w:asciiTheme="minorHAnsi" w:hAnsiTheme="minorHAnsi" w:cs="Arial"/>
          <w:b/>
          <w:sz w:val="22"/>
          <w:szCs w:val="22"/>
        </w:rPr>
        <w:t>Current Service Cost (Pensions)</w:t>
      </w:r>
    </w:p>
    <w:p w14:paraId="659DA47D" w14:textId="77777777" w:rsidR="00F4084C" w:rsidRPr="00122403" w:rsidRDefault="00F4084C" w:rsidP="00B7744C">
      <w:pPr>
        <w:jc w:val="both"/>
        <w:rPr>
          <w:rFonts w:asciiTheme="minorHAnsi" w:hAnsiTheme="minorHAnsi" w:cs="Arial"/>
          <w:sz w:val="22"/>
          <w:szCs w:val="22"/>
        </w:rPr>
      </w:pPr>
      <w:r w:rsidRPr="00122403">
        <w:rPr>
          <w:rFonts w:asciiTheme="minorHAnsi" w:hAnsiTheme="minorHAnsi" w:cs="Arial"/>
          <w:sz w:val="22"/>
          <w:szCs w:val="22"/>
        </w:rPr>
        <w:t>The increase in the present value of a defined benefit scheme’s liabilities expected to arise from employee service in the current period.</w:t>
      </w:r>
    </w:p>
    <w:p w14:paraId="6BBC3DDA" w14:textId="77777777" w:rsidR="00F4084C" w:rsidRPr="00122403" w:rsidRDefault="00F4084C" w:rsidP="006C585D">
      <w:pPr>
        <w:rPr>
          <w:rFonts w:asciiTheme="minorHAnsi" w:hAnsiTheme="minorHAnsi" w:cs="Arial"/>
          <w:sz w:val="22"/>
          <w:szCs w:val="22"/>
        </w:rPr>
      </w:pPr>
    </w:p>
    <w:p w14:paraId="2F9DCA5C" w14:textId="77777777" w:rsidR="00F86FE2" w:rsidRPr="00122403" w:rsidRDefault="00F86FE2" w:rsidP="006C585D">
      <w:pPr>
        <w:rPr>
          <w:rFonts w:asciiTheme="minorHAnsi" w:hAnsiTheme="minorHAnsi" w:cs="Arial"/>
          <w:b/>
          <w:sz w:val="22"/>
          <w:szCs w:val="22"/>
        </w:rPr>
      </w:pPr>
      <w:r w:rsidRPr="00122403">
        <w:rPr>
          <w:rFonts w:asciiTheme="minorHAnsi" w:hAnsiTheme="minorHAnsi" w:cs="Arial"/>
          <w:b/>
          <w:sz w:val="22"/>
          <w:szCs w:val="22"/>
        </w:rPr>
        <w:t>Curtailment</w:t>
      </w:r>
    </w:p>
    <w:p w14:paraId="5368F021" w14:textId="77777777" w:rsidR="00F86FE2" w:rsidRPr="00122403" w:rsidRDefault="00F86FE2" w:rsidP="00F4084C">
      <w:pPr>
        <w:jc w:val="both"/>
        <w:rPr>
          <w:rFonts w:asciiTheme="minorHAnsi" w:hAnsiTheme="minorHAnsi" w:cs="Arial"/>
          <w:sz w:val="22"/>
          <w:szCs w:val="22"/>
        </w:rPr>
      </w:pPr>
      <w:r w:rsidRPr="00122403">
        <w:rPr>
          <w:rFonts w:asciiTheme="minorHAnsi" w:hAnsiTheme="minorHAnsi" w:cs="Arial"/>
          <w:sz w:val="22"/>
          <w:szCs w:val="22"/>
        </w:rPr>
        <w:t>For a defined benefit scheme, an event that reduces the expected years of future service of present employees or reduces for a number of employees the accrual of defined benefits for some or all of their future service. Curtailments include:</w:t>
      </w:r>
    </w:p>
    <w:p w14:paraId="7BD1117A" w14:textId="77777777" w:rsidR="00F86FE2" w:rsidRPr="00122403" w:rsidRDefault="00F86FE2" w:rsidP="00F86FE2">
      <w:pPr>
        <w:ind w:left="720" w:hanging="720"/>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t xml:space="preserve">termination of employees’ services earlier than expected, </w:t>
      </w:r>
      <w:proofErr w:type="gramStart"/>
      <w:r w:rsidRPr="00122403">
        <w:rPr>
          <w:rFonts w:asciiTheme="minorHAnsi" w:hAnsiTheme="minorHAnsi" w:cs="Arial"/>
          <w:sz w:val="22"/>
          <w:szCs w:val="22"/>
        </w:rPr>
        <w:t>e.g.</w:t>
      </w:r>
      <w:proofErr w:type="gramEnd"/>
      <w:r w:rsidRPr="00122403">
        <w:rPr>
          <w:rFonts w:asciiTheme="minorHAnsi" w:hAnsiTheme="minorHAnsi" w:cs="Arial"/>
          <w:sz w:val="22"/>
          <w:szCs w:val="22"/>
        </w:rPr>
        <w:t xml:space="preserve"> as a result</w:t>
      </w:r>
      <w:r w:rsidR="003065CD" w:rsidRPr="00122403">
        <w:rPr>
          <w:rFonts w:asciiTheme="minorHAnsi" w:hAnsiTheme="minorHAnsi" w:cs="Arial"/>
          <w:sz w:val="22"/>
          <w:szCs w:val="22"/>
        </w:rPr>
        <w:t xml:space="preserve"> of discontinuing a service.</w:t>
      </w:r>
    </w:p>
    <w:p w14:paraId="1E988051" w14:textId="0F044538" w:rsidR="00F86FE2" w:rsidRPr="00122403" w:rsidRDefault="00F86FE2" w:rsidP="00696E9F">
      <w:pPr>
        <w:ind w:left="720" w:hanging="720"/>
        <w:jc w:val="both"/>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t>termination of, or amendment to the terms of, a defined benefit scheme so that some or all future service by current employees will no longer qualify for benefits or will qualify only for reduced benefits</w:t>
      </w:r>
      <w:r w:rsidR="003065CD" w:rsidRPr="00122403">
        <w:rPr>
          <w:rFonts w:asciiTheme="minorHAnsi" w:hAnsiTheme="minorHAnsi" w:cs="Arial"/>
          <w:sz w:val="22"/>
          <w:szCs w:val="22"/>
        </w:rPr>
        <w:t>.</w:t>
      </w:r>
    </w:p>
    <w:p w14:paraId="5B7F54CD" w14:textId="77777777" w:rsidR="008B1D06" w:rsidRPr="00122403" w:rsidRDefault="008B1D06" w:rsidP="006C585D">
      <w:pPr>
        <w:rPr>
          <w:rFonts w:asciiTheme="minorHAnsi" w:hAnsiTheme="minorHAnsi" w:cs="Arial"/>
          <w:sz w:val="22"/>
          <w:szCs w:val="22"/>
        </w:rPr>
      </w:pPr>
    </w:p>
    <w:p w14:paraId="3EE53136" w14:textId="77777777" w:rsidR="00485DF0" w:rsidRPr="00122403" w:rsidRDefault="00485DF0" w:rsidP="006C585D">
      <w:pPr>
        <w:rPr>
          <w:rFonts w:asciiTheme="minorHAnsi" w:hAnsiTheme="minorHAnsi" w:cs="Arial"/>
          <w:b/>
          <w:sz w:val="22"/>
          <w:szCs w:val="22"/>
        </w:rPr>
      </w:pPr>
      <w:r w:rsidRPr="00122403">
        <w:rPr>
          <w:rFonts w:asciiTheme="minorHAnsi" w:hAnsiTheme="minorHAnsi" w:cs="Arial"/>
          <w:b/>
          <w:sz w:val="22"/>
          <w:szCs w:val="22"/>
        </w:rPr>
        <w:t xml:space="preserve">Deferred </w:t>
      </w:r>
      <w:r w:rsidR="00A655A7" w:rsidRPr="00122403">
        <w:rPr>
          <w:rFonts w:asciiTheme="minorHAnsi" w:hAnsiTheme="minorHAnsi" w:cs="Arial"/>
          <w:b/>
          <w:sz w:val="22"/>
          <w:szCs w:val="22"/>
        </w:rPr>
        <w:t>C</w:t>
      </w:r>
      <w:r w:rsidRPr="00122403">
        <w:rPr>
          <w:rFonts w:asciiTheme="minorHAnsi" w:hAnsiTheme="minorHAnsi" w:cs="Arial"/>
          <w:b/>
          <w:sz w:val="22"/>
          <w:szCs w:val="22"/>
        </w:rPr>
        <w:t>ontributions</w:t>
      </w:r>
    </w:p>
    <w:p w14:paraId="799DBE4E" w14:textId="77777777" w:rsidR="00485DF0" w:rsidRPr="00122403" w:rsidRDefault="00485DF0" w:rsidP="006C585D">
      <w:pPr>
        <w:rPr>
          <w:rFonts w:asciiTheme="minorHAnsi" w:hAnsiTheme="minorHAnsi" w:cs="Arial"/>
          <w:sz w:val="22"/>
          <w:szCs w:val="22"/>
        </w:rPr>
      </w:pPr>
      <w:r w:rsidRPr="00122403">
        <w:rPr>
          <w:rFonts w:asciiTheme="minorHAnsi" w:hAnsiTheme="minorHAnsi" w:cs="Arial"/>
          <w:sz w:val="22"/>
          <w:szCs w:val="22"/>
        </w:rPr>
        <w:t>Amounts paid to us for future activities.</w:t>
      </w:r>
    </w:p>
    <w:p w14:paraId="4E09A3F5" w14:textId="27E610CD" w:rsidR="00924587" w:rsidRDefault="00924587" w:rsidP="006C585D">
      <w:pPr>
        <w:rPr>
          <w:rFonts w:asciiTheme="minorHAnsi" w:hAnsiTheme="minorHAnsi" w:cs="Arial"/>
          <w:sz w:val="22"/>
          <w:szCs w:val="22"/>
        </w:rPr>
      </w:pPr>
    </w:p>
    <w:p w14:paraId="401F610A" w14:textId="0EDA8AF0" w:rsidR="00427DCF" w:rsidRDefault="00427DCF" w:rsidP="006C585D">
      <w:pPr>
        <w:rPr>
          <w:rFonts w:asciiTheme="minorHAnsi" w:hAnsiTheme="minorHAnsi" w:cs="Arial"/>
          <w:sz w:val="22"/>
          <w:szCs w:val="22"/>
        </w:rPr>
      </w:pPr>
    </w:p>
    <w:p w14:paraId="7110C58B" w14:textId="77777777" w:rsidR="00427DCF" w:rsidRPr="00122403" w:rsidRDefault="00427DCF" w:rsidP="006C585D">
      <w:pPr>
        <w:rPr>
          <w:rFonts w:asciiTheme="minorHAnsi" w:hAnsiTheme="minorHAnsi" w:cs="Arial"/>
          <w:sz w:val="22"/>
          <w:szCs w:val="22"/>
        </w:rPr>
      </w:pPr>
    </w:p>
    <w:p w14:paraId="62E3BB7A" w14:textId="77777777" w:rsidR="00485DF0" w:rsidRPr="00122403" w:rsidRDefault="00F86FE2" w:rsidP="006C585D">
      <w:pPr>
        <w:rPr>
          <w:rFonts w:asciiTheme="minorHAnsi" w:hAnsiTheme="minorHAnsi" w:cs="Arial"/>
          <w:b/>
          <w:sz w:val="22"/>
          <w:szCs w:val="22"/>
        </w:rPr>
      </w:pPr>
      <w:r w:rsidRPr="00122403">
        <w:rPr>
          <w:rFonts w:asciiTheme="minorHAnsi" w:hAnsiTheme="minorHAnsi" w:cs="Arial"/>
          <w:b/>
          <w:sz w:val="22"/>
          <w:szCs w:val="22"/>
        </w:rPr>
        <w:lastRenderedPageBreak/>
        <w:t>Defined Benefit Scheme</w:t>
      </w:r>
    </w:p>
    <w:p w14:paraId="559C307A" w14:textId="77777777" w:rsidR="00F86FE2" w:rsidRPr="00122403" w:rsidRDefault="00F86FE2" w:rsidP="00F4084C">
      <w:pPr>
        <w:jc w:val="both"/>
        <w:rPr>
          <w:rFonts w:asciiTheme="minorHAnsi" w:hAnsiTheme="minorHAnsi" w:cs="Arial"/>
          <w:sz w:val="22"/>
          <w:szCs w:val="22"/>
        </w:rPr>
      </w:pPr>
      <w:r w:rsidRPr="00122403">
        <w:rPr>
          <w:rFonts w:asciiTheme="minorHAnsi" w:hAnsiTheme="minorHAnsi" w:cs="Arial"/>
          <w:sz w:val="22"/>
          <w:szCs w:val="22"/>
        </w:rPr>
        <w:t>A pension or other retirement benefit scheme other than a defined contribution scheme. Usually</w:t>
      </w:r>
      <w:r w:rsidR="00786947" w:rsidRPr="00122403">
        <w:rPr>
          <w:rFonts w:asciiTheme="minorHAnsi" w:hAnsiTheme="minorHAnsi" w:cs="Arial"/>
          <w:sz w:val="22"/>
          <w:szCs w:val="22"/>
        </w:rPr>
        <w:t>,</w:t>
      </w:r>
      <w:r w:rsidRPr="00122403">
        <w:rPr>
          <w:rFonts w:asciiTheme="minorHAnsi" w:hAnsiTheme="minorHAnsi" w:cs="Arial"/>
          <w:sz w:val="22"/>
          <w:szCs w:val="22"/>
        </w:rPr>
        <w:t xml:space="preserve"> the scheme rules define the benefits independently of the contributions payable, and the benefits are not directly related to the investment of the scheme. The scheme may be funded or unfunded (including notionally funded).</w:t>
      </w:r>
    </w:p>
    <w:p w14:paraId="63FCAD82" w14:textId="77777777" w:rsidR="002929CD" w:rsidRPr="00122403" w:rsidRDefault="002929CD" w:rsidP="00F4084C">
      <w:pPr>
        <w:jc w:val="both"/>
        <w:rPr>
          <w:rFonts w:asciiTheme="minorHAnsi" w:hAnsiTheme="minorHAnsi" w:cs="Arial"/>
          <w:sz w:val="22"/>
          <w:szCs w:val="22"/>
        </w:rPr>
      </w:pPr>
    </w:p>
    <w:p w14:paraId="6F99315C" w14:textId="77777777" w:rsidR="002929CD" w:rsidRPr="00122403" w:rsidRDefault="00527516" w:rsidP="00F4084C">
      <w:pPr>
        <w:jc w:val="both"/>
        <w:rPr>
          <w:rFonts w:asciiTheme="minorHAnsi" w:hAnsiTheme="minorHAnsi" w:cs="Arial"/>
          <w:b/>
          <w:sz w:val="22"/>
          <w:szCs w:val="22"/>
        </w:rPr>
      </w:pPr>
      <w:r>
        <w:rPr>
          <w:rFonts w:asciiTheme="minorHAnsi" w:hAnsiTheme="minorHAnsi" w:cs="Arial"/>
          <w:b/>
          <w:sz w:val="22"/>
          <w:szCs w:val="22"/>
        </w:rPr>
        <w:t>De Minimi</w:t>
      </w:r>
      <w:r w:rsidR="002929CD" w:rsidRPr="00122403">
        <w:rPr>
          <w:rFonts w:asciiTheme="minorHAnsi" w:hAnsiTheme="minorHAnsi" w:cs="Arial"/>
          <w:b/>
          <w:sz w:val="22"/>
          <w:szCs w:val="22"/>
        </w:rPr>
        <w:t>s</w:t>
      </w:r>
    </w:p>
    <w:p w14:paraId="63078E28" w14:textId="77777777" w:rsidR="002929CD" w:rsidRPr="00122403" w:rsidRDefault="002929CD" w:rsidP="00F4084C">
      <w:pPr>
        <w:jc w:val="both"/>
        <w:rPr>
          <w:rFonts w:asciiTheme="minorHAnsi" w:hAnsiTheme="minorHAnsi" w:cs="Arial"/>
          <w:sz w:val="22"/>
          <w:szCs w:val="22"/>
        </w:rPr>
      </w:pPr>
      <w:r w:rsidRPr="00122403">
        <w:rPr>
          <w:rFonts w:asciiTheme="minorHAnsi" w:hAnsiTheme="minorHAnsi" w:cs="Arial"/>
          <w:sz w:val="22"/>
          <w:szCs w:val="22"/>
        </w:rPr>
        <w:t xml:space="preserve">This term relates to items not recognised on the Balance Sheet in accordance with the concept of materiality. </w:t>
      </w:r>
    </w:p>
    <w:p w14:paraId="33E57890" w14:textId="77777777" w:rsidR="00786947" w:rsidRPr="00122403" w:rsidRDefault="00786947" w:rsidP="006C585D">
      <w:pPr>
        <w:rPr>
          <w:rFonts w:asciiTheme="minorHAnsi" w:hAnsiTheme="minorHAnsi" w:cs="Arial"/>
          <w:sz w:val="22"/>
          <w:szCs w:val="22"/>
        </w:rPr>
      </w:pPr>
    </w:p>
    <w:p w14:paraId="054EF299" w14:textId="77777777" w:rsidR="00786947" w:rsidRPr="00122403" w:rsidRDefault="00786947" w:rsidP="006C585D">
      <w:pPr>
        <w:rPr>
          <w:rFonts w:asciiTheme="minorHAnsi" w:hAnsiTheme="minorHAnsi" w:cs="Arial"/>
          <w:b/>
          <w:sz w:val="22"/>
          <w:szCs w:val="22"/>
        </w:rPr>
      </w:pPr>
      <w:r w:rsidRPr="00122403">
        <w:rPr>
          <w:rFonts w:asciiTheme="minorHAnsi" w:hAnsiTheme="minorHAnsi" w:cs="Arial"/>
          <w:b/>
          <w:sz w:val="22"/>
          <w:szCs w:val="22"/>
        </w:rPr>
        <w:t>Depreciation</w:t>
      </w:r>
    </w:p>
    <w:p w14:paraId="40BD9998" w14:textId="77777777" w:rsidR="00786947" w:rsidRPr="00122403" w:rsidRDefault="00786947" w:rsidP="00696E9F">
      <w:pPr>
        <w:jc w:val="both"/>
        <w:rPr>
          <w:rFonts w:asciiTheme="minorHAnsi" w:hAnsiTheme="minorHAnsi" w:cs="Arial"/>
          <w:sz w:val="22"/>
          <w:szCs w:val="22"/>
        </w:rPr>
      </w:pPr>
      <w:r w:rsidRPr="00122403">
        <w:rPr>
          <w:rFonts w:asciiTheme="minorHAnsi" w:hAnsiTheme="minorHAnsi" w:cs="Arial"/>
          <w:sz w:val="22"/>
          <w:szCs w:val="22"/>
        </w:rPr>
        <w:t>The measure of the wearing out, consumption, or other reduction in the us</w:t>
      </w:r>
      <w:r w:rsidR="0068534A" w:rsidRPr="00122403">
        <w:rPr>
          <w:rFonts w:asciiTheme="minorHAnsi" w:hAnsiTheme="minorHAnsi" w:cs="Arial"/>
          <w:sz w:val="22"/>
          <w:szCs w:val="22"/>
        </w:rPr>
        <w:t>eful life of a non</w:t>
      </w:r>
      <w:r w:rsidR="00DB4C26" w:rsidRPr="00122403">
        <w:rPr>
          <w:rFonts w:asciiTheme="minorHAnsi" w:hAnsiTheme="minorHAnsi" w:cs="Arial"/>
          <w:sz w:val="22"/>
          <w:szCs w:val="22"/>
        </w:rPr>
        <w:t>-</w:t>
      </w:r>
      <w:r w:rsidR="0068534A" w:rsidRPr="00122403">
        <w:rPr>
          <w:rFonts w:asciiTheme="minorHAnsi" w:hAnsiTheme="minorHAnsi" w:cs="Arial"/>
          <w:sz w:val="22"/>
          <w:szCs w:val="22"/>
        </w:rPr>
        <w:t>current</w:t>
      </w:r>
      <w:r w:rsidRPr="00122403">
        <w:rPr>
          <w:rFonts w:asciiTheme="minorHAnsi" w:hAnsiTheme="minorHAnsi" w:cs="Arial"/>
          <w:sz w:val="22"/>
          <w:szCs w:val="22"/>
        </w:rPr>
        <w:t xml:space="preserve"> asset, whether arising from use, passage of time or obsolescence through technological or other changes.</w:t>
      </w:r>
    </w:p>
    <w:p w14:paraId="44BA3708" w14:textId="77777777" w:rsidR="00C05A20" w:rsidRPr="00122403" w:rsidRDefault="00C05A20" w:rsidP="006C585D">
      <w:pPr>
        <w:rPr>
          <w:rFonts w:asciiTheme="minorHAnsi" w:hAnsiTheme="minorHAnsi" w:cs="Arial"/>
          <w:sz w:val="22"/>
          <w:szCs w:val="22"/>
        </w:rPr>
      </w:pPr>
    </w:p>
    <w:p w14:paraId="36DE0D71" w14:textId="77777777" w:rsidR="00786947" w:rsidRPr="00122403" w:rsidRDefault="00786947" w:rsidP="006C585D">
      <w:pPr>
        <w:rPr>
          <w:rFonts w:asciiTheme="minorHAnsi" w:hAnsiTheme="minorHAnsi" w:cs="Arial"/>
          <w:b/>
          <w:sz w:val="22"/>
          <w:szCs w:val="22"/>
        </w:rPr>
      </w:pPr>
      <w:r w:rsidRPr="00122403">
        <w:rPr>
          <w:rFonts w:asciiTheme="minorHAnsi" w:hAnsiTheme="minorHAnsi" w:cs="Arial"/>
          <w:b/>
          <w:sz w:val="22"/>
          <w:szCs w:val="22"/>
        </w:rPr>
        <w:t>Discretionary benefits</w:t>
      </w:r>
    </w:p>
    <w:p w14:paraId="7FB6723A" w14:textId="77777777" w:rsidR="00786947" w:rsidRPr="00122403" w:rsidRDefault="00786947" w:rsidP="00F4084C">
      <w:pPr>
        <w:jc w:val="both"/>
        <w:rPr>
          <w:rFonts w:asciiTheme="minorHAnsi" w:hAnsiTheme="minorHAnsi" w:cs="Arial"/>
          <w:sz w:val="22"/>
          <w:szCs w:val="22"/>
        </w:rPr>
      </w:pPr>
      <w:r w:rsidRPr="00122403">
        <w:rPr>
          <w:rFonts w:asciiTheme="minorHAnsi" w:hAnsiTheme="minorHAnsi" w:cs="Arial"/>
          <w:sz w:val="22"/>
          <w:szCs w:val="22"/>
        </w:rPr>
        <w:t xml:space="preserve">Retirement benefits which the employer has no legal, contractual or constructive obligation to </w:t>
      </w:r>
      <w:proofErr w:type="gramStart"/>
      <w:r w:rsidRPr="00122403">
        <w:rPr>
          <w:rFonts w:asciiTheme="minorHAnsi" w:hAnsiTheme="minorHAnsi" w:cs="Arial"/>
          <w:sz w:val="22"/>
          <w:szCs w:val="22"/>
        </w:rPr>
        <w:t>award</w:t>
      </w:r>
      <w:proofErr w:type="gramEnd"/>
      <w:r w:rsidRPr="00122403">
        <w:rPr>
          <w:rFonts w:asciiTheme="minorHAnsi" w:hAnsiTheme="minorHAnsi" w:cs="Arial"/>
          <w:sz w:val="22"/>
          <w:szCs w:val="22"/>
        </w:rPr>
        <w:t xml:space="preserve"> and which are awarded under the authority’s discretionary powers, such as The Local Government (Discretionary Payments) Regulations 1996.</w:t>
      </w:r>
    </w:p>
    <w:p w14:paraId="15491488" w14:textId="77777777" w:rsidR="00C05A20" w:rsidRPr="00122403" w:rsidRDefault="00C05A20" w:rsidP="00F4084C">
      <w:pPr>
        <w:jc w:val="both"/>
        <w:rPr>
          <w:rFonts w:asciiTheme="minorHAnsi" w:hAnsiTheme="minorHAnsi" w:cs="Arial"/>
          <w:sz w:val="22"/>
          <w:szCs w:val="22"/>
        </w:rPr>
      </w:pPr>
    </w:p>
    <w:p w14:paraId="2FA569D1" w14:textId="77777777" w:rsidR="00485DF0" w:rsidRPr="00122403" w:rsidRDefault="00485DF0" w:rsidP="006C585D">
      <w:pPr>
        <w:rPr>
          <w:rFonts w:asciiTheme="minorHAnsi" w:hAnsiTheme="minorHAnsi" w:cs="Arial"/>
          <w:sz w:val="22"/>
          <w:szCs w:val="22"/>
        </w:rPr>
      </w:pPr>
      <w:r w:rsidRPr="00122403">
        <w:rPr>
          <w:rFonts w:asciiTheme="minorHAnsi" w:hAnsiTheme="minorHAnsi" w:cs="Arial"/>
          <w:b/>
          <w:sz w:val="22"/>
          <w:szCs w:val="22"/>
        </w:rPr>
        <w:t xml:space="preserve">Earmarked </w:t>
      </w:r>
      <w:r w:rsidR="00A655A7" w:rsidRPr="00122403">
        <w:rPr>
          <w:rFonts w:asciiTheme="minorHAnsi" w:hAnsiTheme="minorHAnsi" w:cs="Arial"/>
          <w:b/>
          <w:sz w:val="22"/>
          <w:szCs w:val="22"/>
        </w:rPr>
        <w:t>R</w:t>
      </w:r>
      <w:r w:rsidRPr="00122403">
        <w:rPr>
          <w:rFonts w:asciiTheme="minorHAnsi" w:hAnsiTheme="minorHAnsi" w:cs="Arial"/>
          <w:b/>
          <w:sz w:val="22"/>
          <w:szCs w:val="22"/>
        </w:rPr>
        <w:t>eserves</w:t>
      </w:r>
    </w:p>
    <w:p w14:paraId="77D94A8B" w14:textId="77777777" w:rsidR="00485DF0" w:rsidRPr="00122403" w:rsidRDefault="00485DF0" w:rsidP="006C585D">
      <w:pPr>
        <w:rPr>
          <w:rFonts w:asciiTheme="minorHAnsi" w:hAnsiTheme="minorHAnsi" w:cs="Arial"/>
          <w:sz w:val="22"/>
          <w:szCs w:val="22"/>
        </w:rPr>
      </w:pPr>
      <w:proofErr w:type="gramStart"/>
      <w:r w:rsidRPr="00122403">
        <w:rPr>
          <w:rFonts w:asciiTheme="minorHAnsi" w:hAnsiTheme="minorHAnsi" w:cs="Arial"/>
          <w:sz w:val="22"/>
          <w:szCs w:val="22"/>
        </w:rPr>
        <w:t>Money</w:t>
      </w:r>
      <w:proofErr w:type="gramEnd"/>
      <w:r w:rsidRPr="00122403">
        <w:rPr>
          <w:rFonts w:asciiTheme="minorHAnsi" w:hAnsiTheme="minorHAnsi" w:cs="Arial"/>
          <w:sz w:val="22"/>
          <w:szCs w:val="22"/>
        </w:rPr>
        <w:t xml:space="preserve"> we set aside for a specific purpose.</w:t>
      </w:r>
    </w:p>
    <w:p w14:paraId="660DAB9B" w14:textId="77777777" w:rsidR="00326977" w:rsidRPr="00122403" w:rsidRDefault="00326977" w:rsidP="00326977">
      <w:pPr>
        <w:rPr>
          <w:rFonts w:asciiTheme="minorHAnsi" w:hAnsiTheme="minorHAnsi" w:cs="Arial"/>
          <w:b/>
          <w:sz w:val="22"/>
          <w:szCs w:val="22"/>
        </w:rPr>
      </w:pPr>
    </w:p>
    <w:p w14:paraId="357D55EA" w14:textId="77777777" w:rsidR="00326977" w:rsidRPr="00122403" w:rsidRDefault="00786947" w:rsidP="00326977">
      <w:pPr>
        <w:rPr>
          <w:rFonts w:asciiTheme="minorHAnsi" w:hAnsiTheme="minorHAnsi" w:cs="Arial"/>
          <w:b/>
          <w:sz w:val="22"/>
          <w:szCs w:val="22"/>
        </w:rPr>
      </w:pPr>
      <w:r w:rsidRPr="00122403">
        <w:rPr>
          <w:rFonts w:asciiTheme="minorHAnsi" w:hAnsiTheme="minorHAnsi" w:cs="Arial"/>
          <w:b/>
          <w:sz w:val="22"/>
          <w:szCs w:val="22"/>
        </w:rPr>
        <w:t xml:space="preserve">Expected </w:t>
      </w:r>
      <w:r w:rsidR="00A655A7" w:rsidRPr="00122403">
        <w:rPr>
          <w:rFonts w:asciiTheme="minorHAnsi" w:hAnsiTheme="minorHAnsi" w:cs="Arial"/>
          <w:b/>
          <w:sz w:val="22"/>
          <w:szCs w:val="22"/>
        </w:rPr>
        <w:t>R</w:t>
      </w:r>
      <w:r w:rsidRPr="00122403">
        <w:rPr>
          <w:rFonts w:asciiTheme="minorHAnsi" w:hAnsiTheme="minorHAnsi" w:cs="Arial"/>
          <w:b/>
          <w:sz w:val="22"/>
          <w:szCs w:val="22"/>
        </w:rPr>
        <w:t xml:space="preserve">ate of </w:t>
      </w:r>
      <w:r w:rsidR="00A655A7" w:rsidRPr="00122403">
        <w:rPr>
          <w:rFonts w:asciiTheme="minorHAnsi" w:hAnsiTheme="minorHAnsi" w:cs="Arial"/>
          <w:b/>
          <w:sz w:val="22"/>
          <w:szCs w:val="22"/>
        </w:rPr>
        <w:t>R</w:t>
      </w:r>
      <w:r w:rsidR="00F4084C" w:rsidRPr="00122403">
        <w:rPr>
          <w:rFonts w:asciiTheme="minorHAnsi" w:hAnsiTheme="minorHAnsi" w:cs="Arial"/>
          <w:b/>
          <w:sz w:val="22"/>
          <w:szCs w:val="22"/>
        </w:rPr>
        <w:t>eturn on</w:t>
      </w:r>
      <w:r w:rsidRPr="00122403">
        <w:rPr>
          <w:rFonts w:asciiTheme="minorHAnsi" w:hAnsiTheme="minorHAnsi" w:cs="Arial"/>
          <w:b/>
          <w:sz w:val="22"/>
          <w:szCs w:val="22"/>
        </w:rPr>
        <w:t xml:space="preserve"> </w:t>
      </w:r>
      <w:r w:rsidR="00A655A7" w:rsidRPr="00122403">
        <w:rPr>
          <w:rFonts w:asciiTheme="minorHAnsi" w:hAnsiTheme="minorHAnsi" w:cs="Arial"/>
          <w:b/>
          <w:sz w:val="22"/>
          <w:szCs w:val="22"/>
        </w:rPr>
        <w:t>P</w:t>
      </w:r>
      <w:r w:rsidRPr="00122403">
        <w:rPr>
          <w:rFonts w:asciiTheme="minorHAnsi" w:hAnsiTheme="minorHAnsi" w:cs="Arial"/>
          <w:b/>
          <w:sz w:val="22"/>
          <w:szCs w:val="22"/>
        </w:rPr>
        <w:t xml:space="preserve">ension </w:t>
      </w:r>
      <w:r w:rsidR="00A655A7" w:rsidRPr="00122403">
        <w:rPr>
          <w:rFonts w:asciiTheme="minorHAnsi" w:hAnsiTheme="minorHAnsi" w:cs="Arial"/>
          <w:b/>
          <w:sz w:val="22"/>
          <w:szCs w:val="22"/>
        </w:rPr>
        <w:t>A</w:t>
      </w:r>
      <w:r w:rsidRPr="00122403">
        <w:rPr>
          <w:rFonts w:asciiTheme="minorHAnsi" w:hAnsiTheme="minorHAnsi" w:cs="Arial"/>
          <w:b/>
          <w:sz w:val="22"/>
          <w:szCs w:val="22"/>
        </w:rPr>
        <w:t>ssets</w:t>
      </w:r>
    </w:p>
    <w:p w14:paraId="2455CE79" w14:textId="77777777" w:rsidR="00786947" w:rsidRPr="00122403" w:rsidRDefault="00786947" w:rsidP="00B7744C">
      <w:pPr>
        <w:jc w:val="both"/>
        <w:rPr>
          <w:rFonts w:asciiTheme="minorHAnsi" w:hAnsiTheme="minorHAnsi" w:cs="Arial"/>
          <w:b/>
          <w:sz w:val="22"/>
          <w:szCs w:val="22"/>
        </w:rPr>
      </w:pPr>
      <w:r w:rsidRPr="00122403">
        <w:rPr>
          <w:rFonts w:asciiTheme="minorHAnsi" w:hAnsiTheme="minorHAnsi" w:cs="Arial"/>
          <w:sz w:val="22"/>
          <w:szCs w:val="22"/>
        </w:rPr>
        <w:t>For a funded defined benefit scheme, the average rate of return, including both income and changes in fair value but net of scheme expenses, expected over the remaining life of the related obligation on the actual assets held by the scheme.</w:t>
      </w:r>
    </w:p>
    <w:p w14:paraId="0ADEB0FB" w14:textId="77777777" w:rsidR="00C05A20" w:rsidRDefault="00C05A20" w:rsidP="00696E9F">
      <w:pPr>
        <w:jc w:val="both"/>
        <w:rPr>
          <w:rFonts w:asciiTheme="minorHAnsi" w:hAnsiTheme="minorHAnsi" w:cs="Arial"/>
          <w:sz w:val="22"/>
          <w:szCs w:val="22"/>
        </w:rPr>
      </w:pPr>
    </w:p>
    <w:p w14:paraId="1C38496E" w14:textId="77777777" w:rsidR="00B7744C" w:rsidRDefault="00B7744C" w:rsidP="00696E9F">
      <w:pPr>
        <w:jc w:val="both"/>
        <w:rPr>
          <w:rFonts w:asciiTheme="minorHAnsi" w:hAnsiTheme="minorHAnsi" w:cs="Arial"/>
          <w:b/>
          <w:sz w:val="22"/>
          <w:szCs w:val="22"/>
        </w:rPr>
      </w:pPr>
      <w:r>
        <w:rPr>
          <w:rFonts w:asciiTheme="minorHAnsi" w:hAnsiTheme="minorHAnsi" w:cs="Arial"/>
          <w:b/>
          <w:sz w:val="22"/>
          <w:szCs w:val="22"/>
        </w:rPr>
        <w:t>Expenditure and Funding Analysis</w:t>
      </w:r>
    </w:p>
    <w:p w14:paraId="3665B5F0" w14:textId="77777777" w:rsidR="00B7744C" w:rsidRDefault="00B7744C" w:rsidP="00696E9F">
      <w:pPr>
        <w:jc w:val="both"/>
        <w:rPr>
          <w:rFonts w:asciiTheme="minorHAnsi" w:hAnsiTheme="minorHAnsi" w:cs="Arial"/>
          <w:sz w:val="22"/>
          <w:szCs w:val="22"/>
        </w:rPr>
      </w:pPr>
      <w:r>
        <w:rPr>
          <w:rFonts w:asciiTheme="minorHAnsi" w:hAnsiTheme="minorHAnsi" w:cs="Arial"/>
          <w:sz w:val="22"/>
          <w:szCs w:val="22"/>
        </w:rPr>
        <w:t>Statement showing expenditure is used and funded from resources in comparison to that used in accordance with generally accepted accounting practices.</w:t>
      </w:r>
    </w:p>
    <w:p w14:paraId="77017BC5" w14:textId="77777777" w:rsidR="00B7744C" w:rsidRPr="00B7744C" w:rsidRDefault="00B7744C" w:rsidP="00696E9F">
      <w:pPr>
        <w:jc w:val="both"/>
        <w:rPr>
          <w:rFonts w:asciiTheme="minorHAnsi" w:hAnsiTheme="minorHAnsi" w:cs="Arial"/>
          <w:sz w:val="22"/>
          <w:szCs w:val="22"/>
        </w:rPr>
      </w:pPr>
    </w:p>
    <w:p w14:paraId="0EF62EA1" w14:textId="77777777" w:rsidR="00C05A20" w:rsidRPr="00122403" w:rsidRDefault="00C05A20" w:rsidP="00696E9F">
      <w:pPr>
        <w:jc w:val="both"/>
        <w:rPr>
          <w:rFonts w:asciiTheme="minorHAnsi" w:hAnsiTheme="minorHAnsi" w:cs="Arial"/>
          <w:b/>
          <w:sz w:val="22"/>
          <w:szCs w:val="22"/>
        </w:rPr>
      </w:pPr>
      <w:r w:rsidRPr="00122403">
        <w:rPr>
          <w:rFonts w:asciiTheme="minorHAnsi" w:hAnsiTheme="minorHAnsi" w:cs="Arial"/>
          <w:b/>
          <w:sz w:val="22"/>
          <w:szCs w:val="22"/>
        </w:rPr>
        <w:t>Fair Value</w:t>
      </w:r>
    </w:p>
    <w:p w14:paraId="156785EC" w14:textId="77777777" w:rsidR="00C05A20" w:rsidRPr="00122403" w:rsidRDefault="00C75243" w:rsidP="00696E9F">
      <w:pPr>
        <w:jc w:val="both"/>
        <w:rPr>
          <w:rFonts w:asciiTheme="minorHAnsi" w:hAnsiTheme="minorHAnsi" w:cs="Arial"/>
          <w:sz w:val="22"/>
          <w:szCs w:val="22"/>
        </w:rPr>
      </w:pPr>
      <w:r w:rsidRPr="00122403">
        <w:rPr>
          <w:rFonts w:asciiTheme="minorHAnsi" w:hAnsiTheme="minorHAnsi" w:cs="Arial"/>
          <w:sz w:val="22"/>
          <w:szCs w:val="22"/>
        </w:rPr>
        <w:t>This</w:t>
      </w:r>
      <w:r w:rsidR="00AB2DDD" w:rsidRPr="00122403">
        <w:rPr>
          <w:rFonts w:asciiTheme="minorHAnsi" w:hAnsiTheme="minorHAnsi" w:cs="Arial"/>
          <w:sz w:val="22"/>
          <w:szCs w:val="22"/>
        </w:rPr>
        <w:t xml:space="preserve"> is the price that would be received to sell an asset or paid to transfer a liability in an orderly transaction between market participants at the measurement date.</w:t>
      </w:r>
    </w:p>
    <w:p w14:paraId="3F896163" w14:textId="77777777" w:rsidR="00254F6B" w:rsidRPr="00122403" w:rsidRDefault="00254F6B" w:rsidP="00696E9F">
      <w:pPr>
        <w:jc w:val="both"/>
        <w:rPr>
          <w:rFonts w:asciiTheme="minorHAnsi" w:hAnsiTheme="minorHAnsi" w:cs="Arial"/>
          <w:sz w:val="22"/>
          <w:szCs w:val="22"/>
        </w:rPr>
      </w:pPr>
    </w:p>
    <w:p w14:paraId="1469E4B7" w14:textId="77777777" w:rsidR="00254F6B" w:rsidRPr="00122403" w:rsidRDefault="00254F6B" w:rsidP="00696E9F">
      <w:pPr>
        <w:jc w:val="both"/>
        <w:rPr>
          <w:rFonts w:asciiTheme="minorHAnsi" w:hAnsiTheme="minorHAnsi" w:cs="Arial"/>
          <w:b/>
          <w:sz w:val="22"/>
          <w:szCs w:val="22"/>
        </w:rPr>
      </w:pPr>
      <w:r w:rsidRPr="00122403">
        <w:rPr>
          <w:rFonts w:asciiTheme="minorHAnsi" w:hAnsiTheme="minorHAnsi" w:cs="Arial"/>
          <w:b/>
          <w:sz w:val="22"/>
          <w:szCs w:val="22"/>
        </w:rPr>
        <w:t>Financial Instruments</w:t>
      </w:r>
    </w:p>
    <w:p w14:paraId="3D77FA7A" w14:textId="77777777" w:rsidR="00254F6B" w:rsidRPr="00122403" w:rsidRDefault="00254F6B" w:rsidP="00696E9F">
      <w:pPr>
        <w:jc w:val="both"/>
        <w:rPr>
          <w:rFonts w:asciiTheme="minorHAnsi" w:hAnsiTheme="minorHAnsi" w:cs="Arial"/>
          <w:sz w:val="22"/>
          <w:szCs w:val="22"/>
        </w:rPr>
      </w:pPr>
      <w:r w:rsidRPr="00122403">
        <w:rPr>
          <w:rFonts w:asciiTheme="minorHAnsi" w:hAnsiTheme="minorHAnsi" w:cs="Arial"/>
          <w:sz w:val="22"/>
          <w:szCs w:val="22"/>
        </w:rPr>
        <w:t>These can be defined as contracts that give rise to a financial asset of one entity and a financial liability or equity instrument of another entity.</w:t>
      </w:r>
    </w:p>
    <w:p w14:paraId="3ED0E46D" w14:textId="77777777" w:rsidR="006C29D2" w:rsidRPr="00122403" w:rsidRDefault="006C29D2" w:rsidP="00696E9F">
      <w:pPr>
        <w:jc w:val="both"/>
        <w:rPr>
          <w:rFonts w:asciiTheme="minorHAnsi" w:hAnsiTheme="minorHAnsi" w:cs="Arial"/>
          <w:sz w:val="22"/>
          <w:szCs w:val="22"/>
        </w:rPr>
      </w:pPr>
    </w:p>
    <w:p w14:paraId="6ED7F5B9" w14:textId="77777777" w:rsidR="006C29D2" w:rsidRPr="00122403" w:rsidRDefault="006C29D2" w:rsidP="00696E9F">
      <w:pPr>
        <w:jc w:val="both"/>
        <w:rPr>
          <w:rFonts w:asciiTheme="minorHAnsi" w:hAnsiTheme="minorHAnsi" w:cs="Arial"/>
          <w:b/>
          <w:sz w:val="22"/>
          <w:szCs w:val="22"/>
        </w:rPr>
      </w:pPr>
      <w:r w:rsidRPr="00122403">
        <w:rPr>
          <w:rFonts w:asciiTheme="minorHAnsi" w:hAnsiTheme="minorHAnsi" w:cs="Arial"/>
          <w:b/>
          <w:sz w:val="22"/>
          <w:szCs w:val="22"/>
        </w:rPr>
        <w:t>Financial Instruments Adjustment Account</w:t>
      </w:r>
    </w:p>
    <w:p w14:paraId="6DFAA906" w14:textId="77777777" w:rsidR="006C29D2" w:rsidRPr="00122403" w:rsidRDefault="006C29D2" w:rsidP="00696E9F">
      <w:pPr>
        <w:jc w:val="both"/>
        <w:rPr>
          <w:rFonts w:asciiTheme="minorHAnsi" w:hAnsiTheme="minorHAnsi" w:cs="Arial"/>
          <w:sz w:val="22"/>
          <w:szCs w:val="22"/>
        </w:rPr>
      </w:pPr>
      <w:r w:rsidRPr="00122403">
        <w:rPr>
          <w:rFonts w:asciiTheme="minorHAnsi" w:hAnsiTheme="minorHAnsi" w:cs="Arial"/>
          <w:sz w:val="22"/>
          <w:szCs w:val="22"/>
        </w:rPr>
        <w:t xml:space="preserve">This account absorbs the timing differences arising from different arrangements for accounting for income and expenses relating to certain financial instruments and for bearing losses or benefiting from gains per statutory provisions. </w:t>
      </w:r>
    </w:p>
    <w:p w14:paraId="44333DE5" w14:textId="77777777" w:rsidR="006949A8" w:rsidRDefault="006949A8" w:rsidP="00696E9F">
      <w:pPr>
        <w:jc w:val="both"/>
        <w:rPr>
          <w:rFonts w:asciiTheme="minorHAnsi" w:hAnsiTheme="minorHAnsi" w:cs="Arial"/>
          <w:sz w:val="22"/>
          <w:szCs w:val="22"/>
        </w:rPr>
      </w:pPr>
    </w:p>
    <w:p w14:paraId="7CDA57A0" w14:textId="77777777" w:rsidR="00924587" w:rsidRDefault="00924587" w:rsidP="00696E9F">
      <w:pPr>
        <w:jc w:val="both"/>
        <w:rPr>
          <w:rFonts w:asciiTheme="minorHAnsi" w:hAnsiTheme="minorHAnsi" w:cs="Arial"/>
          <w:b/>
          <w:sz w:val="22"/>
          <w:szCs w:val="22"/>
        </w:rPr>
      </w:pPr>
      <w:r>
        <w:rPr>
          <w:rFonts w:asciiTheme="minorHAnsi" w:hAnsiTheme="minorHAnsi" w:cs="Arial"/>
          <w:b/>
          <w:sz w:val="22"/>
          <w:szCs w:val="22"/>
        </w:rPr>
        <w:t>Financial Instruments Revaluation Reserve</w:t>
      </w:r>
    </w:p>
    <w:p w14:paraId="5F60825E" w14:textId="77777777" w:rsidR="00924587" w:rsidRDefault="00924587" w:rsidP="00696E9F">
      <w:pPr>
        <w:jc w:val="both"/>
        <w:rPr>
          <w:rFonts w:asciiTheme="minorHAnsi" w:hAnsiTheme="minorHAnsi" w:cs="Arial"/>
          <w:sz w:val="22"/>
          <w:szCs w:val="22"/>
        </w:rPr>
      </w:pPr>
      <w:r>
        <w:rPr>
          <w:rFonts w:asciiTheme="minorHAnsi" w:hAnsiTheme="minorHAnsi" w:cs="Arial"/>
          <w:sz w:val="22"/>
          <w:szCs w:val="22"/>
        </w:rPr>
        <w:t>The Financial Instruments Revaluation Reserve contains the gains made by the Council arising from increases in the value of its investments, that are measured at fair value through other operating expenditure.</w:t>
      </w:r>
    </w:p>
    <w:p w14:paraId="14764A0F" w14:textId="77777777" w:rsidR="00924587" w:rsidRPr="00924587" w:rsidRDefault="00924587" w:rsidP="00696E9F">
      <w:pPr>
        <w:jc w:val="both"/>
        <w:rPr>
          <w:rFonts w:asciiTheme="minorHAnsi" w:hAnsiTheme="minorHAnsi" w:cs="Arial"/>
          <w:sz w:val="22"/>
          <w:szCs w:val="22"/>
        </w:rPr>
      </w:pPr>
    </w:p>
    <w:p w14:paraId="1903E93C" w14:textId="77777777" w:rsidR="003B1A10" w:rsidRPr="00122403" w:rsidRDefault="003B1A10" w:rsidP="006C585D">
      <w:pPr>
        <w:rPr>
          <w:rFonts w:asciiTheme="minorHAnsi" w:hAnsiTheme="minorHAnsi" w:cs="Arial"/>
          <w:b/>
          <w:sz w:val="22"/>
          <w:szCs w:val="22"/>
        </w:rPr>
      </w:pPr>
      <w:r w:rsidRPr="00122403">
        <w:rPr>
          <w:rFonts w:asciiTheme="minorHAnsi" w:hAnsiTheme="minorHAnsi" w:cs="Arial"/>
          <w:b/>
          <w:sz w:val="22"/>
          <w:szCs w:val="22"/>
        </w:rPr>
        <w:t>General Fund</w:t>
      </w:r>
    </w:p>
    <w:p w14:paraId="461756B9" w14:textId="77777777" w:rsidR="003B1A10" w:rsidRPr="00122403" w:rsidRDefault="00813AAC" w:rsidP="00F4084C">
      <w:pPr>
        <w:jc w:val="both"/>
        <w:rPr>
          <w:rFonts w:asciiTheme="minorHAnsi" w:hAnsiTheme="minorHAnsi" w:cs="Arial"/>
          <w:sz w:val="22"/>
          <w:szCs w:val="22"/>
        </w:rPr>
      </w:pPr>
      <w:r w:rsidRPr="00122403">
        <w:rPr>
          <w:rFonts w:asciiTheme="minorHAnsi" w:hAnsiTheme="minorHAnsi" w:cs="Arial"/>
          <w:sz w:val="22"/>
          <w:szCs w:val="22"/>
        </w:rPr>
        <w:t>Th</w:t>
      </w:r>
      <w:r w:rsidR="00DB4C26" w:rsidRPr="00122403">
        <w:rPr>
          <w:rFonts w:asciiTheme="minorHAnsi" w:hAnsiTheme="minorHAnsi" w:cs="Arial"/>
          <w:sz w:val="22"/>
          <w:szCs w:val="22"/>
        </w:rPr>
        <w:t>is is the</w:t>
      </w:r>
      <w:r w:rsidRPr="00122403">
        <w:rPr>
          <w:rFonts w:asciiTheme="minorHAnsi" w:hAnsiTheme="minorHAnsi" w:cs="Arial"/>
          <w:sz w:val="22"/>
          <w:szCs w:val="22"/>
        </w:rPr>
        <w:t xml:space="preserve"> main revenue fund of the </w:t>
      </w:r>
      <w:r w:rsidR="00DB4C26" w:rsidRPr="00122403">
        <w:rPr>
          <w:rFonts w:asciiTheme="minorHAnsi" w:hAnsiTheme="minorHAnsi" w:cs="Arial"/>
          <w:sz w:val="22"/>
          <w:szCs w:val="22"/>
        </w:rPr>
        <w:t>Council. Precept income, NNDR</w:t>
      </w:r>
      <w:r w:rsidRPr="00122403">
        <w:rPr>
          <w:rFonts w:asciiTheme="minorHAnsi" w:hAnsiTheme="minorHAnsi" w:cs="Arial"/>
          <w:sz w:val="22"/>
          <w:szCs w:val="22"/>
        </w:rPr>
        <w:t xml:space="preserve"> income and government grants are paid into the fund, from which the cost of providing services is met.</w:t>
      </w:r>
    </w:p>
    <w:p w14:paraId="0866CC54" w14:textId="77777777" w:rsidR="002F5518" w:rsidRPr="00122403" w:rsidRDefault="002F5518" w:rsidP="006C585D">
      <w:pPr>
        <w:rPr>
          <w:rFonts w:asciiTheme="minorHAnsi" w:hAnsiTheme="minorHAnsi" w:cs="Arial"/>
          <w:b/>
          <w:sz w:val="22"/>
          <w:szCs w:val="22"/>
        </w:rPr>
      </w:pPr>
    </w:p>
    <w:p w14:paraId="6AB9732D" w14:textId="77777777" w:rsidR="002A56F3" w:rsidRPr="00122403" w:rsidRDefault="002A56F3" w:rsidP="006C585D">
      <w:pPr>
        <w:rPr>
          <w:rFonts w:asciiTheme="minorHAnsi" w:hAnsiTheme="minorHAnsi" w:cs="Arial"/>
          <w:b/>
          <w:sz w:val="22"/>
          <w:szCs w:val="22"/>
        </w:rPr>
      </w:pPr>
      <w:r w:rsidRPr="00122403">
        <w:rPr>
          <w:rFonts w:asciiTheme="minorHAnsi" w:hAnsiTheme="minorHAnsi" w:cs="Arial"/>
          <w:b/>
          <w:sz w:val="22"/>
          <w:szCs w:val="22"/>
        </w:rPr>
        <w:t xml:space="preserve">Gross </w:t>
      </w:r>
      <w:r w:rsidR="00E10060" w:rsidRPr="00122403">
        <w:rPr>
          <w:rFonts w:asciiTheme="minorHAnsi" w:hAnsiTheme="minorHAnsi" w:cs="Arial"/>
          <w:b/>
          <w:sz w:val="22"/>
          <w:szCs w:val="22"/>
        </w:rPr>
        <w:t>S</w:t>
      </w:r>
      <w:r w:rsidRPr="00122403">
        <w:rPr>
          <w:rFonts w:asciiTheme="minorHAnsi" w:hAnsiTheme="minorHAnsi" w:cs="Arial"/>
          <w:b/>
          <w:sz w:val="22"/>
          <w:szCs w:val="22"/>
        </w:rPr>
        <w:t>pending</w:t>
      </w:r>
    </w:p>
    <w:p w14:paraId="67847C2F" w14:textId="77777777" w:rsidR="002A56F3" w:rsidRPr="00122403" w:rsidRDefault="002A56F3" w:rsidP="006C585D">
      <w:pPr>
        <w:rPr>
          <w:rFonts w:asciiTheme="minorHAnsi" w:hAnsiTheme="minorHAnsi" w:cs="Arial"/>
          <w:sz w:val="22"/>
          <w:szCs w:val="22"/>
        </w:rPr>
      </w:pPr>
      <w:r w:rsidRPr="00122403">
        <w:rPr>
          <w:rFonts w:asciiTheme="minorHAnsi" w:hAnsiTheme="minorHAnsi" w:cs="Arial"/>
          <w:sz w:val="22"/>
          <w:szCs w:val="22"/>
        </w:rPr>
        <w:t>The total cost of providing a service.</w:t>
      </w:r>
    </w:p>
    <w:p w14:paraId="609CF40F" w14:textId="77777777" w:rsidR="00C75243" w:rsidRDefault="00C75243" w:rsidP="006C585D">
      <w:pPr>
        <w:rPr>
          <w:rFonts w:asciiTheme="minorHAnsi" w:hAnsiTheme="minorHAnsi" w:cs="Arial"/>
          <w:sz w:val="22"/>
          <w:szCs w:val="22"/>
        </w:rPr>
      </w:pPr>
    </w:p>
    <w:p w14:paraId="004BCD41" w14:textId="77777777" w:rsidR="00250DB1" w:rsidRDefault="00250DB1" w:rsidP="006C585D">
      <w:pPr>
        <w:rPr>
          <w:rFonts w:asciiTheme="minorHAnsi" w:hAnsiTheme="minorHAnsi" w:cs="Arial"/>
          <w:sz w:val="22"/>
          <w:szCs w:val="22"/>
        </w:rPr>
      </w:pPr>
    </w:p>
    <w:p w14:paraId="68D7E8B0" w14:textId="77777777" w:rsidR="00C75243" w:rsidRPr="00122403" w:rsidRDefault="00C75243" w:rsidP="006C585D">
      <w:pPr>
        <w:rPr>
          <w:rFonts w:asciiTheme="minorHAnsi" w:hAnsiTheme="minorHAnsi" w:cs="Arial"/>
          <w:b/>
          <w:sz w:val="22"/>
          <w:szCs w:val="22"/>
        </w:rPr>
      </w:pPr>
      <w:r w:rsidRPr="00122403">
        <w:rPr>
          <w:rFonts w:asciiTheme="minorHAnsi" w:hAnsiTheme="minorHAnsi" w:cs="Arial"/>
          <w:b/>
          <w:sz w:val="22"/>
          <w:szCs w:val="22"/>
        </w:rPr>
        <w:lastRenderedPageBreak/>
        <w:t>Heritage Assets</w:t>
      </w:r>
    </w:p>
    <w:p w14:paraId="3E06879F" w14:textId="77777777" w:rsidR="00C75243" w:rsidRPr="00122403" w:rsidRDefault="00C75243" w:rsidP="00C75243">
      <w:pPr>
        <w:jc w:val="both"/>
        <w:rPr>
          <w:rFonts w:asciiTheme="minorHAnsi" w:hAnsiTheme="minorHAnsi" w:cs="Arial"/>
          <w:sz w:val="22"/>
          <w:szCs w:val="22"/>
        </w:rPr>
      </w:pPr>
      <w:r w:rsidRPr="00122403">
        <w:rPr>
          <w:rFonts w:asciiTheme="minorHAnsi" w:hAnsiTheme="minorHAnsi" w:cs="Arial"/>
          <w:sz w:val="22"/>
          <w:szCs w:val="22"/>
        </w:rPr>
        <w:t>A tangible heritage asset is a tangible asset with historical, artistic, scientific, technological, geophysical or environmental qualities that is held and maintained principally for its contribution to knowledge and culture.</w:t>
      </w:r>
    </w:p>
    <w:p w14:paraId="1B8DB6E1" w14:textId="77777777" w:rsidR="00B7744C" w:rsidRPr="00122403" w:rsidRDefault="00B7744C" w:rsidP="006C585D">
      <w:pPr>
        <w:rPr>
          <w:rFonts w:asciiTheme="minorHAnsi" w:hAnsiTheme="minorHAnsi" w:cs="Arial"/>
          <w:sz w:val="22"/>
          <w:szCs w:val="22"/>
        </w:rPr>
      </w:pPr>
    </w:p>
    <w:p w14:paraId="26ADA098" w14:textId="77777777" w:rsidR="00813AAC" w:rsidRPr="00122403" w:rsidRDefault="00813AAC" w:rsidP="006C585D">
      <w:pPr>
        <w:rPr>
          <w:rFonts w:asciiTheme="minorHAnsi" w:hAnsiTheme="minorHAnsi" w:cs="Arial"/>
          <w:b/>
          <w:sz w:val="22"/>
          <w:szCs w:val="22"/>
        </w:rPr>
      </w:pPr>
      <w:r w:rsidRPr="00122403">
        <w:rPr>
          <w:rFonts w:asciiTheme="minorHAnsi" w:hAnsiTheme="minorHAnsi" w:cs="Arial"/>
          <w:b/>
          <w:sz w:val="22"/>
          <w:szCs w:val="22"/>
        </w:rPr>
        <w:t>Impairment</w:t>
      </w:r>
    </w:p>
    <w:p w14:paraId="6DF6AC4D" w14:textId="77777777" w:rsidR="00813AAC" w:rsidRPr="00122403" w:rsidRDefault="0068534A" w:rsidP="001249BA">
      <w:pPr>
        <w:jc w:val="both"/>
        <w:rPr>
          <w:rFonts w:asciiTheme="minorHAnsi" w:hAnsiTheme="minorHAnsi" w:cs="Arial"/>
          <w:sz w:val="22"/>
          <w:szCs w:val="22"/>
        </w:rPr>
      </w:pPr>
      <w:r w:rsidRPr="00122403">
        <w:rPr>
          <w:rFonts w:asciiTheme="minorHAnsi" w:hAnsiTheme="minorHAnsi" w:cs="Arial"/>
          <w:sz w:val="22"/>
          <w:szCs w:val="22"/>
        </w:rPr>
        <w:t>A loss in the value of a non</w:t>
      </w:r>
      <w:r w:rsidR="00DB4C26" w:rsidRPr="00122403">
        <w:rPr>
          <w:rFonts w:asciiTheme="minorHAnsi" w:hAnsiTheme="minorHAnsi" w:cs="Arial"/>
          <w:sz w:val="22"/>
          <w:szCs w:val="22"/>
        </w:rPr>
        <w:t>-</w:t>
      </w:r>
      <w:r w:rsidRPr="00122403">
        <w:rPr>
          <w:rFonts w:asciiTheme="minorHAnsi" w:hAnsiTheme="minorHAnsi" w:cs="Arial"/>
          <w:sz w:val="22"/>
          <w:szCs w:val="22"/>
        </w:rPr>
        <w:t>current</w:t>
      </w:r>
      <w:r w:rsidR="00813AAC" w:rsidRPr="00122403">
        <w:rPr>
          <w:rFonts w:asciiTheme="minorHAnsi" w:hAnsiTheme="minorHAnsi" w:cs="Arial"/>
          <w:sz w:val="22"/>
          <w:szCs w:val="22"/>
        </w:rPr>
        <w:t xml:space="preserve"> asset, arising from physical damage such as a major fire or a significant reduction in market value.</w:t>
      </w:r>
    </w:p>
    <w:p w14:paraId="2B3CF1F2" w14:textId="77777777" w:rsidR="002A56F3" w:rsidRPr="00122403" w:rsidRDefault="002A56F3" w:rsidP="006C585D">
      <w:pPr>
        <w:rPr>
          <w:rFonts w:asciiTheme="minorHAnsi" w:hAnsiTheme="minorHAnsi" w:cs="Arial"/>
          <w:sz w:val="22"/>
          <w:szCs w:val="22"/>
        </w:rPr>
      </w:pPr>
    </w:p>
    <w:p w14:paraId="5C1AA103" w14:textId="77777777" w:rsidR="002A56F3" w:rsidRPr="00122403" w:rsidRDefault="002A56F3" w:rsidP="006C585D">
      <w:pPr>
        <w:rPr>
          <w:rFonts w:asciiTheme="minorHAnsi" w:hAnsiTheme="minorHAnsi" w:cs="Arial"/>
          <w:b/>
          <w:sz w:val="22"/>
          <w:szCs w:val="22"/>
        </w:rPr>
      </w:pPr>
      <w:r w:rsidRPr="00122403">
        <w:rPr>
          <w:rFonts w:asciiTheme="minorHAnsi" w:hAnsiTheme="minorHAnsi" w:cs="Arial"/>
          <w:b/>
          <w:sz w:val="22"/>
          <w:szCs w:val="22"/>
        </w:rPr>
        <w:t>Infrastructure Assets</w:t>
      </w:r>
    </w:p>
    <w:p w14:paraId="049FD09A" w14:textId="77777777" w:rsidR="002A56F3" w:rsidRPr="00122403" w:rsidRDefault="00DB4C26" w:rsidP="006C585D">
      <w:pPr>
        <w:rPr>
          <w:rFonts w:asciiTheme="minorHAnsi" w:hAnsiTheme="minorHAnsi" w:cs="Arial"/>
          <w:sz w:val="22"/>
          <w:szCs w:val="22"/>
        </w:rPr>
      </w:pPr>
      <w:r w:rsidRPr="00122403">
        <w:rPr>
          <w:rFonts w:asciiTheme="minorHAnsi" w:hAnsiTheme="minorHAnsi" w:cs="Arial"/>
          <w:sz w:val="22"/>
          <w:szCs w:val="22"/>
        </w:rPr>
        <w:t>These are a</w:t>
      </w:r>
      <w:r w:rsidR="002A56F3" w:rsidRPr="00122403">
        <w:rPr>
          <w:rFonts w:asciiTheme="minorHAnsi" w:hAnsiTheme="minorHAnsi" w:cs="Arial"/>
          <w:sz w:val="22"/>
          <w:szCs w:val="22"/>
        </w:rPr>
        <w:t xml:space="preserve">ssets that only have a nominal value as we cannot sell them, </w:t>
      </w:r>
      <w:proofErr w:type="gramStart"/>
      <w:r w:rsidR="002A56F3" w:rsidRPr="00122403">
        <w:rPr>
          <w:rFonts w:asciiTheme="minorHAnsi" w:hAnsiTheme="minorHAnsi" w:cs="Arial"/>
          <w:sz w:val="22"/>
          <w:szCs w:val="22"/>
        </w:rPr>
        <w:t>e.g.</w:t>
      </w:r>
      <w:proofErr w:type="gramEnd"/>
      <w:r w:rsidR="002A56F3" w:rsidRPr="00122403">
        <w:rPr>
          <w:rFonts w:asciiTheme="minorHAnsi" w:hAnsiTheme="minorHAnsi" w:cs="Arial"/>
          <w:sz w:val="22"/>
          <w:szCs w:val="22"/>
        </w:rPr>
        <w:t xml:space="preserve"> roads, bridges, lighting, etc</w:t>
      </w:r>
      <w:r w:rsidRPr="00122403">
        <w:rPr>
          <w:rFonts w:asciiTheme="minorHAnsi" w:hAnsiTheme="minorHAnsi" w:cs="Arial"/>
          <w:sz w:val="22"/>
          <w:szCs w:val="22"/>
        </w:rPr>
        <w:t>.</w:t>
      </w:r>
    </w:p>
    <w:p w14:paraId="021255A0" w14:textId="77777777" w:rsidR="003065CD" w:rsidRPr="00122403" w:rsidRDefault="003065CD" w:rsidP="006C585D">
      <w:pPr>
        <w:rPr>
          <w:rFonts w:asciiTheme="minorHAnsi" w:hAnsiTheme="minorHAnsi" w:cs="Arial"/>
          <w:b/>
          <w:sz w:val="22"/>
          <w:szCs w:val="22"/>
        </w:rPr>
      </w:pPr>
    </w:p>
    <w:p w14:paraId="146B9F03" w14:textId="77777777" w:rsidR="00813AAC" w:rsidRPr="00122403" w:rsidRDefault="00813AAC" w:rsidP="006C585D">
      <w:pPr>
        <w:rPr>
          <w:rFonts w:asciiTheme="minorHAnsi" w:hAnsiTheme="minorHAnsi" w:cs="Arial"/>
          <w:sz w:val="22"/>
          <w:szCs w:val="22"/>
        </w:rPr>
      </w:pPr>
      <w:r w:rsidRPr="00122403">
        <w:rPr>
          <w:rFonts w:asciiTheme="minorHAnsi" w:hAnsiTheme="minorHAnsi" w:cs="Arial"/>
          <w:b/>
          <w:sz w:val="22"/>
          <w:szCs w:val="22"/>
        </w:rPr>
        <w:t xml:space="preserve">Intangible </w:t>
      </w:r>
      <w:r w:rsidR="00E10060" w:rsidRPr="00122403">
        <w:rPr>
          <w:rFonts w:asciiTheme="minorHAnsi" w:hAnsiTheme="minorHAnsi" w:cs="Arial"/>
          <w:b/>
          <w:sz w:val="22"/>
          <w:szCs w:val="22"/>
        </w:rPr>
        <w:t>A</w:t>
      </w:r>
      <w:r w:rsidRPr="00122403">
        <w:rPr>
          <w:rFonts w:asciiTheme="minorHAnsi" w:hAnsiTheme="minorHAnsi" w:cs="Arial"/>
          <w:b/>
          <w:sz w:val="22"/>
          <w:szCs w:val="22"/>
        </w:rPr>
        <w:t>sset</w:t>
      </w:r>
    </w:p>
    <w:p w14:paraId="7FBFFF4B" w14:textId="77777777" w:rsidR="00813AAC" w:rsidRPr="00122403" w:rsidRDefault="0068534A" w:rsidP="0068534A">
      <w:pPr>
        <w:jc w:val="both"/>
        <w:rPr>
          <w:rFonts w:asciiTheme="minorHAnsi" w:hAnsiTheme="minorHAnsi" w:cs="Arial"/>
          <w:sz w:val="22"/>
          <w:szCs w:val="22"/>
        </w:rPr>
      </w:pPr>
      <w:r w:rsidRPr="00122403">
        <w:rPr>
          <w:rFonts w:asciiTheme="minorHAnsi" w:hAnsiTheme="minorHAnsi" w:cs="Arial"/>
          <w:sz w:val="22"/>
          <w:szCs w:val="22"/>
        </w:rPr>
        <w:t>Non</w:t>
      </w:r>
      <w:r w:rsidR="00DB4C26" w:rsidRPr="00122403">
        <w:rPr>
          <w:rFonts w:asciiTheme="minorHAnsi" w:hAnsiTheme="minorHAnsi" w:cs="Arial"/>
          <w:sz w:val="22"/>
          <w:szCs w:val="22"/>
        </w:rPr>
        <w:t>-</w:t>
      </w:r>
      <w:r w:rsidRPr="00122403">
        <w:rPr>
          <w:rFonts w:asciiTheme="minorHAnsi" w:hAnsiTheme="minorHAnsi" w:cs="Arial"/>
          <w:sz w:val="22"/>
          <w:szCs w:val="22"/>
        </w:rPr>
        <w:t>current</w:t>
      </w:r>
      <w:r w:rsidR="00813AAC" w:rsidRPr="00122403">
        <w:rPr>
          <w:rFonts w:asciiTheme="minorHAnsi" w:hAnsiTheme="minorHAnsi" w:cs="Arial"/>
          <w:sz w:val="22"/>
          <w:szCs w:val="22"/>
        </w:rPr>
        <w:t xml:space="preserve"> assets that do not have physical substance but are identifiable and are controlled by the Authority through custody or legal rights </w:t>
      </w:r>
      <w:r w:rsidR="00E71C03" w:rsidRPr="00122403">
        <w:rPr>
          <w:rFonts w:asciiTheme="minorHAnsi" w:hAnsiTheme="minorHAnsi" w:cs="Arial"/>
          <w:sz w:val="22"/>
          <w:szCs w:val="22"/>
        </w:rPr>
        <w:t>(</w:t>
      </w:r>
      <w:proofErr w:type="gramStart"/>
      <w:r w:rsidR="00E71C03" w:rsidRPr="00122403">
        <w:rPr>
          <w:rFonts w:asciiTheme="minorHAnsi" w:hAnsiTheme="minorHAnsi" w:cs="Arial"/>
          <w:sz w:val="22"/>
          <w:szCs w:val="22"/>
        </w:rPr>
        <w:t>e.g</w:t>
      </w:r>
      <w:r w:rsidR="00DB4C26" w:rsidRPr="00122403">
        <w:rPr>
          <w:rFonts w:asciiTheme="minorHAnsi" w:hAnsiTheme="minorHAnsi" w:cs="Arial"/>
          <w:sz w:val="22"/>
          <w:szCs w:val="22"/>
        </w:rPr>
        <w:t>.</w:t>
      </w:r>
      <w:proofErr w:type="gramEnd"/>
      <w:r w:rsidR="00DB4C26" w:rsidRPr="00122403">
        <w:rPr>
          <w:rFonts w:asciiTheme="minorHAnsi" w:hAnsiTheme="minorHAnsi" w:cs="Arial"/>
          <w:sz w:val="22"/>
          <w:szCs w:val="22"/>
        </w:rPr>
        <w:t xml:space="preserve"> purchased software licences).</w:t>
      </w:r>
    </w:p>
    <w:p w14:paraId="03B1E2DA" w14:textId="77777777" w:rsidR="00813AAC" w:rsidRPr="00122403" w:rsidRDefault="00813AAC" w:rsidP="006C585D">
      <w:pPr>
        <w:rPr>
          <w:rFonts w:asciiTheme="minorHAnsi" w:hAnsiTheme="minorHAnsi" w:cs="Arial"/>
          <w:sz w:val="22"/>
          <w:szCs w:val="22"/>
        </w:rPr>
      </w:pPr>
    </w:p>
    <w:p w14:paraId="5A586962" w14:textId="77777777" w:rsidR="00786947" w:rsidRPr="00122403" w:rsidRDefault="009E13AE" w:rsidP="006C585D">
      <w:pPr>
        <w:rPr>
          <w:rFonts w:asciiTheme="minorHAnsi" w:hAnsiTheme="minorHAnsi" w:cs="Arial"/>
          <w:b/>
          <w:sz w:val="22"/>
          <w:szCs w:val="22"/>
        </w:rPr>
      </w:pPr>
      <w:r w:rsidRPr="00122403">
        <w:rPr>
          <w:rFonts w:asciiTheme="minorHAnsi" w:hAnsiTheme="minorHAnsi" w:cs="Arial"/>
          <w:b/>
          <w:sz w:val="22"/>
          <w:szCs w:val="22"/>
        </w:rPr>
        <w:t>Interest</w:t>
      </w:r>
      <w:r w:rsidR="00786947" w:rsidRPr="00122403">
        <w:rPr>
          <w:rFonts w:asciiTheme="minorHAnsi" w:hAnsiTheme="minorHAnsi" w:cs="Arial"/>
          <w:b/>
          <w:sz w:val="22"/>
          <w:szCs w:val="22"/>
        </w:rPr>
        <w:t xml:space="preserve"> </w:t>
      </w:r>
      <w:r w:rsidR="00E10060" w:rsidRPr="00122403">
        <w:rPr>
          <w:rFonts w:asciiTheme="minorHAnsi" w:hAnsiTheme="minorHAnsi" w:cs="Arial"/>
          <w:b/>
          <w:sz w:val="22"/>
          <w:szCs w:val="22"/>
        </w:rPr>
        <w:t>C</w:t>
      </w:r>
      <w:r w:rsidR="00786947" w:rsidRPr="00122403">
        <w:rPr>
          <w:rFonts w:asciiTheme="minorHAnsi" w:hAnsiTheme="minorHAnsi" w:cs="Arial"/>
          <w:b/>
          <w:sz w:val="22"/>
          <w:szCs w:val="22"/>
        </w:rPr>
        <w:t>ost (Pensions)</w:t>
      </w:r>
    </w:p>
    <w:p w14:paraId="0CCFCA8B" w14:textId="77777777" w:rsidR="00786947" w:rsidRPr="00122403" w:rsidRDefault="00786947" w:rsidP="001249BA">
      <w:pPr>
        <w:jc w:val="both"/>
        <w:rPr>
          <w:rFonts w:asciiTheme="minorHAnsi" w:hAnsiTheme="minorHAnsi" w:cs="Arial"/>
          <w:sz w:val="22"/>
          <w:szCs w:val="22"/>
        </w:rPr>
      </w:pPr>
      <w:r w:rsidRPr="00122403">
        <w:rPr>
          <w:rFonts w:asciiTheme="minorHAnsi" w:hAnsiTheme="minorHAnsi" w:cs="Arial"/>
          <w:sz w:val="22"/>
          <w:szCs w:val="22"/>
        </w:rPr>
        <w:t xml:space="preserve">For a defined benefit scheme, the expected </w:t>
      </w:r>
      <w:r w:rsidR="00AD02EA" w:rsidRPr="00122403">
        <w:rPr>
          <w:rFonts w:asciiTheme="minorHAnsi" w:hAnsiTheme="minorHAnsi" w:cs="Arial"/>
          <w:sz w:val="22"/>
          <w:szCs w:val="22"/>
        </w:rPr>
        <w:t>increase during the period in the present value of the scheme liabilities because the benefits are one period closer to settlement.</w:t>
      </w:r>
    </w:p>
    <w:p w14:paraId="1A99E63A" w14:textId="77777777" w:rsidR="00AD02EA" w:rsidRPr="00122403" w:rsidRDefault="00AD02EA" w:rsidP="006C585D">
      <w:pPr>
        <w:rPr>
          <w:rFonts w:asciiTheme="minorHAnsi" w:hAnsiTheme="minorHAnsi" w:cs="Arial"/>
          <w:sz w:val="22"/>
          <w:szCs w:val="22"/>
        </w:rPr>
      </w:pPr>
    </w:p>
    <w:p w14:paraId="1D220D99" w14:textId="77777777" w:rsidR="00AD02EA" w:rsidRPr="00122403" w:rsidRDefault="00AD02EA" w:rsidP="006C585D">
      <w:pPr>
        <w:rPr>
          <w:rFonts w:asciiTheme="minorHAnsi" w:hAnsiTheme="minorHAnsi" w:cs="Arial"/>
          <w:b/>
          <w:sz w:val="22"/>
          <w:szCs w:val="22"/>
        </w:rPr>
      </w:pPr>
      <w:r w:rsidRPr="00122403">
        <w:rPr>
          <w:rFonts w:asciiTheme="minorHAnsi" w:hAnsiTheme="minorHAnsi" w:cs="Arial"/>
          <w:b/>
          <w:sz w:val="22"/>
          <w:szCs w:val="22"/>
        </w:rPr>
        <w:t xml:space="preserve">Investment </w:t>
      </w:r>
      <w:r w:rsidR="00E10060" w:rsidRPr="00122403">
        <w:rPr>
          <w:rFonts w:asciiTheme="minorHAnsi" w:hAnsiTheme="minorHAnsi" w:cs="Arial"/>
          <w:b/>
          <w:sz w:val="22"/>
          <w:szCs w:val="22"/>
        </w:rPr>
        <w:t>P</w:t>
      </w:r>
      <w:r w:rsidRPr="00122403">
        <w:rPr>
          <w:rFonts w:asciiTheme="minorHAnsi" w:hAnsiTheme="minorHAnsi" w:cs="Arial"/>
          <w:b/>
          <w:sz w:val="22"/>
          <w:szCs w:val="22"/>
        </w:rPr>
        <w:t>roperties</w:t>
      </w:r>
    </w:p>
    <w:p w14:paraId="3E7067D8" w14:textId="31E02D2B" w:rsidR="00AD02EA" w:rsidRPr="00122403" w:rsidRDefault="00AD02EA" w:rsidP="006C585D">
      <w:pPr>
        <w:rPr>
          <w:rFonts w:asciiTheme="minorHAnsi" w:hAnsiTheme="minorHAnsi" w:cs="Arial"/>
          <w:sz w:val="22"/>
          <w:szCs w:val="22"/>
        </w:rPr>
      </w:pPr>
      <w:r w:rsidRPr="00122403">
        <w:rPr>
          <w:rFonts w:asciiTheme="minorHAnsi" w:hAnsiTheme="minorHAnsi" w:cs="Arial"/>
          <w:sz w:val="22"/>
          <w:szCs w:val="22"/>
        </w:rPr>
        <w:t>Interest in land/or buildings:</w:t>
      </w:r>
    </w:p>
    <w:p w14:paraId="794CAB52" w14:textId="77777777" w:rsidR="00AD02EA" w:rsidRPr="00122403" w:rsidRDefault="00AD02EA" w:rsidP="006C585D">
      <w:pPr>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t>in respect of which construction work and development have been completed; and</w:t>
      </w:r>
    </w:p>
    <w:p w14:paraId="0D557189" w14:textId="77777777" w:rsidR="00AD02EA" w:rsidRPr="00122403" w:rsidRDefault="00AD02EA" w:rsidP="006C585D">
      <w:pPr>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t>which is held for its investment potential, any rental income being negotiated at arm’s length.</w:t>
      </w:r>
    </w:p>
    <w:p w14:paraId="21F15B47" w14:textId="77777777" w:rsidR="00C6742D" w:rsidRPr="00122403" w:rsidRDefault="00C6742D" w:rsidP="006C585D">
      <w:pPr>
        <w:rPr>
          <w:rFonts w:asciiTheme="minorHAnsi" w:hAnsiTheme="minorHAnsi" w:cs="Arial"/>
          <w:sz w:val="22"/>
          <w:szCs w:val="22"/>
        </w:rPr>
      </w:pPr>
    </w:p>
    <w:p w14:paraId="434789B6" w14:textId="77777777" w:rsidR="00C6742D" w:rsidRPr="00122403" w:rsidRDefault="00C6742D" w:rsidP="006C585D">
      <w:pPr>
        <w:rPr>
          <w:rFonts w:asciiTheme="minorHAnsi" w:hAnsiTheme="minorHAnsi" w:cs="Arial"/>
          <w:b/>
          <w:sz w:val="22"/>
          <w:szCs w:val="22"/>
        </w:rPr>
      </w:pPr>
      <w:r w:rsidRPr="00122403">
        <w:rPr>
          <w:rFonts w:asciiTheme="minorHAnsi" w:hAnsiTheme="minorHAnsi" w:cs="Arial"/>
          <w:b/>
          <w:sz w:val="22"/>
          <w:szCs w:val="22"/>
        </w:rPr>
        <w:t>IFRS (International Financial Reporting Standards)</w:t>
      </w:r>
    </w:p>
    <w:p w14:paraId="2A7AD992" w14:textId="77777777" w:rsidR="00C6742D" w:rsidRPr="00122403" w:rsidRDefault="00DB4C26" w:rsidP="00DB4C26">
      <w:pPr>
        <w:jc w:val="both"/>
        <w:rPr>
          <w:rFonts w:asciiTheme="minorHAnsi" w:hAnsiTheme="minorHAnsi" w:cs="Arial"/>
          <w:sz w:val="22"/>
          <w:szCs w:val="22"/>
        </w:rPr>
      </w:pPr>
      <w:r w:rsidRPr="00122403">
        <w:rPr>
          <w:rFonts w:asciiTheme="minorHAnsi" w:hAnsiTheme="minorHAnsi" w:cs="Arial"/>
          <w:sz w:val="22"/>
          <w:szCs w:val="22"/>
        </w:rPr>
        <w:t>These are a</w:t>
      </w:r>
      <w:r w:rsidR="00063138" w:rsidRPr="00122403">
        <w:rPr>
          <w:rFonts w:asciiTheme="minorHAnsi" w:hAnsiTheme="minorHAnsi" w:cs="Arial"/>
          <w:sz w:val="22"/>
          <w:szCs w:val="22"/>
        </w:rPr>
        <w:t>ccounting standards adopted by the European Union and the basis on which these accounts are prepared.</w:t>
      </w:r>
    </w:p>
    <w:p w14:paraId="45F97055" w14:textId="77777777" w:rsidR="00AD02EA" w:rsidRPr="00122403" w:rsidRDefault="00AD02EA" w:rsidP="006C585D">
      <w:pPr>
        <w:rPr>
          <w:rFonts w:asciiTheme="minorHAnsi" w:hAnsiTheme="minorHAnsi" w:cs="Arial"/>
          <w:sz w:val="22"/>
          <w:szCs w:val="22"/>
        </w:rPr>
      </w:pPr>
    </w:p>
    <w:p w14:paraId="0D5752DC" w14:textId="77777777" w:rsidR="00813AAC" w:rsidRPr="00122403" w:rsidRDefault="00813AAC" w:rsidP="006C585D">
      <w:pPr>
        <w:rPr>
          <w:rFonts w:asciiTheme="minorHAnsi" w:hAnsiTheme="minorHAnsi" w:cs="Arial"/>
          <w:b/>
          <w:sz w:val="22"/>
          <w:szCs w:val="22"/>
        </w:rPr>
      </w:pPr>
      <w:r w:rsidRPr="00122403">
        <w:rPr>
          <w:rFonts w:asciiTheme="minorHAnsi" w:hAnsiTheme="minorHAnsi" w:cs="Arial"/>
          <w:b/>
          <w:sz w:val="22"/>
          <w:szCs w:val="22"/>
        </w:rPr>
        <w:t>Leasing</w:t>
      </w:r>
    </w:p>
    <w:p w14:paraId="6A127D90" w14:textId="77777777" w:rsidR="00813AAC" w:rsidRPr="00122403" w:rsidRDefault="00813AAC" w:rsidP="006C585D">
      <w:pPr>
        <w:rPr>
          <w:rFonts w:asciiTheme="minorHAnsi" w:hAnsiTheme="minorHAnsi" w:cs="Arial"/>
          <w:sz w:val="22"/>
          <w:szCs w:val="22"/>
        </w:rPr>
      </w:pPr>
      <w:r w:rsidRPr="00122403">
        <w:rPr>
          <w:rFonts w:asciiTheme="minorHAnsi" w:hAnsiTheme="minorHAnsi" w:cs="Arial"/>
          <w:sz w:val="22"/>
          <w:szCs w:val="22"/>
        </w:rPr>
        <w:t>A method of financing the acquisition of assets, notably equipment, vehicles, plant, etc</w:t>
      </w:r>
      <w:r w:rsidR="001814A7" w:rsidRPr="00122403">
        <w:rPr>
          <w:rFonts w:asciiTheme="minorHAnsi" w:hAnsiTheme="minorHAnsi" w:cs="Arial"/>
          <w:sz w:val="22"/>
          <w:szCs w:val="22"/>
        </w:rPr>
        <w:t>.</w:t>
      </w:r>
    </w:p>
    <w:p w14:paraId="6267EDA1" w14:textId="77777777" w:rsidR="00813AAC" w:rsidRPr="00122403" w:rsidRDefault="00813AAC" w:rsidP="006C585D">
      <w:pPr>
        <w:rPr>
          <w:rFonts w:asciiTheme="minorHAnsi" w:hAnsiTheme="minorHAnsi" w:cs="Arial"/>
          <w:sz w:val="22"/>
          <w:szCs w:val="22"/>
        </w:rPr>
      </w:pPr>
      <w:r w:rsidRPr="00122403">
        <w:rPr>
          <w:rFonts w:asciiTheme="minorHAnsi" w:hAnsiTheme="minorHAnsi" w:cs="Arial"/>
          <w:sz w:val="22"/>
          <w:szCs w:val="22"/>
        </w:rPr>
        <w:t>There are two forms of lease:</w:t>
      </w:r>
    </w:p>
    <w:p w14:paraId="48141E0B" w14:textId="77777777" w:rsidR="00412516" w:rsidRPr="00122403" w:rsidRDefault="00C017A5" w:rsidP="004F7695">
      <w:pPr>
        <w:ind w:left="720" w:hanging="720"/>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r>
      <w:r w:rsidR="004F7695" w:rsidRPr="00122403">
        <w:rPr>
          <w:rFonts w:asciiTheme="minorHAnsi" w:hAnsiTheme="minorHAnsi" w:cs="Arial"/>
          <w:sz w:val="22"/>
          <w:szCs w:val="22"/>
        </w:rPr>
        <w:t>a finance lease involves payment by the lessee (the user) of the full cost of the asset together with a return on the finance provided by the lessor, usually payable over the anticipated life of the asset.</w:t>
      </w:r>
    </w:p>
    <w:p w14:paraId="46D15CB2" w14:textId="77777777" w:rsidR="004F7695" w:rsidRPr="00122403" w:rsidRDefault="004F7695" w:rsidP="00633753">
      <w:pPr>
        <w:ind w:left="720" w:hanging="720"/>
        <w:jc w:val="both"/>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t>an operating lease involves the payment of a rental by a lessee for a period, which is normally less than the useful economic life of the asset.</w:t>
      </w:r>
    </w:p>
    <w:p w14:paraId="68DDE431" w14:textId="77777777" w:rsidR="004F7695" w:rsidRPr="00122403" w:rsidRDefault="004F7695" w:rsidP="00633753">
      <w:pPr>
        <w:ind w:left="720" w:hanging="720"/>
        <w:jc w:val="both"/>
        <w:rPr>
          <w:rFonts w:asciiTheme="minorHAnsi" w:hAnsiTheme="minorHAnsi" w:cs="Arial"/>
          <w:sz w:val="22"/>
          <w:szCs w:val="22"/>
        </w:rPr>
      </w:pPr>
    </w:p>
    <w:p w14:paraId="2388093D" w14:textId="77777777"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t>LGPS (Local Government Pension Scheme)</w:t>
      </w:r>
    </w:p>
    <w:p w14:paraId="34D7300B" w14:textId="77777777" w:rsidR="001A76D5" w:rsidRPr="00122403" w:rsidRDefault="001A76D5" w:rsidP="00633753">
      <w:pPr>
        <w:jc w:val="both"/>
        <w:rPr>
          <w:rFonts w:asciiTheme="minorHAnsi" w:hAnsiTheme="minorHAnsi" w:cs="Arial"/>
          <w:sz w:val="22"/>
          <w:szCs w:val="22"/>
        </w:rPr>
      </w:pPr>
      <w:r w:rsidRPr="00122403">
        <w:rPr>
          <w:rFonts w:asciiTheme="minorHAnsi" w:hAnsiTheme="minorHAnsi" w:cs="Arial"/>
          <w:sz w:val="22"/>
          <w:szCs w:val="22"/>
        </w:rPr>
        <w:t>Th</w:t>
      </w:r>
      <w:r w:rsidR="00457D97" w:rsidRPr="00122403">
        <w:rPr>
          <w:rFonts w:asciiTheme="minorHAnsi" w:hAnsiTheme="minorHAnsi" w:cs="Arial"/>
          <w:sz w:val="22"/>
          <w:szCs w:val="22"/>
        </w:rPr>
        <w:t xml:space="preserve">is is the </w:t>
      </w:r>
      <w:r w:rsidRPr="00122403">
        <w:rPr>
          <w:rFonts w:asciiTheme="minorHAnsi" w:hAnsiTheme="minorHAnsi" w:cs="Arial"/>
          <w:sz w:val="22"/>
          <w:szCs w:val="22"/>
        </w:rPr>
        <w:t>fund that pays and manages the pensions of our staff.</w:t>
      </w:r>
    </w:p>
    <w:p w14:paraId="3E5AE964" w14:textId="77777777" w:rsidR="001A76D5" w:rsidRPr="00122403" w:rsidRDefault="001A76D5" w:rsidP="00633753">
      <w:pPr>
        <w:jc w:val="both"/>
        <w:rPr>
          <w:rFonts w:asciiTheme="minorHAnsi" w:hAnsiTheme="minorHAnsi" w:cs="Arial"/>
          <w:sz w:val="22"/>
          <w:szCs w:val="22"/>
        </w:rPr>
      </w:pPr>
    </w:p>
    <w:p w14:paraId="40B88189" w14:textId="77777777"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t>Liabilities</w:t>
      </w:r>
    </w:p>
    <w:p w14:paraId="014E474E" w14:textId="77777777" w:rsidR="001A76D5" w:rsidRPr="00122403" w:rsidRDefault="00457D97" w:rsidP="00633753">
      <w:pPr>
        <w:jc w:val="both"/>
        <w:rPr>
          <w:rFonts w:asciiTheme="minorHAnsi" w:hAnsiTheme="minorHAnsi" w:cs="Arial"/>
          <w:sz w:val="22"/>
          <w:szCs w:val="22"/>
        </w:rPr>
      </w:pPr>
      <w:r w:rsidRPr="00122403">
        <w:rPr>
          <w:rFonts w:asciiTheme="minorHAnsi" w:hAnsiTheme="minorHAnsi" w:cs="Arial"/>
          <w:sz w:val="22"/>
          <w:szCs w:val="22"/>
        </w:rPr>
        <w:t>These are o</w:t>
      </w:r>
      <w:r w:rsidR="001A76D5" w:rsidRPr="00122403">
        <w:rPr>
          <w:rFonts w:asciiTheme="minorHAnsi" w:hAnsiTheme="minorHAnsi" w:cs="Arial"/>
          <w:sz w:val="22"/>
          <w:szCs w:val="22"/>
        </w:rPr>
        <w:t>ur debts and responsibilities.</w:t>
      </w:r>
    </w:p>
    <w:p w14:paraId="33122958" w14:textId="77777777" w:rsidR="00E10060" w:rsidRPr="00122403" w:rsidRDefault="00E10060" w:rsidP="00633753">
      <w:pPr>
        <w:jc w:val="both"/>
        <w:rPr>
          <w:rFonts w:asciiTheme="minorHAnsi" w:hAnsiTheme="minorHAnsi" w:cs="Arial"/>
          <w:b/>
          <w:sz w:val="22"/>
          <w:szCs w:val="22"/>
        </w:rPr>
      </w:pPr>
    </w:p>
    <w:p w14:paraId="5AC8DCAD" w14:textId="77777777" w:rsidR="00744BDB" w:rsidRPr="00122403" w:rsidRDefault="00744BDB" w:rsidP="00633753">
      <w:pPr>
        <w:jc w:val="both"/>
        <w:rPr>
          <w:rFonts w:asciiTheme="minorHAnsi" w:hAnsiTheme="minorHAnsi" w:cs="Arial"/>
          <w:b/>
          <w:sz w:val="22"/>
          <w:szCs w:val="22"/>
        </w:rPr>
      </w:pPr>
      <w:r w:rsidRPr="00122403">
        <w:rPr>
          <w:rFonts w:asciiTheme="minorHAnsi" w:hAnsiTheme="minorHAnsi" w:cs="Arial"/>
          <w:b/>
          <w:sz w:val="22"/>
          <w:szCs w:val="22"/>
        </w:rPr>
        <w:t>Long Term Borrowing</w:t>
      </w:r>
    </w:p>
    <w:p w14:paraId="66C6B7AB" w14:textId="77777777" w:rsidR="00744BDB" w:rsidRPr="00122403" w:rsidRDefault="00457D97" w:rsidP="00633753">
      <w:pPr>
        <w:jc w:val="both"/>
        <w:rPr>
          <w:rFonts w:asciiTheme="minorHAnsi" w:hAnsiTheme="minorHAnsi" w:cs="Arial"/>
          <w:sz w:val="22"/>
          <w:szCs w:val="22"/>
        </w:rPr>
      </w:pPr>
      <w:r w:rsidRPr="00122403">
        <w:rPr>
          <w:rFonts w:asciiTheme="minorHAnsi" w:hAnsiTheme="minorHAnsi" w:cs="Arial"/>
          <w:sz w:val="22"/>
          <w:szCs w:val="22"/>
        </w:rPr>
        <w:t>This relates to l</w:t>
      </w:r>
      <w:r w:rsidR="00744BDB" w:rsidRPr="00122403">
        <w:rPr>
          <w:rFonts w:asciiTheme="minorHAnsi" w:hAnsiTheme="minorHAnsi" w:cs="Arial"/>
          <w:sz w:val="22"/>
          <w:szCs w:val="22"/>
        </w:rPr>
        <w:t>oans raised to finance capital spending which have still to be repaid.</w:t>
      </w:r>
    </w:p>
    <w:p w14:paraId="708102F8" w14:textId="77777777" w:rsidR="00F4084C" w:rsidRPr="00122403" w:rsidRDefault="00F4084C" w:rsidP="00633753">
      <w:pPr>
        <w:jc w:val="both"/>
        <w:rPr>
          <w:rFonts w:asciiTheme="minorHAnsi" w:hAnsiTheme="minorHAnsi" w:cs="Arial"/>
          <w:b/>
          <w:sz w:val="22"/>
          <w:szCs w:val="22"/>
        </w:rPr>
      </w:pPr>
    </w:p>
    <w:p w14:paraId="205BDADB" w14:textId="77777777"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t>Minimum Revenue Provision (MRP)</w:t>
      </w:r>
    </w:p>
    <w:p w14:paraId="7EE7D9A6" w14:textId="77777777" w:rsidR="001A76D5" w:rsidRPr="00122403" w:rsidRDefault="001A76D5" w:rsidP="00633753">
      <w:pPr>
        <w:jc w:val="both"/>
        <w:rPr>
          <w:rFonts w:asciiTheme="minorHAnsi" w:hAnsiTheme="minorHAnsi" w:cs="Arial"/>
          <w:sz w:val="22"/>
          <w:szCs w:val="22"/>
        </w:rPr>
      </w:pPr>
      <w:r w:rsidRPr="00122403">
        <w:rPr>
          <w:rFonts w:asciiTheme="minorHAnsi" w:hAnsiTheme="minorHAnsi" w:cs="Arial"/>
          <w:sz w:val="22"/>
          <w:szCs w:val="22"/>
        </w:rPr>
        <w:t>This is the amount we have to set aside, out of our revenue, to repay loans.</w:t>
      </w:r>
    </w:p>
    <w:p w14:paraId="1F95AA32" w14:textId="77777777" w:rsidR="006949A8" w:rsidRPr="00122403" w:rsidRDefault="006949A8" w:rsidP="00633753">
      <w:pPr>
        <w:jc w:val="both"/>
        <w:rPr>
          <w:rFonts w:asciiTheme="minorHAnsi" w:hAnsiTheme="minorHAnsi" w:cs="Arial"/>
          <w:sz w:val="22"/>
          <w:szCs w:val="22"/>
        </w:rPr>
      </w:pPr>
    </w:p>
    <w:p w14:paraId="4BAF016D" w14:textId="77777777" w:rsidR="006949A8" w:rsidRPr="00122403" w:rsidRDefault="006949A8" w:rsidP="00633753">
      <w:pPr>
        <w:jc w:val="both"/>
        <w:rPr>
          <w:rFonts w:asciiTheme="minorHAnsi" w:hAnsiTheme="minorHAnsi" w:cs="Arial"/>
          <w:b/>
          <w:sz w:val="22"/>
          <w:szCs w:val="22"/>
        </w:rPr>
      </w:pPr>
      <w:r w:rsidRPr="00122403">
        <w:rPr>
          <w:rFonts w:asciiTheme="minorHAnsi" w:hAnsiTheme="minorHAnsi" w:cs="Arial"/>
          <w:b/>
          <w:sz w:val="22"/>
          <w:szCs w:val="22"/>
        </w:rPr>
        <w:t>Movement in Reserves Statement</w:t>
      </w:r>
    </w:p>
    <w:p w14:paraId="13D69475" w14:textId="77777777" w:rsidR="006949A8" w:rsidRPr="00122403" w:rsidRDefault="006949A8" w:rsidP="00633753">
      <w:pPr>
        <w:jc w:val="both"/>
        <w:rPr>
          <w:rFonts w:asciiTheme="minorHAnsi" w:hAnsiTheme="minorHAnsi" w:cs="Arial"/>
          <w:sz w:val="22"/>
          <w:szCs w:val="22"/>
        </w:rPr>
      </w:pPr>
      <w:r w:rsidRPr="00122403">
        <w:rPr>
          <w:rFonts w:asciiTheme="minorHAnsi" w:hAnsiTheme="minorHAnsi" w:cs="Arial"/>
          <w:sz w:val="22"/>
          <w:szCs w:val="22"/>
        </w:rPr>
        <w:t>A reconciliation showing how the balance of resources generated/consumed in the year links in with statutory requirements for raising Council Tax.</w:t>
      </w:r>
    </w:p>
    <w:p w14:paraId="2A0A0886" w14:textId="77777777" w:rsidR="001A76D5" w:rsidRDefault="001A76D5" w:rsidP="00633753">
      <w:pPr>
        <w:jc w:val="both"/>
        <w:rPr>
          <w:rFonts w:asciiTheme="minorHAnsi" w:hAnsiTheme="minorHAnsi" w:cs="Arial"/>
          <w:b/>
          <w:sz w:val="22"/>
          <w:szCs w:val="22"/>
        </w:rPr>
      </w:pPr>
    </w:p>
    <w:p w14:paraId="04C6F802" w14:textId="77777777" w:rsidR="006E325D" w:rsidRDefault="006E325D" w:rsidP="00633753">
      <w:pPr>
        <w:jc w:val="both"/>
        <w:rPr>
          <w:rFonts w:asciiTheme="minorHAnsi" w:hAnsiTheme="minorHAnsi" w:cs="Arial"/>
          <w:b/>
          <w:sz w:val="22"/>
          <w:szCs w:val="22"/>
        </w:rPr>
      </w:pPr>
    </w:p>
    <w:p w14:paraId="044CB7FC" w14:textId="77777777" w:rsidR="006E325D" w:rsidRDefault="006E325D" w:rsidP="00633753">
      <w:pPr>
        <w:jc w:val="both"/>
        <w:rPr>
          <w:rFonts w:asciiTheme="minorHAnsi" w:hAnsiTheme="minorHAnsi" w:cs="Arial"/>
          <w:b/>
          <w:sz w:val="22"/>
          <w:szCs w:val="22"/>
        </w:rPr>
      </w:pPr>
    </w:p>
    <w:p w14:paraId="50906B44" w14:textId="77777777" w:rsidR="006E325D" w:rsidRDefault="006E325D" w:rsidP="00633753">
      <w:pPr>
        <w:jc w:val="both"/>
        <w:rPr>
          <w:rFonts w:asciiTheme="minorHAnsi" w:hAnsiTheme="minorHAnsi" w:cs="Arial"/>
          <w:b/>
          <w:sz w:val="22"/>
          <w:szCs w:val="22"/>
        </w:rPr>
      </w:pPr>
    </w:p>
    <w:p w14:paraId="30380A9F" w14:textId="3D8FCBF6"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lastRenderedPageBreak/>
        <w:t>National Non-Domestic Rates (NNDR)</w:t>
      </w:r>
    </w:p>
    <w:p w14:paraId="70FC2FAE" w14:textId="77777777" w:rsidR="001A76D5" w:rsidRPr="00122403" w:rsidRDefault="001A76D5" w:rsidP="00633753">
      <w:pPr>
        <w:jc w:val="both"/>
        <w:rPr>
          <w:rFonts w:asciiTheme="minorHAnsi" w:hAnsiTheme="minorHAnsi" w:cs="Arial"/>
          <w:sz w:val="22"/>
          <w:szCs w:val="22"/>
        </w:rPr>
      </w:pPr>
      <w:r w:rsidRPr="00122403">
        <w:rPr>
          <w:rFonts w:asciiTheme="minorHAnsi" w:hAnsiTheme="minorHAnsi" w:cs="Arial"/>
          <w:sz w:val="22"/>
          <w:szCs w:val="22"/>
        </w:rPr>
        <w:t xml:space="preserve">This is a charge, which all businesses must pay for their premises. It is worked out by multiplying a property’s rateable value by a nationally set multiplier. National Non-Domestic Rates </w:t>
      </w:r>
      <w:r w:rsidR="00A6075F" w:rsidRPr="00122403">
        <w:rPr>
          <w:rFonts w:asciiTheme="minorHAnsi" w:hAnsiTheme="minorHAnsi" w:cs="Arial"/>
          <w:sz w:val="22"/>
          <w:szCs w:val="22"/>
        </w:rPr>
        <w:t>are now partially retained by the Council under the new business rates retention scheme.</w:t>
      </w:r>
    </w:p>
    <w:p w14:paraId="15BE0FB6" w14:textId="77777777" w:rsidR="00B7744C" w:rsidRPr="00122403" w:rsidRDefault="00B7744C" w:rsidP="00633753">
      <w:pPr>
        <w:jc w:val="both"/>
        <w:rPr>
          <w:rFonts w:asciiTheme="minorHAnsi" w:hAnsiTheme="minorHAnsi" w:cs="Arial"/>
          <w:sz w:val="22"/>
          <w:szCs w:val="22"/>
        </w:rPr>
      </w:pPr>
    </w:p>
    <w:p w14:paraId="376D895E" w14:textId="77777777" w:rsidR="00AD02EA" w:rsidRPr="00122403" w:rsidRDefault="00AD02EA" w:rsidP="00633753">
      <w:pPr>
        <w:jc w:val="both"/>
        <w:rPr>
          <w:rFonts w:asciiTheme="minorHAnsi" w:hAnsiTheme="minorHAnsi" w:cs="Arial"/>
          <w:b/>
          <w:sz w:val="22"/>
          <w:szCs w:val="22"/>
        </w:rPr>
      </w:pPr>
      <w:r w:rsidRPr="00122403">
        <w:rPr>
          <w:rFonts w:asciiTheme="minorHAnsi" w:hAnsiTheme="minorHAnsi" w:cs="Arial"/>
          <w:b/>
          <w:sz w:val="22"/>
          <w:szCs w:val="22"/>
        </w:rPr>
        <w:t xml:space="preserve">Net </w:t>
      </w:r>
      <w:r w:rsidR="00E10060" w:rsidRPr="00122403">
        <w:rPr>
          <w:rFonts w:asciiTheme="minorHAnsi" w:hAnsiTheme="minorHAnsi" w:cs="Arial"/>
          <w:b/>
          <w:sz w:val="22"/>
          <w:szCs w:val="22"/>
        </w:rPr>
        <w:t>B</w:t>
      </w:r>
      <w:r w:rsidRPr="00122403">
        <w:rPr>
          <w:rFonts w:asciiTheme="minorHAnsi" w:hAnsiTheme="minorHAnsi" w:cs="Arial"/>
          <w:b/>
          <w:sz w:val="22"/>
          <w:szCs w:val="22"/>
        </w:rPr>
        <w:t xml:space="preserve">ook </w:t>
      </w:r>
      <w:r w:rsidR="00E10060" w:rsidRPr="00122403">
        <w:rPr>
          <w:rFonts w:asciiTheme="minorHAnsi" w:hAnsiTheme="minorHAnsi" w:cs="Arial"/>
          <w:b/>
          <w:sz w:val="22"/>
          <w:szCs w:val="22"/>
        </w:rPr>
        <w:t>V</w:t>
      </w:r>
      <w:r w:rsidRPr="00122403">
        <w:rPr>
          <w:rFonts w:asciiTheme="minorHAnsi" w:hAnsiTheme="minorHAnsi" w:cs="Arial"/>
          <w:b/>
          <w:sz w:val="22"/>
          <w:szCs w:val="22"/>
        </w:rPr>
        <w:t>alue</w:t>
      </w:r>
    </w:p>
    <w:p w14:paraId="003BA33C" w14:textId="482865E3" w:rsidR="00AD02EA" w:rsidRPr="00122403" w:rsidRDefault="0068534A" w:rsidP="00633753">
      <w:pPr>
        <w:jc w:val="both"/>
        <w:rPr>
          <w:rFonts w:asciiTheme="minorHAnsi" w:hAnsiTheme="minorHAnsi" w:cs="Arial"/>
          <w:sz w:val="22"/>
          <w:szCs w:val="22"/>
        </w:rPr>
      </w:pPr>
      <w:r w:rsidRPr="00122403">
        <w:rPr>
          <w:rFonts w:asciiTheme="minorHAnsi" w:hAnsiTheme="minorHAnsi" w:cs="Arial"/>
          <w:sz w:val="22"/>
          <w:szCs w:val="22"/>
        </w:rPr>
        <w:t>The amount at which non</w:t>
      </w:r>
      <w:r w:rsidR="00457D97" w:rsidRPr="00122403">
        <w:rPr>
          <w:rFonts w:asciiTheme="minorHAnsi" w:hAnsiTheme="minorHAnsi" w:cs="Arial"/>
          <w:sz w:val="22"/>
          <w:szCs w:val="22"/>
        </w:rPr>
        <w:t>-</w:t>
      </w:r>
      <w:r w:rsidRPr="00122403">
        <w:rPr>
          <w:rFonts w:asciiTheme="minorHAnsi" w:hAnsiTheme="minorHAnsi" w:cs="Arial"/>
          <w:sz w:val="22"/>
          <w:szCs w:val="22"/>
        </w:rPr>
        <w:t>current</w:t>
      </w:r>
      <w:r w:rsidR="00AD02EA" w:rsidRPr="00122403">
        <w:rPr>
          <w:rFonts w:asciiTheme="minorHAnsi" w:hAnsiTheme="minorHAnsi" w:cs="Arial"/>
          <w:sz w:val="22"/>
          <w:szCs w:val="22"/>
        </w:rPr>
        <w:t xml:space="preserve"> assets are included in the </w:t>
      </w:r>
      <w:r w:rsidR="00457D97" w:rsidRPr="00122403">
        <w:rPr>
          <w:rFonts w:asciiTheme="minorHAnsi" w:hAnsiTheme="minorHAnsi" w:cs="Arial"/>
          <w:sz w:val="22"/>
          <w:szCs w:val="22"/>
        </w:rPr>
        <w:t>B</w:t>
      </w:r>
      <w:r w:rsidR="00AD02EA" w:rsidRPr="00122403">
        <w:rPr>
          <w:rFonts w:asciiTheme="minorHAnsi" w:hAnsiTheme="minorHAnsi" w:cs="Arial"/>
          <w:sz w:val="22"/>
          <w:szCs w:val="22"/>
        </w:rPr>
        <w:t xml:space="preserve">alance </w:t>
      </w:r>
      <w:r w:rsidR="00457D97" w:rsidRPr="00122403">
        <w:rPr>
          <w:rFonts w:asciiTheme="minorHAnsi" w:hAnsiTheme="minorHAnsi" w:cs="Arial"/>
          <w:sz w:val="22"/>
          <w:szCs w:val="22"/>
        </w:rPr>
        <w:t>S</w:t>
      </w:r>
      <w:r w:rsidR="00AD02EA" w:rsidRPr="00122403">
        <w:rPr>
          <w:rFonts w:asciiTheme="minorHAnsi" w:hAnsiTheme="minorHAnsi" w:cs="Arial"/>
          <w:sz w:val="22"/>
          <w:szCs w:val="22"/>
        </w:rPr>
        <w:t xml:space="preserve">heet, </w:t>
      </w:r>
      <w:r w:rsidR="00120BFE">
        <w:rPr>
          <w:rFonts w:asciiTheme="minorHAnsi" w:hAnsiTheme="minorHAnsi" w:cs="Arial"/>
          <w:sz w:val="22"/>
          <w:szCs w:val="22"/>
        </w:rPr>
        <w:t>for example,</w:t>
      </w:r>
      <w:r w:rsidR="00AD02EA" w:rsidRPr="00122403">
        <w:rPr>
          <w:rFonts w:asciiTheme="minorHAnsi" w:hAnsiTheme="minorHAnsi" w:cs="Arial"/>
          <w:sz w:val="22"/>
          <w:szCs w:val="22"/>
        </w:rPr>
        <w:t xml:space="preserve"> their historical cost or current value less the cumulative amounts provided for depreciation.</w:t>
      </w:r>
    </w:p>
    <w:p w14:paraId="0AF1DE3C" w14:textId="77777777" w:rsidR="00331869" w:rsidRPr="00122403" w:rsidRDefault="00331869" w:rsidP="00633753">
      <w:pPr>
        <w:jc w:val="both"/>
        <w:rPr>
          <w:rFonts w:asciiTheme="minorHAnsi" w:hAnsiTheme="minorHAnsi" w:cs="Arial"/>
          <w:sz w:val="22"/>
          <w:szCs w:val="22"/>
        </w:rPr>
      </w:pPr>
    </w:p>
    <w:p w14:paraId="7BE7686E" w14:textId="77777777" w:rsidR="00FF2690" w:rsidRPr="00122403" w:rsidRDefault="00FF2690" w:rsidP="00633753">
      <w:pPr>
        <w:jc w:val="both"/>
        <w:rPr>
          <w:rFonts w:asciiTheme="minorHAnsi" w:hAnsiTheme="minorHAnsi" w:cs="Arial"/>
          <w:b/>
          <w:sz w:val="22"/>
          <w:szCs w:val="22"/>
        </w:rPr>
      </w:pPr>
      <w:r w:rsidRPr="00122403">
        <w:rPr>
          <w:rFonts w:asciiTheme="minorHAnsi" w:hAnsiTheme="minorHAnsi" w:cs="Arial"/>
          <w:b/>
          <w:sz w:val="22"/>
          <w:szCs w:val="22"/>
        </w:rPr>
        <w:t xml:space="preserve">Net </w:t>
      </w:r>
      <w:r w:rsidR="00E10060" w:rsidRPr="00122403">
        <w:rPr>
          <w:rFonts w:asciiTheme="minorHAnsi" w:hAnsiTheme="minorHAnsi" w:cs="Arial"/>
          <w:b/>
          <w:sz w:val="22"/>
          <w:szCs w:val="22"/>
        </w:rPr>
        <w:t>C</w:t>
      </w:r>
      <w:r w:rsidRPr="00122403">
        <w:rPr>
          <w:rFonts w:asciiTheme="minorHAnsi" w:hAnsiTheme="minorHAnsi" w:cs="Arial"/>
          <w:b/>
          <w:sz w:val="22"/>
          <w:szCs w:val="22"/>
        </w:rPr>
        <w:t xml:space="preserve">urrent </w:t>
      </w:r>
      <w:r w:rsidR="00E10060" w:rsidRPr="00122403">
        <w:rPr>
          <w:rFonts w:asciiTheme="minorHAnsi" w:hAnsiTheme="minorHAnsi" w:cs="Arial"/>
          <w:b/>
          <w:sz w:val="22"/>
          <w:szCs w:val="22"/>
        </w:rPr>
        <w:t>R</w:t>
      </w:r>
      <w:r w:rsidRPr="00122403">
        <w:rPr>
          <w:rFonts w:asciiTheme="minorHAnsi" w:hAnsiTheme="minorHAnsi" w:cs="Arial"/>
          <w:b/>
          <w:sz w:val="22"/>
          <w:szCs w:val="22"/>
        </w:rPr>
        <w:t xml:space="preserve">eplacement </w:t>
      </w:r>
      <w:r w:rsidR="00E10060" w:rsidRPr="00122403">
        <w:rPr>
          <w:rFonts w:asciiTheme="minorHAnsi" w:hAnsiTheme="minorHAnsi" w:cs="Arial"/>
          <w:b/>
          <w:sz w:val="22"/>
          <w:szCs w:val="22"/>
        </w:rPr>
        <w:t>C</w:t>
      </w:r>
      <w:r w:rsidRPr="00122403">
        <w:rPr>
          <w:rFonts w:asciiTheme="minorHAnsi" w:hAnsiTheme="minorHAnsi" w:cs="Arial"/>
          <w:b/>
          <w:sz w:val="22"/>
          <w:szCs w:val="22"/>
        </w:rPr>
        <w:t>ost</w:t>
      </w:r>
    </w:p>
    <w:p w14:paraId="779E3ADC" w14:textId="43AC4868" w:rsidR="00FF2690" w:rsidRPr="00122403" w:rsidRDefault="00FF2690" w:rsidP="00633753">
      <w:pPr>
        <w:jc w:val="both"/>
        <w:rPr>
          <w:rFonts w:asciiTheme="minorHAnsi" w:hAnsiTheme="minorHAnsi" w:cs="Arial"/>
          <w:sz w:val="22"/>
          <w:szCs w:val="22"/>
        </w:rPr>
      </w:pPr>
      <w:r w:rsidRPr="00122403">
        <w:rPr>
          <w:rFonts w:asciiTheme="minorHAnsi" w:hAnsiTheme="minorHAnsi" w:cs="Arial"/>
          <w:sz w:val="22"/>
          <w:szCs w:val="22"/>
        </w:rPr>
        <w:t xml:space="preserve">The cost of replacing or recreating the particular asset in its existing condition and in its existing use, </w:t>
      </w:r>
      <w:r w:rsidR="00120BFE">
        <w:rPr>
          <w:rFonts w:asciiTheme="minorHAnsi" w:hAnsiTheme="minorHAnsi" w:cs="Arial"/>
          <w:sz w:val="22"/>
          <w:szCs w:val="22"/>
        </w:rPr>
        <w:t>for example,</w:t>
      </w:r>
      <w:r w:rsidRPr="00122403">
        <w:rPr>
          <w:rFonts w:asciiTheme="minorHAnsi" w:hAnsiTheme="minorHAnsi" w:cs="Arial"/>
          <w:sz w:val="22"/>
          <w:szCs w:val="22"/>
        </w:rPr>
        <w:t xml:space="preserve"> the cost of its replacement or of the nearest equivalent asset, adjusted to reflect the current condition of the existing asset.</w:t>
      </w:r>
    </w:p>
    <w:p w14:paraId="0C450508" w14:textId="77777777" w:rsidR="00FF2690" w:rsidRPr="00122403" w:rsidRDefault="00FF2690" w:rsidP="00633753">
      <w:pPr>
        <w:jc w:val="both"/>
        <w:rPr>
          <w:rFonts w:asciiTheme="minorHAnsi" w:hAnsiTheme="minorHAnsi" w:cs="Arial"/>
          <w:sz w:val="22"/>
          <w:szCs w:val="22"/>
        </w:rPr>
      </w:pPr>
    </w:p>
    <w:p w14:paraId="4EDEC82A" w14:textId="77777777" w:rsidR="00FF2690" w:rsidRPr="00122403" w:rsidRDefault="00FF2690" w:rsidP="00633753">
      <w:pPr>
        <w:jc w:val="both"/>
        <w:rPr>
          <w:rFonts w:asciiTheme="minorHAnsi" w:hAnsiTheme="minorHAnsi" w:cs="Arial"/>
          <w:b/>
          <w:sz w:val="22"/>
          <w:szCs w:val="22"/>
        </w:rPr>
      </w:pPr>
      <w:r w:rsidRPr="00122403">
        <w:rPr>
          <w:rFonts w:asciiTheme="minorHAnsi" w:hAnsiTheme="minorHAnsi" w:cs="Arial"/>
          <w:b/>
          <w:sz w:val="22"/>
          <w:szCs w:val="22"/>
        </w:rPr>
        <w:t xml:space="preserve">Net </w:t>
      </w:r>
      <w:r w:rsidR="00E10060" w:rsidRPr="00122403">
        <w:rPr>
          <w:rFonts w:asciiTheme="minorHAnsi" w:hAnsiTheme="minorHAnsi" w:cs="Arial"/>
          <w:b/>
          <w:sz w:val="22"/>
          <w:szCs w:val="22"/>
        </w:rPr>
        <w:t>R</w:t>
      </w:r>
      <w:r w:rsidRPr="00122403">
        <w:rPr>
          <w:rFonts w:asciiTheme="minorHAnsi" w:hAnsiTheme="minorHAnsi" w:cs="Arial"/>
          <w:b/>
          <w:sz w:val="22"/>
          <w:szCs w:val="22"/>
        </w:rPr>
        <w:t xml:space="preserve">ealisable </w:t>
      </w:r>
      <w:r w:rsidR="00E10060" w:rsidRPr="00122403">
        <w:rPr>
          <w:rFonts w:asciiTheme="minorHAnsi" w:hAnsiTheme="minorHAnsi" w:cs="Arial"/>
          <w:b/>
          <w:sz w:val="22"/>
          <w:szCs w:val="22"/>
        </w:rPr>
        <w:t>V</w:t>
      </w:r>
      <w:r w:rsidRPr="00122403">
        <w:rPr>
          <w:rFonts w:asciiTheme="minorHAnsi" w:hAnsiTheme="minorHAnsi" w:cs="Arial"/>
          <w:b/>
          <w:sz w:val="22"/>
          <w:szCs w:val="22"/>
        </w:rPr>
        <w:t>alue</w:t>
      </w:r>
    </w:p>
    <w:p w14:paraId="53B1DF4E" w14:textId="77777777" w:rsidR="00FF2690" w:rsidRPr="00122403" w:rsidRDefault="00FF2690" w:rsidP="00633753">
      <w:pPr>
        <w:jc w:val="both"/>
        <w:rPr>
          <w:rFonts w:asciiTheme="minorHAnsi" w:hAnsiTheme="minorHAnsi" w:cs="Arial"/>
          <w:sz w:val="22"/>
          <w:szCs w:val="22"/>
        </w:rPr>
      </w:pPr>
      <w:r w:rsidRPr="00122403">
        <w:rPr>
          <w:rFonts w:asciiTheme="minorHAnsi" w:hAnsiTheme="minorHAnsi" w:cs="Arial"/>
          <w:sz w:val="22"/>
          <w:szCs w:val="22"/>
        </w:rPr>
        <w:t>The open market value of the asset in its existing use (or open market value in the case of non-operational assets), less the expenses to be incurred in realising the asset.</w:t>
      </w:r>
    </w:p>
    <w:p w14:paraId="69D08A53" w14:textId="77777777" w:rsidR="00457D97" w:rsidRPr="00122403" w:rsidRDefault="00457D97" w:rsidP="00633753">
      <w:pPr>
        <w:jc w:val="both"/>
        <w:rPr>
          <w:rFonts w:asciiTheme="minorHAnsi" w:hAnsiTheme="minorHAnsi" w:cs="Arial"/>
          <w:sz w:val="22"/>
          <w:szCs w:val="22"/>
        </w:rPr>
      </w:pPr>
    </w:p>
    <w:p w14:paraId="00578DF0" w14:textId="77777777"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t xml:space="preserve">Net </w:t>
      </w:r>
      <w:r w:rsidR="00E10060" w:rsidRPr="00122403">
        <w:rPr>
          <w:rFonts w:asciiTheme="minorHAnsi" w:hAnsiTheme="minorHAnsi" w:cs="Arial"/>
          <w:b/>
          <w:sz w:val="22"/>
          <w:szCs w:val="22"/>
        </w:rPr>
        <w:t>S</w:t>
      </w:r>
      <w:r w:rsidRPr="00122403">
        <w:rPr>
          <w:rFonts w:asciiTheme="minorHAnsi" w:hAnsiTheme="minorHAnsi" w:cs="Arial"/>
          <w:b/>
          <w:sz w:val="22"/>
          <w:szCs w:val="22"/>
        </w:rPr>
        <w:t>pending</w:t>
      </w:r>
    </w:p>
    <w:p w14:paraId="39ECE65D" w14:textId="77777777" w:rsidR="001A76D5" w:rsidRPr="00122403" w:rsidRDefault="001A76D5" w:rsidP="00633753">
      <w:pPr>
        <w:jc w:val="both"/>
        <w:rPr>
          <w:rFonts w:asciiTheme="minorHAnsi" w:hAnsiTheme="minorHAnsi" w:cs="Arial"/>
          <w:sz w:val="22"/>
          <w:szCs w:val="22"/>
        </w:rPr>
      </w:pPr>
      <w:r w:rsidRPr="00122403">
        <w:rPr>
          <w:rFonts w:asciiTheme="minorHAnsi" w:hAnsiTheme="minorHAnsi" w:cs="Arial"/>
          <w:sz w:val="22"/>
          <w:szCs w:val="22"/>
        </w:rPr>
        <w:t xml:space="preserve">The cost of providing a service after we have </w:t>
      </w:r>
      <w:proofErr w:type="gramStart"/>
      <w:r w:rsidRPr="00122403">
        <w:rPr>
          <w:rFonts w:asciiTheme="minorHAnsi" w:hAnsiTheme="minorHAnsi" w:cs="Arial"/>
          <w:sz w:val="22"/>
          <w:szCs w:val="22"/>
        </w:rPr>
        <w:t>taken into account</w:t>
      </w:r>
      <w:proofErr w:type="gramEnd"/>
      <w:r w:rsidRPr="00122403">
        <w:rPr>
          <w:rFonts w:asciiTheme="minorHAnsi" w:hAnsiTheme="minorHAnsi" w:cs="Arial"/>
          <w:sz w:val="22"/>
          <w:szCs w:val="22"/>
        </w:rPr>
        <w:t xml:space="preserve"> income from government grants and fees and charges.</w:t>
      </w:r>
    </w:p>
    <w:p w14:paraId="504E3DC6" w14:textId="77777777" w:rsidR="001A76D5" w:rsidRPr="00122403" w:rsidRDefault="001A76D5" w:rsidP="00633753">
      <w:pPr>
        <w:jc w:val="both"/>
        <w:rPr>
          <w:rFonts w:asciiTheme="minorHAnsi" w:hAnsiTheme="minorHAnsi" w:cs="Arial"/>
          <w:sz w:val="22"/>
          <w:szCs w:val="22"/>
        </w:rPr>
      </w:pPr>
    </w:p>
    <w:p w14:paraId="64A4C1CC" w14:textId="77777777" w:rsidR="001A76D5" w:rsidRPr="00122403" w:rsidRDefault="001A76D5" w:rsidP="00633753">
      <w:pPr>
        <w:jc w:val="both"/>
        <w:rPr>
          <w:rFonts w:asciiTheme="minorHAnsi" w:hAnsiTheme="minorHAnsi" w:cs="Arial"/>
          <w:b/>
          <w:sz w:val="22"/>
          <w:szCs w:val="22"/>
        </w:rPr>
      </w:pPr>
      <w:r w:rsidRPr="00122403">
        <w:rPr>
          <w:rFonts w:asciiTheme="minorHAnsi" w:hAnsiTheme="minorHAnsi" w:cs="Arial"/>
          <w:b/>
          <w:sz w:val="22"/>
          <w:szCs w:val="22"/>
        </w:rPr>
        <w:t xml:space="preserve">Nominal </w:t>
      </w:r>
      <w:r w:rsidR="00E10060" w:rsidRPr="00122403">
        <w:rPr>
          <w:rFonts w:asciiTheme="minorHAnsi" w:hAnsiTheme="minorHAnsi" w:cs="Arial"/>
          <w:b/>
          <w:sz w:val="22"/>
          <w:szCs w:val="22"/>
        </w:rPr>
        <w:t>V</w:t>
      </w:r>
      <w:r w:rsidRPr="00122403">
        <w:rPr>
          <w:rFonts w:asciiTheme="minorHAnsi" w:hAnsiTheme="minorHAnsi" w:cs="Arial"/>
          <w:b/>
          <w:sz w:val="22"/>
          <w:szCs w:val="22"/>
        </w:rPr>
        <w:t>alue</w:t>
      </w:r>
    </w:p>
    <w:p w14:paraId="1FABAC64" w14:textId="77777777" w:rsidR="001A76D5" w:rsidRPr="00122403" w:rsidRDefault="001A76D5" w:rsidP="00633753">
      <w:pPr>
        <w:jc w:val="both"/>
        <w:rPr>
          <w:rFonts w:asciiTheme="minorHAnsi" w:hAnsiTheme="minorHAnsi" w:cs="Arial"/>
          <w:sz w:val="22"/>
          <w:szCs w:val="22"/>
        </w:rPr>
      </w:pPr>
      <w:r w:rsidRPr="00122403">
        <w:rPr>
          <w:rFonts w:asciiTheme="minorHAnsi" w:hAnsiTheme="minorHAnsi" w:cs="Arial"/>
          <w:sz w:val="22"/>
          <w:szCs w:val="22"/>
        </w:rPr>
        <w:t xml:space="preserve">Where an asset cannot be sold, it is given a very low value in the </w:t>
      </w:r>
      <w:r w:rsidR="00457D97" w:rsidRPr="00122403">
        <w:rPr>
          <w:rFonts w:asciiTheme="minorHAnsi" w:hAnsiTheme="minorHAnsi" w:cs="Arial"/>
          <w:sz w:val="22"/>
          <w:szCs w:val="22"/>
        </w:rPr>
        <w:t>B</w:t>
      </w:r>
      <w:r w:rsidRPr="00122403">
        <w:rPr>
          <w:rFonts w:asciiTheme="minorHAnsi" w:hAnsiTheme="minorHAnsi" w:cs="Arial"/>
          <w:sz w:val="22"/>
          <w:szCs w:val="22"/>
        </w:rPr>
        <w:t xml:space="preserve">alance </w:t>
      </w:r>
      <w:r w:rsidR="00457D97" w:rsidRPr="00122403">
        <w:rPr>
          <w:rFonts w:asciiTheme="minorHAnsi" w:hAnsiTheme="minorHAnsi" w:cs="Arial"/>
          <w:sz w:val="22"/>
          <w:szCs w:val="22"/>
        </w:rPr>
        <w:t>S</w:t>
      </w:r>
      <w:r w:rsidR="001A1BF0" w:rsidRPr="00122403">
        <w:rPr>
          <w:rFonts w:asciiTheme="minorHAnsi" w:hAnsiTheme="minorHAnsi" w:cs="Arial"/>
          <w:sz w:val="22"/>
          <w:szCs w:val="22"/>
        </w:rPr>
        <w:t>heet to recognise that it has no resale value.</w:t>
      </w:r>
    </w:p>
    <w:p w14:paraId="180146C8" w14:textId="77777777" w:rsidR="00DD1C93" w:rsidRPr="00122403" w:rsidRDefault="00DD1C93" w:rsidP="00633753">
      <w:pPr>
        <w:jc w:val="both"/>
        <w:rPr>
          <w:rFonts w:asciiTheme="minorHAnsi" w:hAnsiTheme="minorHAnsi" w:cs="Arial"/>
          <w:sz w:val="22"/>
          <w:szCs w:val="22"/>
        </w:rPr>
      </w:pPr>
    </w:p>
    <w:p w14:paraId="040520F4" w14:textId="77777777" w:rsidR="002929CD" w:rsidRPr="00122403" w:rsidRDefault="002929CD" w:rsidP="00633753">
      <w:pPr>
        <w:jc w:val="both"/>
        <w:rPr>
          <w:rFonts w:asciiTheme="minorHAnsi" w:hAnsiTheme="minorHAnsi" w:cs="Arial"/>
          <w:b/>
          <w:sz w:val="22"/>
          <w:szCs w:val="22"/>
        </w:rPr>
      </w:pPr>
      <w:r w:rsidRPr="00122403">
        <w:rPr>
          <w:rFonts w:asciiTheme="minorHAnsi" w:hAnsiTheme="minorHAnsi" w:cs="Arial"/>
          <w:b/>
          <w:sz w:val="22"/>
          <w:szCs w:val="22"/>
        </w:rPr>
        <w:t>Non-Current Assets</w:t>
      </w:r>
    </w:p>
    <w:p w14:paraId="53CDF041" w14:textId="77777777" w:rsidR="002929CD" w:rsidRPr="00122403" w:rsidRDefault="002929CD" w:rsidP="00633753">
      <w:pPr>
        <w:jc w:val="both"/>
        <w:rPr>
          <w:rFonts w:asciiTheme="minorHAnsi" w:hAnsiTheme="minorHAnsi" w:cs="Arial"/>
          <w:sz w:val="22"/>
          <w:szCs w:val="22"/>
        </w:rPr>
      </w:pPr>
      <w:r w:rsidRPr="00122403">
        <w:rPr>
          <w:rFonts w:asciiTheme="minorHAnsi" w:hAnsiTheme="minorHAnsi" w:cs="Arial"/>
          <w:sz w:val="22"/>
          <w:szCs w:val="22"/>
        </w:rPr>
        <w:t>Property, plant and equipment assets which are carried on the Balance Sheet.</w:t>
      </w:r>
    </w:p>
    <w:p w14:paraId="1E86CF9F" w14:textId="77777777" w:rsidR="002929CD" w:rsidRPr="00122403" w:rsidRDefault="002929CD" w:rsidP="00633753">
      <w:pPr>
        <w:jc w:val="both"/>
        <w:rPr>
          <w:rFonts w:asciiTheme="minorHAnsi" w:hAnsiTheme="minorHAnsi" w:cs="Arial"/>
          <w:sz w:val="22"/>
          <w:szCs w:val="22"/>
        </w:rPr>
      </w:pPr>
    </w:p>
    <w:p w14:paraId="34D7D0B8" w14:textId="77777777" w:rsidR="001A1BF0" w:rsidRPr="00122403" w:rsidRDefault="001A1BF0" w:rsidP="00633753">
      <w:pPr>
        <w:jc w:val="both"/>
        <w:rPr>
          <w:rFonts w:asciiTheme="minorHAnsi" w:hAnsiTheme="minorHAnsi" w:cs="Arial"/>
          <w:sz w:val="22"/>
          <w:szCs w:val="22"/>
        </w:rPr>
      </w:pPr>
      <w:r w:rsidRPr="00122403">
        <w:rPr>
          <w:rFonts w:asciiTheme="minorHAnsi" w:hAnsiTheme="minorHAnsi" w:cs="Arial"/>
          <w:b/>
          <w:sz w:val="22"/>
          <w:szCs w:val="22"/>
        </w:rPr>
        <w:t>Non-</w:t>
      </w:r>
      <w:r w:rsidR="00E10060" w:rsidRPr="00122403">
        <w:rPr>
          <w:rFonts w:asciiTheme="minorHAnsi" w:hAnsiTheme="minorHAnsi" w:cs="Arial"/>
          <w:b/>
          <w:sz w:val="22"/>
          <w:szCs w:val="22"/>
        </w:rPr>
        <w:t>D</w:t>
      </w:r>
      <w:r w:rsidRPr="00122403">
        <w:rPr>
          <w:rFonts w:asciiTheme="minorHAnsi" w:hAnsiTheme="minorHAnsi" w:cs="Arial"/>
          <w:b/>
          <w:sz w:val="22"/>
          <w:szCs w:val="22"/>
        </w:rPr>
        <w:t xml:space="preserve">istributed </w:t>
      </w:r>
      <w:r w:rsidR="00E10060" w:rsidRPr="00122403">
        <w:rPr>
          <w:rFonts w:asciiTheme="minorHAnsi" w:hAnsiTheme="minorHAnsi" w:cs="Arial"/>
          <w:b/>
          <w:sz w:val="22"/>
          <w:szCs w:val="22"/>
        </w:rPr>
        <w:t>C</w:t>
      </w:r>
      <w:r w:rsidRPr="00122403">
        <w:rPr>
          <w:rFonts w:asciiTheme="minorHAnsi" w:hAnsiTheme="minorHAnsi" w:cs="Arial"/>
          <w:b/>
          <w:sz w:val="22"/>
          <w:szCs w:val="22"/>
        </w:rPr>
        <w:t>osts</w:t>
      </w:r>
    </w:p>
    <w:p w14:paraId="566EE108" w14:textId="77777777" w:rsidR="001A1BF0" w:rsidRPr="00122403" w:rsidRDefault="001A1BF0" w:rsidP="00633753">
      <w:pPr>
        <w:jc w:val="both"/>
        <w:rPr>
          <w:rFonts w:asciiTheme="minorHAnsi" w:hAnsiTheme="minorHAnsi" w:cs="Arial"/>
          <w:sz w:val="22"/>
          <w:szCs w:val="22"/>
        </w:rPr>
      </w:pPr>
      <w:r w:rsidRPr="00122403">
        <w:rPr>
          <w:rFonts w:asciiTheme="minorHAnsi" w:hAnsiTheme="minorHAnsi" w:cs="Arial"/>
          <w:sz w:val="22"/>
          <w:szCs w:val="22"/>
        </w:rPr>
        <w:t>We must make an extra payment to Leicestershire County Council to maintain the value of the pension fund. Under the accounting rules, we do not get this cost back from our services.</w:t>
      </w:r>
    </w:p>
    <w:p w14:paraId="76BBE6F7" w14:textId="77777777" w:rsidR="001A1BF0" w:rsidRPr="00122403" w:rsidRDefault="001A1BF0" w:rsidP="00633753">
      <w:pPr>
        <w:jc w:val="both"/>
        <w:rPr>
          <w:rFonts w:asciiTheme="minorHAnsi" w:hAnsiTheme="minorHAnsi" w:cs="Arial"/>
          <w:b/>
          <w:sz w:val="22"/>
          <w:szCs w:val="22"/>
        </w:rPr>
      </w:pPr>
    </w:p>
    <w:p w14:paraId="219883A0" w14:textId="77777777" w:rsidR="00744BDB" w:rsidRPr="00122403" w:rsidRDefault="00744BDB" w:rsidP="00633753">
      <w:pPr>
        <w:jc w:val="both"/>
        <w:rPr>
          <w:rFonts w:asciiTheme="minorHAnsi" w:hAnsiTheme="minorHAnsi" w:cs="Arial"/>
          <w:b/>
          <w:sz w:val="22"/>
          <w:szCs w:val="22"/>
        </w:rPr>
      </w:pPr>
      <w:r w:rsidRPr="00122403">
        <w:rPr>
          <w:rFonts w:asciiTheme="minorHAnsi" w:hAnsiTheme="minorHAnsi" w:cs="Arial"/>
          <w:b/>
          <w:sz w:val="22"/>
          <w:szCs w:val="22"/>
        </w:rPr>
        <w:t>Non-</w:t>
      </w:r>
      <w:r w:rsidR="00E10060" w:rsidRPr="00122403">
        <w:rPr>
          <w:rFonts w:asciiTheme="minorHAnsi" w:hAnsiTheme="minorHAnsi" w:cs="Arial"/>
          <w:b/>
          <w:sz w:val="22"/>
          <w:szCs w:val="22"/>
        </w:rPr>
        <w:t>O</w:t>
      </w:r>
      <w:r w:rsidRPr="00122403">
        <w:rPr>
          <w:rFonts w:asciiTheme="minorHAnsi" w:hAnsiTheme="minorHAnsi" w:cs="Arial"/>
          <w:b/>
          <w:sz w:val="22"/>
          <w:szCs w:val="22"/>
        </w:rPr>
        <w:t>perational</w:t>
      </w:r>
      <w:r w:rsidR="00E10060" w:rsidRPr="00122403">
        <w:rPr>
          <w:rFonts w:asciiTheme="minorHAnsi" w:hAnsiTheme="minorHAnsi" w:cs="Arial"/>
          <w:b/>
          <w:sz w:val="22"/>
          <w:szCs w:val="22"/>
        </w:rPr>
        <w:t xml:space="preserve"> A</w:t>
      </w:r>
      <w:r w:rsidRPr="00122403">
        <w:rPr>
          <w:rFonts w:asciiTheme="minorHAnsi" w:hAnsiTheme="minorHAnsi" w:cs="Arial"/>
          <w:b/>
          <w:sz w:val="22"/>
          <w:szCs w:val="22"/>
        </w:rPr>
        <w:t>ssets</w:t>
      </w:r>
    </w:p>
    <w:p w14:paraId="72FE4832" w14:textId="77777777" w:rsidR="00744BDB" w:rsidRPr="00122403" w:rsidRDefault="00744BDB" w:rsidP="00633753">
      <w:pPr>
        <w:jc w:val="both"/>
        <w:rPr>
          <w:rFonts w:asciiTheme="minorHAnsi" w:hAnsiTheme="minorHAnsi" w:cs="Arial"/>
          <w:sz w:val="22"/>
          <w:szCs w:val="22"/>
        </w:rPr>
      </w:pPr>
      <w:r w:rsidRPr="00122403">
        <w:rPr>
          <w:rFonts w:asciiTheme="minorHAnsi" w:hAnsiTheme="minorHAnsi" w:cs="Arial"/>
          <w:sz w:val="22"/>
          <w:szCs w:val="22"/>
        </w:rPr>
        <w:t xml:space="preserve">Assets held by the Authority but not directly used for the provision of services, </w:t>
      </w:r>
      <w:proofErr w:type="gramStart"/>
      <w:r w:rsidRPr="00122403">
        <w:rPr>
          <w:rFonts w:asciiTheme="minorHAnsi" w:hAnsiTheme="minorHAnsi" w:cs="Arial"/>
          <w:sz w:val="22"/>
          <w:szCs w:val="22"/>
        </w:rPr>
        <w:t>e.g.</w:t>
      </w:r>
      <w:proofErr w:type="gramEnd"/>
      <w:r w:rsidRPr="00122403">
        <w:rPr>
          <w:rFonts w:asciiTheme="minorHAnsi" w:hAnsiTheme="minorHAnsi" w:cs="Arial"/>
          <w:sz w:val="22"/>
          <w:szCs w:val="22"/>
        </w:rPr>
        <w:t xml:space="preserve"> assets surplus to requirements, commercial properties and assets under construction.</w:t>
      </w:r>
    </w:p>
    <w:p w14:paraId="20249369" w14:textId="77777777" w:rsidR="00744BDB" w:rsidRPr="00122403" w:rsidRDefault="00744BDB" w:rsidP="00633753">
      <w:pPr>
        <w:jc w:val="both"/>
        <w:rPr>
          <w:rFonts w:asciiTheme="minorHAnsi" w:hAnsiTheme="minorHAnsi" w:cs="Arial"/>
          <w:sz w:val="22"/>
          <w:szCs w:val="22"/>
        </w:rPr>
      </w:pPr>
    </w:p>
    <w:p w14:paraId="3637F6B1" w14:textId="77777777" w:rsidR="001A1BF0" w:rsidRPr="00122403" w:rsidRDefault="001A1BF0" w:rsidP="00633753">
      <w:pPr>
        <w:jc w:val="both"/>
        <w:rPr>
          <w:rFonts w:asciiTheme="minorHAnsi" w:hAnsiTheme="minorHAnsi" w:cs="Arial"/>
          <w:b/>
          <w:sz w:val="22"/>
          <w:szCs w:val="22"/>
        </w:rPr>
      </w:pPr>
      <w:r w:rsidRPr="00122403">
        <w:rPr>
          <w:rFonts w:asciiTheme="minorHAnsi" w:hAnsiTheme="minorHAnsi" w:cs="Arial"/>
          <w:b/>
          <w:sz w:val="22"/>
          <w:szCs w:val="22"/>
        </w:rPr>
        <w:t xml:space="preserve">Operational </w:t>
      </w:r>
      <w:r w:rsidR="00E10060" w:rsidRPr="00122403">
        <w:rPr>
          <w:rFonts w:asciiTheme="minorHAnsi" w:hAnsiTheme="minorHAnsi" w:cs="Arial"/>
          <w:b/>
          <w:sz w:val="22"/>
          <w:szCs w:val="22"/>
        </w:rPr>
        <w:t>A</w:t>
      </w:r>
      <w:r w:rsidRPr="00122403">
        <w:rPr>
          <w:rFonts w:asciiTheme="minorHAnsi" w:hAnsiTheme="minorHAnsi" w:cs="Arial"/>
          <w:b/>
          <w:sz w:val="22"/>
          <w:szCs w:val="22"/>
        </w:rPr>
        <w:t>ssets</w:t>
      </w:r>
    </w:p>
    <w:p w14:paraId="1BFFAC16" w14:textId="77777777" w:rsidR="001A1BF0" w:rsidRPr="00122403" w:rsidRDefault="001A1BF0" w:rsidP="00633753">
      <w:pPr>
        <w:jc w:val="both"/>
        <w:rPr>
          <w:rFonts w:asciiTheme="minorHAnsi" w:hAnsiTheme="minorHAnsi" w:cs="Arial"/>
          <w:sz w:val="22"/>
          <w:szCs w:val="22"/>
        </w:rPr>
      </w:pPr>
      <w:r w:rsidRPr="00122403">
        <w:rPr>
          <w:rFonts w:asciiTheme="minorHAnsi" w:hAnsiTheme="minorHAnsi" w:cs="Arial"/>
          <w:sz w:val="22"/>
          <w:szCs w:val="22"/>
        </w:rPr>
        <w:t xml:space="preserve">Assets that we use in our day-to-day activities for delivering our services to the public, </w:t>
      </w:r>
      <w:proofErr w:type="gramStart"/>
      <w:r w:rsidRPr="00122403">
        <w:rPr>
          <w:rFonts w:asciiTheme="minorHAnsi" w:hAnsiTheme="minorHAnsi" w:cs="Arial"/>
          <w:sz w:val="22"/>
          <w:szCs w:val="22"/>
        </w:rPr>
        <w:t>e.g.</w:t>
      </w:r>
      <w:proofErr w:type="gramEnd"/>
      <w:r w:rsidRPr="00122403">
        <w:rPr>
          <w:rFonts w:asciiTheme="minorHAnsi" w:hAnsiTheme="minorHAnsi" w:cs="Arial"/>
          <w:sz w:val="22"/>
          <w:szCs w:val="22"/>
        </w:rPr>
        <w:t xml:space="preserve"> the Council offices</w:t>
      </w:r>
      <w:r w:rsidR="004F7695" w:rsidRPr="00122403">
        <w:rPr>
          <w:rFonts w:asciiTheme="minorHAnsi" w:hAnsiTheme="minorHAnsi" w:cs="Arial"/>
          <w:sz w:val="22"/>
          <w:szCs w:val="22"/>
        </w:rPr>
        <w:t>.</w:t>
      </w:r>
    </w:p>
    <w:p w14:paraId="3A797BEB" w14:textId="77777777" w:rsidR="00F214B4" w:rsidRPr="00122403" w:rsidRDefault="00F214B4" w:rsidP="006C585D">
      <w:pPr>
        <w:rPr>
          <w:rFonts w:asciiTheme="minorHAnsi" w:hAnsiTheme="minorHAnsi" w:cs="Arial"/>
          <w:b/>
          <w:sz w:val="22"/>
          <w:szCs w:val="22"/>
        </w:rPr>
      </w:pPr>
    </w:p>
    <w:p w14:paraId="6193BB7D" w14:textId="77777777" w:rsidR="001A1BF0" w:rsidRPr="00122403" w:rsidRDefault="001A1BF0" w:rsidP="006C585D">
      <w:pPr>
        <w:rPr>
          <w:rFonts w:asciiTheme="minorHAnsi" w:hAnsiTheme="minorHAnsi" w:cs="Arial"/>
          <w:b/>
          <w:sz w:val="22"/>
          <w:szCs w:val="22"/>
        </w:rPr>
      </w:pPr>
      <w:r w:rsidRPr="00122403">
        <w:rPr>
          <w:rFonts w:asciiTheme="minorHAnsi" w:hAnsiTheme="minorHAnsi" w:cs="Arial"/>
          <w:b/>
          <w:sz w:val="22"/>
          <w:szCs w:val="22"/>
        </w:rPr>
        <w:t>Parish Council</w:t>
      </w:r>
    </w:p>
    <w:p w14:paraId="7B8C916F" w14:textId="77777777" w:rsidR="001A1BF0" w:rsidRPr="00122403" w:rsidRDefault="001A1BF0" w:rsidP="006C585D">
      <w:pPr>
        <w:rPr>
          <w:rFonts w:asciiTheme="minorHAnsi" w:hAnsiTheme="minorHAnsi" w:cs="Arial"/>
          <w:sz w:val="22"/>
          <w:szCs w:val="22"/>
        </w:rPr>
      </w:pPr>
      <w:r w:rsidRPr="00122403">
        <w:rPr>
          <w:rFonts w:asciiTheme="minorHAnsi" w:hAnsiTheme="minorHAnsi" w:cs="Arial"/>
          <w:sz w:val="22"/>
          <w:szCs w:val="22"/>
        </w:rPr>
        <w:t>An organisation delivering some services within the parish boundary, rather than across the borough as a whole.</w:t>
      </w:r>
    </w:p>
    <w:p w14:paraId="5AB44629" w14:textId="77777777" w:rsidR="00AB2DDD" w:rsidRPr="00122403" w:rsidRDefault="00AB2DDD" w:rsidP="006C585D">
      <w:pPr>
        <w:rPr>
          <w:rFonts w:asciiTheme="minorHAnsi" w:hAnsiTheme="minorHAnsi" w:cs="Arial"/>
          <w:sz w:val="22"/>
          <w:szCs w:val="22"/>
        </w:rPr>
      </w:pPr>
    </w:p>
    <w:p w14:paraId="50F47008" w14:textId="77777777" w:rsidR="00FF2690" w:rsidRPr="00122403" w:rsidRDefault="00FF2690" w:rsidP="006C585D">
      <w:pPr>
        <w:rPr>
          <w:rFonts w:asciiTheme="minorHAnsi" w:hAnsiTheme="minorHAnsi" w:cs="Arial"/>
          <w:b/>
          <w:sz w:val="22"/>
          <w:szCs w:val="22"/>
        </w:rPr>
      </w:pPr>
      <w:r w:rsidRPr="00122403">
        <w:rPr>
          <w:rFonts w:asciiTheme="minorHAnsi" w:hAnsiTheme="minorHAnsi" w:cs="Arial"/>
          <w:b/>
          <w:sz w:val="22"/>
          <w:szCs w:val="22"/>
        </w:rPr>
        <w:t xml:space="preserve">Past </w:t>
      </w:r>
      <w:r w:rsidR="00E10060" w:rsidRPr="00122403">
        <w:rPr>
          <w:rFonts w:asciiTheme="minorHAnsi" w:hAnsiTheme="minorHAnsi" w:cs="Arial"/>
          <w:b/>
          <w:sz w:val="22"/>
          <w:szCs w:val="22"/>
        </w:rPr>
        <w:t>S</w:t>
      </w:r>
      <w:r w:rsidRPr="00122403">
        <w:rPr>
          <w:rFonts w:asciiTheme="minorHAnsi" w:hAnsiTheme="minorHAnsi" w:cs="Arial"/>
          <w:b/>
          <w:sz w:val="22"/>
          <w:szCs w:val="22"/>
        </w:rPr>
        <w:t xml:space="preserve">ervice </w:t>
      </w:r>
      <w:r w:rsidR="00E10060" w:rsidRPr="00122403">
        <w:rPr>
          <w:rFonts w:asciiTheme="minorHAnsi" w:hAnsiTheme="minorHAnsi" w:cs="Arial"/>
          <w:b/>
          <w:sz w:val="22"/>
          <w:szCs w:val="22"/>
        </w:rPr>
        <w:t>C</w:t>
      </w:r>
      <w:r w:rsidRPr="00122403">
        <w:rPr>
          <w:rFonts w:asciiTheme="minorHAnsi" w:hAnsiTheme="minorHAnsi" w:cs="Arial"/>
          <w:b/>
          <w:sz w:val="22"/>
          <w:szCs w:val="22"/>
        </w:rPr>
        <w:t>ost</w:t>
      </w:r>
    </w:p>
    <w:p w14:paraId="4C7AB447" w14:textId="77777777" w:rsidR="00FF2690" w:rsidRPr="00122403" w:rsidRDefault="00FF2690" w:rsidP="00633753">
      <w:pPr>
        <w:jc w:val="both"/>
        <w:rPr>
          <w:rFonts w:asciiTheme="minorHAnsi" w:hAnsiTheme="minorHAnsi" w:cs="Arial"/>
          <w:sz w:val="22"/>
          <w:szCs w:val="22"/>
        </w:rPr>
      </w:pPr>
      <w:r w:rsidRPr="00122403">
        <w:rPr>
          <w:rFonts w:asciiTheme="minorHAnsi" w:hAnsiTheme="minorHAnsi" w:cs="Arial"/>
          <w:sz w:val="22"/>
          <w:szCs w:val="22"/>
        </w:rPr>
        <w:t>For a defined benefit scheme, the increase in the present value of the scheme liabilities related to employee service in prior periods arising in the current period as a result of the introduction of, or improvement to, retirement benefits.</w:t>
      </w:r>
    </w:p>
    <w:p w14:paraId="1A62EBAD" w14:textId="77777777" w:rsidR="00457D97" w:rsidRPr="00122403" w:rsidRDefault="00457D97" w:rsidP="00633753">
      <w:pPr>
        <w:jc w:val="both"/>
        <w:rPr>
          <w:rFonts w:asciiTheme="minorHAnsi" w:hAnsiTheme="minorHAnsi" w:cs="Arial"/>
          <w:sz w:val="22"/>
          <w:szCs w:val="22"/>
        </w:rPr>
      </w:pPr>
    </w:p>
    <w:p w14:paraId="5FF80431" w14:textId="77777777" w:rsidR="00FF2690" w:rsidRPr="00122403" w:rsidRDefault="00FF2690" w:rsidP="00633753">
      <w:pPr>
        <w:jc w:val="both"/>
        <w:rPr>
          <w:rFonts w:asciiTheme="minorHAnsi" w:hAnsiTheme="minorHAnsi" w:cs="Arial"/>
          <w:b/>
          <w:sz w:val="22"/>
          <w:szCs w:val="22"/>
        </w:rPr>
      </w:pPr>
      <w:r w:rsidRPr="00122403">
        <w:rPr>
          <w:rFonts w:asciiTheme="minorHAnsi" w:hAnsiTheme="minorHAnsi" w:cs="Arial"/>
          <w:b/>
          <w:sz w:val="22"/>
          <w:szCs w:val="22"/>
        </w:rPr>
        <w:t xml:space="preserve">Post </w:t>
      </w:r>
      <w:r w:rsidR="00E10060" w:rsidRPr="00122403">
        <w:rPr>
          <w:rFonts w:asciiTheme="minorHAnsi" w:hAnsiTheme="minorHAnsi" w:cs="Arial"/>
          <w:b/>
          <w:sz w:val="22"/>
          <w:szCs w:val="22"/>
        </w:rPr>
        <w:t>B</w:t>
      </w:r>
      <w:r w:rsidRPr="00122403">
        <w:rPr>
          <w:rFonts w:asciiTheme="minorHAnsi" w:hAnsiTheme="minorHAnsi" w:cs="Arial"/>
          <w:b/>
          <w:sz w:val="22"/>
          <w:szCs w:val="22"/>
        </w:rPr>
        <w:t xml:space="preserve">alance </w:t>
      </w:r>
      <w:r w:rsidR="00E10060" w:rsidRPr="00122403">
        <w:rPr>
          <w:rFonts w:asciiTheme="minorHAnsi" w:hAnsiTheme="minorHAnsi" w:cs="Arial"/>
          <w:b/>
          <w:sz w:val="22"/>
          <w:szCs w:val="22"/>
        </w:rPr>
        <w:t>S</w:t>
      </w:r>
      <w:r w:rsidRPr="00122403">
        <w:rPr>
          <w:rFonts w:asciiTheme="minorHAnsi" w:hAnsiTheme="minorHAnsi" w:cs="Arial"/>
          <w:b/>
          <w:sz w:val="22"/>
          <w:szCs w:val="22"/>
        </w:rPr>
        <w:t xml:space="preserve">heet </w:t>
      </w:r>
      <w:r w:rsidR="00E10060" w:rsidRPr="00122403">
        <w:rPr>
          <w:rFonts w:asciiTheme="minorHAnsi" w:hAnsiTheme="minorHAnsi" w:cs="Arial"/>
          <w:b/>
          <w:sz w:val="22"/>
          <w:szCs w:val="22"/>
        </w:rPr>
        <w:t>E</w:t>
      </w:r>
      <w:r w:rsidRPr="00122403">
        <w:rPr>
          <w:rFonts w:asciiTheme="minorHAnsi" w:hAnsiTheme="minorHAnsi" w:cs="Arial"/>
          <w:b/>
          <w:sz w:val="22"/>
          <w:szCs w:val="22"/>
        </w:rPr>
        <w:t>vents</w:t>
      </w:r>
    </w:p>
    <w:p w14:paraId="48C5BC6B" w14:textId="77777777" w:rsidR="00FF2690" w:rsidRPr="00122403" w:rsidRDefault="00FF2690" w:rsidP="00633753">
      <w:pPr>
        <w:jc w:val="both"/>
        <w:rPr>
          <w:rFonts w:asciiTheme="minorHAnsi" w:hAnsiTheme="minorHAnsi" w:cs="Arial"/>
          <w:sz w:val="22"/>
          <w:szCs w:val="22"/>
        </w:rPr>
      </w:pPr>
      <w:r w:rsidRPr="00122403">
        <w:rPr>
          <w:rFonts w:asciiTheme="minorHAnsi" w:hAnsiTheme="minorHAnsi" w:cs="Arial"/>
          <w:sz w:val="22"/>
          <w:szCs w:val="22"/>
        </w:rPr>
        <w:t xml:space="preserve">Those events, both favourable and unfavourable, which occur between the </w:t>
      </w:r>
      <w:r w:rsidR="00457D97" w:rsidRPr="00122403">
        <w:rPr>
          <w:rFonts w:asciiTheme="minorHAnsi" w:hAnsiTheme="minorHAnsi" w:cs="Arial"/>
          <w:sz w:val="22"/>
          <w:szCs w:val="22"/>
        </w:rPr>
        <w:t>B</w:t>
      </w:r>
      <w:r w:rsidRPr="00122403">
        <w:rPr>
          <w:rFonts w:asciiTheme="minorHAnsi" w:hAnsiTheme="minorHAnsi" w:cs="Arial"/>
          <w:sz w:val="22"/>
          <w:szCs w:val="22"/>
        </w:rPr>
        <w:t xml:space="preserve">alance </w:t>
      </w:r>
      <w:r w:rsidR="00457D97" w:rsidRPr="00122403">
        <w:rPr>
          <w:rFonts w:asciiTheme="minorHAnsi" w:hAnsiTheme="minorHAnsi" w:cs="Arial"/>
          <w:sz w:val="22"/>
          <w:szCs w:val="22"/>
        </w:rPr>
        <w:t>S</w:t>
      </w:r>
      <w:r w:rsidRPr="00122403">
        <w:rPr>
          <w:rFonts w:asciiTheme="minorHAnsi" w:hAnsiTheme="minorHAnsi" w:cs="Arial"/>
          <w:sz w:val="22"/>
          <w:szCs w:val="22"/>
        </w:rPr>
        <w:t>heet date and the date on which the Statement of Accounts is authorised, by the responsible financial officer, for issue.</w:t>
      </w:r>
    </w:p>
    <w:p w14:paraId="64DA2EEF" w14:textId="77777777" w:rsidR="00A6075F" w:rsidRPr="00122403" w:rsidRDefault="00A6075F" w:rsidP="00633753">
      <w:pPr>
        <w:jc w:val="both"/>
        <w:rPr>
          <w:rFonts w:asciiTheme="minorHAnsi" w:hAnsiTheme="minorHAnsi" w:cs="Arial"/>
          <w:b/>
          <w:sz w:val="22"/>
          <w:szCs w:val="22"/>
        </w:rPr>
      </w:pPr>
    </w:p>
    <w:p w14:paraId="21476D67" w14:textId="77777777" w:rsidR="00A6075F" w:rsidRPr="00122403" w:rsidRDefault="00A6075F" w:rsidP="00633753">
      <w:pPr>
        <w:jc w:val="both"/>
        <w:rPr>
          <w:rFonts w:asciiTheme="minorHAnsi" w:hAnsiTheme="minorHAnsi" w:cs="Arial"/>
          <w:b/>
          <w:sz w:val="22"/>
          <w:szCs w:val="22"/>
        </w:rPr>
      </w:pPr>
      <w:r w:rsidRPr="00122403">
        <w:rPr>
          <w:rFonts w:asciiTheme="minorHAnsi" w:hAnsiTheme="minorHAnsi" w:cs="Arial"/>
          <w:b/>
          <w:sz w:val="22"/>
          <w:szCs w:val="22"/>
        </w:rPr>
        <w:t>Payables</w:t>
      </w:r>
    </w:p>
    <w:p w14:paraId="4C3CD572" w14:textId="77777777" w:rsidR="00A6075F" w:rsidRPr="00122403" w:rsidRDefault="00A6075F" w:rsidP="00633753">
      <w:pPr>
        <w:jc w:val="both"/>
        <w:rPr>
          <w:rFonts w:asciiTheme="minorHAnsi" w:hAnsiTheme="minorHAnsi" w:cs="Arial"/>
          <w:sz w:val="22"/>
          <w:szCs w:val="22"/>
        </w:rPr>
      </w:pPr>
      <w:proofErr w:type="gramStart"/>
      <w:r w:rsidRPr="00122403">
        <w:rPr>
          <w:rFonts w:asciiTheme="minorHAnsi" w:hAnsiTheme="minorHAnsi" w:cs="Arial"/>
          <w:sz w:val="22"/>
          <w:szCs w:val="22"/>
        </w:rPr>
        <w:t>Money</w:t>
      </w:r>
      <w:proofErr w:type="gramEnd"/>
      <w:r w:rsidRPr="00122403">
        <w:rPr>
          <w:rFonts w:asciiTheme="minorHAnsi" w:hAnsiTheme="minorHAnsi" w:cs="Arial"/>
          <w:sz w:val="22"/>
          <w:szCs w:val="22"/>
        </w:rPr>
        <w:t xml:space="preserve"> we owe for work, goods or services, which have not been paid for by the end of the financial year.</w:t>
      </w:r>
    </w:p>
    <w:p w14:paraId="54D545C3" w14:textId="77777777" w:rsidR="00FF2690" w:rsidRPr="00122403" w:rsidRDefault="00FF2690" w:rsidP="00633753">
      <w:pPr>
        <w:jc w:val="both"/>
        <w:rPr>
          <w:rFonts w:asciiTheme="minorHAnsi" w:hAnsiTheme="minorHAnsi" w:cs="Arial"/>
          <w:sz w:val="22"/>
          <w:szCs w:val="22"/>
        </w:rPr>
      </w:pPr>
    </w:p>
    <w:p w14:paraId="14E23165" w14:textId="77777777" w:rsidR="001A1BF0" w:rsidRPr="00122403" w:rsidRDefault="001A1BF0" w:rsidP="00633753">
      <w:pPr>
        <w:jc w:val="both"/>
        <w:rPr>
          <w:rFonts w:asciiTheme="minorHAnsi" w:hAnsiTheme="minorHAnsi" w:cs="Arial"/>
          <w:b/>
          <w:sz w:val="22"/>
          <w:szCs w:val="22"/>
        </w:rPr>
      </w:pPr>
      <w:r w:rsidRPr="00122403">
        <w:rPr>
          <w:rFonts w:asciiTheme="minorHAnsi" w:hAnsiTheme="minorHAnsi" w:cs="Arial"/>
          <w:b/>
          <w:sz w:val="22"/>
          <w:szCs w:val="22"/>
        </w:rPr>
        <w:lastRenderedPageBreak/>
        <w:t>Precept</w:t>
      </w:r>
    </w:p>
    <w:p w14:paraId="448DA437" w14:textId="77777777" w:rsidR="001A1BF0" w:rsidRPr="00122403" w:rsidRDefault="001A1BF0" w:rsidP="00633753">
      <w:pPr>
        <w:jc w:val="both"/>
        <w:rPr>
          <w:rFonts w:asciiTheme="minorHAnsi" w:hAnsiTheme="minorHAnsi" w:cs="Arial"/>
          <w:sz w:val="22"/>
          <w:szCs w:val="22"/>
        </w:rPr>
      </w:pPr>
      <w:r w:rsidRPr="00122403">
        <w:rPr>
          <w:rFonts w:asciiTheme="minorHAnsi" w:hAnsiTheme="minorHAnsi" w:cs="Arial"/>
          <w:sz w:val="22"/>
          <w:szCs w:val="22"/>
        </w:rPr>
        <w:t>A demand made by Leicestershire County Council, Leicestershire Po</w:t>
      </w:r>
      <w:r w:rsidR="006949A8" w:rsidRPr="00122403">
        <w:rPr>
          <w:rFonts w:asciiTheme="minorHAnsi" w:hAnsiTheme="minorHAnsi" w:cs="Arial"/>
          <w:sz w:val="22"/>
          <w:szCs w:val="22"/>
        </w:rPr>
        <w:t>lice Authority, Leicestershire C</w:t>
      </w:r>
      <w:r w:rsidRPr="00122403">
        <w:rPr>
          <w:rFonts w:asciiTheme="minorHAnsi" w:hAnsiTheme="minorHAnsi" w:cs="Arial"/>
          <w:sz w:val="22"/>
          <w:szCs w:val="22"/>
        </w:rPr>
        <w:t>ombined Fire and Rescue Authority and Parish Councils for money they want us to collect for them</w:t>
      </w:r>
      <w:r w:rsidR="005A5572" w:rsidRPr="00122403">
        <w:rPr>
          <w:rFonts w:asciiTheme="minorHAnsi" w:hAnsiTheme="minorHAnsi" w:cs="Arial"/>
          <w:sz w:val="22"/>
          <w:szCs w:val="22"/>
        </w:rPr>
        <w:t xml:space="preserve"> from the Council Tax</w:t>
      </w:r>
      <w:r w:rsidRPr="00122403">
        <w:rPr>
          <w:rFonts w:asciiTheme="minorHAnsi" w:hAnsiTheme="minorHAnsi" w:cs="Arial"/>
          <w:sz w:val="22"/>
          <w:szCs w:val="22"/>
        </w:rPr>
        <w:t>.</w:t>
      </w:r>
    </w:p>
    <w:p w14:paraId="08E1B87C" w14:textId="77777777" w:rsidR="00122403" w:rsidRPr="00122403" w:rsidRDefault="00122403" w:rsidP="00633753">
      <w:pPr>
        <w:jc w:val="both"/>
        <w:rPr>
          <w:rFonts w:asciiTheme="minorHAnsi" w:hAnsiTheme="minorHAnsi" w:cs="Arial"/>
          <w:b/>
          <w:sz w:val="22"/>
          <w:szCs w:val="22"/>
        </w:rPr>
      </w:pPr>
    </w:p>
    <w:p w14:paraId="566F331B" w14:textId="77777777" w:rsidR="001A1BF0" w:rsidRPr="00122403" w:rsidRDefault="003B1A10" w:rsidP="00633753">
      <w:pPr>
        <w:jc w:val="both"/>
        <w:rPr>
          <w:rFonts w:asciiTheme="minorHAnsi" w:hAnsiTheme="minorHAnsi" w:cs="Arial"/>
          <w:b/>
          <w:sz w:val="22"/>
          <w:szCs w:val="22"/>
        </w:rPr>
      </w:pPr>
      <w:r w:rsidRPr="00122403">
        <w:rPr>
          <w:rFonts w:asciiTheme="minorHAnsi" w:hAnsiTheme="minorHAnsi" w:cs="Arial"/>
          <w:b/>
          <w:sz w:val="22"/>
          <w:szCs w:val="22"/>
        </w:rPr>
        <w:t xml:space="preserve">Prior </w:t>
      </w:r>
      <w:r w:rsidR="00E10060" w:rsidRPr="00122403">
        <w:rPr>
          <w:rFonts w:asciiTheme="minorHAnsi" w:hAnsiTheme="minorHAnsi" w:cs="Arial"/>
          <w:b/>
          <w:sz w:val="22"/>
          <w:szCs w:val="22"/>
        </w:rPr>
        <w:t>Y</w:t>
      </w:r>
      <w:r w:rsidRPr="00122403">
        <w:rPr>
          <w:rFonts w:asciiTheme="minorHAnsi" w:hAnsiTheme="minorHAnsi" w:cs="Arial"/>
          <w:b/>
          <w:sz w:val="22"/>
          <w:szCs w:val="22"/>
        </w:rPr>
        <w:t xml:space="preserve">ear </w:t>
      </w:r>
      <w:r w:rsidR="00E10060" w:rsidRPr="00122403">
        <w:rPr>
          <w:rFonts w:asciiTheme="minorHAnsi" w:hAnsiTheme="minorHAnsi" w:cs="Arial"/>
          <w:b/>
          <w:sz w:val="22"/>
          <w:szCs w:val="22"/>
        </w:rPr>
        <w:t>A</w:t>
      </w:r>
      <w:r w:rsidRPr="00122403">
        <w:rPr>
          <w:rFonts w:asciiTheme="minorHAnsi" w:hAnsiTheme="minorHAnsi" w:cs="Arial"/>
          <w:b/>
          <w:sz w:val="22"/>
          <w:szCs w:val="22"/>
        </w:rPr>
        <w:t>djustment</w:t>
      </w:r>
    </w:p>
    <w:p w14:paraId="03086648" w14:textId="77777777" w:rsidR="003B1A10" w:rsidRPr="00122403" w:rsidRDefault="003B1A10" w:rsidP="00633753">
      <w:pPr>
        <w:jc w:val="both"/>
        <w:rPr>
          <w:rFonts w:asciiTheme="minorHAnsi" w:hAnsiTheme="minorHAnsi" w:cs="Arial"/>
          <w:sz w:val="22"/>
          <w:szCs w:val="22"/>
        </w:rPr>
      </w:pPr>
      <w:r w:rsidRPr="00122403">
        <w:rPr>
          <w:rFonts w:asciiTheme="minorHAnsi" w:hAnsiTheme="minorHAnsi" w:cs="Arial"/>
          <w:sz w:val="22"/>
          <w:szCs w:val="22"/>
        </w:rPr>
        <w:t xml:space="preserve">If we make an important change to the accounts for earlier </w:t>
      </w:r>
      <w:proofErr w:type="gramStart"/>
      <w:r w:rsidRPr="00122403">
        <w:rPr>
          <w:rFonts w:asciiTheme="minorHAnsi" w:hAnsiTheme="minorHAnsi" w:cs="Arial"/>
          <w:sz w:val="22"/>
          <w:szCs w:val="22"/>
        </w:rPr>
        <w:t>years</w:t>
      </w:r>
      <w:proofErr w:type="gramEnd"/>
      <w:r w:rsidRPr="00122403">
        <w:rPr>
          <w:rFonts w:asciiTheme="minorHAnsi" w:hAnsiTheme="minorHAnsi" w:cs="Arial"/>
          <w:sz w:val="22"/>
          <w:szCs w:val="22"/>
        </w:rPr>
        <w:t xml:space="preserve"> we call this a ‘prior year adjustment’. We must show the reasons for any prior year adjustments in the year we make them.</w:t>
      </w:r>
    </w:p>
    <w:p w14:paraId="744898F7" w14:textId="77777777" w:rsidR="003B1A10" w:rsidRPr="00122403" w:rsidRDefault="003B1A10" w:rsidP="00633753">
      <w:pPr>
        <w:jc w:val="both"/>
        <w:rPr>
          <w:rFonts w:asciiTheme="minorHAnsi" w:hAnsiTheme="minorHAnsi" w:cs="Arial"/>
          <w:sz w:val="22"/>
          <w:szCs w:val="22"/>
        </w:rPr>
      </w:pPr>
    </w:p>
    <w:p w14:paraId="20214082" w14:textId="77777777" w:rsidR="00FF2690" w:rsidRPr="00122403" w:rsidRDefault="00FF2690" w:rsidP="00633753">
      <w:pPr>
        <w:jc w:val="both"/>
        <w:rPr>
          <w:rFonts w:asciiTheme="minorHAnsi" w:hAnsiTheme="minorHAnsi" w:cs="Arial"/>
          <w:b/>
          <w:sz w:val="22"/>
          <w:szCs w:val="22"/>
        </w:rPr>
      </w:pPr>
      <w:r w:rsidRPr="00122403">
        <w:rPr>
          <w:rFonts w:asciiTheme="minorHAnsi" w:hAnsiTheme="minorHAnsi" w:cs="Arial"/>
          <w:b/>
          <w:sz w:val="22"/>
          <w:szCs w:val="22"/>
        </w:rPr>
        <w:t xml:space="preserve">Projected </w:t>
      </w:r>
      <w:r w:rsidR="00E10060" w:rsidRPr="00122403">
        <w:rPr>
          <w:rFonts w:asciiTheme="minorHAnsi" w:hAnsiTheme="minorHAnsi" w:cs="Arial"/>
          <w:b/>
          <w:sz w:val="22"/>
          <w:szCs w:val="22"/>
        </w:rPr>
        <w:t>U</w:t>
      </w:r>
      <w:r w:rsidRPr="00122403">
        <w:rPr>
          <w:rFonts w:asciiTheme="minorHAnsi" w:hAnsiTheme="minorHAnsi" w:cs="Arial"/>
          <w:b/>
          <w:sz w:val="22"/>
          <w:szCs w:val="22"/>
        </w:rPr>
        <w:t xml:space="preserve">nit </w:t>
      </w:r>
      <w:r w:rsidR="00E10060" w:rsidRPr="00122403">
        <w:rPr>
          <w:rFonts w:asciiTheme="minorHAnsi" w:hAnsiTheme="minorHAnsi" w:cs="Arial"/>
          <w:b/>
          <w:sz w:val="22"/>
          <w:szCs w:val="22"/>
        </w:rPr>
        <w:t>M</w:t>
      </w:r>
      <w:r w:rsidRPr="00122403">
        <w:rPr>
          <w:rFonts w:asciiTheme="minorHAnsi" w:hAnsiTheme="minorHAnsi" w:cs="Arial"/>
          <w:b/>
          <w:sz w:val="22"/>
          <w:szCs w:val="22"/>
        </w:rPr>
        <w:t>ethod</w:t>
      </w:r>
    </w:p>
    <w:p w14:paraId="36B480B0" w14:textId="77777777" w:rsidR="00FF2690" w:rsidRPr="00122403" w:rsidRDefault="00FF2690" w:rsidP="00633753">
      <w:pPr>
        <w:jc w:val="both"/>
        <w:rPr>
          <w:rFonts w:asciiTheme="minorHAnsi" w:hAnsiTheme="minorHAnsi" w:cs="Arial"/>
          <w:sz w:val="22"/>
          <w:szCs w:val="22"/>
        </w:rPr>
      </w:pPr>
      <w:r w:rsidRPr="00122403">
        <w:rPr>
          <w:rFonts w:asciiTheme="minorHAnsi" w:hAnsiTheme="minorHAnsi" w:cs="Arial"/>
          <w:sz w:val="22"/>
          <w:szCs w:val="22"/>
        </w:rPr>
        <w:t>An accrue</w:t>
      </w:r>
      <w:r w:rsidR="0089653A" w:rsidRPr="00122403">
        <w:rPr>
          <w:rFonts w:asciiTheme="minorHAnsi" w:hAnsiTheme="minorHAnsi" w:cs="Arial"/>
          <w:sz w:val="22"/>
          <w:szCs w:val="22"/>
        </w:rPr>
        <w:t>d</w:t>
      </w:r>
      <w:r w:rsidRPr="00122403">
        <w:rPr>
          <w:rFonts w:asciiTheme="minorHAnsi" w:hAnsiTheme="minorHAnsi" w:cs="Arial"/>
          <w:sz w:val="22"/>
          <w:szCs w:val="22"/>
        </w:rPr>
        <w:t xml:space="preserve"> benefits valuation method</w:t>
      </w:r>
      <w:r w:rsidR="00B7744C">
        <w:rPr>
          <w:rFonts w:asciiTheme="minorHAnsi" w:hAnsiTheme="minorHAnsi" w:cs="Arial"/>
          <w:sz w:val="22"/>
          <w:szCs w:val="22"/>
        </w:rPr>
        <w:t>,</w:t>
      </w:r>
      <w:r w:rsidRPr="00122403">
        <w:rPr>
          <w:rFonts w:asciiTheme="minorHAnsi" w:hAnsiTheme="minorHAnsi" w:cs="Arial"/>
          <w:sz w:val="22"/>
          <w:szCs w:val="22"/>
        </w:rPr>
        <w:t xml:space="preserve"> in which the scheme liabilities make allowance for projected earnings. An accrued benefits valuation method is a valuation method in which the scheme liabilities at the valuation date relate to:</w:t>
      </w:r>
    </w:p>
    <w:p w14:paraId="45B9A206" w14:textId="38F4F9B6" w:rsidR="0089653A" w:rsidRPr="00122403" w:rsidRDefault="0089653A" w:rsidP="00633753">
      <w:pPr>
        <w:ind w:left="720" w:hanging="720"/>
        <w:jc w:val="both"/>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t>the benefits for pensioners and deferred pensioners (</w:t>
      </w:r>
      <w:r w:rsidR="00120BFE">
        <w:rPr>
          <w:rFonts w:asciiTheme="minorHAnsi" w:hAnsiTheme="minorHAnsi" w:cs="Arial"/>
          <w:sz w:val="22"/>
          <w:szCs w:val="22"/>
        </w:rPr>
        <w:t>for example,</w:t>
      </w:r>
      <w:r w:rsidRPr="00122403">
        <w:rPr>
          <w:rFonts w:asciiTheme="minorHAnsi" w:hAnsiTheme="minorHAnsi" w:cs="Arial"/>
          <w:sz w:val="22"/>
          <w:szCs w:val="22"/>
        </w:rPr>
        <w:t xml:space="preserve"> individuals who have ceased to be active members but are entitled to benefits payable at a later date) and their dependants, allowing where appropriate for future increases, and </w:t>
      </w:r>
    </w:p>
    <w:p w14:paraId="7D89A1F5" w14:textId="77777777" w:rsidR="0089653A" w:rsidRPr="00122403" w:rsidRDefault="0089653A" w:rsidP="00633753">
      <w:pPr>
        <w:ind w:left="720" w:hanging="720"/>
        <w:jc w:val="both"/>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t>the accrued benefits for members in service on the valuation date. The accrued benefits are the benefits for service up to a given point in time, whether vested rights or not.</w:t>
      </w:r>
    </w:p>
    <w:p w14:paraId="241735C8" w14:textId="77777777" w:rsidR="00FF2690" w:rsidRPr="00122403" w:rsidRDefault="00FF2690" w:rsidP="00633753">
      <w:pPr>
        <w:jc w:val="both"/>
        <w:rPr>
          <w:rFonts w:asciiTheme="minorHAnsi" w:hAnsiTheme="minorHAnsi" w:cs="Arial"/>
          <w:b/>
          <w:sz w:val="22"/>
          <w:szCs w:val="22"/>
        </w:rPr>
      </w:pPr>
    </w:p>
    <w:p w14:paraId="29770436" w14:textId="77777777" w:rsidR="00744BDB" w:rsidRPr="00122403" w:rsidRDefault="00744BDB" w:rsidP="00633753">
      <w:pPr>
        <w:jc w:val="both"/>
        <w:rPr>
          <w:rFonts w:asciiTheme="minorHAnsi" w:hAnsiTheme="minorHAnsi" w:cs="Arial"/>
          <w:b/>
          <w:sz w:val="22"/>
          <w:szCs w:val="22"/>
        </w:rPr>
      </w:pPr>
      <w:r w:rsidRPr="00122403">
        <w:rPr>
          <w:rFonts w:asciiTheme="minorHAnsi" w:hAnsiTheme="minorHAnsi" w:cs="Arial"/>
          <w:b/>
          <w:sz w:val="22"/>
          <w:szCs w:val="22"/>
        </w:rPr>
        <w:t>Provision</w:t>
      </w:r>
    </w:p>
    <w:p w14:paraId="55E95B31" w14:textId="77777777" w:rsidR="00744BDB" w:rsidRPr="00122403" w:rsidRDefault="00744BDB" w:rsidP="00633753">
      <w:pPr>
        <w:jc w:val="both"/>
        <w:rPr>
          <w:rFonts w:asciiTheme="minorHAnsi" w:hAnsiTheme="minorHAnsi" w:cs="Arial"/>
          <w:sz w:val="22"/>
          <w:szCs w:val="22"/>
        </w:rPr>
      </w:pPr>
      <w:r w:rsidRPr="00122403">
        <w:rPr>
          <w:rFonts w:asciiTheme="minorHAnsi" w:hAnsiTheme="minorHAnsi" w:cs="Arial"/>
          <w:sz w:val="22"/>
          <w:szCs w:val="22"/>
        </w:rPr>
        <w:t>An amount set aside for any liabilities or losses of uncertain timing or amounts that have been incurred.</w:t>
      </w:r>
    </w:p>
    <w:p w14:paraId="745C3CE4" w14:textId="77777777" w:rsidR="00744BDB" w:rsidRPr="00122403" w:rsidRDefault="00744BDB" w:rsidP="00633753">
      <w:pPr>
        <w:jc w:val="both"/>
        <w:rPr>
          <w:rFonts w:asciiTheme="minorHAnsi" w:hAnsiTheme="minorHAnsi" w:cs="Arial"/>
          <w:sz w:val="22"/>
          <w:szCs w:val="22"/>
        </w:rPr>
      </w:pPr>
    </w:p>
    <w:p w14:paraId="1198EBB8" w14:textId="77777777" w:rsidR="00744BDB" w:rsidRPr="00122403" w:rsidRDefault="00744BDB" w:rsidP="00633753">
      <w:pPr>
        <w:jc w:val="both"/>
        <w:rPr>
          <w:rFonts w:asciiTheme="minorHAnsi" w:hAnsiTheme="minorHAnsi" w:cs="Arial"/>
          <w:b/>
          <w:sz w:val="22"/>
          <w:szCs w:val="22"/>
        </w:rPr>
      </w:pPr>
      <w:r w:rsidRPr="00122403">
        <w:rPr>
          <w:rFonts w:asciiTheme="minorHAnsi" w:hAnsiTheme="minorHAnsi" w:cs="Arial"/>
          <w:b/>
          <w:sz w:val="22"/>
          <w:szCs w:val="22"/>
        </w:rPr>
        <w:t>Public Works Loan Board (PWLB)</w:t>
      </w:r>
    </w:p>
    <w:p w14:paraId="3297B31C" w14:textId="77777777" w:rsidR="00744BDB" w:rsidRPr="00122403" w:rsidRDefault="00744BDB" w:rsidP="00633753">
      <w:pPr>
        <w:jc w:val="both"/>
        <w:rPr>
          <w:rFonts w:asciiTheme="minorHAnsi" w:hAnsiTheme="minorHAnsi" w:cs="Arial"/>
          <w:sz w:val="22"/>
          <w:szCs w:val="22"/>
        </w:rPr>
      </w:pPr>
      <w:r w:rsidRPr="00122403">
        <w:rPr>
          <w:rFonts w:asciiTheme="minorHAnsi" w:hAnsiTheme="minorHAnsi" w:cs="Arial"/>
          <w:sz w:val="22"/>
          <w:szCs w:val="22"/>
        </w:rPr>
        <w:t>A government body from which local authorities may raise long term loans, usually at advantageous interest rates.</w:t>
      </w:r>
    </w:p>
    <w:p w14:paraId="00BEF4AB" w14:textId="77777777" w:rsidR="00A6075F" w:rsidRPr="00122403" w:rsidRDefault="00A6075F" w:rsidP="00633753">
      <w:pPr>
        <w:jc w:val="both"/>
        <w:rPr>
          <w:rFonts w:asciiTheme="minorHAnsi" w:hAnsiTheme="minorHAnsi" w:cs="Arial"/>
          <w:b/>
          <w:sz w:val="22"/>
          <w:szCs w:val="22"/>
        </w:rPr>
      </w:pPr>
    </w:p>
    <w:p w14:paraId="38BD0024" w14:textId="77777777" w:rsidR="00A6075F" w:rsidRPr="00122403" w:rsidRDefault="00A6075F" w:rsidP="00633753">
      <w:pPr>
        <w:jc w:val="both"/>
        <w:rPr>
          <w:rFonts w:asciiTheme="minorHAnsi" w:hAnsiTheme="minorHAnsi" w:cs="Arial"/>
          <w:sz w:val="22"/>
          <w:szCs w:val="22"/>
        </w:rPr>
      </w:pPr>
      <w:r w:rsidRPr="00122403">
        <w:rPr>
          <w:rFonts w:asciiTheme="minorHAnsi" w:hAnsiTheme="minorHAnsi" w:cs="Arial"/>
          <w:b/>
          <w:sz w:val="22"/>
          <w:szCs w:val="22"/>
        </w:rPr>
        <w:t>Receivables</w:t>
      </w:r>
    </w:p>
    <w:p w14:paraId="45BB2B83" w14:textId="77777777" w:rsidR="00A6075F" w:rsidRPr="00122403" w:rsidRDefault="00A6075F" w:rsidP="00633753">
      <w:pPr>
        <w:jc w:val="both"/>
        <w:rPr>
          <w:rFonts w:asciiTheme="minorHAnsi" w:hAnsiTheme="minorHAnsi" w:cs="Arial"/>
          <w:sz w:val="22"/>
          <w:szCs w:val="22"/>
        </w:rPr>
      </w:pPr>
      <w:r w:rsidRPr="00122403">
        <w:rPr>
          <w:rFonts w:asciiTheme="minorHAnsi" w:hAnsiTheme="minorHAnsi" w:cs="Arial"/>
          <w:sz w:val="22"/>
          <w:szCs w:val="22"/>
        </w:rPr>
        <w:t>Money that is owed to us, but it is not paid by the end of the financial year.</w:t>
      </w:r>
    </w:p>
    <w:p w14:paraId="38811C01" w14:textId="77777777" w:rsidR="001B41F7" w:rsidRPr="00122403" w:rsidRDefault="001B41F7" w:rsidP="00633753">
      <w:pPr>
        <w:jc w:val="both"/>
        <w:rPr>
          <w:rFonts w:asciiTheme="minorHAnsi" w:hAnsiTheme="minorHAnsi" w:cs="Arial"/>
          <w:b/>
          <w:sz w:val="22"/>
          <w:szCs w:val="22"/>
        </w:rPr>
      </w:pPr>
    </w:p>
    <w:p w14:paraId="4C1C1CEB" w14:textId="77777777" w:rsidR="00744BDB" w:rsidRPr="00122403" w:rsidRDefault="00744BDB" w:rsidP="00633753">
      <w:pPr>
        <w:jc w:val="both"/>
        <w:rPr>
          <w:rFonts w:asciiTheme="minorHAnsi" w:hAnsiTheme="minorHAnsi" w:cs="Arial"/>
          <w:sz w:val="22"/>
          <w:szCs w:val="22"/>
        </w:rPr>
      </w:pPr>
      <w:r w:rsidRPr="00122403">
        <w:rPr>
          <w:rFonts w:asciiTheme="minorHAnsi" w:hAnsiTheme="minorHAnsi" w:cs="Arial"/>
          <w:b/>
          <w:sz w:val="22"/>
          <w:szCs w:val="22"/>
        </w:rPr>
        <w:t>Recharge</w:t>
      </w:r>
    </w:p>
    <w:p w14:paraId="6D8E32F1" w14:textId="77777777" w:rsidR="00744BDB" w:rsidRPr="00122403" w:rsidRDefault="00744BDB" w:rsidP="00633753">
      <w:pPr>
        <w:jc w:val="both"/>
        <w:rPr>
          <w:rFonts w:asciiTheme="minorHAnsi" w:hAnsiTheme="minorHAnsi" w:cs="Arial"/>
          <w:sz w:val="22"/>
          <w:szCs w:val="22"/>
        </w:rPr>
      </w:pPr>
      <w:r w:rsidRPr="00122403">
        <w:rPr>
          <w:rFonts w:asciiTheme="minorHAnsi" w:hAnsiTheme="minorHAnsi" w:cs="Arial"/>
          <w:sz w:val="22"/>
          <w:szCs w:val="22"/>
        </w:rPr>
        <w:t>The transfer of costs from one service to another.</w:t>
      </w:r>
    </w:p>
    <w:p w14:paraId="03454403" w14:textId="77777777" w:rsidR="005A5572" w:rsidRPr="00122403" w:rsidRDefault="005A5572" w:rsidP="00633753">
      <w:pPr>
        <w:jc w:val="both"/>
        <w:rPr>
          <w:rFonts w:asciiTheme="minorHAnsi" w:hAnsiTheme="minorHAnsi" w:cs="Arial"/>
          <w:sz w:val="22"/>
          <w:szCs w:val="22"/>
        </w:rPr>
      </w:pPr>
    </w:p>
    <w:p w14:paraId="134ECF54" w14:textId="77777777" w:rsidR="004D36F8" w:rsidRPr="00122403" w:rsidRDefault="004D36F8" w:rsidP="00633753">
      <w:pPr>
        <w:jc w:val="both"/>
        <w:rPr>
          <w:rFonts w:asciiTheme="minorHAnsi" w:hAnsiTheme="minorHAnsi" w:cs="Arial"/>
          <w:b/>
          <w:sz w:val="22"/>
          <w:szCs w:val="22"/>
        </w:rPr>
      </w:pPr>
      <w:r w:rsidRPr="00122403">
        <w:rPr>
          <w:rFonts w:asciiTheme="minorHAnsi" w:hAnsiTheme="minorHAnsi" w:cs="Arial"/>
          <w:b/>
          <w:sz w:val="22"/>
          <w:szCs w:val="22"/>
        </w:rPr>
        <w:t>Reserve</w:t>
      </w:r>
    </w:p>
    <w:p w14:paraId="517491C0" w14:textId="77777777" w:rsidR="004D36F8" w:rsidRPr="00122403" w:rsidRDefault="004D36F8" w:rsidP="00633753">
      <w:pPr>
        <w:jc w:val="both"/>
        <w:rPr>
          <w:rFonts w:asciiTheme="minorHAnsi" w:hAnsiTheme="minorHAnsi" w:cs="Arial"/>
          <w:sz w:val="22"/>
          <w:szCs w:val="22"/>
        </w:rPr>
      </w:pPr>
      <w:r w:rsidRPr="00122403">
        <w:rPr>
          <w:rFonts w:asciiTheme="minorHAnsi" w:hAnsiTheme="minorHAnsi" w:cs="Arial"/>
          <w:sz w:val="22"/>
          <w:szCs w:val="22"/>
        </w:rPr>
        <w:t>An amount set aside for purposes falling outside the definition of a provision.</w:t>
      </w:r>
    </w:p>
    <w:p w14:paraId="00084121" w14:textId="77777777" w:rsidR="00430FE2" w:rsidRPr="00122403" w:rsidRDefault="00430FE2" w:rsidP="00633753">
      <w:pPr>
        <w:jc w:val="both"/>
        <w:rPr>
          <w:rFonts w:asciiTheme="minorHAnsi" w:hAnsiTheme="minorHAnsi" w:cs="Arial"/>
          <w:sz w:val="22"/>
          <w:szCs w:val="22"/>
        </w:rPr>
      </w:pPr>
    </w:p>
    <w:p w14:paraId="57B74250" w14:textId="77777777" w:rsidR="003B1A10" w:rsidRPr="00122403" w:rsidRDefault="003B1A10" w:rsidP="00633753">
      <w:pPr>
        <w:jc w:val="both"/>
        <w:rPr>
          <w:rFonts w:asciiTheme="minorHAnsi" w:hAnsiTheme="minorHAnsi" w:cs="Arial"/>
          <w:b/>
          <w:sz w:val="22"/>
          <w:szCs w:val="22"/>
        </w:rPr>
      </w:pPr>
      <w:r w:rsidRPr="00122403">
        <w:rPr>
          <w:rFonts w:asciiTheme="minorHAnsi" w:hAnsiTheme="minorHAnsi" w:cs="Arial"/>
          <w:b/>
          <w:sz w:val="22"/>
          <w:szCs w:val="22"/>
        </w:rPr>
        <w:t>Restate</w:t>
      </w:r>
      <w:r w:rsidR="005A5572" w:rsidRPr="00122403">
        <w:rPr>
          <w:rFonts w:asciiTheme="minorHAnsi" w:hAnsiTheme="minorHAnsi" w:cs="Arial"/>
          <w:b/>
          <w:sz w:val="22"/>
          <w:szCs w:val="22"/>
        </w:rPr>
        <w:t>d</w:t>
      </w:r>
    </w:p>
    <w:p w14:paraId="2C77E12A" w14:textId="77777777" w:rsidR="003B1A10" w:rsidRPr="00122403" w:rsidRDefault="003B1A10" w:rsidP="00633753">
      <w:pPr>
        <w:jc w:val="both"/>
        <w:rPr>
          <w:rFonts w:asciiTheme="minorHAnsi" w:hAnsiTheme="minorHAnsi" w:cs="Arial"/>
          <w:sz w:val="22"/>
          <w:szCs w:val="22"/>
        </w:rPr>
      </w:pPr>
      <w:r w:rsidRPr="00122403">
        <w:rPr>
          <w:rFonts w:asciiTheme="minorHAnsi" w:hAnsiTheme="minorHAnsi" w:cs="Arial"/>
          <w:sz w:val="22"/>
          <w:szCs w:val="22"/>
        </w:rPr>
        <w:t>We normally show the amounts that were in last year’s accounts as the same figure, but where there is a change in the accountancy rules, we have to change last year’s figure to meet the current rules.</w:t>
      </w:r>
    </w:p>
    <w:p w14:paraId="0E05D12B" w14:textId="77777777" w:rsidR="004D36F8" w:rsidRPr="00122403" w:rsidRDefault="004D36F8" w:rsidP="00633753">
      <w:pPr>
        <w:jc w:val="both"/>
        <w:rPr>
          <w:rFonts w:asciiTheme="minorHAnsi" w:hAnsiTheme="minorHAnsi" w:cs="Arial"/>
          <w:sz w:val="22"/>
          <w:szCs w:val="22"/>
        </w:rPr>
      </w:pPr>
    </w:p>
    <w:p w14:paraId="103607FC" w14:textId="77777777" w:rsidR="003065CD" w:rsidRPr="00122403" w:rsidRDefault="003B4D9E" w:rsidP="00633753">
      <w:pPr>
        <w:jc w:val="both"/>
        <w:rPr>
          <w:rFonts w:asciiTheme="minorHAnsi" w:hAnsiTheme="minorHAnsi" w:cs="Arial"/>
          <w:b/>
          <w:sz w:val="22"/>
          <w:szCs w:val="22"/>
        </w:rPr>
      </w:pPr>
      <w:r w:rsidRPr="00122403">
        <w:rPr>
          <w:rFonts w:asciiTheme="minorHAnsi" w:hAnsiTheme="minorHAnsi" w:cs="Arial"/>
          <w:b/>
          <w:sz w:val="22"/>
          <w:szCs w:val="22"/>
        </w:rPr>
        <w:t>Revaluation Reserve</w:t>
      </w:r>
    </w:p>
    <w:p w14:paraId="03DD0C38" w14:textId="77777777" w:rsidR="003B4D9E" w:rsidRPr="00122403" w:rsidRDefault="003B4D9E" w:rsidP="00633753">
      <w:pPr>
        <w:jc w:val="both"/>
        <w:rPr>
          <w:rFonts w:asciiTheme="minorHAnsi" w:hAnsiTheme="minorHAnsi" w:cs="Arial"/>
          <w:sz w:val="22"/>
          <w:szCs w:val="22"/>
        </w:rPr>
      </w:pPr>
      <w:r w:rsidRPr="00122403">
        <w:rPr>
          <w:rFonts w:asciiTheme="minorHAnsi" w:hAnsiTheme="minorHAnsi" w:cs="Arial"/>
          <w:sz w:val="22"/>
          <w:szCs w:val="22"/>
        </w:rPr>
        <w:t>This reserve contains the gains made by the Council arising from increases in the value of its Property, Plant and Equipment.</w:t>
      </w:r>
    </w:p>
    <w:p w14:paraId="522A6043" w14:textId="77777777" w:rsidR="003B4D9E" w:rsidRPr="00122403" w:rsidRDefault="003B4D9E" w:rsidP="00633753">
      <w:pPr>
        <w:jc w:val="both"/>
        <w:rPr>
          <w:rFonts w:asciiTheme="minorHAnsi" w:hAnsiTheme="minorHAnsi" w:cs="Arial"/>
          <w:sz w:val="22"/>
          <w:szCs w:val="22"/>
        </w:rPr>
      </w:pPr>
    </w:p>
    <w:p w14:paraId="3EBBD2B7" w14:textId="77777777" w:rsidR="003B1A10" w:rsidRPr="00122403" w:rsidRDefault="004D36F8" w:rsidP="00633753">
      <w:pPr>
        <w:jc w:val="both"/>
        <w:rPr>
          <w:rFonts w:asciiTheme="minorHAnsi" w:hAnsiTheme="minorHAnsi" w:cs="Arial"/>
          <w:sz w:val="22"/>
          <w:szCs w:val="22"/>
        </w:rPr>
      </w:pPr>
      <w:r w:rsidRPr="00122403">
        <w:rPr>
          <w:rFonts w:asciiTheme="minorHAnsi" w:hAnsiTheme="minorHAnsi" w:cs="Arial"/>
          <w:b/>
          <w:sz w:val="22"/>
          <w:szCs w:val="22"/>
        </w:rPr>
        <w:t>Revenue</w:t>
      </w:r>
      <w:r w:rsidR="00976702" w:rsidRPr="00122403">
        <w:rPr>
          <w:rFonts w:asciiTheme="minorHAnsi" w:hAnsiTheme="minorHAnsi" w:cs="Arial"/>
          <w:b/>
          <w:sz w:val="22"/>
          <w:szCs w:val="22"/>
        </w:rPr>
        <w:t xml:space="preserve"> Expenditure</w:t>
      </w:r>
    </w:p>
    <w:p w14:paraId="468F914B" w14:textId="77777777" w:rsidR="004D36F8" w:rsidRPr="00122403" w:rsidRDefault="005A5572" w:rsidP="00633753">
      <w:pPr>
        <w:jc w:val="both"/>
        <w:rPr>
          <w:rFonts w:asciiTheme="minorHAnsi" w:hAnsiTheme="minorHAnsi" w:cs="Arial"/>
          <w:sz w:val="22"/>
          <w:szCs w:val="22"/>
        </w:rPr>
      </w:pPr>
      <w:r w:rsidRPr="00122403">
        <w:rPr>
          <w:rFonts w:asciiTheme="minorHAnsi" w:hAnsiTheme="minorHAnsi" w:cs="Arial"/>
          <w:sz w:val="22"/>
          <w:szCs w:val="22"/>
        </w:rPr>
        <w:t>Expenditure that the</w:t>
      </w:r>
      <w:r w:rsidR="004D36F8" w:rsidRPr="00122403">
        <w:rPr>
          <w:rFonts w:asciiTheme="minorHAnsi" w:hAnsiTheme="minorHAnsi" w:cs="Arial"/>
          <w:sz w:val="22"/>
          <w:szCs w:val="22"/>
        </w:rPr>
        <w:t xml:space="preserve"> Council incurs on the day to day running costs of its servi</w:t>
      </w:r>
      <w:r w:rsidRPr="00122403">
        <w:rPr>
          <w:rFonts w:asciiTheme="minorHAnsi" w:hAnsiTheme="minorHAnsi" w:cs="Arial"/>
          <w:sz w:val="22"/>
          <w:szCs w:val="22"/>
        </w:rPr>
        <w:t>ces including salaries</w:t>
      </w:r>
      <w:r w:rsidR="004D36F8" w:rsidRPr="00122403">
        <w:rPr>
          <w:rFonts w:asciiTheme="minorHAnsi" w:hAnsiTheme="minorHAnsi" w:cs="Arial"/>
          <w:sz w:val="22"/>
          <w:szCs w:val="22"/>
        </w:rPr>
        <w:t xml:space="preserve">, running expenses of premises and vehicles as well as the annual payment of </w:t>
      </w:r>
      <w:r w:rsidR="00976702" w:rsidRPr="00122403">
        <w:rPr>
          <w:rFonts w:asciiTheme="minorHAnsi" w:hAnsiTheme="minorHAnsi" w:cs="Arial"/>
          <w:sz w:val="22"/>
          <w:szCs w:val="22"/>
        </w:rPr>
        <w:t>depreciation</w:t>
      </w:r>
      <w:r w:rsidR="004D36F8" w:rsidRPr="00122403">
        <w:rPr>
          <w:rFonts w:asciiTheme="minorHAnsi" w:hAnsiTheme="minorHAnsi" w:cs="Arial"/>
          <w:sz w:val="22"/>
          <w:szCs w:val="22"/>
        </w:rPr>
        <w:t xml:space="preserve">. The expenditure is financed from charges for services, government </w:t>
      </w:r>
      <w:r w:rsidR="00B36611" w:rsidRPr="00122403">
        <w:rPr>
          <w:rFonts w:asciiTheme="minorHAnsi" w:hAnsiTheme="minorHAnsi" w:cs="Arial"/>
          <w:sz w:val="22"/>
          <w:szCs w:val="22"/>
        </w:rPr>
        <w:t xml:space="preserve">grants and income from </w:t>
      </w:r>
      <w:r w:rsidR="00457D97" w:rsidRPr="00122403">
        <w:rPr>
          <w:rFonts w:asciiTheme="minorHAnsi" w:hAnsiTheme="minorHAnsi" w:cs="Arial"/>
          <w:sz w:val="22"/>
          <w:szCs w:val="22"/>
        </w:rPr>
        <w:t>council t</w:t>
      </w:r>
      <w:r w:rsidR="004D36F8" w:rsidRPr="00122403">
        <w:rPr>
          <w:rFonts w:asciiTheme="minorHAnsi" w:hAnsiTheme="minorHAnsi" w:cs="Arial"/>
          <w:sz w:val="22"/>
          <w:szCs w:val="22"/>
        </w:rPr>
        <w:t xml:space="preserve">ax and </w:t>
      </w:r>
      <w:r w:rsidR="00A6075F" w:rsidRPr="00122403">
        <w:rPr>
          <w:rFonts w:asciiTheme="minorHAnsi" w:hAnsiTheme="minorHAnsi" w:cs="Arial"/>
          <w:sz w:val="22"/>
          <w:szCs w:val="22"/>
        </w:rPr>
        <w:t>the business rates retention scheme</w:t>
      </w:r>
      <w:r w:rsidR="004D36F8" w:rsidRPr="00122403">
        <w:rPr>
          <w:rFonts w:asciiTheme="minorHAnsi" w:hAnsiTheme="minorHAnsi" w:cs="Arial"/>
          <w:sz w:val="22"/>
          <w:szCs w:val="22"/>
        </w:rPr>
        <w:t>.</w:t>
      </w:r>
    </w:p>
    <w:p w14:paraId="0CC5C9C8" w14:textId="77777777" w:rsidR="00713EC8" w:rsidRPr="00122403" w:rsidRDefault="00713EC8" w:rsidP="00633753">
      <w:pPr>
        <w:jc w:val="both"/>
        <w:rPr>
          <w:rFonts w:asciiTheme="minorHAnsi" w:hAnsiTheme="minorHAnsi" w:cs="Arial"/>
          <w:b/>
          <w:sz w:val="22"/>
          <w:szCs w:val="22"/>
        </w:rPr>
      </w:pPr>
    </w:p>
    <w:p w14:paraId="1ADAC7D6" w14:textId="77777777" w:rsidR="00430FE2" w:rsidRPr="00122403" w:rsidRDefault="00430FE2" w:rsidP="00633753">
      <w:pPr>
        <w:jc w:val="both"/>
        <w:rPr>
          <w:rFonts w:asciiTheme="minorHAnsi" w:hAnsiTheme="minorHAnsi" w:cs="Arial"/>
          <w:b/>
          <w:sz w:val="22"/>
          <w:szCs w:val="22"/>
        </w:rPr>
      </w:pPr>
      <w:r w:rsidRPr="00122403">
        <w:rPr>
          <w:rFonts w:asciiTheme="minorHAnsi" w:hAnsiTheme="minorHAnsi" w:cs="Arial"/>
          <w:b/>
          <w:sz w:val="22"/>
          <w:szCs w:val="22"/>
        </w:rPr>
        <w:t>Revenue Expenditure Funded from Capital under Statute</w:t>
      </w:r>
    </w:p>
    <w:p w14:paraId="56312FD6" w14:textId="77777777" w:rsidR="00430FE2" w:rsidRPr="00122403" w:rsidRDefault="00430FE2" w:rsidP="00633753">
      <w:pPr>
        <w:jc w:val="both"/>
        <w:rPr>
          <w:rFonts w:asciiTheme="minorHAnsi" w:hAnsiTheme="minorHAnsi" w:cs="Arial"/>
          <w:sz w:val="22"/>
          <w:szCs w:val="22"/>
        </w:rPr>
      </w:pPr>
      <w:r w:rsidRPr="00122403">
        <w:rPr>
          <w:rFonts w:asciiTheme="minorHAnsi" w:hAnsiTheme="minorHAnsi" w:cs="Arial"/>
          <w:sz w:val="22"/>
          <w:szCs w:val="22"/>
        </w:rPr>
        <w:t xml:space="preserve">Spending on assets that have a lasting value which we do not own </w:t>
      </w:r>
      <w:proofErr w:type="gramStart"/>
      <w:r w:rsidRPr="00122403">
        <w:rPr>
          <w:rFonts w:asciiTheme="minorHAnsi" w:hAnsiTheme="minorHAnsi" w:cs="Arial"/>
          <w:sz w:val="22"/>
          <w:szCs w:val="22"/>
        </w:rPr>
        <w:t>e.g.</w:t>
      </w:r>
      <w:proofErr w:type="gramEnd"/>
      <w:r w:rsidRPr="00122403">
        <w:rPr>
          <w:rFonts w:asciiTheme="minorHAnsi" w:hAnsiTheme="minorHAnsi" w:cs="Arial"/>
          <w:sz w:val="22"/>
          <w:szCs w:val="22"/>
        </w:rPr>
        <w:t xml:space="preserve"> grants to the community.</w:t>
      </w:r>
    </w:p>
    <w:p w14:paraId="38050F71" w14:textId="77777777" w:rsidR="00DA7FA9" w:rsidRPr="00122403" w:rsidRDefault="00DA7FA9" w:rsidP="00633753">
      <w:pPr>
        <w:jc w:val="both"/>
        <w:rPr>
          <w:rFonts w:asciiTheme="minorHAnsi" w:hAnsiTheme="minorHAnsi" w:cs="Arial"/>
          <w:b/>
          <w:sz w:val="22"/>
          <w:szCs w:val="22"/>
        </w:rPr>
      </w:pPr>
    </w:p>
    <w:p w14:paraId="352E2EB4" w14:textId="77777777" w:rsidR="004D36F8" w:rsidRPr="00122403" w:rsidRDefault="004D36F8" w:rsidP="00633753">
      <w:pPr>
        <w:jc w:val="both"/>
        <w:rPr>
          <w:rFonts w:asciiTheme="minorHAnsi" w:hAnsiTheme="minorHAnsi" w:cs="Arial"/>
          <w:b/>
          <w:sz w:val="22"/>
          <w:szCs w:val="22"/>
        </w:rPr>
      </w:pPr>
      <w:r w:rsidRPr="00122403">
        <w:rPr>
          <w:rFonts w:asciiTheme="minorHAnsi" w:hAnsiTheme="minorHAnsi" w:cs="Arial"/>
          <w:b/>
          <w:sz w:val="22"/>
          <w:szCs w:val="22"/>
        </w:rPr>
        <w:t xml:space="preserve">Revenue Funding </w:t>
      </w:r>
      <w:r w:rsidR="005A5572" w:rsidRPr="00122403">
        <w:rPr>
          <w:rFonts w:asciiTheme="minorHAnsi" w:hAnsiTheme="minorHAnsi" w:cs="Arial"/>
          <w:b/>
          <w:sz w:val="22"/>
          <w:szCs w:val="22"/>
        </w:rPr>
        <w:t xml:space="preserve">of </w:t>
      </w:r>
      <w:r w:rsidRPr="00122403">
        <w:rPr>
          <w:rFonts w:asciiTheme="minorHAnsi" w:hAnsiTheme="minorHAnsi" w:cs="Arial"/>
          <w:b/>
          <w:sz w:val="22"/>
          <w:szCs w:val="22"/>
        </w:rPr>
        <w:t>Capital</w:t>
      </w:r>
      <w:r w:rsidR="005A5572" w:rsidRPr="00122403">
        <w:rPr>
          <w:rFonts w:asciiTheme="minorHAnsi" w:hAnsiTheme="minorHAnsi" w:cs="Arial"/>
          <w:b/>
          <w:sz w:val="22"/>
          <w:szCs w:val="22"/>
        </w:rPr>
        <w:t xml:space="preserve"> Expenditure</w:t>
      </w:r>
    </w:p>
    <w:p w14:paraId="47C28243" w14:textId="77777777" w:rsidR="004D36F8" w:rsidRPr="00122403" w:rsidRDefault="004D36F8" w:rsidP="00633753">
      <w:pPr>
        <w:jc w:val="both"/>
        <w:rPr>
          <w:rFonts w:asciiTheme="minorHAnsi" w:hAnsiTheme="minorHAnsi" w:cs="Arial"/>
          <w:sz w:val="22"/>
          <w:szCs w:val="22"/>
        </w:rPr>
      </w:pPr>
      <w:r w:rsidRPr="00122403">
        <w:rPr>
          <w:rFonts w:asciiTheme="minorHAnsi" w:hAnsiTheme="minorHAnsi" w:cs="Arial"/>
          <w:sz w:val="22"/>
          <w:szCs w:val="22"/>
        </w:rPr>
        <w:t xml:space="preserve">The financing of capital expenditure by a direct contribution from </w:t>
      </w:r>
      <w:r w:rsidR="00457D97" w:rsidRPr="00122403">
        <w:rPr>
          <w:rFonts w:asciiTheme="minorHAnsi" w:hAnsiTheme="minorHAnsi" w:cs="Arial"/>
          <w:sz w:val="22"/>
          <w:szCs w:val="22"/>
        </w:rPr>
        <w:t xml:space="preserve">the </w:t>
      </w:r>
      <w:r w:rsidRPr="00122403">
        <w:rPr>
          <w:rFonts w:asciiTheme="minorHAnsi" w:hAnsiTheme="minorHAnsi" w:cs="Arial"/>
          <w:sz w:val="22"/>
          <w:szCs w:val="22"/>
        </w:rPr>
        <w:t>revenue</w:t>
      </w:r>
      <w:r w:rsidR="00457D97" w:rsidRPr="00122403">
        <w:rPr>
          <w:rFonts w:asciiTheme="minorHAnsi" w:hAnsiTheme="minorHAnsi" w:cs="Arial"/>
          <w:sz w:val="22"/>
          <w:szCs w:val="22"/>
        </w:rPr>
        <w:t xml:space="preserve"> budget</w:t>
      </w:r>
      <w:r w:rsidRPr="00122403">
        <w:rPr>
          <w:rFonts w:asciiTheme="minorHAnsi" w:hAnsiTheme="minorHAnsi" w:cs="Arial"/>
          <w:sz w:val="22"/>
          <w:szCs w:val="22"/>
        </w:rPr>
        <w:t>.</w:t>
      </w:r>
    </w:p>
    <w:p w14:paraId="0C0C1A23" w14:textId="77777777" w:rsidR="00C75243" w:rsidRDefault="00C75243" w:rsidP="00633753">
      <w:pPr>
        <w:jc w:val="both"/>
        <w:rPr>
          <w:rFonts w:asciiTheme="minorHAnsi" w:hAnsiTheme="minorHAnsi" w:cs="Arial"/>
          <w:b/>
          <w:sz w:val="22"/>
          <w:szCs w:val="22"/>
        </w:rPr>
      </w:pPr>
    </w:p>
    <w:p w14:paraId="4753635E" w14:textId="77777777" w:rsidR="00250DB1" w:rsidRDefault="00250DB1" w:rsidP="00633753">
      <w:pPr>
        <w:jc w:val="both"/>
        <w:rPr>
          <w:rFonts w:asciiTheme="minorHAnsi" w:hAnsiTheme="minorHAnsi" w:cs="Arial"/>
          <w:b/>
          <w:sz w:val="22"/>
          <w:szCs w:val="22"/>
        </w:rPr>
      </w:pPr>
    </w:p>
    <w:p w14:paraId="6517DEE5" w14:textId="77777777" w:rsidR="00250DB1" w:rsidRPr="00122403" w:rsidRDefault="00250DB1" w:rsidP="00633753">
      <w:pPr>
        <w:jc w:val="both"/>
        <w:rPr>
          <w:rFonts w:asciiTheme="minorHAnsi" w:hAnsiTheme="minorHAnsi" w:cs="Arial"/>
          <w:b/>
          <w:sz w:val="22"/>
          <w:szCs w:val="22"/>
        </w:rPr>
      </w:pPr>
    </w:p>
    <w:p w14:paraId="5FCED78C" w14:textId="77777777" w:rsidR="00A6075F" w:rsidRPr="00122403" w:rsidRDefault="00A6075F" w:rsidP="00633753">
      <w:pPr>
        <w:jc w:val="both"/>
        <w:rPr>
          <w:rFonts w:asciiTheme="minorHAnsi" w:hAnsiTheme="minorHAnsi" w:cs="Arial"/>
          <w:b/>
          <w:sz w:val="22"/>
          <w:szCs w:val="22"/>
        </w:rPr>
      </w:pPr>
      <w:r w:rsidRPr="00122403">
        <w:rPr>
          <w:rFonts w:asciiTheme="minorHAnsi" w:hAnsiTheme="minorHAnsi" w:cs="Arial"/>
          <w:b/>
          <w:sz w:val="22"/>
          <w:szCs w:val="22"/>
        </w:rPr>
        <w:lastRenderedPageBreak/>
        <w:t>Revenue Support Grant</w:t>
      </w:r>
    </w:p>
    <w:p w14:paraId="1D300654" w14:textId="77777777" w:rsidR="00A6075F" w:rsidRPr="00122403" w:rsidRDefault="00A6075F" w:rsidP="00633753">
      <w:pPr>
        <w:jc w:val="both"/>
        <w:rPr>
          <w:rFonts w:asciiTheme="minorHAnsi" w:hAnsiTheme="minorHAnsi" w:cs="Arial"/>
          <w:sz w:val="22"/>
          <w:szCs w:val="22"/>
        </w:rPr>
      </w:pPr>
      <w:r w:rsidRPr="00122403">
        <w:rPr>
          <w:rFonts w:asciiTheme="minorHAnsi" w:hAnsiTheme="minorHAnsi" w:cs="Arial"/>
          <w:sz w:val="22"/>
          <w:szCs w:val="22"/>
        </w:rPr>
        <w:t>The main grant received by the Council from Central Government incorporating a number of non-specific grants.  The calculation for our funding baseline includes the figures within the business rates retention scheme.</w:t>
      </w:r>
    </w:p>
    <w:p w14:paraId="566F90A4" w14:textId="77777777" w:rsidR="00B7744C" w:rsidRPr="00122403" w:rsidRDefault="00A6075F" w:rsidP="00633753">
      <w:pPr>
        <w:jc w:val="both"/>
        <w:rPr>
          <w:rFonts w:asciiTheme="minorHAnsi" w:hAnsiTheme="minorHAnsi" w:cs="Arial"/>
          <w:sz w:val="22"/>
          <w:szCs w:val="22"/>
        </w:rPr>
      </w:pPr>
      <w:r w:rsidRPr="00122403">
        <w:rPr>
          <w:rFonts w:asciiTheme="minorHAnsi" w:hAnsiTheme="minorHAnsi" w:cs="Arial"/>
          <w:sz w:val="22"/>
          <w:szCs w:val="22"/>
        </w:rPr>
        <w:t xml:space="preserve"> </w:t>
      </w:r>
    </w:p>
    <w:p w14:paraId="110CD266" w14:textId="77777777" w:rsidR="00D85FD8" w:rsidRPr="00122403" w:rsidRDefault="00D85FD8" w:rsidP="00633753">
      <w:pPr>
        <w:jc w:val="both"/>
        <w:rPr>
          <w:rFonts w:asciiTheme="minorHAnsi" w:hAnsiTheme="minorHAnsi" w:cs="Arial"/>
          <w:b/>
          <w:sz w:val="22"/>
          <w:szCs w:val="22"/>
        </w:rPr>
      </w:pPr>
      <w:r w:rsidRPr="00122403">
        <w:rPr>
          <w:rFonts w:asciiTheme="minorHAnsi" w:hAnsiTheme="minorHAnsi" w:cs="Arial"/>
          <w:b/>
          <w:sz w:val="22"/>
          <w:szCs w:val="22"/>
        </w:rPr>
        <w:t>Settlement</w:t>
      </w:r>
      <w:r w:rsidR="00B7744C">
        <w:rPr>
          <w:rFonts w:asciiTheme="minorHAnsi" w:hAnsiTheme="minorHAnsi" w:cs="Arial"/>
          <w:b/>
          <w:sz w:val="22"/>
          <w:szCs w:val="22"/>
        </w:rPr>
        <w:t xml:space="preserve"> (Pensions)</w:t>
      </w:r>
    </w:p>
    <w:p w14:paraId="33F05F55" w14:textId="0B0C19B7" w:rsidR="00D85FD8" w:rsidRPr="00122403" w:rsidRDefault="0078487E" w:rsidP="00633753">
      <w:pPr>
        <w:jc w:val="both"/>
        <w:rPr>
          <w:rFonts w:asciiTheme="minorHAnsi" w:hAnsiTheme="minorHAnsi" w:cs="Arial"/>
          <w:sz w:val="22"/>
          <w:szCs w:val="22"/>
        </w:rPr>
      </w:pPr>
      <w:r w:rsidRPr="00122403">
        <w:rPr>
          <w:rFonts w:asciiTheme="minorHAnsi" w:hAnsiTheme="minorHAnsi" w:cs="Arial"/>
          <w:sz w:val="22"/>
          <w:szCs w:val="22"/>
        </w:rPr>
        <w:t>An irrevocable action that relieves the employer (or the defined benefit scheme) of the primary responsibility for a pension obligation and eliminate</w:t>
      </w:r>
      <w:r w:rsidR="004F7695" w:rsidRPr="00122403">
        <w:rPr>
          <w:rFonts w:asciiTheme="minorHAnsi" w:hAnsiTheme="minorHAnsi" w:cs="Arial"/>
          <w:sz w:val="22"/>
          <w:szCs w:val="22"/>
        </w:rPr>
        <w:t>s</w:t>
      </w:r>
      <w:r w:rsidRPr="00122403">
        <w:rPr>
          <w:rFonts w:asciiTheme="minorHAnsi" w:hAnsiTheme="minorHAnsi" w:cs="Arial"/>
          <w:sz w:val="22"/>
          <w:szCs w:val="22"/>
        </w:rPr>
        <w:t xml:space="preserve"> significant risks relating to the obligation and the assets used to </w:t>
      </w:r>
      <w:r w:rsidR="00F22A28" w:rsidRPr="00122403">
        <w:rPr>
          <w:rFonts w:asciiTheme="minorHAnsi" w:hAnsiTheme="minorHAnsi" w:cs="Arial"/>
          <w:sz w:val="22"/>
          <w:szCs w:val="22"/>
        </w:rPr>
        <w:t>affect</w:t>
      </w:r>
      <w:r w:rsidRPr="00122403">
        <w:rPr>
          <w:rFonts w:asciiTheme="minorHAnsi" w:hAnsiTheme="minorHAnsi" w:cs="Arial"/>
          <w:sz w:val="22"/>
          <w:szCs w:val="22"/>
        </w:rPr>
        <w:t xml:space="preserve"> the settlement. Settlements include:</w:t>
      </w:r>
    </w:p>
    <w:p w14:paraId="27861646" w14:textId="77777777" w:rsidR="0078487E" w:rsidRPr="00122403" w:rsidRDefault="0078487E" w:rsidP="00633753">
      <w:pPr>
        <w:ind w:left="720" w:hanging="720"/>
        <w:jc w:val="both"/>
        <w:rPr>
          <w:rFonts w:asciiTheme="minorHAnsi" w:hAnsiTheme="minorHAnsi" w:cs="Arial"/>
          <w:sz w:val="22"/>
          <w:szCs w:val="22"/>
        </w:rPr>
      </w:pPr>
      <w:r w:rsidRPr="00122403">
        <w:rPr>
          <w:rFonts w:asciiTheme="minorHAnsi" w:hAnsiTheme="minorHAnsi" w:cs="Arial"/>
          <w:sz w:val="22"/>
          <w:szCs w:val="22"/>
        </w:rPr>
        <w:t>a)</w:t>
      </w:r>
      <w:r w:rsidRPr="00122403">
        <w:rPr>
          <w:rFonts w:asciiTheme="minorHAnsi" w:hAnsiTheme="minorHAnsi" w:cs="Arial"/>
          <w:sz w:val="22"/>
          <w:szCs w:val="22"/>
        </w:rPr>
        <w:tab/>
        <w:t xml:space="preserve">a lump-sum cash payment to scheme members in exchange for their rights to receive specified pension </w:t>
      </w:r>
      <w:proofErr w:type="gramStart"/>
      <w:r w:rsidRPr="00122403">
        <w:rPr>
          <w:rFonts w:asciiTheme="minorHAnsi" w:hAnsiTheme="minorHAnsi" w:cs="Arial"/>
          <w:sz w:val="22"/>
          <w:szCs w:val="22"/>
        </w:rPr>
        <w:t>benefits;</w:t>
      </w:r>
      <w:proofErr w:type="gramEnd"/>
    </w:p>
    <w:p w14:paraId="5E113F77" w14:textId="77777777" w:rsidR="0078487E" w:rsidRPr="00122403" w:rsidRDefault="0078487E" w:rsidP="00633753">
      <w:pPr>
        <w:ind w:left="720" w:hanging="720"/>
        <w:jc w:val="both"/>
        <w:rPr>
          <w:rFonts w:asciiTheme="minorHAnsi" w:hAnsiTheme="minorHAnsi" w:cs="Arial"/>
          <w:sz w:val="22"/>
          <w:szCs w:val="22"/>
        </w:rPr>
      </w:pPr>
      <w:r w:rsidRPr="00122403">
        <w:rPr>
          <w:rFonts w:asciiTheme="minorHAnsi" w:hAnsiTheme="minorHAnsi" w:cs="Arial"/>
          <w:sz w:val="22"/>
          <w:szCs w:val="22"/>
        </w:rPr>
        <w:t>b)</w:t>
      </w:r>
      <w:r w:rsidRPr="00122403">
        <w:rPr>
          <w:rFonts w:asciiTheme="minorHAnsi" w:hAnsiTheme="minorHAnsi" w:cs="Arial"/>
          <w:sz w:val="22"/>
          <w:szCs w:val="22"/>
        </w:rPr>
        <w:tab/>
        <w:t>the purchase of an irrevocable annuity contract sufficient to cover vested benefits; and</w:t>
      </w:r>
    </w:p>
    <w:p w14:paraId="56BC8F5F" w14:textId="77777777" w:rsidR="0078487E" w:rsidRPr="00122403" w:rsidRDefault="0078487E" w:rsidP="00633753">
      <w:pPr>
        <w:ind w:left="720" w:hanging="720"/>
        <w:jc w:val="both"/>
        <w:rPr>
          <w:rFonts w:asciiTheme="minorHAnsi" w:hAnsiTheme="minorHAnsi" w:cs="Arial"/>
          <w:sz w:val="22"/>
          <w:szCs w:val="22"/>
        </w:rPr>
      </w:pPr>
      <w:r w:rsidRPr="00122403">
        <w:rPr>
          <w:rFonts w:asciiTheme="minorHAnsi" w:hAnsiTheme="minorHAnsi" w:cs="Arial"/>
          <w:sz w:val="22"/>
          <w:szCs w:val="22"/>
        </w:rPr>
        <w:t>c)</w:t>
      </w:r>
      <w:r w:rsidRPr="00122403">
        <w:rPr>
          <w:rFonts w:asciiTheme="minorHAnsi" w:hAnsiTheme="minorHAnsi" w:cs="Arial"/>
          <w:sz w:val="22"/>
          <w:szCs w:val="22"/>
        </w:rPr>
        <w:tab/>
        <w:t>the transfer of scheme assets and liabilities relating to a group of employees leaving the scheme.</w:t>
      </w:r>
    </w:p>
    <w:p w14:paraId="1AD512DF" w14:textId="77777777" w:rsidR="00D85FD8" w:rsidRPr="00122403" w:rsidRDefault="00D85FD8" w:rsidP="00633753">
      <w:pPr>
        <w:jc w:val="both"/>
        <w:rPr>
          <w:rFonts w:asciiTheme="minorHAnsi" w:hAnsiTheme="minorHAnsi" w:cs="Arial"/>
          <w:b/>
          <w:sz w:val="22"/>
          <w:szCs w:val="22"/>
        </w:rPr>
      </w:pPr>
    </w:p>
    <w:p w14:paraId="7B41A2F1" w14:textId="77777777" w:rsidR="004D36F8" w:rsidRPr="00122403" w:rsidRDefault="004D36F8" w:rsidP="00633753">
      <w:pPr>
        <w:jc w:val="both"/>
        <w:rPr>
          <w:rFonts w:asciiTheme="minorHAnsi" w:hAnsiTheme="minorHAnsi" w:cs="Arial"/>
          <w:b/>
          <w:sz w:val="22"/>
          <w:szCs w:val="22"/>
        </w:rPr>
      </w:pPr>
      <w:r w:rsidRPr="00122403">
        <w:rPr>
          <w:rFonts w:asciiTheme="minorHAnsi" w:hAnsiTheme="minorHAnsi" w:cs="Arial"/>
          <w:b/>
          <w:sz w:val="22"/>
          <w:szCs w:val="22"/>
        </w:rPr>
        <w:t xml:space="preserve">Specific </w:t>
      </w:r>
      <w:r w:rsidR="00E10060" w:rsidRPr="00122403">
        <w:rPr>
          <w:rFonts w:asciiTheme="minorHAnsi" w:hAnsiTheme="minorHAnsi" w:cs="Arial"/>
          <w:b/>
          <w:sz w:val="22"/>
          <w:szCs w:val="22"/>
        </w:rPr>
        <w:t>G</w:t>
      </w:r>
      <w:r w:rsidRPr="00122403">
        <w:rPr>
          <w:rFonts w:asciiTheme="minorHAnsi" w:hAnsiTheme="minorHAnsi" w:cs="Arial"/>
          <w:b/>
          <w:sz w:val="22"/>
          <w:szCs w:val="22"/>
        </w:rPr>
        <w:t>rants</w:t>
      </w:r>
    </w:p>
    <w:p w14:paraId="2014DEA8" w14:textId="77777777" w:rsidR="004D36F8" w:rsidRPr="00122403" w:rsidRDefault="004D36F8" w:rsidP="00633753">
      <w:pPr>
        <w:jc w:val="both"/>
        <w:rPr>
          <w:rFonts w:asciiTheme="minorHAnsi" w:hAnsiTheme="minorHAnsi" w:cs="Arial"/>
          <w:sz w:val="22"/>
          <w:szCs w:val="22"/>
        </w:rPr>
      </w:pPr>
      <w:r w:rsidRPr="00122403">
        <w:rPr>
          <w:rFonts w:asciiTheme="minorHAnsi" w:hAnsiTheme="minorHAnsi" w:cs="Arial"/>
          <w:sz w:val="22"/>
          <w:szCs w:val="22"/>
        </w:rPr>
        <w:t xml:space="preserve">Grants paid by the government for a particular service </w:t>
      </w:r>
      <w:proofErr w:type="gramStart"/>
      <w:r w:rsidRPr="00122403">
        <w:rPr>
          <w:rFonts w:asciiTheme="minorHAnsi" w:hAnsiTheme="minorHAnsi" w:cs="Arial"/>
          <w:sz w:val="22"/>
          <w:szCs w:val="22"/>
        </w:rPr>
        <w:t>e.g.</w:t>
      </w:r>
      <w:proofErr w:type="gramEnd"/>
      <w:r w:rsidRPr="00122403">
        <w:rPr>
          <w:rFonts w:asciiTheme="minorHAnsi" w:hAnsiTheme="minorHAnsi" w:cs="Arial"/>
          <w:sz w:val="22"/>
          <w:szCs w:val="22"/>
        </w:rPr>
        <w:t xml:space="preserve"> </w:t>
      </w:r>
      <w:r w:rsidR="008E2ECB" w:rsidRPr="00122403">
        <w:rPr>
          <w:rFonts w:asciiTheme="minorHAnsi" w:hAnsiTheme="minorHAnsi" w:cs="Arial"/>
          <w:sz w:val="22"/>
          <w:szCs w:val="22"/>
        </w:rPr>
        <w:t>Warm Homes Grant</w:t>
      </w:r>
      <w:r w:rsidRPr="00122403">
        <w:rPr>
          <w:rFonts w:asciiTheme="minorHAnsi" w:hAnsiTheme="minorHAnsi" w:cs="Arial"/>
          <w:sz w:val="22"/>
          <w:szCs w:val="22"/>
        </w:rPr>
        <w:t xml:space="preserve"> and </w:t>
      </w:r>
      <w:r w:rsidR="00331869" w:rsidRPr="00122403">
        <w:rPr>
          <w:rFonts w:asciiTheme="minorHAnsi" w:hAnsiTheme="minorHAnsi" w:cs="Arial"/>
          <w:sz w:val="22"/>
          <w:szCs w:val="22"/>
        </w:rPr>
        <w:t>Disabled Facilities</w:t>
      </w:r>
      <w:r w:rsidRPr="00122403">
        <w:rPr>
          <w:rFonts w:asciiTheme="minorHAnsi" w:hAnsiTheme="minorHAnsi" w:cs="Arial"/>
          <w:sz w:val="22"/>
          <w:szCs w:val="22"/>
        </w:rPr>
        <w:t xml:space="preserve"> Grant.</w:t>
      </w:r>
    </w:p>
    <w:p w14:paraId="5BAE841C" w14:textId="77777777" w:rsidR="005A5572" w:rsidRPr="00122403" w:rsidRDefault="005A5572" w:rsidP="00633753">
      <w:pPr>
        <w:jc w:val="both"/>
        <w:rPr>
          <w:rFonts w:asciiTheme="minorHAnsi" w:hAnsiTheme="minorHAnsi" w:cs="Arial"/>
          <w:sz w:val="22"/>
          <w:szCs w:val="22"/>
        </w:rPr>
      </w:pPr>
    </w:p>
    <w:p w14:paraId="510EFF09" w14:textId="77777777" w:rsidR="003B1A10" w:rsidRPr="00122403" w:rsidRDefault="003B1A10" w:rsidP="00633753">
      <w:pPr>
        <w:jc w:val="both"/>
        <w:rPr>
          <w:rFonts w:asciiTheme="minorHAnsi" w:hAnsiTheme="minorHAnsi" w:cs="Arial"/>
          <w:b/>
          <w:sz w:val="22"/>
          <w:szCs w:val="22"/>
        </w:rPr>
      </w:pPr>
      <w:r w:rsidRPr="00122403">
        <w:rPr>
          <w:rFonts w:asciiTheme="minorHAnsi" w:hAnsiTheme="minorHAnsi" w:cs="Arial"/>
          <w:b/>
          <w:sz w:val="22"/>
          <w:szCs w:val="22"/>
        </w:rPr>
        <w:t>Surplus</w:t>
      </w:r>
    </w:p>
    <w:p w14:paraId="475AE671" w14:textId="4DA3033F" w:rsidR="003B1A10" w:rsidRPr="00122403" w:rsidRDefault="003B1A10" w:rsidP="00633753">
      <w:pPr>
        <w:jc w:val="both"/>
        <w:rPr>
          <w:rFonts w:asciiTheme="minorHAnsi" w:hAnsiTheme="minorHAnsi" w:cs="Arial"/>
          <w:sz w:val="22"/>
          <w:szCs w:val="22"/>
        </w:rPr>
      </w:pPr>
      <w:r w:rsidRPr="00122403">
        <w:rPr>
          <w:rFonts w:asciiTheme="minorHAnsi" w:hAnsiTheme="minorHAnsi" w:cs="Arial"/>
          <w:sz w:val="22"/>
          <w:szCs w:val="22"/>
        </w:rPr>
        <w:t xml:space="preserve">At the end of the year, if an account such as the </w:t>
      </w:r>
      <w:r w:rsidR="00457D97" w:rsidRPr="00122403">
        <w:rPr>
          <w:rFonts w:asciiTheme="minorHAnsi" w:hAnsiTheme="minorHAnsi" w:cs="Arial"/>
          <w:sz w:val="22"/>
          <w:szCs w:val="22"/>
        </w:rPr>
        <w:t xml:space="preserve">Comprehensive </w:t>
      </w:r>
      <w:r w:rsidRPr="00122403">
        <w:rPr>
          <w:rFonts w:asciiTheme="minorHAnsi" w:hAnsiTheme="minorHAnsi" w:cs="Arial"/>
          <w:sz w:val="22"/>
          <w:szCs w:val="22"/>
        </w:rPr>
        <w:t xml:space="preserve">Income </w:t>
      </w:r>
      <w:r w:rsidR="00704A70">
        <w:rPr>
          <w:rFonts w:asciiTheme="minorHAnsi" w:hAnsiTheme="minorHAnsi" w:cs="Arial"/>
          <w:sz w:val="22"/>
          <w:szCs w:val="22"/>
        </w:rPr>
        <w:t>and</w:t>
      </w:r>
      <w:r w:rsidRPr="00122403">
        <w:rPr>
          <w:rFonts w:asciiTheme="minorHAnsi" w:hAnsiTheme="minorHAnsi" w:cs="Arial"/>
          <w:sz w:val="22"/>
          <w:szCs w:val="22"/>
        </w:rPr>
        <w:t xml:space="preserve"> Expenditure </w:t>
      </w:r>
      <w:r w:rsidR="006949A8" w:rsidRPr="00122403">
        <w:rPr>
          <w:rFonts w:asciiTheme="minorHAnsi" w:hAnsiTheme="minorHAnsi" w:cs="Arial"/>
          <w:sz w:val="22"/>
          <w:szCs w:val="22"/>
        </w:rPr>
        <w:t>Statement</w:t>
      </w:r>
      <w:r w:rsidRPr="00122403">
        <w:rPr>
          <w:rFonts w:asciiTheme="minorHAnsi" w:hAnsiTheme="minorHAnsi" w:cs="Arial"/>
          <w:sz w:val="22"/>
          <w:szCs w:val="22"/>
        </w:rPr>
        <w:t xml:space="preserve"> shows that we have received more income than we have spent, that account is known as being ‘in </w:t>
      </w:r>
      <w:proofErr w:type="gramStart"/>
      <w:r w:rsidRPr="00122403">
        <w:rPr>
          <w:rFonts w:asciiTheme="minorHAnsi" w:hAnsiTheme="minorHAnsi" w:cs="Arial"/>
          <w:sz w:val="22"/>
          <w:szCs w:val="22"/>
        </w:rPr>
        <w:t>surplus’</w:t>
      </w:r>
      <w:proofErr w:type="gramEnd"/>
      <w:r w:rsidRPr="00122403">
        <w:rPr>
          <w:rFonts w:asciiTheme="minorHAnsi" w:hAnsiTheme="minorHAnsi" w:cs="Arial"/>
          <w:sz w:val="22"/>
          <w:szCs w:val="22"/>
        </w:rPr>
        <w:t>.</w:t>
      </w:r>
    </w:p>
    <w:p w14:paraId="054765A8" w14:textId="77777777" w:rsidR="003B1A10" w:rsidRPr="00122403" w:rsidRDefault="003B1A10" w:rsidP="00633753">
      <w:pPr>
        <w:jc w:val="both"/>
        <w:rPr>
          <w:rFonts w:asciiTheme="minorHAnsi" w:hAnsiTheme="minorHAnsi" w:cs="Arial"/>
          <w:sz w:val="22"/>
          <w:szCs w:val="22"/>
        </w:rPr>
      </w:pPr>
    </w:p>
    <w:p w14:paraId="1F138106" w14:textId="77777777" w:rsidR="003B1A10" w:rsidRPr="00122403" w:rsidRDefault="006949A8" w:rsidP="00633753">
      <w:pPr>
        <w:jc w:val="both"/>
        <w:rPr>
          <w:rFonts w:asciiTheme="minorHAnsi" w:hAnsiTheme="minorHAnsi" w:cs="Arial"/>
          <w:b/>
          <w:sz w:val="22"/>
          <w:szCs w:val="22"/>
        </w:rPr>
      </w:pPr>
      <w:r w:rsidRPr="00122403">
        <w:rPr>
          <w:rFonts w:asciiTheme="minorHAnsi" w:hAnsiTheme="minorHAnsi" w:cs="Arial"/>
          <w:b/>
          <w:sz w:val="22"/>
          <w:szCs w:val="22"/>
        </w:rPr>
        <w:t xml:space="preserve">Tangible </w:t>
      </w:r>
      <w:r w:rsidR="003B1A10" w:rsidRPr="00122403">
        <w:rPr>
          <w:rFonts w:asciiTheme="minorHAnsi" w:hAnsiTheme="minorHAnsi" w:cs="Arial"/>
          <w:b/>
          <w:sz w:val="22"/>
          <w:szCs w:val="22"/>
        </w:rPr>
        <w:t>Assets</w:t>
      </w:r>
    </w:p>
    <w:p w14:paraId="4A49965A" w14:textId="77777777" w:rsidR="003B1A10" w:rsidRPr="00122403" w:rsidRDefault="003B1A10" w:rsidP="00633753">
      <w:pPr>
        <w:jc w:val="both"/>
        <w:rPr>
          <w:rFonts w:asciiTheme="minorHAnsi" w:hAnsiTheme="minorHAnsi" w:cs="Arial"/>
          <w:sz w:val="22"/>
          <w:szCs w:val="22"/>
        </w:rPr>
      </w:pPr>
      <w:r w:rsidRPr="00122403">
        <w:rPr>
          <w:rFonts w:asciiTheme="minorHAnsi" w:hAnsiTheme="minorHAnsi" w:cs="Arial"/>
          <w:sz w:val="22"/>
          <w:szCs w:val="22"/>
        </w:rPr>
        <w:t>Assets we plan to own or use for more than one year.</w:t>
      </w:r>
    </w:p>
    <w:p w14:paraId="0419C601" w14:textId="77777777" w:rsidR="005A5572" w:rsidRPr="00122403" w:rsidRDefault="005A5572" w:rsidP="00633753">
      <w:pPr>
        <w:jc w:val="both"/>
        <w:rPr>
          <w:rFonts w:asciiTheme="minorHAnsi" w:hAnsiTheme="minorHAnsi" w:cs="Arial"/>
          <w:b/>
          <w:sz w:val="22"/>
          <w:szCs w:val="22"/>
        </w:rPr>
      </w:pPr>
    </w:p>
    <w:p w14:paraId="6BCDB687" w14:textId="77777777" w:rsidR="003B1A10" w:rsidRPr="00122403" w:rsidRDefault="003B1A10" w:rsidP="00633753">
      <w:pPr>
        <w:jc w:val="both"/>
        <w:rPr>
          <w:rFonts w:asciiTheme="minorHAnsi" w:hAnsiTheme="minorHAnsi" w:cs="Arial"/>
          <w:b/>
          <w:sz w:val="22"/>
          <w:szCs w:val="22"/>
        </w:rPr>
      </w:pPr>
      <w:r w:rsidRPr="00122403">
        <w:rPr>
          <w:rFonts w:asciiTheme="minorHAnsi" w:hAnsiTheme="minorHAnsi" w:cs="Arial"/>
          <w:b/>
          <w:sz w:val="22"/>
          <w:szCs w:val="22"/>
        </w:rPr>
        <w:t>Tax</w:t>
      </w:r>
      <w:r w:rsidR="00405BAB" w:rsidRPr="00122403">
        <w:rPr>
          <w:rFonts w:asciiTheme="minorHAnsi" w:hAnsiTheme="minorHAnsi" w:cs="Arial"/>
          <w:b/>
          <w:sz w:val="22"/>
          <w:szCs w:val="22"/>
        </w:rPr>
        <w:t xml:space="preserve"> </w:t>
      </w:r>
      <w:r w:rsidRPr="00122403">
        <w:rPr>
          <w:rFonts w:asciiTheme="minorHAnsi" w:hAnsiTheme="minorHAnsi" w:cs="Arial"/>
          <w:b/>
          <w:sz w:val="22"/>
          <w:szCs w:val="22"/>
        </w:rPr>
        <w:t>base</w:t>
      </w:r>
    </w:p>
    <w:p w14:paraId="4DE052A7" w14:textId="77777777" w:rsidR="003B1A10" w:rsidRPr="00122403" w:rsidRDefault="003B1A10" w:rsidP="00633753">
      <w:pPr>
        <w:jc w:val="both"/>
        <w:rPr>
          <w:rFonts w:asciiTheme="minorHAnsi" w:hAnsiTheme="minorHAnsi" w:cs="Arial"/>
          <w:sz w:val="22"/>
          <w:szCs w:val="22"/>
        </w:rPr>
      </w:pPr>
      <w:r w:rsidRPr="00122403">
        <w:rPr>
          <w:rFonts w:asciiTheme="minorHAnsi" w:hAnsiTheme="minorHAnsi" w:cs="Arial"/>
          <w:sz w:val="22"/>
          <w:szCs w:val="22"/>
        </w:rPr>
        <w:t xml:space="preserve">The number of houses </w:t>
      </w:r>
      <w:r w:rsidR="00B36611" w:rsidRPr="00122403">
        <w:rPr>
          <w:rFonts w:asciiTheme="minorHAnsi" w:hAnsiTheme="minorHAnsi" w:cs="Arial"/>
          <w:sz w:val="22"/>
          <w:szCs w:val="22"/>
        </w:rPr>
        <w:t>that we can charge our Council T</w:t>
      </w:r>
      <w:r w:rsidRPr="00122403">
        <w:rPr>
          <w:rFonts w:asciiTheme="minorHAnsi" w:hAnsiTheme="minorHAnsi" w:cs="Arial"/>
          <w:sz w:val="22"/>
          <w:szCs w:val="22"/>
        </w:rPr>
        <w:t>ax on.</w:t>
      </w:r>
    </w:p>
    <w:p w14:paraId="31CFA304" w14:textId="77777777" w:rsidR="00C75243" w:rsidRPr="00122403" w:rsidRDefault="00C75243" w:rsidP="00633753">
      <w:pPr>
        <w:jc w:val="both"/>
        <w:rPr>
          <w:rFonts w:asciiTheme="minorHAnsi" w:hAnsiTheme="minorHAnsi" w:cs="Arial"/>
          <w:sz w:val="22"/>
          <w:szCs w:val="22"/>
        </w:rPr>
      </w:pPr>
    </w:p>
    <w:p w14:paraId="05AD9BD6" w14:textId="77777777" w:rsidR="00C75243" w:rsidRPr="00122403" w:rsidRDefault="00C75243" w:rsidP="00633753">
      <w:pPr>
        <w:jc w:val="both"/>
        <w:rPr>
          <w:rFonts w:asciiTheme="minorHAnsi" w:hAnsiTheme="minorHAnsi" w:cs="Arial"/>
          <w:b/>
          <w:sz w:val="22"/>
          <w:szCs w:val="22"/>
        </w:rPr>
      </w:pPr>
      <w:r w:rsidRPr="00122403">
        <w:rPr>
          <w:rFonts w:asciiTheme="minorHAnsi" w:hAnsiTheme="minorHAnsi" w:cs="Arial"/>
          <w:b/>
          <w:sz w:val="22"/>
          <w:szCs w:val="22"/>
        </w:rPr>
        <w:t>Termination Benefits</w:t>
      </w:r>
    </w:p>
    <w:p w14:paraId="704009E0" w14:textId="77777777" w:rsidR="00C75243" w:rsidRPr="00122403" w:rsidRDefault="00C75243" w:rsidP="00633753">
      <w:pPr>
        <w:jc w:val="both"/>
        <w:rPr>
          <w:rFonts w:asciiTheme="minorHAnsi" w:hAnsiTheme="minorHAnsi" w:cs="Arial"/>
          <w:sz w:val="22"/>
          <w:szCs w:val="22"/>
        </w:rPr>
      </w:pPr>
      <w:r w:rsidRPr="00122403">
        <w:rPr>
          <w:rFonts w:asciiTheme="minorHAnsi" w:hAnsiTheme="minorHAnsi" w:cs="Arial"/>
          <w:sz w:val="22"/>
          <w:szCs w:val="22"/>
        </w:rPr>
        <w:t>These are payable as a result of either an employer’s decision to terminate an employee’s employment before the normal retirement date, or an employee’s decision to accept voluntary redundancy in exchange for those benefits. They are often lump-sum payments, but also include enhancement of retirement benefits; and salary until the end of a specified notice period if the employee renders no further service that provides economic benefits to the Council.</w:t>
      </w:r>
    </w:p>
    <w:p w14:paraId="63C7CBDC" w14:textId="77777777" w:rsidR="00063138" w:rsidRPr="00122403" w:rsidRDefault="00063138" w:rsidP="00633753">
      <w:pPr>
        <w:jc w:val="both"/>
        <w:rPr>
          <w:rFonts w:asciiTheme="minorHAnsi" w:hAnsiTheme="minorHAnsi" w:cs="Arial"/>
          <w:sz w:val="22"/>
          <w:szCs w:val="22"/>
        </w:rPr>
      </w:pPr>
    </w:p>
    <w:p w14:paraId="02E4AFEF" w14:textId="77777777" w:rsidR="00063138" w:rsidRPr="00122403" w:rsidRDefault="00063138" w:rsidP="00633753">
      <w:pPr>
        <w:jc w:val="both"/>
        <w:rPr>
          <w:rFonts w:asciiTheme="minorHAnsi" w:hAnsiTheme="minorHAnsi" w:cs="Arial"/>
          <w:b/>
          <w:sz w:val="22"/>
          <w:szCs w:val="22"/>
        </w:rPr>
      </w:pPr>
      <w:r w:rsidRPr="00122403">
        <w:rPr>
          <w:rFonts w:asciiTheme="minorHAnsi" w:hAnsiTheme="minorHAnsi" w:cs="Arial"/>
          <w:b/>
          <w:sz w:val="22"/>
          <w:szCs w:val="22"/>
        </w:rPr>
        <w:t>The Code</w:t>
      </w:r>
    </w:p>
    <w:p w14:paraId="1A3E24B7" w14:textId="77777777" w:rsidR="003B1A10" w:rsidRPr="00122403" w:rsidRDefault="00063138" w:rsidP="00633753">
      <w:pPr>
        <w:jc w:val="both"/>
        <w:rPr>
          <w:rFonts w:asciiTheme="minorHAnsi" w:hAnsiTheme="minorHAnsi" w:cs="Arial"/>
          <w:sz w:val="22"/>
          <w:szCs w:val="22"/>
        </w:rPr>
      </w:pPr>
      <w:r w:rsidRPr="00122403">
        <w:rPr>
          <w:rFonts w:asciiTheme="minorHAnsi" w:hAnsiTheme="minorHAnsi" w:cs="Arial"/>
          <w:sz w:val="22"/>
          <w:szCs w:val="22"/>
        </w:rPr>
        <w:t xml:space="preserve">The Code of Practice on Local Authority Accounting in the United Kingdom, which defines proper accounting practices for local authorities in the UK. </w:t>
      </w:r>
    </w:p>
    <w:p w14:paraId="5D133F7F" w14:textId="77777777" w:rsidR="00063138" w:rsidRPr="00122403" w:rsidRDefault="00063138" w:rsidP="00633753">
      <w:pPr>
        <w:jc w:val="both"/>
        <w:rPr>
          <w:rFonts w:asciiTheme="minorHAnsi" w:hAnsiTheme="minorHAnsi" w:cs="Arial"/>
          <w:sz w:val="22"/>
          <w:szCs w:val="22"/>
        </w:rPr>
      </w:pPr>
    </w:p>
    <w:p w14:paraId="4677D2C3" w14:textId="77777777" w:rsidR="003B1A10" w:rsidRPr="00122403" w:rsidRDefault="003B1A10" w:rsidP="006C585D">
      <w:pPr>
        <w:rPr>
          <w:rFonts w:asciiTheme="minorHAnsi" w:hAnsiTheme="minorHAnsi" w:cs="Arial"/>
          <w:b/>
          <w:sz w:val="22"/>
          <w:szCs w:val="22"/>
        </w:rPr>
      </w:pPr>
      <w:r w:rsidRPr="00122403">
        <w:rPr>
          <w:rFonts w:asciiTheme="minorHAnsi" w:hAnsiTheme="minorHAnsi" w:cs="Arial"/>
          <w:b/>
          <w:sz w:val="22"/>
          <w:szCs w:val="22"/>
        </w:rPr>
        <w:t xml:space="preserve">Trading </w:t>
      </w:r>
      <w:r w:rsidR="00E10060" w:rsidRPr="00122403">
        <w:rPr>
          <w:rFonts w:asciiTheme="minorHAnsi" w:hAnsiTheme="minorHAnsi" w:cs="Arial"/>
          <w:b/>
          <w:sz w:val="22"/>
          <w:szCs w:val="22"/>
        </w:rPr>
        <w:t>U</w:t>
      </w:r>
      <w:r w:rsidRPr="00122403">
        <w:rPr>
          <w:rFonts w:asciiTheme="minorHAnsi" w:hAnsiTheme="minorHAnsi" w:cs="Arial"/>
          <w:b/>
          <w:sz w:val="22"/>
          <w:szCs w:val="22"/>
        </w:rPr>
        <w:t>ndertakings</w:t>
      </w:r>
    </w:p>
    <w:p w14:paraId="7DDD64B1" w14:textId="77777777" w:rsidR="003B1A10" w:rsidRPr="00122403" w:rsidRDefault="003B1A10" w:rsidP="006C585D">
      <w:pPr>
        <w:rPr>
          <w:rFonts w:asciiTheme="minorHAnsi" w:hAnsiTheme="minorHAnsi" w:cs="Arial"/>
          <w:sz w:val="22"/>
          <w:szCs w:val="22"/>
        </w:rPr>
      </w:pPr>
      <w:r w:rsidRPr="00122403">
        <w:rPr>
          <w:rFonts w:asciiTheme="minorHAnsi" w:hAnsiTheme="minorHAnsi" w:cs="Arial"/>
          <w:sz w:val="22"/>
          <w:szCs w:val="22"/>
        </w:rPr>
        <w:t xml:space="preserve">Part of our activities where the service could also be </w:t>
      </w:r>
      <w:r w:rsidR="00457D97" w:rsidRPr="00122403">
        <w:rPr>
          <w:rFonts w:asciiTheme="minorHAnsi" w:hAnsiTheme="minorHAnsi" w:cs="Arial"/>
          <w:sz w:val="22"/>
          <w:szCs w:val="22"/>
        </w:rPr>
        <w:t>provided by others outside the C</w:t>
      </w:r>
      <w:r w:rsidRPr="00122403">
        <w:rPr>
          <w:rFonts w:asciiTheme="minorHAnsi" w:hAnsiTheme="minorHAnsi" w:cs="Arial"/>
          <w:sz w:val="22"/>
          <w:szCs w:val="22"/>
        </w:rPr>
        <w:t>ouncil.</w:t>
      </w:r>
    </w:p>
    <w:p w14:paraId="316CE30C" w14:textId="77777777" w:rsidR="003B1A10" w:rsidRPr="00122403" w:rsidRDefault="003B1A10" w:rsidP="006C585D">
      <w:pPr>
        <w:rPr>
          <w:rFonts w:asciiTheme="minorHAnsi" w:hAnsiTheme="minorHAnsi" w:cs="Arial"/>
          <w:sz w:val="22"/>
          <w:szCs w:val="22"/>
        </w:rPr>
      </w:pPr>
    </w:p>
    <w:p w14:paraId="394F09DE" w14:textId="77777777" w:rsidR="003B1A10" w:rsidRPr="00122403" w:rsidRDefault="00D0012B" w:rsidP="006C585D">
      <w:pPr>
        <w:rPr>
          <w:rFonts w:asciiTheme="minorHAnsi" w:hAnsiTheme="minorHAnsi" w:cs="Arial"/>
          <w:b/>
          <w:sz w:val="22"/>
          <w:szCs w:val="22"/>
        </w:rPr>
      </w:pPr>
      <w:r w:rsidRPr="00122403">
        <w:rPr>
          <w:rFonts w:asciiTheme="minorHAnsi" w:hAnsiTheme="minorHAnsi" w:cs="Arial"/>
          <w:b/>
          <w:sz w:val="22"/>
          <w:szCs w:val="22"/>
        </w:rPr>
        <w:t>Useful Life</w:t>
      </w:r>
    </w:p>
    <w:p w14:paraId="283A6091" w14:textId="77777777" w:rsidR="00FB2890" w:rsidRPr="00122403" w:rsidRDefault="00D0012B" w:rsidP="00C24224">
      <w:pPr>
        <w:rPr>
          <w:rFonts w:asciiTheme="minorHAnsi" w:hAnsiTheme="minorHAnsi" w:cs="Arial"/>
          <w:sz w:val="22"/>
          <w:szCs w:val="22"/>
        </w:rPr>
      </w:pPr>
      <w:r w:rsidRPr="00122403">
        <w:rPr>
          <w:rFonts w:asciiTheme="minorHAnsi" w:hAnsiTheme="minorHAnsi" w:cs="Arial"/>
          <w:sz w:val="22"/>
          <w:szCs w:val="22"/>
        </w:rPr>
        <w:t>The perio</w:t>
      </w:r>
      <w:r w:rsidR="00457D97" w:rsidRPr="00122403">
        <w:rPr>
          <w:rFonts w:asciiTheme="minorHAnsi" w:hAnsiTheme="minorHAnsi" w:cs="Arial"/>
          <w:sz w:val="22"/>
          <w:szCs w:val="22"/>
        </w:rPr>
        <w:t>d over which the C</w:t>
      </w:r>
      <w:r w:rsidR="001249BA" w:rsidRPr="00122403">
        <w:rPr>
          <w:rFonts w:asciiTheme="minorHAnsi" w:hAnsiTheme="minorHAnsi" w:cs="Arial"/>
          <w:sz w:val="22"/>
          <w:szCs w:val="22"/>
        </w:rPr>
        <w:t>ouncil</w:t>
      </w:r>
      <w:r w:rsidRPr="00122403">
        <w:rPr>
          <w:rFonts w:asciiTheme="minorHAnsi" w:hAnsiTheme="minorHAnsi" w:cs="Arial"/>
          <w:sz w:val="22"/>
          <w:szCs w:val="22"/>
        </w:rPr>
        <w:t xml:space="preserve"> will derive benefit</w:t>
      </w:r>
      <w:r w:rsidR="006949A8" w:rsidRPr="00122403">
        <w:rPr>
          <w:rFonts w:asciiTheme="minorHAnsi" w:hAnsiTheme="minorHAnsi" w:cs="Arial"/>
          <w:sz w:val="22"/>
          <w:szCs w:val="22"/>
        </w:rPr>
        <w:t xml:space="preserve">s from the use of a </w:t>
      </w:r>
      <w:proofErr w:type="spellStart"/>
      <w:proofErr w:type="gramStart"/>
      <w:r w:rsidR="006949A8" w:rsidRPr="00122403">
        <w:rPr>
          <w:rFonts w:asciiTheme="minorHAnsi" w:hAnsiTheme="minorHAnsi" w:cs="Arial"/>
          <w:sz w:val="22"/>
          <w:szCs w:val="22"/>
        </w:rPr>
        <w:t>non current</w:t>
      </w:r>
      <w:proofErr w:type="spellEnd"/>
      <w:proofErr w:type="gramEnd"/>
      <w:r w:rsidR="001249BA" w:rsidRPr="00122403">
        <w:rPr>
          <w:rFonts w:asciiTheme="minorHAnsi" w:hAnsiTheme="minorHAnsi" w:cs="Arial"/>
          <w:sz w:val="22"/>
          <w:szCs w:val="22"/>
        </w:rPr>
        <w:t xml:space="preserve"> asset</w:t>
      </w:r>
      <w:r w:rsidRPr="00122403">
        <w:rPr>
          <w:rFonts w:asciiTheme="minorHAnsi" w:hAnsiTheme="minorHAnsi" w:cs="Arial"/>
          <w:sz w:val="22"/>
          <w:szCs w:val="22"/>
        </w:rPr>
        <w:t>.</w:t>
      </w:r>
    </w:p>
    <w:p w14:paraId="62976920" w14:textId="77777777" w:rsidR="0029304F" w:rsidRPr="00122403" w:rsidRDefault="0029304F" w:rsidP="00C24224">
      <w:pPr>
        <w:rPr>
          <w:rFonts w:asciiTheme="minorHAnsi" w:hAnsiTheme="minorHAnsi" w:cs="Arial"/>
          <w:sz w:val="22"/>
          <w:szCs w:val="22"/>
        </w:rPr>
      </w:pPr>
    </w:p>
    <w:p w14:paraId="65A8D148" w14:textId="77777777" w:rsidR="00457D97" w:rsidRPr="00122403" w:rsidRDefault="00457D97" w:rsidP="00C24224">
      <w:pPr>
        <w:rPr>
          <w:rFonts w:asciiTheme="minorHAnsi" w:hAnsiTheme="minorHAnsi" w:cs="Arial"/>
          <w:sz w:val="22"/>
          <w:szCs w:val="22"/>
        </w:rPr>
      </w:pPr>
    </w:p>
    <w:p w14:paraId="18719D23" w14:textId="77777777" w:rsidR="00457D97" w:rsidRPr="00122403" w:rsidRDefault="00457D97" w:rsidP="00C24224">
      <w:pPr>
        <w:rPr>
          <w:rFonts w:asciiTheme="minorHAnsi" w:hAnsiTheme="minorHAnsi" w:cs="Arial"/>
          <w:sz w:val="22"/>
          <w:szCs w:val="22"/>
        </w:rPr>
      </w:pPr>
    </w:p>
    <w:p w14:paraId="59A6035B" w14:textId="77777777" w:rsidR="00457D97" w:rsidRPr="00122403" w:rsidRDefault="00457D97" w:rsidP="00C24224">
      <w:pPr>
        <w:rPr>
          <w:rFonts w:asciiTheme="minorHAnsi" w:hAnsiTheme="minorHAnsi" w:cs="Arial"/>
          <w:sz w:val="22"/>
          <w:szCs w:val="22"/>
        </w:rPr>
      </w:pPr>
    </w:p>
    <w:p w14:paraId="50DBAA60" w14:textId="77777777" w:rsidR="00457D97" w:rsidRPr="00122403" w:rsidRDefault="00457D97" w:rsidP="00C24224">
      <w:pPr>
        <w:rPr>
          <w:rFonts w:asciiTheme="minorHAnsi" w:hAnsiTheme="minorHAnsi" w:cs="Arial"/>
          <w:sz w:val="22"/>
          <w:szCs w:val="22"/>
        </w:rPr>
      </w:pPr>
    </w:p>
    <w:p w14:paraId="1624096F" w14:textId="77777777" w:rsidR="00457D97" w:rsidRPr="00122403" w:rsidRDefault="00457D97" w:rsidP="00C24224">
      <w:pPr>
        <w:rPr>
          <w:rFonts w:asciiTheme="minorHAnsi" w:hAnsiTheme="minorHAnsi" w:cs="Arial"/>
          <w:sz w:val="22"/>
          <w:szCs w:val="22"/>
        </w:rPr>
      </w:pPr>
    </w:p>
    <w:p w14:paraId="7F8A91A8" w14:textId="77777777" w:rsidR="00457D97" w:rsidRPr="00122403" w:rsidRDefault="00457D97" w:rsidP="00C24224">
      <w:pPr>
        <w:rPr>
          <w:rFonts w:asciiTheme="minorHAnsi" w:hAnsiTheme="minorHAnsi" w:cs="Arial"/>
          <w:sz w:val="22"/>
          <w:szCs w:val="22"/>
        </w:rPr>
      </w:pPr>
    </w:p>
    <w:p w14:paraId="0202CBED" w14:textId="77777777" w:rsidR="00457D97" w:rsidRPr="00122403" w:rsidRDefault="00457D97" w:rsidP="00C24224">
      <w:pPr>
        <w:rPr>
          <w:rFonts w:asciiTheme="minorHAnsi" w:hAnsiTheme="minorHAnsi" w:cs="Arial"/>
          <w:sz w:val="22"/>
          <w:szCs w:val="22"/>
        </w:rPr>
      </w:pPr>
    </w:p>
    <w:p w14:paraId="4055FA2C" w14:textId="139A1044" w:rsidR="00457D97" w:rsidRDefault="00457D97" w:rsidP="00C24224">
      <w:pPr>
        <w:rPr>
          <w:rFonts w:asciiTheme="minorHAnsi" w:hAnsiTheme="minorHAnsi" w:cs="Arial"/>
          <w:sz w:val="22"/>
          <w:szCs w:val="22"/>
        </w:rPr>
      </w:pPr>
    </w:p>
    <w:p w14:paraId="186EC258" w14:textId="77777777" w:rsidR="006E325D" w:rsidRPr="00122403" w:rsidRDefault="006E325D" w:rsidP="00C24224">
      <w:pPr>
        <w:rPr>
          <w:rFonts w:asciiTheme="minorHAnsi" w:hAnsiTheme="minorHAnsi" w:cs="Arial"/>
          <w:sz w:val="22"/>
          <w:szCs w:val="22"/>
        </w:rPr>
      </w:pPr>
    </w:p>
    <w:p w14:paraId="3D6B30DF" w14:textId="77777777" w:rsidR="00457D97" w:rsidRPr="00122403" w:rsidRDefault="00457D97" w:rsidP="00C24224">
      <w:pPr>
        <w:rPr>
          <w:rFonts w:asciiTheme="minorHAnsi" w:hAnsiTheme="minorHAnsi" w:cs="Arial"/>
          <w:sz w:val="22"/>
          <w:szCs w:val="22"/>
        </w:rPr>
      </w:pPr>
    </w:p>
    <w:p w14:paraId="543E9F0C" w14:textId="77777777" w:rsidR="00457D97" w:rsidRPr="00122403" w:rsidRDefault="00457D97" w:rsidP="00C24224">
      <w:pPr>
        <w:rPr>
          <w:rFonts w:asciiTheme="minorHAnsi" w:hAnsiTheme="minorHAnsi" w:cs="Arial"/>
          <w:sz w:val="22"/>
          <w:szCs w:val="22"/>
        </w:rPr>
      </w:pPr>
    </w:p>
    <w:p w14:paraId="01686681" w14:textId="77777777" w:rsidR="006B32CF" w:rsidRPr="00122403" w:rsidRDefault="006B32CF" w:rsidP="007C6C6F">
      <w:pPr>
        <w:pStyle w:val="Heading1"/>
      </w:pPr>
      <w:r w:rsidRPr="00122403">
        <w:lastRenderedPageBreak/>
        <w:t>Independent Auditor’s Report to the Members of Melton Borough Council</w:t>
      </w:r>
    </w:p>
    <w:p w14:paraId="1D311FDB" w14:textId="77777777" w:rsidR="006B32CF" w:rsidRPr="006B32CF" w:rsidRDefault="006B32CF" w:rsidP="006B32CF">
      <w:pPr>
        <w:jc w:val="both"/>
        <w:rPr>
          <w:rFonts w:ascii="Arial" w:hAnsi="Arial" w:cs="Arial"/>
          <w:b/>
        </w:rPr>
      </w:pPr>
    </w:p>
    <w:p w14:paraId="009FE8DC" w14:textId="77777777" w:rsidR="00457D97" w:rsidRPr="006B32CF" w:rsidRDefault="00457D97" w:rsidP="006B32CF">
      <w:pPr>
        <w:jc w:val="both"/>
        <w:rPr>
          <w:rFonts w:ascii="Arial" w:hAnsi="Arial" w:cs="Arial"/>
        </w:rPr>
      </w:pPr>
    </w:p>
    <w:sectPr w:rsidR="00457D97" w:rsidRPr="006B32CF" w:rsidSect="009D0F99">
      <w:footerReference w:type="even" r:id="rId11"/>
      <w:footerReference w:type="default" r:id="rId12"/>
      <w:pgSz w:w="11909" w:h="16834" w:code="9"/>
      <w:pgMar w:top="851" w:right="710" w:bottom="1276" w:left="851" w:header="578" w:footer="5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9476" w14:textId="77777777" w:rsidR="00416D7F" w:rsidRDefault="00416D7F">
      <w:r>
        <w:separator/>
      </w:r>
    </w:p>
  </w:endnote>
  <w:endnote w:type="continuationSeparator" w:id="0">
    <w:p w14:paraId="1A4D06C3" w14:textId="77777777" w:rsidR="00416D7F" w:rsidRDefault="0041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Sabo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Muli-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CFC4" w14:textId="738AC148" w:rsidR="00416D7F" w:rsidRDefault="00416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A22">
      <w:rPr>
        <w:rStyle w:val="PageNumber"/>
        <w:noProof/>
      </w:rPr>
      <w:t>52</w:t>
    </w:r>
    <w:r>
      <w:rPr>
        <w:rStyle w:val="PageNumber"/>
      </w:rPr>
      <w:fldChar w:fldCharType="end"/>
    </w:r>
  </w:p>
  <w:p w14:paraId="48694CCC" w14:textId="77777777" w:rsidR="00416D7F" w:rsidRDefault="0041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041B" w14:textId="40037A6D" w:rsidR="00416D7F" w:rsidRPr="005227A4" w:rsidRDefault="00416D7F" w:rsidP="00733B2C">
    <w:pPr>
      <w:pStyle w:val="Footer"/>
      <w:jc w:val="center"/>
      <w:rPr>
        <w:rFonts w:ascii="Arial" w:hAnsi="Arial" w:cs="Arial"/>
        <w:szCs w:val="16"/>
      </w:rPr>
    </w:pPr>
    <w:r w:rsidRPr="005227A4">
      <w:rPr>
        <w:rStyle w:val="PageNumber"/>
        <w:rFonts w:ascii="Arial" w:hAnsi="Arial" w:cs="Arial"/>
      </w:rPr>
      <w:t xml:space="preserve"> </w:t>
    </w:r>
    <w:r w:rsidRPr="005227A4">
      <w:rPr>
        <w:rStyle w:val="PageNumber"/>
        <w:rFonts w:ascii="Arial" w:hAnsi="Arial" w:cs="Arial"/>
      </w:rPr>
      <w:fldChar w:fldCharType="begin"/>
    </w:r>
    <w:r w:rsidRPr="005227A4">
      <w:rPr>
        <w:rStyle w:val="PageNumber"/>
        <w:rFonts w:ascii="Arial" w:hAnsi="Arial" w:cs="Arial"/>
      </w:rPr>
      <w:instrText xml:space="preserve"> PAGE </w:instrText>
    </w:r>
    <w:r w:rsidRPr="005227A4">
      <w:rPr>
        <w:rStyle w:val="PageNumber"/>
        <w:rFonts w:ascii="Arial" w:hAnsi="Arial" w:cs="Arial"/>
      </w:rPr>
      <w:fldChar w:fldCharType="separate"/>
    </w:r>
    <w:r w:rsidR="00BF398A">
      <w:rPr>
        <w:rStyle w:val="PageNumber"/>
        <w:rFonts w:ascii="Arial" w:hAnsi="Arial" w:cs="Arial"/>
        <w:noProof/>
      </w:rPr>
      <w:t>18</w:t>
    </w:r>
    <w:r w:rsidRPr="005227A4">
      <w:rPr>
        <w:rStyle w:val="PageNumber"/>
        <w:rFonts w:ascii="Arial" w:hAnsi="Arial" w:cs="Arial"/>
      </w:rPr>
      <w:fldChar w:fldCharType="end"/>
    </w:r>
    <w:r w:rsidRPr="005227A4">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EE4E" w14:textId="77777777" w:rsidR="00416D7F" w:rsidRDefault="00416D7F">
      <w:r>
        <w:separator/>
      </w:r>
    </w:p>
  </w:footnote>
  <w:footnote w:type="continuationSeparator" w:id="0">
    <w:p w14:paraId="7EECDBB6" w14:textId="77777777" w:rsidR="00416D7F" w:rsidRDefault="00416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7ED"/>
    <w:multiLevelType w:val="multilevel"/>
    <w:tmpl w:val="C930E1E8"/>
    <w:numStyleLink w:val="MBCNumberingStructure"/>
  </w:abstractNum>
  <w:abstractNum w:abstractNumId="1" w15:restartNumberingAfterBreak="0">
    <w:nsid w:val="0312682B"/>
    <w:multiLevelType w:val="hybridMultilevel"/>
    <w:tmpl w:val="229ACA46"/>
    <w:lvl w:ilvl="0" w:tplc="08090001">
      <w:start w:val="1"/>
      <w:numFmt w:val="bullet"/>
      <w:lvlText w:val=""/>
      <w:lvlJc w:val="left"/>
      <w:pPr>
        <w:tabs>
          <w:tab w:val="num" w:pos="1140"/>
        </w:tabs>
        <w:ind w:left="2580" w:hanging="72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3C26AF6"/>
    <w:multiLevelType w:val="hybridMultilevel"/>
    <w:tmpl w:val="F4088018"/>
    <w:lvl w:ilvl="0" w:tplc="08090001">
      <w:start w:val="1"/>
      <w:numFmt w:val="bullet"/>
      <w:lvlText w:val=""/>
      <w:lvlJc w:val="left"/>
      <w:pPr>
        <w:tabs>
          <w:tab w:val="num" w:pos="1180"/>
        </w:tabs>
        <w:ind w:left="2620" w:hanging="720"/>
      </w:pPr>
      <w:rPr>
        <w:rFonts w:ascii="Symbol" w:hAnsi="Symbol" w:hint="default"/>
      </w:rPr>
    </w:lvl>
    <w:lvl w:ilvl="1" w:tplc="08090019" w:tentative="1">
      <w:start w:val="1"/>
      <w:numFmt w:val="lowerLetter"/>
      <w:lvlText w:val="%2."/>
      <w:lvlJc w:val="left"/>
      <w:pPr>
        <w:tabs>
          <w:tab w:val="num" w:pos="2620"/>
        </w:tabs>
        <w:ind w:left="2620" w:hanging="360"/>
      </w:pPr>
    </w:lvl>
    <w:lvl w:ilvl="2" w:tplc="0809001B" w:tentative="1">
      <w:start w:val="1"/>
      <w:numFmt w:val="lowerRoman"/>
      <w:lvlText w:val="%3."/>
      <w:lvlJc w:val="right"/>
      <w:pPr>
        <w:tabs>
          <w:tab w:val="num" w:pos="3340"/>
        </w:tabs>
        <w:ind w:left="3340" w:hanging="180"/>
      </w:pPr>
    </w:lvl>
    <w:lvl w:ilvl="3" w:tplc="0809000F" w:tentative="1">
      <w:start w:val="1"/>
      <w:numFmt w:val="decimal"/>
      <w:lvlText w:val="%4."/>
      <w:lvlJc w:val="left"/>
      <w:pPr>
        <w:tabs>
          <w:tab w:val="num" w:pos="4060"/>
        </w:tabs>
        <w:ind w:left="4060" w:hanging="360"/>
      </w:pPr>
    </w:lvl>
    <w:lvl w:ilvl="4" w:tplc="08090019" w:tentative="1">
      <w:start w:val="1"/>
      <w:numFmt w:val="lowerLetter"/>
      <w:lvlText w:val="%5."/>
      <w:lvlJc w:val="left"/>
      <w:pPr>
        <w:tabs>
          <w:tab w:val="num" w:pos="4780"/>
        </w:tabs>
        <w:ind w:left="4780" w:hanging="360"/>
      </w:pPr>
    </w:lvl>
    <w:lvl w:ilvl="5" w:tplc="0809001B" w:tentative="1">
      <w:start w:val="1"/>
      <w:numFmt w:val="lowerRoman"/>
      <w:lvlText w:val="%6."/>
      <w:lvlJc w:val="right"/>
      <w:pPr>
        <w:tabs>
          <w:tab w:val="num" w:pos="5500"/>
        </w:tabs>
        <w:ind w:left="5500" w:hanging="180"/>
      </w:pPr>
    </w:lvl>
    <w:lvl w:ilvl="6" w:tplc="0809000F" w:tentative="1">
      <w:start w:val="1"/>
      <w:numFmt w:val="decimal"/>
      <w:lvlText w:val="%7."/>
      <w:lvlJc w:val="left"/>
      <w:pPr>
        <w:tabs>
          <w:tab w:val="num" w:pos="6220"/>
        </w:tabs>
        <w:ind w:left="6220" w:hanging="360"/>
      </w:pPr>
    </w:lvl>
    <w:lvl w:ilvl="7" w:tplc="08090019" w:tentative="1">
      <w:start w:val="1"/>
      <w:numFmt w:val="lowerLetter"/>
      <w:lvlText w:val="%8."/>
      <w:lvlJc w:val="left"/>
      <w:pPr>
        <w:tabs>
          <w:tab w:val="num" w:pos="6940"/>
        </w:tabs>
        <w:ind w:left="6940" w:hanging="360"/>
      </w:pPr>
    </w:lvl>
    <w:lvl w:ilvl="8" w:tplc="0809001B" w:tentative="1">
      <w:start w:val="1"/>
      <w:numFmt w:val="lowerRoman"/>
      <w:lvlText w:val="%9."/>
      <w:lvlJc w:val="right"/>
      <w:pPr>
        <w:tabs>
          <w:tab w:val="num" w:pos="7660"/>
        </w:tabs>
        <w:ind w:left="7660" w:hanging="180"/>
      </w:pPr>
    </w:lvl>
  </w:abstractNum>
  <w:abstractNum w:abstractNumId="3" w15:restartNumberingAfterBreak="0">
    <w:nsid w:val="04AF65F9"/>
    <w:multiLevelType w:val="hybridMultilevel"/>
    <w:tmpl w:val="8D5C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2266C"/>
    <w:multiLevelType w:val="hybridMultilevel"/>
    <w:tmpl w:val="8EE69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8375EF8"/>
    <w:multiLevelType w:val="hybridMultilevel"/>
    <w:tmpl w:val="4F2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103CF"/>
    <w:multiLevelType w:val="multilevel"/>
    <w:tmpl w:val="C930E1E8"/>
    <w:styleLink w:val="MBCNumberingStructure"/>
    <w:lvl w:ilvl="0">
      <w:start w:val="1"/>
      <w:numFmt w:val="decimal"/>
      <w:pStyle w:val="MBCHeading1"/>
      <w:lvlText w:val="%1"/>
      <w:lvlJc w:val="left"/>
      <w:pPr>
        <w:tabs>
          <w:tab w:val="num" w:pos="851"/>
        </w:tabs>
        <w:ind w:left="851" w:hanging="851"/>
      </w:pPr>
      <w:rPr>
        <w:rFonts w:ascii="Arial Bold" w:hAnsi="Arial Bold" w:hint="default"/>
        <w:b/>
        <w:i w:val="0"/>
        <w:sz w:val="28"/>
      </w:rPr>
    </w:lvl>
    <w:lvl w:ilvl="1">
      <w:start w:val="1"/>
      <w:numFmt w:val="decimal"/>
      <w:pStyle w:val="MBCParagraphLevel1"/>
      <w:lvlText w:val="%1.%2"/>
      <w:lvlJc w:val="left"/>
      <w:pPr>
        <w:tabs>
          <w:tab w:val="num" w:pos="851"/>
        </w:tabs>
        <w:ind w:left="851" w:hanging="851"/>
      </w:pPr>
      <w:rPr>
        <w:rFonts w:ascii="Arial" w:hAnsi="Arial" w:hint="default"/>
        <w:b w:val="0"/>
        <w:i w:val="0"/>
        <w:color w:val="000000" w:themeColor="text1"/>
        <w:sz w:val="24"/>
      </w:rPr>
    </w:lvl>
    <w:lvl w:ilvl="2">
      <w:start w:val="1"/>
      <w:numFmt w:val="decimal"/>
      <w:pStyle w:val="MBCParagraphLevel2"/>
      <w:lvlText w:val="%1.%2.%3"/>
      <w:lvlJc w:val="left"/>
      <w:pPr>
        <w:tabs>
          <w:tab w:val="num" w:pos="851"/>
        </w:tabs>
        <w:ind w:left="851" w:hanging="851"/>
      </w:pPr>
      <w:rPr>
        <w:rFonts w:ascii="Arial" w:hAnsi="Arial" w:hint="default"/>
        <w:b w:val="0"/>
        <w:i w:val="0"/>
        <w:color w:val="000000" w:themeColor="text1"/>
        <w:sz w:val="24"/>
      </w:rPr>
    </w:lvl>
    <w:lvl w:ilvl="3">
      <w:start w:val="1"/>
      <w:numFmt w:val="lowerLetter"/>
      <w:pStyle w:val="MBCParagraphLevel3"/>
      <w:lvlText w:val="%4)"/>
      <w:lvlJc w:val="left"/>
      <w:pPr>
        <w:tabs>
          <w:tab w:val="num" w:pos="1208"/>
        </w:tabs>
        <w:ind w:left="1208" w:hanging="357"/>
      </w:pPr>
      <w:rPr>
        <w:rFonts w:ascii="Arial" w:hAnsi="Arial" w:hint="default"/>
        <w:b w:val="0"/>
        <w:i w:val="0"/>
        <w:color w:val="000000" w:themeColor="text1"/>
        <w:sz w:val="24"/>
      </w:rPr>
    </w:lvl>
    <w:lvl w:ilvl="4">
      <w:start w:val="1"/>
      <w:numFmt w:val="lowerRoman"/>
      <w:pStyle w:val="MBCParagraphLevel4"/>
      <w:lvlText w:val="%5)"/>
      <w:lvlJc w:val="left"/>
      <w:pPr>
        <w:tabs>
          <w:tab w:val="num" w:pos="1531"/>
        </w:tabs>
        <w:ind w:left="1531" w:hanging="323"/>
      </w:pPr>
      <w:rPr>
        <w:rFonts w:ascii="Arial" w:hAnsi="Arial" w:hint="default"/>
        <w:b w:val="0"/>
        <w:i w:val="0"/>
        <w:color w:val="000000" w:themeColor="text1"/>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7E1971"/>
    <w:multiLevelType w:val="hybridMultilevel"/>
    <w:tmpl w:val="D8746928"/>
    <w:lvl w:ilvl="0" w:tplc="96FA98A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B16"/>
    <w:multiLevelType w:val="hybridMultilevel"/>
    <w:tmpl w:val="4B3A5750"/>
    <w:lvl w:ilvl="0" w:tplc="08090001">
      <w:start w:val="1"/>
      <w:numFmt w:val="bullet"/>
      <w:lvlText w:val=""/>
      <w:lvlJc w:val="left"/>
      <w:pPr>
        <w:tabs>
          <w:tab w:val="num" w:pos="1139"/>
        </w:tabs>
        <w:ind w:left="2579" w:hanging="720"/>
      </w:pPr>
      <w:rPr>
        <w:rFonts w:ascii="Symbol" w:hAnsi="Symbol" w:hint="default"/>
      </w:rPr>
    </w:lvl>
    <w:lvl w:ilvl="1" w:tplc="08090019" w:tentative="1">
      <w:start w:val="1"/>
      <w:numFmt w:val="lowerLetter"/>
      <w:lvlText w:val="%2."/>
      <w:lvlJc w:val="left"/>
      <w:pPr>
        <w:tabs>
          <w:tab w:val="num" w:pos="2159"/>
        </w:tabs>
        <w:ind w:left="2159" w:hanging="360"/>
      </w:pPr>
    </w:lvl>
    <w:lvl w:ilvl="2" w:tplc="0809001B" w:tentative="1">
      <w:start w:val="1"/>
      <w:numFmt w:val="lowerRoman"/>
      <w:lvlText w:val="%3."/>
      <w:lvlJc w:val="right"/>
      <w:pPr>
        <w:tabs>
          <w:tab w:val="num" w:pos="2879"/>
        </w:tabs>
        <w:ind w:left="2879" w:hanging="180"/>
      </w:pPr>
    </w:lvl>
    <w:lvl w:ilvl="3" w:tplc="0809000F" w:tentative="1">
      <w:start w:val="1"/>
      <w:numFmt w:val="decimal"/>
      <w:lvlText w:val="%4."/>
      <w:lvlJc w:val="left"/>
      <w:pPr>
        <w:tabs>
          <w:tab w:val="num" w:pos="3599"/>
        </w:tabs>
        <w:ind w:left="3599" w:hanging="360"/>
      </w:pPr>
    </w:lvl>
    <w:lvl w:ilvl="4" w:tplc="08090019" w:tentative="1">
      <w:start w:val="1"/>
      <w:numFmt w:val="lowerLetter"/>
      <w:lvlText w:val="%5."/>
      <w:lvlJc w:val="left"/>
      <w:pPr>
        <w:tabs>
          <w:tab w:val="num" w:pos="4319"/>
        </w:tabs>
        <w:ind w:left="4319" w:hanging="360"/>
      </w:pPr>
    </w:lvl>
    <w:lvl w:ilvl="5" w:tplc="0809001B" w:tentative="1">
      <w:start w:val="1"/>
      <w:numFmt w:val="lowerRoman"/>
      <w:lvlText w:val="%6."/>
      <w:lvlJc w:val="right"/>
      <w:pPr>
        <w:tabs>
          <w:tab w:val="num" w:pos="5039"/>
        </w:tabs>
        <w:ind w:left="5039" w:hanging="180"/>
      </w:pPr>
    </w:lvl>
    <w:lvl w:ilvl="6" w:tplc="0809000F" w:tentative="1">
      <w:start w:val="1"/>
      <w:numFmt w:val="decimal"/>
      <w:lvlText w:val="%7."/>
      <w:lvlJc w:val="left"/>
      <w:pPr>
        <w:tabs>
          <w:tab w:val="num" w:pos="5759"/>
        </w:tabs>
        <w:ind w:left="5759" w:hanging="360"/>
      </w:pPr>
    </w:lvl>
    <w:lvl w:ilvl="7" w:tplc="08090019" w:tentative="1">
      <w:start w:val="1"/>
      <w:numFmt w:val="lowerLetter"/>
      <w:lvlText w:val="%8."/>
      <w:lvlJc w:val="left"/>
      <w:pPr>
        <w:tabs>
          <w:tab w:val="num" w:pos="6479"/>
        </w:tabs>
        <w:ind w:left="6479" w:hanging="360"/>
      </w:pPr>
    </w:lvl>
    <w:lvl w:ilvl="8" w:tplc="0809001B" w:tentative="1">
      <w:start w:val="1"/>
      <w:numFmt w:val="lowerRoman"/>
      <w:lvlText w:val="%9."/>
      <w:lvlJc w:val="right"/>
      <w:pPr>
        <w:tabs>
          <w:tab w:val="num" w:pos="7199"/>
        </w:tabs>
        <w:ind w:left="7199" w:hanging="180"/>
      </w:pPr>
    </w:lvl>
  </w:abstractNum>
  <w:abstractNum w:abstractNumId="9" w15:restartNumberingAfterBreak="0">
    <w:nsid w:val="117279A1"/>
    <w:multiLevelType w:val="hybridMultilevel"/>
    <w:tmpl w:val="EA70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42387"/>
    <w:multiLevelType w:val="hybridMultilevel"/>
    <w:tmpl w:val="6C2A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10EFA"/>
    <w:multiLevelType w:val="hybridMultilevel"/>
    <w:tmpl w:val="A3C8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B13545"/>
    <w:multiLevelType w:val="hybridMultilevel"/>
    <w:tmpl w:val="B5D0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93675"/>
    <w:multiLevelType w:val="hybridMultilevel"/>
    <w:tmpl w:val="E62EF39C"/>
    <w:lvl w:ilvl="0" w:tplc="08090001">
      <w:start w:val="1"/>
      <w:numFmt w:val="bullet"/>
      <w:lvlText w:val=""/>
      <w:lvlJc w:val="left"/>
      <w:pPr>
        <w:tabs>
          <w:tab w:val="num" w:pos="1080"/>
        </w:tabs>
        <w:ind w:left="1080" w:hanging="360"/>
      </w:pPr>
      <w:rPr>
        <w:rFonts w:ascii="Symbol" w:hAnsi="Symbol" w:hint="default"/>
      </w:rPr>
    </w:lvl>
    <w:lvl w:ilvl="1" w:tplc="31702618">
      <w:start w:val="1"/>
      <w:numFmt w:val="bullet"/>
      <w:lvlText w:val="o"/>
      <w:lvlJc w:val="left"/>
      <w:pPr>
        <w:tabs>
          <w:tab w:val="num" w:pos="1440"/>
        </w:tabs>
        <w:ind w:left="1440" w:hanging="360"/>
      </w:pPr>
      <w:rPr>
        <w:rFonts w:ascii="Courier New" w:hAnsi="Courier New" w:cs="Courier New" w:hint="default"/>
        <w:sz w:val="16"/>
        <w:szCs w:val="16"/>
      </w:rPr>
    </w:lvl>
    <w:lvl w:ilvl="2" w:tplc="F97491E8">
      <w:start w:val="31"/>
      <w:numFmt w:val="bullet"/>
      <w:lvlText w:val="-"/>
      <w:lvlJc w:val="left"/>
      <w:pPr>
        <w:tabs>
          <w:tab w:val="num" w:pos="2520"/>
        </w:tabs>
        <w:ind w:left="2520" w:hanging="360"/>
      </w:pPr>
      <w:rPr>
        <w:rFonts w:ascii="Arial" w:eastAsia="Times New Roman" w:hAnsi="Arial" w:cs="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BC1B95"/>
    <w:multiLevelType w:val="hybridMultilevel"/>
    <w:tmpl w:val="9B8A637E"/>
    <w:lvl w:ilvl="0" w:tplc="3E3C15E8">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A54F2D"/>
    <w:multiLevelType w:val="hybridMultilevel"/>
    <w:tmpl w:val="6FB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13E76"/>
    <w:multiLevelType w:val="hybridMultilevel"/>
    <w:tmpl w:val="D770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01EED"/>
    <w:multiLevelType w:val="hybridMultilevel"/>
    <w:tmpl w:val="44C227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89C1250"/>
    <w:multiLevelType w:val="multilevel"/>
    <w:tmpl w:val="BC5A452C"/>
    <w:lvl w:ilvl="0">
      <w:start w:val="1"/>
      <w:numFmt w:val="decimal"/>
      <w:pStyle w:val="ReportLevel1"/>
      <w:lvlText w:val="%1"/>
      <w:lvlJc w:val="left"/>
      <w:pPr>
        <w:tabs>
          <w:tab w:val="num" w:pos="720"/>
        </w:tabs>
        <w:ind w:left="720" w:hanging="720"/>
      </w:pPr>
      <w:rPr>
        <w:rFonts w:ascii="Arial" w:hAnsi="Arial" w:hint="default"/>
        <w:b/>
        <w:i w:val="0"/>
        <w:spacing w:val="-18"/>
        <w:sz w:val="24"/>
        <w:u w:val="none"/>
      </w:rPr>
    </w:lvl>
    <w:lvl w:ilvl="1">
      <w:start w:val="1"/>
      <w:numFmt w:val="decimal"/>
      <w:pStyle w:val="ReportLevel2"/>
      <w:lvlText w:val="%1.%2"/>
      <w:lvlJc w:val="left"/>
      <w:pPr>
        <w:tabs>
          <w:tab w:val="num" w:pos="720"/>
        </w:tabs>
        <w:ind w:left="720" w:hanging="720"/>
      </w:pPr>
      <w:rPr>
        <w:rFonts w:ascii="Arial" w:hAnsi="Arial" w:hint="default"/>
        <w:b/>
        <w:i w:val="0"/>
        <w:spacing w:val="-18"/>
        <w:sz w:val="24"/>
      </w:rPr>
    </w:lvl>
    <w:lvl w:ilvl="2">
      <w:start w:val="1"/>
      <w:numFmt w:val="decimal"/>
      <w:pStyle w:val="ReportLevel3"/>
      <w:lvlText w:val="%1.%2.%3"/>
      <w:lvlJc w:val="left"/>
      <w:pPr>
        <w:tabs>
          <w:tab w:val="num" w:pos="720"/>
        </w:tabs>
        <w:ind w:left="720" w:hanging="720"/>
      </w:pPr>
      <w:rPr>
        <w:rFonts w:ascii="Arial" w:hAnsi="Arial" w:hint="default"/>
        <w:b w:val="0"/>
        <w:i w:val="0"/>
        <w:spacing w:val="-18"/>
        <w:sz w:val="24"/>
      </w:rPr>
    </w:lvl>
    <w:lvl w:ilvl="3">
      <w:start w:val="1"/>
      <w:numFmt w:val="bullet"/>
      <w:pStyle w:val="ListBullet"/>
      <w:lvlText w:val=""/>
      <w:lvlJc w:val="left"/>
      <w:pPr>
        <w:tabs>
          <w:tab w:val="num" w:pos="1440"/>
        </w:tabs>
        <w:ind w:left="1440" w:hanging="720"/>
      </w:pPr>
      <w:rPr>
        <w:rFonts w:ascii="Symbol" w:hAnsi="Symbol" w:hint="default"/>
        <w:b w:val="0"/>
        <w:i w:val="0"/>
        <w:sz w:val="24"/>
      </w:rPr>
    </w:lvl>
    <w:lvl w:ilvl="4">
      <w:start w:val="1"/>
      <w:numFmt w:val="decimal"/>
      <w:pStyle w:val="ListNumbered"/>
      <w:lvlText w:val="%5)"/>
      <w:lvlJc w:val="left"/>
      <w:pPr>
        <w:tabs>
          <w:tab w:val="num" w:pos="1440"/>
        </w:tabs>
        <w:ind w:left="1440" w:hanging="720"/>
      </w:pPr>
      <w:rPr>
        <w:rFonts w:ascii="Arial" w:hAnsi="Arial" w:hint="default"/>
        <w:b w:val="0"/>
        <w:i w:val="0"/>
        <w:spacing w:val="-18"/>
        <w:sz w:val="24"/>
      </w:rPr>
    </w:lvl>
    <w:lvl w:ilvl="5">
      <w:start w:val="1"/>
      <w:numFmt w:val="none"/>
      <w:lvlText w:val=""/>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none"/>
      <w:lvlText w:val=""/>
      <w:lvlJc w:val="left"/>
      <w:pPr>
        <w:tabs>
          <w:tab w:val="num" w:pos="1440"/>
        </w:tabs>
        <w:ind w:left="1440" w:hanging="720"/>
      </w:pPr>
      <w:rPr>
        <w:rFonts w:hint="default"/>
      </w:rPr>
    </w:lvl>
    <w:lvl w:ilvl="8">
      <w:start w:val="1"/>
      <w:numFmt w:val="none"/>
      <w:lvlText w:val=""/>
      <w:lvlJc w:val="left"/>
      <w:pPr>
        <w:tabs>
          <w:tab w:val="num" w:pos="1440"/>
        </w:tabs>
        <w:ind w:left="1440" w:hanging="720"/>
      </w:pPr>
      <w:rPr>
        <w:rFonts w:hint="default"/>
      </w:rPr>
    </w:lvl>
  </w:abstractNum>
  <w:abstractNum w:abstractNumId="19" w15:restartNumberingAfterBreak="0">
    <w:nsid w:val="29530C09"/>
    <w:multiLevelType w:val="hybridMultilevel"/>
    <w:tmpl w:val="DD7A23F6"/>
    <w:lvl w:ilvl="0" w:tplc="F71EC1FE">
      <w:start w:val="1"/>
      <w:numFmt w:val="bullet"/>
      <w:lvlText w:val=""/>
      <w:lvlJc w:val="left"/>
      <w:pPr>
        <w:tabs>
          <w:tab w:val="num" w:pos="720"/>
        </w:tabs>
        <w:ind w:left="720" w:hanging="360"/>
      </w:pPr>
      <w:rPr>
        <w:rFonts w:ascii="Symbol" w:hAnsi="Symbol" w:hint="default"/>
        <w:b w:val="0"/>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5C589C"/>
    <w:multiLevelType w:val="hybridMultilevel"/>
    <w:tmpl w:val="B5FE4EA4"/>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21" w15:restartNumberingAfterBreak="0">
    <w:nsid w:val="30107FD9"/>
    <w:multiLevelType w:val="hybridMultilevel"/>
    <w:tmpl w:val="10FC1B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11D54CD"/>
    <w:multiLevelType w:val="hybridMultilevel"/>
    <w:tmpl w:val="2E805C9E"/>
    <w:lvl w:ilvl="0" w:tplc="08090001">
      <w:start w:val="1"/>
      <w:numFmt w:val="bullet"/>
      <w:lvlText w:val=""/>
      <w:lvlJc w:val="left"/>
      <w:pPr>
        <w:tabs>
          <w:tab w:val="num" w:pos="1194"/>
        </w:tabs>
        <w:ind w:left="2634" w:hanging="720"/>
      </w:pPr>
      <w:rPr>
        <w:rFonts w:ascii="Symbol" w:hAnsi="Symbol"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3" w15:restartNumberingAfterBreak="0">
    <w:nsid w:val="355665D9"/>
    <w:multiLevelType w:val="hybridMultilevel"/>
    <w:tmpl w:val="F6CEDC7E"/>
    <w:lvl w:ilvl="0" w:tplc="87D694AE">
      <w:start w:val="1"/>
      <w:numFmt w:val="bullet"/>
      <w:lvlText w:val=""/>
      <w:lvlJc w:val="left"/>
      <w:pPr>
        <w:tabs>
          <w:tab w:val="num" w:pos="847"/>
        </w:tabs>
        <w:ind w:left="847" w:hanging="360"/>
      </w:pPr>
      <w:rPr>
        <w:rFonts w:ascii="Symbol" w:hAnsi="Symbol" w:hint="default"/>
        <w:color w:val="auto"/>
      </w:rPr>
    </w:lvl>
    <w:lvl w:ilvl="1" w:tplc="08090003">
      <w:start w:val="1"/>
      <w:numFmt w:val="bullet"/>
      <w:lvlText w:val="o"/>
      <w:lvlJc w:val="left"/>
      <w:pPr>
        <w:tabs>
          <w:tab w:val="num" w:pos="1567"/>
        </w:tabs>
        <w:ind w:left="1567" w:hanging="360"/>
      </w:pPr>
      <w:rPr>
        <w:rFonts w:ascii="Courier New" w:hAnsi="Courier New" w:cs="Courier New" w:hint="default"/>
      </w:rPr>
    </w:lvl>
    <w:lvl w:ilvl="2" w:tplc="08090005">
      <w:start w:val="1"/>
      <w:numFmt w:val="bullet"/>
      <w:lvlText w:val=""/>
      <w:lvlJc w:val="left"/>
      <w:pPr>
        <w:tabs>
          <w:tab w:val="num" w:pos="2287"/>
        </w:tabs>
        <w:ind w:left="2287" w:hanging="360"/>
      </w:pPr>
      <w:rPr>
        <w:rFonts w:ascii="Wingdings" w:hAnsi="Wingdings" w:hint="default"/>
      </w:rPr>
    </w:lvl>
    <w:lvl w:ilvl="3" w:tplc="08090001">
      <w:start w:val="1"/>
      <w:numFmt w:val="bullet"/>
      <w:lvlText w:val=""/>
      <w:lvlJc w:val="left"/>
      <w:pPr>
        <w:tabs>
          <w:tab w:val="num" w:pos="3007"/>
        </w:tabs>
        <w:ind w:left="3007" w:hanging="360"/>
      </w:pPr>
      <w:rPr>
        <w:rFonts w:ascii="Symbol" w:hAnsi="Symbol" w:hint="default"/>
      </w:rPr>
    </w:lvl>
    <w:lvl w:ilvl="4" w:tplc="08090003" w:tentative="1">
      <w:start w:val="1"/>
      <w:numFmt w:val="bullet"/>
      <w:lvlText w:val="o"/>
      <w:lvlJc w:val="left"/>
      <w:pPr>
        <w:tabs>
          <w:tab w:val="num" w:pos="3727"/>
        </w:tabs>
        <w:ind w:left="3727" w:hanging="360"/>
      </w:pPr>
      <w:rPr>
        <w:rFonts w:ascii="Courier New" w:hAnsi="Courier New" w:cs="Courier New" w:hint="default"/>
      </w:rPr>
    </w:lvl>
    <w:lvl w:ilvl="5" w:tplc="08090005" w:tentative="1">
      <w:start w:val="1"/>
      <w:numFmt w:val="bullet"/>
      <w:lvlText w:val=""/>
      <w:lvlJc w:val="left"/>
      <w:pPr>
        <w:tabs>
          <w:tab w:val="num" w:pos="4447"/>
        </w:tabs>
        <w:ind w:left="4447" w:hanging="360"/>
      </w:pPr>
      <w:rPr>
        <w:rFonts w:ascii="Wingdings" w:hAnsi="Wingdings" w:hint="default"/>
      </w:rPr>
    </w:lvl>
    <w:lvl w:ilvl="6" w:tplc="08090001" w:tentative="1">
      <w:start w:val="1"/>
      <w:numFmt w:val="bullet"/>
      <w:lvlText w:val=""/>
      <w:lvlJc w:val="left"/>
      <w:pPr>
        <w:tabs>
          <w:tab w:val="num" w:pos="5167"/>
        </w:tabs>
        <w:ind w:left="5167" w:hanging="360"/>
      </w:pPr>
      <w:rPr>
        <w:rFonts w:ascii="Symbol" w:hAnsi="Symbol" w:hint="default"/>
      </w:rPr>
    </w:lvl>
    <w:lvl w:ilvl="7" w:tplc="08090003" w:tentative="1">
      <w:start w:val="1"/>
      <w:numFmt w:val="bullet"/>
      <w:lvlText w:val="o"/>
      <w:lvlJc w:val="left"/>
      <w:pPr>
        <w:tabs>
          <w:tab w:val="num" w:pos="5887"/>
        </w:tabs>
        <w:ind w:left="5887" w:hanging="360"/>
      </w:pPr>
      <w:rPr>
        <w:rFonts w:ascii="Courier New" w:hAnsi="Courier New" w:cs="Courier New" w:hint="default"/>
      </w:rPr>
    </w:lvl>
    <w:lvl w:ilvl="8" w:tplc="08090005" w:tentative="1">
      <w:start w:val="1"/>
      <w:numFmt w:val="bullet"/>
      <w:lvlText w:val=""/>
      <w:lvlJc w:val="left"/>
      <w:pPr>
        <w:tabs>
          <w:tab w:val="num" w:pos="6607"/>
        </w:tabs>
        <w:ind w:left="6607" w:hanging="360"/>
      </w:pPr>
      <w:rPr>
        <w:rFonts w:ascii="Wingdings" w:hAnsi="Wingdings" w:hint="default"/>
      </w:rPr>
    </w:lvl>
  </w:abstractNum>
  <w:abstractNum w:abstractNumId="24" w15:restartNumberingAfterBreak="0">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25" w15:restartNumberingAfterBreak="0">
    <w:nsid w:val="361B705D"/>
    <w:multiLevelType w:val="hybridMultilevel"/>
    <w:tmpl w:val="FD0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37983"/>
    <w:multiLevelType w:val="hybridMultilevel"/>
    <w:tmpl w:val="E2AA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B534F"/>
    <w:multiLevelType w:val="hybridMultilevel"/>
    <w:tmpl w:val="883A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91C65"/>
    <w:multiLevelType w:val="hybridMultilevel"/>
    <w:tmpl w:val="3DCC217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3DA92F72"/>
    <w:multiLevelType w:val="hybridMultilevel"/>
    <w:tmpl w:val="DA1A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E2FF0"/>
    <w:multiLevelType w:val="hybridMultilevel"/>
    <w:tmpl w:val="795E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3122C"/>
    <w:multiLevelType w:val="hybridMultilevel"/>
    <w:tmpl w:val="BB4A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66EE7"/>
    <w:multiLevelType w:val="hybridMultilevel"/>
    <w:tmpl w:val="EB7ECB9E"/>
    <w:lvl w:ilvl="0" w:tplc="08090001">
      <w:start w:val="1"/>
      <w:numFmt w:val="bullet"/>
      <w:lvlText w:val=""/>
      <w:lvlJc w:val="left"/>
      <w:pPr>
        <w:tabs>
          <w:tab w:val="num" w:pos="1194"/>
        </w:tabs>
        <w:ind w:left="2634" w:hanging="720"/>
      </w:pPr>
      <w:rPr>
        <w:rFonts w:ascii="Symbol" w:hAnsi="Symbol"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3" w15:restartNumberingAfterBreak="0">
    <w:nsid w:val="49BC7BA8"/>
    <w:multiLevelType w:val="hybridMultilevel"/>
    <w:tmpl w:val="FE1AAEC6"/>
    <w:lvl w:ilvl="0" w:tplc="462ED70C">
      <w:start w:val="1"/>
      <w:numFmt w:val="lowerLetter"/>
      <w:lvlText w:val="%1)"/>
      <w:lvlJc w:val="left"/>
      <w:pPr>
        <w:tabs>
          <w:tab w:val="num" w:pos="349"/>
        </w:tabs>
        <w:ind w:left="349" w:hanging="360"/>
      </w:pPr>
      <w:rPr>
        <w:rFonts w:hint="default"/>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789"/>
        </w:tabs>
        <w:ind w:left="1789" w:hanging="180"/>
      </w:pPr>
    </w:lvl>
    <w:lvl w:ilvl="3" w:tplc="0809000F" w:tentative="1">
      <w:start w:val="1"/>
      <w:numFmt w:val="decimal"/>
      <w:lvlText w:val="%4."/>
      <w:lvlJc w:val="left"/>
      <w:pPr>
        <w:tabs>
          <w:tab w:val="num" w:pos="2509"/>
        </w:tabs>
        <w:ind w:left="2509" w:hanging="360"/>
      </w:pPr>
    </w:lvl>
    <w:lvl w:ilvl="4" w:tplc="08090019">
      <w:start w:val="1"/>
      <w:numFmt w:val="lowerLetter"/>
      <w:lvlText w:val="%5."/>
      <w:lvlJc w:val="left"/>
      <w:pPr>
        <w:tabs>
          <w:tab w:val="num" w:pos="3229"/>
        </w:tabs>
        <w:ind w:left="3229" w:hanging="360"/>
      </w:pPr>
    </w:lvl>
    <w:lvl w:ilvl="5" w:tplc="0809001B" w:tentative="1">
      <w:start w:val="1"/>
      <w:numFmt w:val="lowerRoman"/>
      <w:lvlText w:val="%6."/>
      <w:lvlJc w:val="right"/>
      <w:pPr>
        <w:tabs>
          <w:tab w:val="num" w:pos="3949"/>
        </w:tabs>
        <w:ind w:left="3949" w:hanging="180"/>
      </w:pPr>
    </w:lvl>
    <w:lvl w:ilvl="6" w:tplc="0809000F" w:tentative="1">
      <w:start w:val="1"/>
      <w:numFmt w:val="decimal"/>
      <w:lvlText w:val="%7."/>
      <w:lvlJc w:val="left"/>
      <w:pPr>
        <w:tabs>
          <w:tab w:val="num" w:pos="4669"/>
        </w:tabs>
        <w:ind w:left="4669" w:hanging="360"/>
      </w:pPr>
    </w:lvl>
    <w:lvl w:ilvl="7" w:tplc="08090019" w:tentative="1">
      <w:start w:val="1"/>
      <w:numFmt w:val="lowerLetter"/>
      <w:lvlText w:val="%8."/>
      <w:lvlJc w:val="left"/>
      <w:pPr>
        <w:tabs>
          <w:tab w:val="num" w:pos="5389"/>
        </w:tabs>
        <w:ind w:left="5389" w:hanging="360"/>
      </w:pPr>
    </w:lvl>
    <w:lvl w:ilvl="8" w:tplc="0809001B" w:tentative="1">
      <w:start w:val="1"/>
      <w:numFmt w:val="lowerRoman"/>
      <w:lvlText w:val="%9."/>
      <w:lvlJc w:val="right"/>
      <w:pPr>
        <w:tabs>
          <w:tab w:val="num" w:pos="6109"/>
        </w:tabs>
        <w:ind w:left="6109" w:hanging="180"/>
      </w:pPr>
    </w:lvl>
  </w:abstractNum>
  <w:abstractNum w:abstractNumId="34" w15:restartNumberingAfterBreak="0">
    <w:nsid w:val="49F73A1B"/>
    <w:multiLevelType w:val="hybridMultilevel"/>
    <w:tmpl w:val="AF306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870350"/>
    <w:multiLevelType w:val="hybridMultilevel"/>
    <w:tmpl w:val="84202082"/>
    <w:lvl w:ilvl="0" w:tplc="08090001">
      <w:start w:val="1"/>
      <w:numFmt w:val="bullet"/>
      <w:lvlText w:val=""/>
      <w:lvlJc w:val="left"/>
      <w:pPr>
        <w:ind w:left="2274" w:hanging="360"/>
      </w:pPr>
      <w:rPr>
        <w:rFonts w:ascii="Symbol" w:hAnsi="Symbol" w:hint="default"/>
      </w:rPr>
    </w:lvl>
    <w:lvl w:ilvl="1" w:tplc="08090003" w:tentative="1">
      <w:start w:val="1"/>
      <w:numFmt w:val="bullet"/>
      <w:lvlText w:val="o"/>
      <w:lvlJc w:val="left"/>
      <w:pPr>
        <w:ind w:left="2994" w:hanging="360"/>
      </w:pPr>
      <w:rPr>
        <w:rFonts w:ascii="Courier New" w:hAnsi="Courier New" w:cs="Courier New" w:hint="default"/>
      </w:rPr>
    </w:lvl>
    <w:lvl w:ilvl="2" w:tplc="08090005" w:tentative="1">
      <w:start w:val="1"/>
      <w:numFmt w:val="bullet"/>
      <w:lvlText w:val=""/>
      <w:lvlJc w:val="left"/>
      <w:pPr>
        <w:ind w:left="3714" w:hanging="360"/>
      </w:pPr>
      <w:rPr>
        <w:rFonts w:ascii="Wingdings" w:hAnsi="Wingdings" w:hint="default"/>
      </w:rPr>
    </w:lvl>
    <w:lvl w:ilvl="3" w:tplc="08090001" w:tentative="1">
      <w:start w:val="1"/>
      <w:numFmt w:val="bullet"/>
      <w:lvlText w:val=""/>
      <w:lvlJc w:val="left"/>
      <w:pPr>
        <w:ind w:left="4434" w:hanging="360"/>
      </w:pPr>
      <w:rPr>
        <w:rFonts w:ascii="Symbol" w:hAnsi="Symbol" w:hint="default"/>
      </w:rPr>
    </w:lvl>
    <w:lvl w:ilvl="4" w:tplc="08090003" w:tentative="1">
      <w:start w:val="1"/>
      <w:numFmt w:val="bullet"/>
      <w:lvlText w:val="o"/>
      <w:lvlJc w:val="left"/>
      <w:pPr>
        <w:ind w:left="5154" w:hanging="360"/>
      </w:pPr>
      <w:rPr>
        <w:rFonts w:ascii="Courier New" w:hAnsi="Courier New" w:cs="Courier New" w:hint="default"/>
      </w:rPr>
    </w:lvl>
    <w:lvl w:ilvl="5" w:tplc="08090005" w:tentative="1">
      <w:start w:val="1"/>
      <w:numFmt w:val="bullet"/>
      <w:lvlText w:val=""/>
      <w:lvlJc w:val="left"/>
      <w:pPr>
        <w:ind w:left="5874" w:hanging="360"/>
      </w:pPr>
      <w:rPr>
        <w:rFonts w:ascii="Wingdings" w:hAnsi="Wingdings" w:hint="default"/>
      </w:rPr>
    </w:lvl>
    <w:lvl w:ilvl="6" w:tplc="08090001" w:tentative="1">
      <w:start w:val="1"/>
      <w:numFmt w:val="bullet"/>
      <w:lvlText w:val=""/>
      <w:lvlJc w:val="left"/>
      <w:pPr>
        <w:ind w:left="6594" w:hanging="360"/>
      </w:pPr>
      <w:rPr>
        <w:rFonts w:ascii="Symbol" w:hAnsi="Symbol" w:hint="default"/>
      </w:rPr>
    </w:lvl>
    <w:lvl w:ilvl="7" w:tplc="08090003" w:tentative="1">
      <w:start w:val="1"/>
      <w:numFmt w:val="bullet"/>
      <w:lvlText w:val="o"/>
      <w:lvlJc w:val="left"/>
      <w:pPr>
        <w:ind w:left="7314" w:hanging="360"/>
      </w:pPr>
      <w:rPr>
        <w:rFonts w:ascii="Courier New" w:hAnsi="Courier New" w:cs="Courier New" w:hint="default"/>
      </w:rPr>
    </w:lvl>
    <w:lvl w:ilvl="8" w:tplc="08090005" w:tentative="1">
      <w:start w:val="1"/>
      <w:numFmt w:val="bullet"/>
      <w:lvlText w:val=""/>
      <w:lvlJc w:val="left"/>
      <w:pPr>
        <w:ind w:left="8034" w:hanging="360"/>
      </w:pPr>
      <w:rPr>
        <w:rFonts w:ascii="Wingdings" w:hAnsi="Wingdings" w:hint="default"/>
      </w:rPr>
    </w:lvl>
  </w:abstractNum>
  <w:abstractNum w:abstractNumId="36" w15:restartNumberingAfterBreak="0">
    <w:nsid w:val="58324AE8"/>
    <w:multiLevelType w:val="hybridMultilevel"/>
    <w:tmpl w:val="AE080A4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59AB4978"/>
    <w:multiLevelType w:val="hybridMultilevel"/>
    <w:tmpl w:val="015EC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E7D9B"/>
    <w:multiLevelType w:val="hybridMultilevel"/>
    <w:tmpl w:val="E1B0DBE0"/>
    <w:lvl w:ilvl="0" w:tplc="A40614D4">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B841DD4"/>
    <w:multiLevelType w:val="hybridMultilevel"/>
    <w:tmpl w:val="1EB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54550E"/>
    <w:multiLevelType w:val="hybridMultilevel"/>
    <w:tmpl w:val="8AD6D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684822"/>
    <w:multiLevelType w:val="hybridMultilevel"/>
    <w:tmpl w:val="F7FAC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191115"/>
    <w:multiLevelType w:val="hybridMultilevel"/>
    <w:tmpl w:val="E7C64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6534087"/>
    <w:multiLevelType w:val="hybridMultilevel"/>
    <w:tmpl w:val="8A94BD28"/>
    <w:lvl w:ilvl="0" w:tplc="178CA4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703488"/>
    <w:multiLevelType w:val="hybridMultilevel"/>
    <w:tmpl w:val="E550B39A"/>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5" w15:restartNumberingAfterBreak="0">
    <w:nsid w:val="6B545225"/>
    <w:multiLevelType w:val="hybridMultilevel"/>
    <w:tmpl w:val="93A0ED62"/>
    <w:lvl w:ilvl="0" w:tplc="FC7CC99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704ED1"/>
    <w:multiLevelType w:val="hybridMultilevel"/>
    <w:tmpl w:val="B3E29DB2"/>
    <w:lvl w:ilvl="0" w:tplc="C1C42B62">
      <w:numFmt w:val="bullet"/>
      <w:lvlText w:val="-"/>
      <w:lvlJc w:val="left"/>
      <w:pPr>
        <w:ind w:left="786" w:hanging="360"/>
      </w:pPr>
      <w:rPr>
        <w:rFonts w:ascii="Arial" w:eastAsia="Times New Roman" w:hAnsi="Arial" w:cs="Arial"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6904CAF"/>
    <w:multiLevelType w:val="hybridMultilevel"/>
    <w:tmpl w:val="184A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CD69CB"/>
    <w:multiLevelType w:val="hybridMultilevel"/>
    <w:tmpl w:val="F222CD26"/>
    <w:lvl w:ilvl="0" w:tplc="3B4AD320">
      <w:start w:val="6"/>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9" w15:restartNumberingAfterBreak="0">
    <w:nsid w:val="78BB5F5D"/>
    <w:multiLevelType w:val="hybridMultilevel"/>
    <w:tmpl w:val="3846358A"/>
    <w:lvl w:ilvl="0" w:tplc="7C1A860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766617"/>
    <w:multiLevelType w:val="hybridMultilevel"/>
    <w:tmpl w:val="6950949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627141">
    <w:abstractNumId w:val="24"/>
  </w:num>
  <w:num w:numId="2" w16cid:durableId="1550848023">
    <w:abstractNumId w:val="18"/>
  </w:num>
  <w:num w:numId="3" w16cid:durableId="166751830">
    <w:abstractNumId w:val="23"/>
  </w:num>
  <w:num w:numId="4" w16cid:durableId="506098903">
    <w:abstractNumId w:val="33"/>
  </w:num>
  <w:num w:numId="5" w16cid:durableId="1281259864">
    <w:abstractNumId w:val="34"/>
  </w:num>
  <w:num w:numId="6" w16cid:durableId="749158484">
    <w:abstractNumId w:val="37"/>
  </w:num>
  <w:num w:numId="7" w16cid:durableId="1369256041">
    <w:abstractNumId w:val="41"/>
  </w:num>
  <w:num w:numId="8" w16cid:durableId="1790705989">
    <w:abstractNumId w:val="28"/>
  </w:num>
  <w:num w:numId="9" w16cid:durableId="1042941397">
    <w:abstractNumId w:val="40"/>
  </w:num>
  <w:num w:numId="10" w16cid:durableId="580675069">
    <w:abstractNumId w:val="21"/>
  </w:num>
  <w:num w:numId="11" w16cid:durableId="407385728">
    <w:abstractNumId w:val="2"/>
  </w:num>
  <w:num w:numId="12" w16cid:durableId="1489589509">
    <w:abstractNumId w:val="13"/>
  </w:num>
  <w:num w:numId="13" w16cid:durableId="784694141">
    <w:abstractNumId w:val="43"/>
  </w:num>
  <w:num w:numId="14" w16cid:durableId="1680346565">
    <w:abstractNumId w:val="19"/>
  </w:num>
  <w:num w:numId="15" w16cid:durableId="1315839227">
    <w:abstractNumId w:val="38"/>
  </w:num>
  <w:num w:numId="16" w16cid:durableId="1805780179">
    <w:abstractNumId w:val="14"/>
  </w:num>
  <w:num w:numId="17" w16cid:durableId="843932277">
    <w:abstractNumId w:val="7"/>
  </w:num>
  <w:num w:numId="18" w16cid:durableId="1064332779">
    <w:abstractNumId w:val="5"/>
  </w:num>
  <w:num w:numId="19" w16cid:durableId="340279003">
    <w:abstractNumId w:val="4"/>
  </w:num>
  <w:num w:numId="20" w16cid:durableId="39135692">
    <w:abstractNumId w:val="36"/>
  </w:num>
  <w:num w:numId="21" w16cid:durableId="956444199">
    <w:abstractNumId w:val="12"/>
  </w:num>
  <w:num w:numId="22" w16cid:durableId="69499071">
    <w:abstractNumId w:val="20"/>
  </w:num>
  <w:num w:numId="23" w16cid:durableId="1080365653">
    <w:abstractNumId w:val="25"/>
  </w:num>
  <w:num w:numId="24" w16cid:durableId="1972831673">
    <w:abstractNumId w:val="46"/>
  </w:num>
  <w:num w:numId="25" w16cid:durableId="1794638073">
    <w:abstractNumId w:val="49"/>
  </w:num>
  <w:num w:numId="26" w16cid:durableId="1434015889">
    <w:abstractNumId w:val="17"/>
  </w:num>
  <w:num w:numId="27" w16cid:durableId="53429552">
    <w:abstractNumId w:val="22"/>
  </w:num>
  <w:num w:numId="28" w16cid:durableId="950014432">
    <w:abstractNumId w:val="35"/>
  </w:num>
  <w:num w:numId="29" w16cid:durableId="188181629">
    <w:abstractNumId w:val="32"/>
  </w:num>
  <w:num w:numId="30" w16cid:durableId="1041591282">
    <w:abstractNumId w:val="8"/>
  </w:num>
  <w:num w:numId="31" w16cid:durableId="1436367277">
    <w:abstractNumId w:val="1"/>
  </w:num>
  <w:num w:numId="32" w16cid:durableId="39483022">
    <w:abstractNumId w:val="44"/>
  </w:num>
  <w:num w:numId="33" w16cid:durableId="954826091">
    <w:abstractNumId w:val="47"/>
  </w:num>
  <w:num w:numId="34" w16cid:durableId="628366525">
    <w:abstractNumId w:val="9"/>
  </w:num>
  <w:num w:numId="35" w16cid:durableId="1401050876">
    <w:abstractNumId w:val="31"/>
  </w:num>
  <w:num w:numId="36" w16cid:durableId="868953926">
    <w:abstractNumId w:val="15"/>
  </w:num>
  <w:num w:numId="37" w16cid:durableId="1134761228">
    <w:abstractNumId w:val="3"/>
  </w:num>
  <w:num w:numId="38" w16cid:durableId="149257258">
    <w:abstractNumId w:val="42"/>
  </w:num>
  <w:num w:numId="39" w16cid:durableId="646714300">
    <w:abstractNumId w:val="30"/>
  </w:num>
  <w:num w:numId="40" w16cid:durableId="2129811337">
    <w:abstractNumId w:val="10"/>
  </w:num>
  <w:num w:numId="41" w16cid:durableId="862479512">
    <w:abstractNumId w:val="48"/>
  </w:num>
  <w:num w:numId="42" w16cid:durableId="2105298059">
    <w:abstractNumId w:val="50"/>
  </w:num>
  <w:num w:numId="43" w16cid:durableId="196040612">
    <w:abstractNumId w:val="11"/>
  </w:num>
  <w:num w:numId="44" w16cid:durableId="792746045">
    <w:abstractNumId w:val="26"/>
  </w:num>
  <w:num w:numId="45" w16cid:durableId="231160820">
    <w:abstractNumId w:val="39"/>
  </w:num>
  <w:num w:numId="46" w16cid:durableId="83260352">
    <w:abstractNumId w:val="29"/>
  </w:num>
  <w:num w:numId="47" w16cid:durableId="73941490">
    <w:abstractNumId w:val="16"/>
  </w:num>
  <w:num w:numId="48" w16cid:durableId="216673365">
    <w:abstractNumId w:val="45"/>
  </w:num>
  <w:num w:numId="49" w16cid:durableId="176162136">
    <w:abstractNumId w:val="6"/>
  </w:num>
  <w:num w:numId="50" w16cid:durableId="668488951">
    <w:abstractNumId w:val="0"/>
    <w:lvlOverride w:ilvl="0">
      <w:lvl w:ilvl="0">
        <w:start w:val="1"/>
        <w:numFmt w:val="decimal"/>
        <w:pStyle w:val="MBCHeading1"/>
        <w:lvlText w:val="%1"/>
        <w:lvlJc w:val="left"/>
        <w:pPr>
          <w:tabs>
            <w:tab w:val="num" w:pos="851"/>
          </w:tabs>
          <w:ind w:left="851" w:hanging="851"/>
        </w:pPr>
        <w:rPr>
          <w:rFonts w:ascii="Arial Bold" w:hAnsi="Arial Bold" w:hint="default"/>
          <w:b/>
          <w:i w:val="0"/>
          <w:sz w:val="28"/>
        </w:rPr>
      </w:lvl>
    </w:lvlOverride>
    <w:lvlOverride w:ilvl="1">
      <w:lvl w:ilvl="1">
        <w:start w:val="1"/>
        <w:numFmt w:val="decimal"/>
        <w:pStyle w:val="MBCParagraphLevel1"/>
        <w:lvlText w:val="%1.%2"/>
        <w:lvlJc w:val="left"/>
        <w:pPr>
          <w:tabs>
            <w:tab w:val="num" w:pos="851"/>
          </w:tabs>
          <w:ind w:left="851" w:hanging="851"/>
        </w:pPr>
        <w:rPr>
          <w:rFonts w:ascii="Arial" w:hAnsi="Arial" w:hint="default"/>
          <w:b w:val="0"/>
          <w:i w:val="0"/>
          <w:color w:val="000000" w:themeColor="text1"/>
          <w:sz w:val="24"/>
        </w:rPr>
      </w:lvl>
    </w:lvlOverride>
    <w:lvlOverride w:ilvl="2">
      <w:lvl w:ilvl="2">
        <w:start w:val="1"/>
        <w:numFmt w:val="decimal"/>
        <w:pStyle w:val="MBCParagraphLevel2"/>
        <w:lvlText w:val="%1.%2.%3"/>
        <w:lvlJc w:val="left"/>
        <w:pPr>
          <w:tabs>
            <w:tab w:val="num" w:pos="851"/>
          </w:tabs>
          <w:ind w:left="851" w:hanging="851"/>
        </w:pPr>
        <w:rPr>
          <w:rFonts w:ascii="Arial" w:hAnsi="Arial" w:hint="default"/>
          <w:b w:val="0"/>
          <w:i w:val="0"/>
          <w:color w:val="000000" w:themeColor="text1"/>
          <w:sz w:val="24"/>
        </w:rPr>
      </w:lvl>
    </w:lvlOverride>
    <w:lvlOverride w:ilvl="3">
      <w:lvl w:ilvl="3">
        <w:start w:val="1"/>
        <w:numFmt w:val="lowerLetter"/>
        <w:pStyle w:val="MBCParagraphLevel3"/>
        <w:lvlText w:val="%4)"/>
        <w:lvlJc w:val="left"/>
        <w:pPr>
          <w:tabs>
            <w:tab w:val="num" w:pos="1208"/>
          </w:tabs>
          <w:ind w:left="1208" w:hanging="357"/>
        </w:pPr>
        <w:rPr>
          <w:rFonts w:ascii="Arial" w:hAnsi="Arial" w:hint="default"/>
          <w:b w:val="0"/>
          <w:i w:val="0"/>
          <w:color w:val="000000" w:themeColor="text1"/>
          <w:sz w:val="24"/>
        </w:rPr>
      </w:lvl>
    </w:lvlOverride>
    <w:lvlOverride w:ilvl="4">
      <w:lvl w:ilvl="4">
        <w:start w:val="1"/>
        <w:numFmt w:val="lowerRoman"/>
        <w:pStyle w:val="MBCParagraphLevel4"/>
        <w:lvlText w:val="%5)"/>
        <w:lvlJc w:val="left"/>
        <w:pPr>
          <w:tabs>
            <w:tab w:val="num" w:pos="1531"/>
          </w:tabs>
          <w:ind w:left="1531" w:hanging="323"/>
        </w:pPr>
        <w:rPr>
          <w:rFonts w:ascii="Arial" w:hAnsi="Arial" w:hint="default"/>
          <w:b w:val="0"/>
          <w:i w:val="0"/>
          <w:color w:val="000000" w:themeColor="text1"/>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2011829613">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R8tNWo2so19BRXCfl6X41lnImA2bvkCKK8+eY11C0lkCWXAv5w06dosynQSGHV9TOMEBSRdqLSsIenRQDa/jA==" w:salt="rFF8LUhURYXpVO4gGJOhhA=="/>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C4"/>
    <w:rsid w:val="000001F0"/>
    <w:rsid w:val="00000B2B"/>
    <w:rsid w:val="00001496"/>
    <w:rsid w:val="00001898"/>
    <w:rsid w:val="0000199D"/>
    <w:rsid w:val="00001E6D"/>
    <w:rsid w:val="00001E85"/>
    <w:rsid w:val="000021E3"/>
    <w:rsid w:val="000029F4"/>
    <w:rsid w:val="00002BDE"/>
    <w:rsid w:val="000030B3"/>
    <w:rsid w:val="000040B7"/>
    <w:rsid w:val="00004A06"/>
    <w:rsid w:val="00005F84"/>
    <w:rsid w:val="00005FE8"/>
    <w:rsid w:val="00006DC5"/>
    <w:rsid w:val="00006DEB"/>
    <w:rsid w:val="0000761C"/>
    <w:rsid w:val="00007EC4"/>
    <w:rsid w:val="000105FC"/>
    <w:rsid w:val="0001113F"/>
    <w:rsid w:val="00011B39"/>
    <w:rsid w:val="0001205A"/>
    <w:rsid w:val="000121CB"/>
    <w:rsid w:val="00012ADA"/>
    <w:rsid w:val="00012E97"/>
    <w:rsid w:val="00013799"/>
    <w:rsid w:val="00013821"/>
    <w:rsid w:val="00013E24"/>
    <w:rsid w:val="0001408E"/>
    <w:rsid w:val="00014687"/>
    <w:rsid w:val="000148ED"/>
    <w:rsid w:val="000149AC"/>
    <w:rsid w:val="00014AC6"/>
    <w:rsid w:val="00014B3A"/>
    <w:rsid w:val="00014C12"/>
    <w:rsid w:val="000151C1"/>
    <w:rsid w:val="000160BE"/>
    <w:rsid w:val="00016B06"/>
    <w:rsid w:val="0001710E"/>
    <w:rsid w:val="0001711E"/>
    <w:rsid w:val="000176B1"/>
    <w:rsid w:val="0001788B"/>
    <w:rsid w:val="00017A70"/>
    <w:rsid w:val="00017FAC"/>
    <w:rsid w:val="000208E4"/>
    <w:rsid w:val="00021198"/>
    <w:rsid w:val="00021801"/>
    <w:rsid w:val="000218B3"/>
    <w:rsid w:val="00021945"/>
    <w:rsid w:val="00021988"/>
    <w:rsid w:val="00021A07"/>
    <w:rsid w:val="00021B0A"/>
    <w:rsid w:val="00021F14"/>
    <w:rsid w:val="00021FC1"/>
    <w:rsid w:val="000222FB"/>
    <w:rsid w:val="0002232C"/>
    <w:rsid w:val="00022432"/>
    <w:rsid w:val="00022763"/>
    <w:rsid w:val="00022773"/>
    <w:rsid w:val="000228D8"/>
    <w:rsid w:val="000228FF"/>
    <w:rsid w:val="00022CE8"/>
    <w:rsid w:val="00022F3A"/>
    <w:rsid w:val="00023087"/>
    <w:rsid w:val="00023927"/>
    <w:rsid w:val="000239CE"/>
    <w:rsid w:val="00023FB1"/>
    <w:rsid w:val="00024317"/>
    <w:rsid w:val="00024384"/>
    <w:rsid w:val="00024805"/>
    <w:rsid w:val="000249AF"/>
    <w:rsid w:val="000251AF"/>
    <w:rsid w:val="0002530A"/>
    <w:rsid w:val="0002532F"/>
    <w:rsid w:val="000253D7"/>
    <w:rsid w:val="000254C2"/>
    <w:rsid w:val="00025C09"/>
    <w:rsid w:val="0002675A"/>
    <w:rsid w:val="00026A0D"/>
    <w:rsid w:val="00027654"/>
    <w:rsid w:val="000276FD"/>
    <w:rsid w:val="00027B48"/>
    <w:rsid w:val="0003047C"/>
    <w:rsid w:val="0003172F"/>
    <w:rsid w:val="000319D4"/>
    <w:rsid w:val="00031C9E"/>
    <w:rsid w:val="00032124"/>
    <w:rsid w:val="00032611"/>
    <w:rsid w:val="000327F2"/>
    <w:rsid w:val="00033169"/>
    <w:rsid w:val="00033A2F"/>
    <w:rsid w:val="00033A6F"/>
    <w:rsid w:val="00033E92"/>
    <w:rsid w:val="00033EAD"/>
    <w:rsid w:val="000351FE"/>
    <w:rsid w:val="00035349"/>
    <w:rsid w:val="000355E5"/>
    <w:rsid w:val="000356E2"/>
    <w:rsid w:val="000356F5"/>
    <w:rsid w:val="00035AD1"/>
    <w:rsid w:val="00035BE1"/>
    <w:rsid w:val="00035C86"/>
    <w:rsid w:val="00035DA0"/>
    <w:rsid w:val="000366CB"/>
    <w:rsid w:val="00036710"/>
    <w:rsid w:val="0003683B"/>
    <w:rsid w:val="00036C1B"/>
    <w:rsid w:val="00037190"/>
    <w:rsid w:val="000374FF"/>
    <w:rsid w:val="000378B6"/>
    <w:rsid w:val="00040239"/>
    <w:rsid w:val="00040494"/>
    <w:rsid w:val="00040618"/>
    <w:rsid w:val="00040B06"/>
    <w:rsid w:val="00040C5D"/>
    <w:rsid w:val="00041074"/>
    <w:rsid w:val="00041218"/>
    <w:rsid w:val="000412CD"/>
    <w:rsid w:val="0004170C"/>
    <w:rsid w:val="0004179A"/>
    <w:rsid w:val="00041ADC"/>
    <w:rsid w:val="00041BF7"/>
    <w:rsid w:val="00041E65"/>
    <w:rsid w:val="000427AE"/>
    <w:rsid w:val="00043580"/>
    <w:rsid w:val="000439E3"/>
    <w:rsid w:val="00043BC5"/>
    <w:rsid w:val="00044493"/>
    <w:rsid w:val="000448F8"/>
    <w:rsid w:val="00044C1D"/>
    <w:rsid w:val="00044E70"/>
    <w:rsid w:val="00044F8D"/>
    <w:rsid w:val="00045615"/>
    <w:rsid w:val="00046079"/>
    <w:rsid w:val="000460DB"/>
    <w:rsid w:val="0004640C"/>
    <w:rsid w:val="00046D15"/>
    <w:rsid w:val="00046E39"/>
    <w:rsid w:val="00046FC7"/>
    <w:rsid w:val="00047178"/>
    <w:rsid w:val="00047560"/>
    <w:rsid w:val="0004784A"/>
    <w:rsid w:val="00050069"/>
    <w:rsid w:val="00050606"/>
    <w:rsid w:val="00050DAF"/>
    <w:rsid w:val="0005147E"/>
    <w:rsid w:val="000519A0"/>
    <w:rsid w:val="00051FC5"/>
    <w:rsid w:val="0005262D"/>
    <w:rsid w:val="0005276B"/>
    <w:rsid w:val="00052B9C"/>
    <w:rsid w:val="000532EC"/>
    <w:rsid w:val="00053306"/>
    <w:rsid w:val="0005368F"/>
    <w:rsid w:val="000538B1"/>
    <w:rsid w:val="00054CB6"/>
    <w:rsid w:val="00054E2D"/>
    <w:rsid w:val="00054EDA"/>
    <w:rsid w:val="00054EF6"/>
    <w:rsid w:val="00055229"/>
    <w:rsid w:val="000558AF"/>
    <w:rsid w:val="00055EDA"/>
    <w:rsid w:val="000563A6"/>
    <w:rsid w:val="00056479"/>
    <w:rsid w:val="00056656"/>
    <w:rsid w:val="00056E65"/>
    <w:rsid w:val="000570B2"/>
    <w:rsid w:val="0005717C"/>
    <w:rsid w:val="00057725"/>
    <w:rsid w:val="00057C03"/>
    <w:rsid w:val="00057C83"/>
    <w:rsid w:val="00060315"/>
    <w:rsid w:val="0006044D"/>
    <w:rsid w:val="000605A7"/>
    <w:rsid w:val="00060811"/>
    <w:rsid w:val="000609CF"/>
    <w:rsid w:val="00060E32"/>
    <w:rsid w:val="0006176F"/>
    <w:rsid w:val="0006195C"/>
    <w:rsid w:val="00061A76"/>
    <w:rsid w:val="00061C73"/>
    <w:rsid w:val="00061D35"/>
    <w:rsid w:val="000622CE"/>
    <w:rsid w:val="00062998"/>
    <w:rsid w:val="00062C14"/>
    <w:rsid w:val="00063138"/>
    <w:rsid w:val="00063348"/>
    <w:rsid w:val="0006401C"/>
    <w:rsid w:val="00064BBC"/>
    <w:rsid w:val="00064F79"/>
    <w:rsid w:val="0006501C"/>
    <w:rsid w:val="000659FA"/>
    <w:rsid w:val="00065A75"/>
    <w:rsid w:val="000663F0"/>
    <w:rsid w:val="00066914"/>
    <w:rsid w:val="00066D0D"/>
    <w:rsid w:val="00067304"/>
    <w:rsid w:val="0006787A"/>
    <w:rsid w:val="0006791A"/>
    <w:rsid w:val="00067A19"/>
    <w:rsid w:val="00067B36"/>
    <w:rsid w:val="00070359"/>
    <w:rsid w:val="00070378"/>
    <w:rsid w:val="000706A2"/>
    <w:rsid w:val="00070A9B"/>
    <w:rsid w:val="00070D61"/>
    <w:rsid w:val="000712C5"/>
    <w:rsid w:val="00071625"/>
    <w:rsid w:val="000716D3"/>
    <w:rsid w:val="00071718"/>
    <w:rsid w:val="000717F8"/>
    <w:rsid w:val="00071CE8"/>
    <w:rsid w:val="00072387"/>
    <w:rsid w:val="000726DE"/>
    <w:rsid w:val="00073019"/>
    <w:rsid w:val="000733A7"/>
    <w:rsid w:val="0007354D"/>
    <w:rsid w:val="00073731"/>
    <w:rsid w:val="00074407"/>
    <w:rsid w:val="00074E38"/>
    <w:rsid w:val="00075425"/>
    <w:rsid w:val="00075957"/>
    <w:rsid w:val="00075C90"/>
    <w:rsid w:val="00075E13"/>
    <w:rsid w:val="0007629C"/>
    <w:rsid w:val="0007637D"/>
    <w:rsid w:val="000763A3"/>
    <w:rsid w:val="000764C9"/>
    <w:rsid w:val="000767BD"/>
    <w:rsid w:val="0007682A"/>
    <w:rsid w:val="0007692B"/>
    <w:rsid w:val="00076B7B"/>
    <w:rsid w:val="00077398"/>
    <w:rsid w:val="00077625"/>
    <w:rsid w:val="00077917"/>
    <w:rsid w:val="00077E2F"/>
    <w:rsid w:val="00077F7F"/>
    <w:rsid w:val="0008031A"/>
    <w:rsid w:val="00080467"/>
    <w:rsid w:val="00080748"/>
    <w:rsid w:val="00080B5D"/>
    <w:rsid w:val="00081883"/>
    <w:rsid w:val="00081CD5"/>
    <w:rsid w:val="00081D8C"/>
    <w:rsid w:val="0008288A"/>
    <w:rsid w:val="00082E1B"/>
    <w:rsid w:val="0008353C"/>
    <w:rsid w:val="0008359B"/>
    <w:rsid w:val="0008387A"/>
    <w:rsid w:val="00083C49"/>
    <w:rsid w:val="00083E02"/>
    <w:rsid w:val="00083FDF"/>
    <w:rsid w:val="00084039"/>
    <w:rsid w:val="000843F3"/>
    <w:rsid w:val="00084E61"/>
    <w:rsid w:val="000851A5"/>
    <w:rsid w:val="000858D3"/>
    <w:rsid w:val="00085A1B"/>
    <w:rsid w:val="00085C58"/>
    <w:rsid w:val="00085CF0"/>
    <w:rsid w:val="000862BD"/>
    <w:rsid w:val="0008664F"/>
    <w:rsid w:val="0008683D"/>
    <w:rsid w:val="00086E5C"/>
    <w:rsid w:val="000874B7"/>
    <w:rsid w:val="00087539"/>
    <w:rsid w:val="00087724"/>
    <w:rsid w:val="000877F5"/>
    <w:rsid w:val="00087D34"/>
    <w:rsid w:val="00090010"/>
    <w:rsid w:val="0009056B"/>
    <w:rsid w:val="00090E01"/>
    <w:rsid w:val="00090ED6"/>
    <w:rsid w:val="000918C5"/>
    <w:rsid w:val="00091D71"/>
    <w:rsid w:val="000925F5"/>
    <w:rsid w:val="000926E9"/>
    <w:rsid w:val="00092B7B"/>
    <w:rsid w:val="00093671"/>
    <w:rsid w:val="0009395A"/>
    <w:rsid w:val="00093D60"/>
    <w:rsid w:val="0009405A"/>
    <w:rsid w:val="00094A48"/>
    <w:rsid w:val="00095243"/>
    <w:rsid w:val="000955A7"/>
    <w:rsid w:val="000957CF"/>
    <w:rsid w:val="000957FE"/>
    <w:rsid w:val="00095C8A"/>
    <w:rsid w:val="00095F9E"/>
    <w:rsid w:val="000973C3"/>
    <w:rsid w:val="00097A5B"/>
    <w:rsid w:val="00097CA9"/>
    <w:rsid w:val="000A001A"/>
    <w:rsid w:val="000A03D3"/>
    <w:rsid w:val="000A043E"/>
    <w:rsid w:val="000A10B8"/>
    <w:rsid w:val="000A1198"/>
    <w:rsid w:val="000A12ED"/>
    <w:rsid w:val="000A1759"/>
    <w:rsid w:val="000A1D19"/>
    <w:rsid w:val="000A22E1"/>
    <w:rsid w:val="000A2758"/>
    <w:rsid w:val="000A28FC"/>
    <w:rsid w:val="000A2A67"/>
    <w:rsid w:val="000A33A4"/>
    <w:rsid w:val="000A39CB"/>
    <w:rsid w:val="000A44AE"/>
    <w:rsid w:val="000A45DF"/>
    <w:rsid w:val="000A47E7"/>
    <w:rsid w:val="000A4AF2"/>
    <w:rsid w:val="000A4CCF"/>
    <w:rsid w:val="000A4D0C"/>
    <w:rsid w:val="000A50C4"/>
    <w:rsid w:val="000A58D8"/>
    <w:rsid w:val="000A5F51"/>
    <w:rsid w:val="000A65B9"/>
    <w:rsid w:val="000A6A65"/>
    <w:rsid w:val="000A6F95"/>
    <w:rsid w:val="000A73D3"/>
    <w:rsid w:val="000A74BA"/>
    <w:rsid w:val="000A7DA6"/>
    <w:rsid w:val="000B01CE"/>
    <w:rsid w:val="000B0384"/>
    <w:rsid w:val="000B0403"/>
    <w:rsid w:val="000B090F"/>
    <w:rsid w:val="000B09A7"/>
    <w:rsid w:val="000B113A"/>
    <w:rsid w:val="000B1693"/>
    <w:rsid w:val="000B1E8F"/>
    <w:rsid w:val="000B1FE8"/>
    <w:rsid w:val="000B20F3"/>
    <w:rsid w:val="000B234B"/>
    <w:rsid w:val="000B241D"/>
    <w:rsid w:val="000B2517"/>
    <w:rsid w:val="000B275B"/>
    <w:rsid w:val="000B2F60"/>
    <w:rsid w:val="000B2F68"/>
    <w:rsid w:val="000B337C"/>
    <w:rsid w:val="000B3849"/>
    <w:rsid w:val="000B51CB"/>
    <w:rsid w:val="000B5459"/>
    <w:rsid w:val="000B59BD"/>
    <w:rsid w:val="000B6358"/>
    <w:rsid w:val="000B64D6"/>
    <w:rsid w:val="000B6B6E"/>
    <w:rsid w:val="000B762B"/>
    <w:rsid w:val="000B7B84"/>
    <w:rsid w:val="000C039E"/>
    <w:rsid w:val="000C072C"/>
    <w:rsid w:val="000C07AC"/>
    <w:rsid w:val="000C0D4F"/>
    <w:rsid w:val="000C1D76"/>
    <w:rsid w:val="000C2167"/>
    <w:rsid w:val="000C2998"/>
    <w:rsid w:val="000C2A05"/>
    <w:rsid w:val="000C2E29"/>
    <w:rsid w:val="000C31F4"/>
    <w:rsid w:val="000C3ED8"/>
    <w:rsid w:val="000C3EDA"/>
    <w:rsid w:val="000C40FA"/>
    <w:rsid w:val="000C4293"/>
    <w:rsid w:val="000C4315"/>
    <w:rsid w:val="000C454F"/>
    <w:rsid w:val="000C46EA"/>
    <w:rsid w:val="000C484D"/>
    <w:rsid w:val="000C58FD"/>
    <w:rsid w:val="000C5BF2"/>
    <w:rsid w:val="000C6288"/>
    <w:rsid w:val="000C631E"/>
    <w:rsid w:val="000C63D6"/>
    <w:rsid w:val="000C6565"/>
    <w:rsid w:val="000C68FB"/>
    <w:rsid w:val="000C69C4"/>
    <w:rsid w:val="000C6A83"/>
    <w:rsid w:val="000C79FD"/>
    <w:rsid w:val="000D11D7"/>
    <w:rsid w:val="000D127D"/>
    <w:rsid w:val="000D1468"/>
    <w:rsid w:val="000D1CA5"/>
    <w:rsid w:val="000D1CFE"/>
    <w:rsid w:val="000D22AC"/>
    <w:rsid w:val="000D2388"/>
    <w:rsid w:val="000D24F7"/>
    <w:rsid w:val="000D2701"/>
    <w:rsid w:val="000D27A5"/>
    <w:rsid w:val="000D32B9"/>
    <w:rsid w:val="000D424B"/>
    <w:rsid w:val="000D447E"/>
    <w:rsid w:val="000D4731"/>
    <w:rsid w:val="000D5076"/>
    <w:rsid w:val="000D52AB"/>
    <w:rsid w:val="000D53D0"/>
    <w:rsid w:val="000D55AB"/>
    <w:rsid w:val="000D55C6"/>
    <w:rsid w:val="000D5645"/>
    <w:rsid w:val="000D57FE"/>
    <w:rsid w:val="000D59A9"/>
    <w:rsid w:val="000D5A57"/>
    <w:rsid w:val="000D659A"/>
    <w:rsid w:val="000D6801"/>
    <w:rsid w:val="000D6A76"/>
    <w:rsid w:val="000D6C7E"/>
    <w:rsid w:val="000D6C83"/>
    <w:rsid w:val="000D7181"/>
    <w:rsid w:val="000D77B6"/>
    <w:rsid w:val="000D7AF0"/>
    <w:rsid w:val="000D7CCB"/>
    <w:rsid w:val="000E00DC"/>
    <w:rsid w:val="000E0698"/>
    <w:rsid w:val="000E0895"/>
    <w:rsid w:val="000E0ED4"/>
    <w:rsid w:val="000E0FAD"/>
    <w:rsid w:val="000E1703"/>
    <w:rsid w:val="000E1ECA"/>
    <w:rsid w:val="000E2466"/>
    <w:rsid w:val="000E2597"/>
    <w:rsid w:val="000E2701"/>
    <w:rsid w:val="000E30C1"/>
    <w:rsid w:val="000E344B"/>
    <w:rsid w:val="000E408C"/>
    <w:rsid w:val="000E41A0"/>
    <w:rsid w:val="000E4394"/>
    <w:rsid w:val="000E4429"/>
    <w:rsid w:val="000E45ED"/>
    <w:rsid w:val="000E48B1"/>
    <w:rsid w:val="000E4968"/>
    <w:rsid w:val="000E496E"/>
    <w:rsid w:val="000E4BE3"/>
    <w:rsid w:val="000E4CEC"/>
    <w:rsid w:val="000E56A6"/>
    <w:rsid w:val="000E5BA5"/>
    <w:rsid w:val="000E5C46"/>
    <w:rsid w:val="000E5E93"/>
    <w:rsid w:val="000E61C4"/>
    <w:rsid w:val="000E61CB"/>
    <w:rsid w:val="000E7648"/>
    <w:rsid w:val="000E79BF"/>
    <w:rsid w:val="000F0424"/>
    <w:rsid w:val="000F07A2"/>
    <w:rsid w:val="000F0818"/>
    <w:rsid w:val="000F0BE0"/>
    <w:rsid w:val="000F0D82"/>
    <w:rsid w:val="000F0E91"/>
    <w:rsid w:val="000F1159"/>
    <w:rsid w:val="000F15E2"/>
    <w:rsid w:val="000F2051"/>
    <w:rsid w:val="000F2401"/>
    <w:rsid w:val="000F278D"/>
    <w:rsid w:val="000F2A9C"/>
    <w:rsid w:val="000F3320"/>
    <w:rsid w:val="000F3700"/>
    <w:rsid w:val="000F43C3"/>
    <w:rsid w:val="000F4A88"/>
    <w:rsid w:val="000F4D70"/>
    <w:rsid w:val="000F4FA4"/>
    <w:rsid w:val="000F51CA"/>
    <w:rsid w:val="000F5368"/>
    <w:rsid w:val="000F54E2"/>
    <w:rsid w:val="000F587E"/>
    <w:rsid w:val="000F5CDE"/>
    <w:rsid w:val="000F686D"/>
    <w:rsid w:val="000F6B43"/>
    <w:rsid w:val="000F6B4B"/>
    <w:rsid w:val="000F6CEE"/>
    <w:rsid w:val="000F731C"/>
    <w:rsid w:val="000F79AB"/>
    <w:rsid w:val="000F7EC2"/>
    <w:rsid w:val="00100426"/>
    <w:rsid w:val="00100BC0"/>
    <w:rsid w:val="00100E28"/>
    <w:rsid w:val="00100E32"/>
    <w:rsid w:val="001013F5"/>
    <w:rsid w:val="001015B4"/>
    <w:rsid w:val="00101735"/>
    <w:rsid w:val="00102536"/>
    <w:rsid w:val="00102917"/>
    <w:rsid w:val="00103045"/>
    <w:rsid w:val="00103509"/>
    <w:rsid w:val="00103598"/>
    <w:rsid w:val="00103D0E"/>
    <w:rsid w:val="001042B1"/>
    <w:rsid w:val="00104390"/>
    <w:rsid w:val="001046FA"/>
    <w:rsid w:val="00104760"/>
    <w:rsid w:val="0010535E"/>
    <w:rsid w:val="001056DA"/>
    <w:rsid w:val="00105998"/>
    <w:rsid w:val="00105A17"/>
    <w:rsid w:val="00105D06"/>
    <w:rsid w:val="00105DF6"/>
    <w:rsid w:val="001065F8"/>
    <w:rsid w:val="001068DD"/>
    <w:rsid w:val="00106B2D"/>
    <w:rsid w:val="00106B64"/>
    <w:rsid w:val="0010732B"/>
    <w:rsid w:val="00107579"/>
    <w:rsid w:val="0010766E"/>
    <w:rsid w:val="00107F2B"/>
    <w:rsid w:val="00107F54"/>
    <w:rsid w:val="0011018F"/>
    <w:rsid w:val="0011067F"/>
    <w:rsid w:val="0011079B"/>
    <w:rsid w:val="00110931"/>
    <w:rsid w:val="00110C6D"/>
    <w:rsid w:val="0011190A"/>
    <w:rsid w:val="001119DD"/>
    <w:rsid w:val="00111B6A"/>
    <w:rsid w:val="001121E2"/>
    <w:rsid w:val="0011261E"/>
    <w:rsid w:val="00112798"/>
    <w:rsid w:val="001128E3"/>
    <w:rsid w:val="00112B4D"/>
    <w:rsid w:val="00112C00"/>
    <w:rsid w:val="00112FF8"/>
    <w:rsid w:val="00113188"/>
    <w:rsid w:val="00113500"/>
    <w:rsid w:val="00113559"/>
    <w:rsid w:val="00113A1F"/>
    <w:rsid w:val="00113B73"/>
    <w:rsid w:val="00113C90"/>
    <w:rsid w:val="00113EB9"/>
    <w:rsid w:val="00114166"/>
    <w:rsid w:val="00114386"/>
    <w:rsid w:val="001144DD"/>
    <w:rsid w:val="00114BFB"/>
    <w:rsid w:val="00114CF8"/>
    <w:rsid w:val="001150F4"/>
    <w:rsid w:val="001151D6"/>
    <w:rsid w:val="00115D94"/>
    <w:rsid w:val="0011688E"/>
    <w:rsid w:val="00116A89"/>
    <w:rsid w:val="00116C18"/>
    <w:rsid w:val="00116CFF"/>
    <w:rsid w:val="001172DE"/>
    <w:rsid w:val="0011745E"/>
    <w:rsid w:val="0011773C"/>
    <w:rsid w:val="00117CBE"/>
    <w:rsid w:val="00117D7A"/>
    <w:rsid w:val="00117DE3"/>
    <w:rsid w:val="00117E98"/>
    <w:rsid w:val="00117EA3"/>
    <w:rsid w:val="00120BFE"/>
    <w:rsid w:val="00120EB2"/>
    <w:rsid w:val="001210BD"/>
    <w:rsid w:val="00121181"/>
    <w:rsid w:val="00121267"/>
    <w:rsid w:val="001213CC"/>
    <w:rsid w:val="00121738"/>
    <w:rsid w:val="00121DFC"/>
    <w:rsid w:val="00121E9C"/>
    <w:rsid w:val="0012236B"/>
    <w:rsid w:val="001223DF"/>
    <w:rsid w:val="00122403"/>
    <w:rsid w:val="00122581"/>
    <w:rsid w:val="00122611"/>
    <w:rsid w:val="001228C0"/>
    <w:rsid w:val="00122C7C"/>
    <w:rsid w:val="00122CA2"/>
    <w:rsid w:val="00123756"/>
    <w:rsid w:val="00123FEA"/>
    <w:rsid w:val="001249BA"/>
    <w:rsid w:val="00124A09"/>
    <w:rsid w:val="00125967"/>
    <w:rsid w:val="00125F89"/>
    <w:rsid w:val="00126416"/>
    <w:rsid w:val="00126749"/>
    <w:rsid w:val="00126D60"/>
    <w:rsid w:val="00127187"/>
    <w:rsid w:val="00127447"/>
    <w:rsid w:val="00127961"/>
    <w:rsid w:val="00127B13"/>
    <w:rsid w:val="00127C17"/>
    <w:rsid w:val="00130729"/>
    <w:rsid w:val="00130C8D"/>
    <w:rsid w:val="001316FB"/>
    <w:rsid w:val="00131AB6"/>
    <w:rsid w:val="00131F4E"/>
    <w:rsid w:val="0013210C"/>
    <w:rsid w:val="00132537"/>
    <w:rsid w:val="00132594"/>
    <w:rsid w:val="00132725"/>
    <w:rsid w:val="001329D9"/>
    <w:rsid w:val="00132B38"/>
    <w:rsid w:val="00132FAA"/>
    <w:rsid w:val="00133557"/>
    <w:rsid w:val="00133F36"/>
    <w:rsid w:val="00134048"/>
    <w:rsid w:val="00134102"/>
    <w:rsid w:val="0013413B"/>
    <w:rsid w:val="001347B1"/>
    <w:rsid w:val="00134B93"/>
    <w:rsid w:val="00134C59"/>
    <w:rsid w:val="0013510E"/>
    <w:rsid w:val="00135DCB"/>
    <w:rsid w:val="00135E7D"/>
    <w:rsid w:val="00136309"/>
    <w:rsid w:val="0013647D"/>
    <w:rsid w:val="001365EE"/>
    <w:rsid w:val="00136AAF"/>
    <w:rsid w:val="00136BA0"/>
    <w:rsid w:val="00137348"/>
    <w:rsid w:val="001373DE"/>
    <w:rsid w:val="00137507"/>
    <w:rsid w:val="001375FC"/>
    <w:rsid w:val="0013790D"/>
    <w:rsid w:val="00137D7C"/>
    <w:rsid w:val="0014036E"/>
    <w:rsid w:val="001404F2"/>
    <w:rsid w:val="0014061B"/>
    <w:rsid w:val="0014097C"/>
    <w:rsid w:val="00140B8E"/>
    <w:rsid w:val="00140BAD"/>
    <w:rsid w:val="00141224"/>
    <w:rsid w:val="001412C1"/>
    <w:rsid w:val="00142329"/>
    <w:rsid w:val="001423FF"/>
    <w:rsid w:val="001425A2"/>
    <w:rsid w:val="001426C0"/>
    <w:rsid w:val="00142ADB"/>
    <w:rsid w:val="00142E01"/>
    <w:rsid w:val="00142EFF"/>
    <w:rsid w:val="00142F28"/>
    <w:rsid w:val="00143096"/>
    <w:rsid w:val="0014320D"/>
    <w:rsid w:val="0014329E"/>
    <w:rsid w:val="00143445"/>
    <w:rsid w:val="00143878"/>
    <w:rsid w:val="00143887"/>
    <w:rsid w:val="0014445D"/>
    <w:rsid w:val="001449B5"/>
    <w:rsid w:val="00144AD5"/>
    <w:rsid w:val="00144CCD"/>
    <w:rsid w:val="00144DA5"/>
    <w:rsid w:val="0014549A"/>
    <w:rsid w:val="00145528"/>
    <w:rsid w:val="00145697"/>
    <w:rsid w:val="00145F6C"/>
    <w:rsid w:val="00146802"/>
    <w:rsid w:val="00146A7B"/>
    <w:rsid w:val="0014706C"/>
    <w:rsid w:val="001476EC"/>
    <w:rsid w:val="00147A1D"/>
    <w:rsid w:val="0015114F"/>
    <w:rsid w:val="001511D5"/>
    <w:rsid w:val="00151FFD"/>
    <w:rsid w:val="00152148"/>
    <w:rsid w:val="00153049"/>
    <w:rsid w:val="00153A8D"/>
    <w:rsid w:val="00153ED6"/>
    <w:rsid w:val="00153EE6"/>
    <w:rsid w:val="00154A8E"/>
    <w:rsid w:val="00154C69"/>
    <w:rsid w:val="00154F8E"/>
    <w:rsid w:val="00155176"/>
    <w:rsid w:val="00155434"/>
    <w:rsid w:val="001556CB"/>
    <w:rsid w:val="0015614F"/>
    <w:rsid w:val="001562AA"/>
    <w:rsid w:val="00156A5C"/>
    <w:rsid w:val="00157263"/>
    <w:rsid w:val="0015729D"/>
    <w:rsid w:val="00157753"/>
    <w:rsid w:val="00157B00"/>
    <w:rsid w:val="00160137"/>
    <w:rsid w:val="001601DB"/>
    <w:rsid w:val="00160237"/>
    <w:rsid w:val="001602FC"/>
    <w:rsid w:val="001603DB"/>
    <w:rsid w:val="00160C12"/>
    <w:rsid w:val="00160E0F"/>
    <w:rsid w:val="0016151C"/>
    <w:rsid w:val="001617DD"/>
    <w:rsid w:val="00162518"/>
    <w:rsid w:val="00162626"/>
    <w:rsid w:val="00162B31"/>
    <w:rsid w:val="0016316B"/>
    <w:rsid w:val="001633DE"/>
    <w:rsid w:val="00163C36"/>
    <w:rsid w:val="00163C56"/>
    <w:rsid w:val="00163EFE"/>
    <w:rsid w:val="001640C8"/>
    <w:rsid w:val="001640F1"/>
    <w:rsid w:val="001644DB"/>
    <w:rsid w:val="00164D80"/>
    <w:rsid w:val="0016547F"/>
    <w:rsid w:val="00165805"/>
    <w:rsid w:val="0016580B"/>
    <w:rsid w:val="001659AF"/>
    <w:rsid w:val="00165ADB"/>
    <w:rsid w:val="00165EFD"/>
    <w:rsid w:val="00165F88"/>
    <w:rsid w:val="00166020"/>
    <w:rsid w:val="001664C0"/>
    <w:rsid w:val="00166879"/>
    <w:rsid w:val="00166959"/>
    <w:rsid w:val="00166D45"/>
    <w:rsid w:val="00166FB1"/>
    <w:rsid w:val="0016744A"/>
    <w:rsid w:val="0016766A"/>
    <w:rsid w:val="00167716"/>
    <w:rsid w:val="0016790F"/>
    <w:rsid w:val="001679F1"/>
    <w:rsid w:val="0017084E"/>
    <w:rsid w:val="0017088B"/>
    <w:rsid w:val="00170BF4"/>
    <w:rsid w:val="00170C54"/>
    <w:rsid w:val="00171169"/>
    <w:rsid w:val="001711B7"/>
    <w:rsid w:val="0017138F"/>
    <w:rsid w:val="001715ED"/>
    <w:rsid w:val="00171BEA"/>
    <w:rsid w:val="001726F4"/>
    <w:rsid w:val="00172F1C"/>
    <w:rsid w:val="00172F9F"/>
    <w:rsid w:val="00173486"/>
    <w:rsid w:val="00173559"/>
    <w:rsid w:val="0017384A"/>
    <w:rsid w:val="001738CD"/>
    <w:rsid w:val="0017452F"/>
    <w:rsid w:val="001746E4"/>
    <w:rsid w:val="00176029"/>
    <w:rsid w:val="0017631F"/>
    <w:rsid w:val="00176783"/>
    <w:rsid w:val="00176AB5"/>
    <w:rsid w:val="00176E43"/>
    <w:rsid w:val="00176E71"/>
    <w:rsid w:val="0017707D"/>
    <w:rsid w:val="00177A38"/>
    <w:rsid w:val="00177B97"/>
    <w:rsid w:val="00177CCE"/>
    <w:rsid w:val="00177F4F"/>
    <w:rsid w:val="00180155"/>
    <w:rsid w:val="00180427"/>
    <w:rsid w:val="00180730"/>
    <w:rsid w:val="001807C6"/>
    <w:rsid w:val="0018083A"/>
    <w:rsid w:val="00180BFF"/>
    <w:rsid w:val="00180C0C"/>
    <w:rsid w:val="00180C53"/>
    <w:rsid w:val="00180CDF"/>
    <w:rsid w:val="00180FBA"/>
    <w:rsid w:val="001811F1"/>
    <w:rsid w:val="001814A7"/>
    <w:rsid w:val="001817B3"/>
    <w:rsid w:val="00181DF5"/>
    <w:rsid w:val="001820A2"/>
    <w:rsid w:val="00182353"/>
    <w:rsid w:val="00182576"/>
    <w:rsid w:val="00182981"/>
    <w:rsid w:val="00182C6F"/>
    <w:rsid w:val="00183448"/>
    <w:rsid w:val="001834D7"/>
    <w:rsid w:val="0018378B"/>
    <w:rsid w:val="00183845"/>
    <w:rsid w:val="00183F60"/>
    <w:rsid w:val="0018444C"/>
    <w:rsid w:val="0018499B"/>
    <w:rsid w:val="00184F5E"/>
    <w:rsid w:val="0018587C"/>
    <w:rsid w:val="00185FA6"/>
    <w:rsid w:val="00186027"/>
    <w:rsid w:val="0018660E"/>
    <w:rsid w:val="001867AD"/>
    <w:rsid w:val="00186ACD"/>
    <w:rsid w:val="00186FA5"/>
    <w:rsid w:val="0018727C"/>
    <w:rsid w:val="001876DC"/>
    <w:rsid w:val="00187804"/>
    <w:rsid w:val="0019052E"/>
    <w:rsid w:val="00190A2C"/>
    <w:rsid w:val="00190C94"/>
    <w:rsid w:val="001910DC"/>
    <w:rsid w:val="00191511"/>
    <w:rsid w:val="00191BC7"/>
    <w:rsid w:val="00191D38"/>
    <w:rsid w:val="00191E2B"/>
    <w:rsid w:val="00191F52"/>
    <w:rsid w:val="00192014"/>
    <w:rsid w:val="00192401"/>
    <w:rsid w:val="00192593"/>
    <w:rsid w:val="001927D1"/>
    <w:rsid w:val="00192855"/>
    <w:rsid w:val="00192DFD"/>
    <w:rsid w:val="00192E17"/>
    <w:rsid w:val="00192E69"/>
    <w:rsid w:val="00193246"/>
    <w:rsid w:val="00193DB8"/>
    <w:rsid w:val="00193DED"/>
    <w:rsid w:val="00194A32"/>
    <w:rsid w:val="00194A6E"/>
    <w:rsid w:val="00195007"/>
    <w:rsid w:val="00195760"/>
    <w:rsid w:val="00195933"/>
    <w:rsid w:val="001960E8"/>
    <w:rsid w:val="0019644E"/>
    <w:rsid w:val="00196A5C"/>
    <w:rsid w:val="00196AC0"/>
    <w:rsid w:val="00196E4C"/>
    <w:rsid w:val="00196F9F"/>
    <w:rsid w:val="00197518"/>
    <w:rsid w:val="00197C8C"/>
    <w:rsid w:val="001A0ACD"/>
    <w:rsid w:val="001A153C"/>
    <w:rsid w:val="001A1579"/>
    <w:rsid w:val="001A18CA"/>
    <w:rsid w:val="001A1BF0"/>
    <w:rsid w:val="001A1DC3"/>
    <w:rsid w:val="001A1DF5"/>
    <w:rsid w:val="001A23DE"/>
    <w:rsid w:val="001A2582"/>
    <w:rsid w:val="001A279E"/>
    <w:rsid w:val="001A28B0"/>
    <w:rsid w:val="001A2C5F"/>
    <w:rsid w:val="001A2F21"/>
    <w:rsid w:val="001A3167"/>
    <w:rsid w:val="001A39BC"/>
    <w:rsid w:val="001A3A0F"/>
    <w:rsid w:val="001A3D8F"/>
    <w:rsid w:val="001A3F7B"/>
    <w:rsid w:val="001A43F3"/>
    <w:rsid w:val="001A474C"/>
    <w:rsid w:val="001A48C0"/>
    <w:rsid w:val="001A4A7C"/>
    <w:rsid w:val="001A53FE"/>
    <w:rsid w:val="001A5861"/>
    <w:rsid w:val="001A5E65"/>
    <w:rsid w:val="001A6415"/>
    <w:rsid w:val="001A6427"/>
    <w:rsid w:val="001A64C3"/>
    <w:rsid w:val="001A64ED"/>
    <w:rsid w:val="001A6561"/>
    <w:rsid w:val="001A6768"/>
    <w:rsid w:val="001A6CB4"/>
    <w:rsid w:val="001A706A"/>
    <w:rsid w:val="001A76D5"/>
    <w:rsid w:val="001A7A90"/>
    <w:rsid w:val="001A7C2B"/>
    <w:rsid w:val="001A7CBE"/>
    <w:rsid w:val="001A7FC9"/>
    <w:rsid w:val="001B06AD"/>
    <w:rsid w:val="001B0AF9"/>
    <w:rsid w:val="001B0BDF"/>
    <w:rsid w:val="001B12DA"/>
    <w:rsid w:val="001B1CB5"/>
    <w:rsid w:val="001B2243"/>
    <w:rsid w:val="001B25D6"/>
    <w:rsid w:val="001B27CD"/>
    <w:rsid w:val="001B283A"/>
    <w:rsid w:val="001B2C8C"/>
    <w:rsid w:val="001B2FF6"/>
    <w:rsid w:val="001B3800"/>
    <w:rsid w:val="001B41F7"/>
    <w:rsid w:val="001B4C5A"/>
    <w:rsid w:val="001B4D9E"/>
    <w:rsid w:val="001B4E81"/>
    <w:rsid w:val="001B5585"/>
    <w:rsid w:val="001B5874"/>
    <w:rsid w:val="001B593C"/>
    <w:rsid w:val="001B5AFA"/>
    <w:rsid w:val="001B627C"/>
    <w:rsid w:val="001B6BBE"/>
    <w:rsid w:val="001B6CE8"/>
    <w:rsid w:val="001B6CFF"/>
    <w:rsid w:val="001B6D36"/>
    <w:rsid w:val="001B6D89"/>
    <w:rsid w:val="001B6D9E"/>
    <w:rsid w:val="001B6EA0"/>
    <w:rsid w:val="001B6FC4"/>
    <w:rsid w:val="001B77B5"/>
    <w:rsid w:val="001B7C6A"/>
    <w:rsid w:val="001B7DEB"/>
    <w:rsid w:val="001C0165"/>
    <w:rsid w:val="001C04A5"/>
    <w:rsid w:val="001C1760"/>
    <w:rsid w:val="001C1B79"/>
    <w:rsid w:val="001C1E4D"/>
    <w:rsid w:val="001C1F41"/>
    <w:rsid w:val="001C22C3"/>
    <w:rsid w:val="001C22EA"/>
    <w:rsid w:val="001C25BF"/>
    <w:rsid w:val="001C25C6"/>
    <w:rsid w:val="001C2B9C"/>
    <w:rsid w:val="001C2EB0"/>
    <w:rsid w:val="001C30EB"/>
    <w:rsid w:val="001C369C"/>
    <w:rsid w:val="001C3B2B"/>
    <w:rsid w:val="001C3EDE"/>
    <w:rsid w:val="001C495B"/>
    <w:rsid w:val="001C54B1"/>
    <w:rsid w:val="001C5501"/>
    <w:rsid w:val="001C5CC0"/>
    <w:rsid w:val="001C5F1C"/>
    <w:rsid w:val="001C5FF6"/>
    <w:rsid w:val="001C631E"/>
    <w:rsid w:val="001C6F2D"/>
    <w:rsid w:val="001C78F9"/>
    <w:rsid w:val="001C7A09"/>
    <w:rsid w:val="001C7A88"/>
    <w:rsid w:val="001C7C44"/>
    <w:rsid w:val="001D0CA9"/>
    <w:rsid w:val="001D0CBA"/>
    <w:rsid w:val="001D2F69"/>
    <w:rsid w:val="001D3052"/>
    <w:rsid w:val="001D32C3"/>
    <w:rsid w:val="001D3709"/>
    <w:rsid w:val="001D39A4"/>
    <w:rsid w:val="001D39DC"/>
    <w:rsid w:val="001D4367"/>
    <w:rsid w:val="001D46DC"/>
    <w:rsid w:val="001D4BA6"/>
    <w:rsid w:val="001D4DDF"/>
    <w:rsid w:val="001D4F99"/>
    <w:rsid w:val="001D544B"/>
    <w:rsid w:val="001D57D0"/>
    <w:rsid w:val="001D6170"/>
    <w:rsid w:val="001D7816"/>
    <w:rsid w:val="001D7CFB"/>
    <w:rsid w:val="001E01E9"/>
    <w:rsid w:val="001E0CC6"/>
    <w:rsid w:val="001E1106"/>
    <w:rsid w:val="001E1E1D"/>
    <w:rsid w:val="001E2149"/>
    <w:rsid w:val="001E2A36"/>
    <w:rsid w:val="001E383E"/>
    <w:rsid w:val="001E3934"/>
    <w:rsid w:val="001E3A29"/>
    <w:rsid w:val="001E3F44"/>
    <w:rsid w:val="001E404E"/>
    <w:rsid w:val="001E43ED"/>
    <w:rsid w:val="001E4558"/>
    <w:rsid w:val="001E495E"/>
    <w:rsid w:val="001E4CF9"/>
    <w:rsid w:val="001E4E5F"/>
    <w:rsid w:val="001E5314"/>
    <w:rsid w:val="001E5327"/>
    <w:rsid w:val="001E5557"/>
    <w:rsid w:val="001E5A44"/>
    <w:rsid w:val="001E5ADA"/>
    <w:rsid w:val="001E5CC2"/>
    <w:rsid w:val="001E62AE"/>
    <w:rsid w:val="001E63B9"/>
    <w:rsid w:val="001E63E1"/>
    <w:rsid w:val="001E6473"/>
    <w:rsid w:val="001E6538"/>
    <w:rsid w:val="001E655B"/>
    <w:rsid w:val="001E66C3"/>
    <w:rsid w:val="001E6750"/>
    <w:rsid w:val="001E6884"/>
    <w:rsid w:val="001E6D04"/>
    <w:rsid w:val="001E6D13"/>
    <w:rsid w:val="001E6E45"/>
    <w:rsid w:val="001E75E7"/>
    <w:rsid w:val="001E7958"/>
    <w:rsid w:val="001E7B47"/>
    <w:rsid w:val="001E7D81"/>
    <w:rsid w:val="001E7DE7"/>
    <w:rsid w:val="001F0150"/>
    <w:rsid w:val="001F01BA"/>
    <w:rsid w:val="001F0706"/>
    <w:rsid w:val="001F0741"/>
    <w:rsid w:val="001F0F2E"/>
    <w:rsid w:val="001F1640"/>
    <w:rsid w:val="001F16B0"/>
    <w:rsid w:val="001F19A4"/>
    <w:rsid w:val="001F21AC"/>
    <w:rsid w:val="001F29D9"/>
    <w:rsid w:val="001F2C08"/>
    <w:rsid w:val="001F3519"/>
    <w:rsid w:val="001F3576"/>
    <w:rsid w:val="001F4031"/>
    <w:rsid w:val="001F4126"/>
    <w:rsid w:val="001F42EF"/>
    <w:rsid w:val="001F445D"/>
    <w:rsid w:val="001F50C1"/>
    <w:rsid w:val="001F51D4"/>
    <w:rsid w:val="001F5214"/>
    <w:rsid w:val="001F5333"/>
    <w:rsid w:val="001F544A"/>
    <w:rsid w:val="001F5A16"/>
    <w:rsid w:val="001F5AB5"/>
    <w:rsid w:val="001F5DF3"/>
    <w:rsid w:val="001F5E7D"/>
    <w:rsid w:val="001F6404"/>
    <w:rsid w:val="001F6718"/>
    <w:rsid w:val="001F6E0A"/>
    <w:rsid w:val="001F70E0"/>
    <w:rsid w:val="001F71FA"/>
    <w:rsid w:val="001F73BA"/>
    <w:rsid w:val="001F76F3"/>
    <w:rsid w:val="001F7C40"/>
    <w:rsid w:val="0020035E"/>
    <w:rsid w:val="002003E3"/>
    <w:rsid w:val="00201840"/>
    <w:rsid w:val="002019B6"/>
    <w:rsid w:val="00201AA9"/>
    <w:rsid w:val="00201D31"/>
    <w:rsid w:val="00201F02"/>
    <w:rsid w:val="0020212A"/>
    <w:rsid w:val="002025C2"/>
    <w:rsid w:val="00202ACC"/>
    <w:rsid w:val="00202CCE"/>
    <w:rsid w:val="00203435"/>
    <w:rsid w:val="00203888"/>
    <w:rsid w:val="00203B16"/>
    <w:rsid w:val="00203D71"/>
    <w:rsid w:val="00203E41"/>
    <w:rsid w:val="00204368"/>
    <w:rsid w:val="002049BE"/>
    <w:rsid w:val="00204A27"/>
    <w:rsid w:val="00204D94"/>
    <w:rsid w:val="002057E6"/>
    <w:rsid w:val="00205840"/>
    <w:rsid w:val="00205A43"/>
    <w:rsid w:val="00205E5C"/>
    <w:rsid w:val="002062FD"/>
    <w:rsid w:val="002072E7"/>
    <w:rsid w:val="0020747F"/>
    <w:rsid w:val="002075AE"/>
    <w:rsid w:val="00207E5B"/>
    <w:rsid w:val="00210173"/>
    <w:rsid w:val="002101D1"/>
    <w:rsid w:val="002108F7"/>
    <w:rsid w:val="00210AA2"/>
    <w:rsid w:val="00210AE5"/>
    <w:rsid w:val="0021101A"/>
    <w:rsid w:val="00211108"/>
    <w:rsid w:val="002113D9"/>
    <w:rsid w:val="002117A0"/>
    <w:rsid w:val="00211CB4"/>
    <w:rsid w:val="0021221E"/>
    <w:rsid w:val="00212684"/>
    <w:rsid w:val="00212726"/>
    <w:rsid w:val="00212897"/>
    <w:rsid w:val="002129CA"/>
    <w:rsid w:val="00212CAF"/>
    <w:rsid w:val="00212EA1"/>
    <w:rsid w:val="00212F81"/>
    <w:rsid w:val="0021323D"/>
    <w:rsid w:val="0021326A"/>
    <w:rsid w:val="002138A1"/>
    <w:rsid w:val="0021391B"/>
    <w:rsid w:val="00213DD8"/>
    <w:rsid w:val="00214329"/>
    <w:rsid w:val="00214BA6"/>
    <w:rsid w:val="00215098"/>
    <w:rsid w:val="002155F4"/>
    <w:rsid w:val="0021583E"/>
    <w:rsid w:val="00215CB0"/>
    <w:rsid w:val="0021664D"/>
    <w:rsid w:val="00216919"/>
    <w:rsid w:val="00216F55"/>
    <w:rsid w:val="00217CCC"/>
    <w:rsid w:val="00217DA1"/>
    <w:rsid w:val="00217FC8"/>
    <w:rsid w:val="002203DE"/>
    <w:rsid w:val="00220B87"/>
    <w:rsid w:val="00220C72"/>
    <w:rsid w:val="00220D1A"/>
    <w:rsid w:val="00220D70"/>
    <w:rsid w:val="00220DFA"/>
    <w:rsid w:val="00220F3E"/>
    <w:rsid w:val="002214CD"/>
    <w:rsid w:val="002217DE"/>
    <w:rsid w:val="0022217F"/>
    <w:rsid w:val="002222D3"/>
    <w:rsid w:val="002223C8"/>
    <w:rsid w:val="002224C2"/>
    <w:rsid w:val="002226AF"/>
    <w:rsid w:val="002226FE"/>
    <w:rsid w:val="0022281A"/>
    <w:rsid w:val="00222C8D"/>
    <w:rsid w:val="002230E1"/>
    <w:rsid w:val="002233BB"/>
    <w:rsid w:val="0022374C"/>
    <w:rsid w:val="00223C11"/>
    <w:rsid w:val="00223C3C"/>
    <w:rsid w:val="002244BD"/>
    <w:rsid w:val="00224FAB"/>
    <w:rsid w:val="002250FB"/>
    <w:rsid w:val="002254D1"/>
    <w:rsid w:val="002258AD"/>
    <w:rsid w:val="00225E32"/>
    <w:rsid w:val="00225E81"/>
    <w:rsid w:val="00225FB7"/>
    <w:rsid w:val="002260A4"/>
    <w:rsid w:val="002267C4"/>
    <w:rsid w:val="002267E6"/>
    <w:rsid w:val="002268EE"/>
    <w:rsid w:val="00226C04"/>
    <w:rsid w:val="00226F9B"/>
    <w:rsid w:val="0022703C"/>
    <w:rsid w:val="00227252"/>
    <w:rsid w:val="00227345"/>
    <w:rsid w:val="002277D3"/>
    <w:rsid w:val="002279C8"/>
    <w:rsid w:val="00227C6B"/>
    <w:rsid w:val="00227DF5"/>
    <w:rsid w:val="002312E2"/>
    <w:rsid w:val="0023137B"/>
    <w:rsid w:val="00231844"/>
    <w:rsid w:val="002318D4"/>
    <w:rsid w:val="00231D0D"/>
    <w:rsid w:val="00231FA9"/>
    <w:rsid w:val="00231FC8"/>
    <w:rsid w:val="002320AE"/>
    <w:rsid w:val="00232B2C"/>
    <w:rsid w:val="00232E9F"/>
    <w:rsid w:val="0023359F"/>
    <w:rsid w:val="00233720"/>
    <w:rsid w:val="002339ED"/>
    <w:rsid w:val="00233B92"/>
    <w:rsid w:val="00233E31"/>
    <w:rsid w:val="00234082"/>
    <w:rsid w:val="00234228"/>
    <w:rsid w:val="00234765"/>
    <w:rsid w:val="00234EBF"/>
    <w:rsid w:val="00235158"/>
    <w:rsid w:val="0023515C"/>
    <w:rsid w:val="00235204"/>
    <w:rsid w:val="00235245"/>
    <w:rsid w:val="00235C74"/>
    <w:rsid w:val="002360DA"/>
    <w:rsid w:val="00236352"/>
    <w:rsid w:val="00236C80"/>
    <w:rsid w:val="0023733E"/>
    <w:rsid w:val="002377FC"/>
    <w:rsid w:val="0023782E"/>
    <w:rsid w:val="00237E57"/>
    <w:rsid w:val="00237FE9"/>
    <w:rsid w:val="002408B9"/>
    <w:rsid w:val="0024177D"/>
    <w:rsid w:val="00241A63"/>
    <w:rsid w:val="00241A75"/>
    <w:rsid w:val="00242130"/>
    <w:rsid w:val="002422FD"/>
    <w:rsid w:val="00242768"/>
    <w:rsid w:val="002434FA"/>
    <w:rsid w:val="00243942"/>
    <w:rsid w:val="00244467"/>
    <w:rsid w:val="00244898"/>
    <w:rsid w:val="00244F44"/>
    <w:rsid w:val="00245249"/>
    <w:rsid w:val="0024527A"/>
    <w:rsid w:val="00245586"/>
    <w:rsid w:val="00245AEB"/>
    <w:rsid w:val="00245D75"/>
    <w:rsid w:val="00245E8A"/>
    <w:rsid w:val="00246A47"/>
    <w:rsid w:val="00246D84"/>
    <w:rsid w:val="002473C2"/>
    <w:rsid w:val="0024743E"/>
    <w:rsid w:val="00247A1C"/>
    <w:rsid w:val="0025003A"/>
    <w:rsid w:val="002503FF"/>
    <w:rsid w:val="00250776"/>
    <w:rsid w:val="00250DB1"/>
    <w:rsid w:val="002510F9"/>
    <w:rsid w:val="0025194F"/>
    <w:rsid w:val="0025199A"/>
    <w:rsid w:val="00251BFC"/>
    <w:rsid w:val="00251D08"/>
    <w:rsid w:val="00251D99"/>
    <w:rsid w:val="00251F47"/>
    <w:rsid w:val="0025216C"/>
    <w:rsid w:val="00252661"/>
    <w:rsid w:val="00252F12"/>
    <w:rsid w:val="00253C65"/>
    <w:rsid w:val="002542E4"/>
    <w:rsid w:val="002546C4"/>
    <w:rsid w:val="00254EC7"/>
    <w:rsid w:val="00254F6B"/>
    <w:rsid w:val="002554D1"/>
    <w:rsid w:val="00255CE3"/>
    <w:rsid w:val="0025643E"/>
    <w:rsid w:val="00256694"/>
    <w:rsid w:val="002568A3"/>
    <w:rsid w:val="002572B3"/>
    <w:rsid w:val="00257557"/>
    <w:rsid w:val="00257A25"/>
    <w:rsid w:val="00260134"/>
    <w:rsid w:val="00260415"/>
    <w:rsid w:val="0026043E"/>
    <w:rsid w:val="002604EE"/>
    <w:rsid w:val="00260F72"/>
    <w:rsid w:val="00261F21"/>
    <w:rsid w:val="0026242D"/>
    <w:rsid w:val="002627BE"/>
    <w:rsid w:val="00262E63"/>
    <w:rsid w:val="00262FC8"/>
    <w:rsid w:val="002630FF"/>
    <w:rsid w:val="0026382F"/>
    <w:rsid w:val="002639E4"/>
    <w:rsid w:val="00263BA3"/>
    <w:rsid w:val="00263C20"/>
    <w:rsid w:val="00263FE6"/>
    <w:rsid w:val="00264430"/>
    <w:rsid w:val="0026458A"/>
    <w:rsid w:val="002648BA"/>
    <w:rsid w:val="00264BAF"/>
    <w:rsid w:val="00264C40"/>
    <w:rsid w:val="00265047"/>
    <w:rsid w:val="0026576A"/>
    <w:rsid w:val="00265AC6"/>
    <w:rsid w:val="00265DC1"/>
    <w:rsid w:val="0026626D"/>
    <w:rsid w:val="00266534"/>
    <w:rsid w:val="00266664"/>
    <w:rsid w:val="00266C25"/>
    <w:rsid w:val="002700DE"/>
    <w:rsid w:val="002709BC"/>
    <w:rsid w:val="00271118"/>
    <w:rsid w:val="00271989"/>
    <w:rsid w:val="002719BC"/>
    <w:rsid w:val="00271ED1"/>
    <w:rsid w:val="002720CA"/>
    <w:rsid w:val="00272186"/>
    <w:rsid w:val="00272BAD"/>
    <w:rsid w:val="00272F06"/>
    <w:rsid w:val="002731E3"/>
    <w:rsid w:val="0027337D"/>
    <w:rsid w:val="0027347B"/>
    <w:rsid w:val="0027355D"/>
    <w:rsid w:val="00273B07"/>
    <w:rsid w:val="00273D2A"/>
    <w:rsid w:val="002740D0"/>
    <w:rsid w:val="00274A22"/>
    <w:rsid w:val="00274C87"/>
    <w:rsid w:val="002755C0"/>
    <w:rsid w:val="0027595C"/>
    <w:rsid w:val="00275ECB"/>
    <w:rsid w:val="00276005"/>
    <w:rsid w:val="0027612D"/>
    <w:rsid w:val="00276219"/>
    <w:rsid w:val="0027637B"/>
    <w:rsid w:val="00276630"/>
    <w:rsid w:val="00276787"/>
    <w:rsid w:val="00276978"/>
    <w:rsid w:val="00276FD4"/>
    <w:rsid w:val="00277100"/>
    <w:rsid w:val="002775DC"/>
    <w:rsid w:val="002779A4"/>
    <w:rsid w:val="00277AE6"/>
    <w:rsid w:val="00277D1D"/>
    <w:rsid w:val="00280013"/>
    <w:rsid w:val="0028079B"/>
    <w:rsid w:val="00280935"/>
    <w:rsid w:val="0028098C"/>
    <w:rsid w:val="00280A94"/>
    <w:rsid w:val="00280B2C"/>
    <w:rsid w:val="00281061"/>
    <w:rsid w:val="00281153"/>
    <w:rsid w:val="002812AC"/>
    <w:rsid w:val="00281981"/>
    <w:rsid w:val="00282892"/>
    <w:rsid w:val="002828EF"/>
    <w:rsid w:val="002829C0"/>
    <w:rsid w:val="0028365E"/>
    <w:rsid w:val="002842F7"/>
    <w:rsid w:val="002845DF"/>
    <w:rsid w:val="00284858"/>
    <w:rsid w:val="00284B93"/>
    <w:rsid w:val="00284C17"/>
    <w:rsid w:val="00284CBF"/>
    <w:rsid w:val="002856E0"/>
    <w:rsid w:val="002856EE"/>
    <w:rsid w:val="002859AC"/>
    <w:rsid w:val="00285D56"/>
    <w:rsid w:val="00285FA1"/>
    <w:rsid w:val="002860C2"/>
    <w:rsid w:val="002863BD"/>
    <w:rsid w:val="00286674"/>
    <w:rsid w:val="002870F5"/>
    <w:rsid w:val="00287DCD"/>
    <w:rsid w:val="002904EB"/>
    <w:rsid w:val="00290811"/>
    <w:rsid w:val="00290C78"/>
    <w:rsid w:val="0029113A"/>
    <w:rsid w:val="00291480"/>
    <w:rsid w:val="002916FF"/>
    <w:rsid w:val="00291881"/>
    <w:rsid w:val="0029188A"/>
    <w:rsid w:val="0029253B"/>
    <w:rsid w:val="002929CD"/>
    <w:rsid w:val="0029304F"/>
    <w:rsid w:val="00293083"/>
    <w:rsid w:val="0029319E"/>
    <w:rsid w:val="0029354D"/>
    <w:rsid w:val="0029402B"/>
    <w:rsid w:val="0029469A"/>
    <w:rsid w:val="002947B0"/>
    <w:rsid w:val="0029487D"/>
    <w:rsid w:val="0029496F"/>
    <w:rsid w:val="00294FAC"/>
    <w:rsid w:val="00295B3E"/>
    <w:rsid w:val="0029620E"/>
    <w:rsid w:val="00296218"/>
    <w:rsid w:val="002962ED"/>
    <w:rsid w:val="0029653C"/>
    <w:rsid w:val="00296B81"/>
    <w:rsid w:val="002973D1"/>
    <w:rsid w:val="00297482"/>
    <w:rsid w:val="002975CE"/>
    <w:rsid w:val="00297636"/>
    <w:rsid w:val="00297768"/>
    <w:rsid w:val="00297A5E"/>
    <w:rsid w:val="00297A96"/>
    <w:rsid w:val="00297BA0"/>
    <w:rsid w:val="00297F67"/>
    <w:rsid w:val="002A0825"/>
    <w:rsid w:val="002A0A69"/>
    <w:rsid w:val="002A0BE6"/>
    <w:rsid w:val="002A1109"/>
    <w:rsid w:val="002A1649"/>
    <w:rsid w:val="002A24E4"/>
    <w:rsid w:val="002A2602"/>
    <w:rsid w:val="002A31CD"/>
    <w:rsid w:val="002A3773"/>
    <w:rsid w:val="002A3CD6"/>
    <w:rsid w:val="002A3D2A"/>
    <w:rsid w:val="002A40AA"/>
    <w:rsid w:val="002A4637"/>
    <w:rsid w:val="002A49E7"/>
    <w:rsid w:val="002A4D3A"/>
    <w:rsid w:val="002A5150"/>
    <w:rsid w:val="002A52B9"/>
    <w:rsid w:val="002A56A3"/>
    <w:rsid w:val="002A56F3"/>
    <w:rsid w:val="002A5FE8"/>
    <w:rsid w:val="002A6307"/>
    <w:rsid w:val="002A64A9"/>
    <w:rsid w:val="002A676F"/>
    <w:rsid w:val="002A6DA3"/>
    <w:rsid w:val="002A7493"/>
    <w:rsid w:val="002A74FA"/>
    <w:rsid w:val="002A763E"/>
    <w:rsid w:val="002A77D0"/>
    <w:rsid w:val="002A780B"/>
    <w:rsid w:val="002A7CB8"/>
    <w:rsid w:val="002B0050"/>
    <w:rsid w:val="002B00ED"/>
    <w:rsid w:val="002B089C"/>
    <w:rsid w:val="002B08F5"/>
    <w:rsid w:val="002B0B64"/>
    <w:rsid w:val="002B114B"/>
    <w:rsid w:val="002B13E3"/>
    <w:rsid w:val="002B1B88"/>
    <w:rsid w:val="002B20BF"/>
    <w:rsid w:val="002B25AD"/>
    <w:rsid w:val="002B25DC"/>
    <w:rsid w:val="002B2927"/>
    <w:rsid w:val="002B2A1F"/>
    <w:rsid w:val="002B2D34"/>
    <w:rsid w:val="002B2E24"/>
    <w:rsid w:val="002B39FB"/>
    <w:rsid w:val="002B3BAF"/>
    <w:rsid w:val="002B4363"/>
    <w:rsid w:val="002B4913"/>
    <w:rsid w:val="002B4A97"/>
    <w:rsid w:val="002B4B21"/>
    <w:rsid w:val="002B55A9"/>
    <w:rsid w:val="002B5E47"/>
    <w:rsid w:val="002B64F0"/>
    <w:rsid w:val="002B6834"/>
    <w:rsid w:val="002B7785"/>
    <w:rsid w:val="002B77E4"/>
    <w:rsid w:val="002B7ED8"/>
    <w:rsid w:val="002C00BF"/>
    <w:rsid w:val="002C0976"/>
    <w:rsid w:val="002C0EE9"/>
    <w:rsid w:val="002C24E8"/>
    <w:rsid w:val="002C26B8"/>
    <w:rsid w:val="002C2B33"/>
    <w:rsid w:val="002C2B82"/>
    <w:rsid w:val="002C2D15"/>
    <w:rsid w:val="002C2FE4"/>
    <w:rsid w:val="002C324C"/>
    <w:rsid w:val="002C3472"/>
    <w:rsid w:val="002C3709"/>
    <w:rsid w:val="002C3714"/>
    <w:rsid w:val="002C3737"/>
    <w:rsid w:val="002C3AC6"/>
    <w:rsid w:val="002C43F4"/>
    <w:rsid w:val="002C441F"/>
    <w:rsid w:val="002C4C3D"/>
    <w:rsid w:val="002C4EBA"/>
    <w:rsid w:val="002C4F61"/>
    <w:rsid w:val="002C51E6"/>
    <w:rsid w:val="002C585A"/>
    <w:rsid w:val="002C5DB4"/>
    <w:rsid w:val="002C6860"/>
    <w:rsid w:val="002C6C0B"/>
    <w:rsid w:val="002C76B1"/>
    <w:rsid w:val="002C7D4F"/>
    <w:rsid w:val="002D011A"/>
    <w:rsid w:val="002D026E"/>
    <w:rsid w:val="002D03F9"/>
    <w:rsid w:val="002D049D"/>
    <w:rsid w:val="002D0779"/>
    <w:rsid w:val="002D0AF5"/>
    <w:rsid w:val="002D0CCE"/>
    <w:rsid w:val="002D0F22"/>
    <w:rsid w:val="002D185E"/>
    <w:rsid w:val="002D187D"/>
    <w:rsid w:val="002D1DBA"/>
    <w:rsid w:val="002D2006"/>
    <w:rsid w:val="002D2AD6"/>
    <w:rsid w:val="002D2B58"/>
    <w:rsid w:val="002D2D03"/>
    <w:rsid w:val="002D3761"/>
    <w:rsid w:val="002D3779"/>
    <w:rsid w:val="002D40B0"/>
    <w:rsid w:val="002D4E37"/>
    <w:rsid w:val="002D4F5D"/>
    <w:rsid w:val="002D54CD"/>
    <w:rsid w:val="002D55F2"/>
    <w:rsid w:val="002D5868"/>
    <w:rsid w:val="002D5F70"/>
    <w:rsid w:val="002D6609"/>
    <w:rsid w:val="002D6824"/>
    <w:rsid w:val="002D6B4E"/>
    <w:rsid w:val="002D6EF3"/>
    <w:rsid w:val="002D7748"/>
    <w:rsid w:val="002D7F96"/>
    <w:rsid w:val="002E0056"/>
    <w:rsid w:val="002E059E"/>
    <w:rsid w:val="002E0812"/>
    <w:rsid w:val="002E0DA0"/>
    <w:rsid w:val="002E1270"/>
    <w:rsid w:val="002E1354"/>
    <w:rsid w:val="002E136E"/>
    <w:rsid w:val="002E150A"/>
    <w:rsid w:val="002E1891"/>
    <w:rsid w:val="002E1AC6"/>
    <w:rsid w:val="002E1EA8"/>
    <w:rsid w:val="002E1FE5"/>
    <w:rsid w:val="002E24C8"/>
    <w:rsid w:val="002E26D5"/>
    <w:rsid w:val="002E3049"/>
    <w:rsid w:val="002E3226"/>
    <w:rsid w:val="002E389F"/>
    <w:rsid w:val="002E3A84"/>
    <w:rsid w:val="002E3B61"/>
    <w:rsid w:val="002E4A3B"/>
    <w:rsid w:val="002E5227"/>
    <w:rsid w:val="002E57A6"/>
    <w:rsid w:val="002E63D5"/>
    <w:rsid w:val="002E66B9"/>
    <w:rsid w:val="002E72B8"/>
    <w:rsid w:val="002E734F"/>
    <w:rsid w:val="002E7C9E"/>
    <w:rsid w:val="002E7CA6"/>
    <w:rsid w:val="002E7CD2"/>
    <w:rsid w:val="002E7D23"/>
    <w:rsid w:val="002F0019"/>
    <w:rsid w:val="002F0169"/>
    <w:rsid w:val="002F0ACC"/>
    <w:rsid w:val="002F0D79"/>
    <w:rsid w:val="002F18E1"/>
    <w:rsid w:val="002F19B1"/>
    <w:rsid w:val="002F1A25"/>
    <w:rsid w:val="002F1F5C"/>
    <w:rsid w:val="002F2D99"/>
    <w:rsid w:val="002F2E21"/>
    <w:rsid w:val="002F2E3F"/>
    <w:rsid w:val="002F3192"/>
    <w:rsid w:val="002F362A"/>
    <w:rsid w:val="002F3918"/>
    <w:rsid w:val="002F4702"/>
    <w:rsid w:val="002F48CA"/>
    <w:rsid w:val="002F52D0"/>
    <w:rsid w:val="002F5518"/>
    <w:rsid w:val="002F5CDA"/>
    <w:rsid w:val="002F5CF4"/>
    <w:rsid w:val="002F5FA5"/>
    <w:rsid w:val="002F617C"/>
    <w:rsid w:val="002F6889"/>
    <w:rsid w:val="002F691E"/>
    <w:rsid w:val="002F69D9"/>
    <w:rsid w:val="002F6B54"/>
    <w:rsid w:val="002F6D36"/>
    <w:rsid w:val="002F755D"/>
    <w:rsid w:val="002F792C"/>
    <w:rsid w:val="002F7C4C"/>
    <w:rsid w:val="002F7E03"/>
    <w:rsid w:val="002F7F1D"/>
    <w:rsid w:val="00300452"/>
    <w:rsid w:val="003004BA"/>
    <w:rsid w:val="0030070D"/>
    <w:rsid w:val="003008A0"/>
    <w:rsid w:val="003009E2"/>
    <w:rsid w:val="0030184A"/>
    <w:rsid w:val="003018CD"/>
    <w:rsid w:val="00301920"/>
    <w:rsid w:val="00301D42"/>
    <w:rsid w:val="00302B9A"/>
    <w:rsid w:val="003038A7"/>
    <w:rsid w:val="00303C82"/>
    <w:rsid w:val="00303E9E"/>
    <w:rsid w:val="00304827"/>
    <w:rsid w:val="003049AA"/>
    <w:rsid w:val="00304B7C"/>
    <w:rsid w:val="00304C1A"/>
    <w:rsid w:val="00304C57"/>
    <w:rsid w:val="0030505C"/>
    <w:rsid w:val="0030510B"/>
    <w:rsid w:val="003051D6"/>
    <w:rsid w:val="00305950"/>
    <w:rsid w:val="00305AC5"/>
    <w:rsid w:val="003065CD"/>
    <w:rsid w:val="00310B28"/>
    <w:rsid w:val="00310B51"/>
    <w:rsid w:val="0031117F"/>
    <w:rsid w:val="00311499"/>
    <w:rsid w:val="0031185A"/>
    <w:rsid w:val="00311920"/>
    <w:rsid w:val="00312249"/>
    <w:rsid w:val="0031320D"/>
    <w:rsid w:val="003146A6"/>
    <w:rsid w:val="00314AC6"/>
    <w:rsid w:val="00314C95"/>
    <w:rsid w:val="00314ECA"/>
    <w:rsid w:val="00314F49"/>
    <w:rsid w:val="003151B1"/>
    <w:rsid w:val="003156B9"/>
    <w:rsid w:val="00315705"/>
    <w:rsid w:val="00315CBA"/>
    <w:rsid w:val="00316071"/>
    <w:rsid w:val="003161BF"/>
    <w:rsid w:val="0031632B"/>
    <w:rsid w:val="0031664C"/>
    <w:rsid w:val="00316714"/>
    <w:rsid w:val="00316B9D"/>
    <w:rsid w:val="00316C77"/>
    <w:rsid w:val="0031722A"/>
    <w:rsid w:val="0031745D"/>
    <w:rsid w:val="003176A5"/>
    <w:rsid w:val="00317B49"/>
    <w:rsid w:val="00317BF8"/>
    <w:rsid w:val="00320214"/>
    <w:rsid w:val="00320DBC"/>
    <w:rsid w:val="00320FE9"/>
    <w:rsid w:val="00321B40"/>
    <w:rsid w:val="00321E85"/>
    <w:rsid w:val="00322304"/>
    <w:rsid w:val="0032290B"/>
    <w:rsid w:val="0032294F"/>
    <w:rsid w:val="00323042"/>
    <w:rsid w:val="0032369D"/>
    <w:rsid w:val="003236D2"/>
    <w:rsid w:val="00323F1A"/>
    <w:rsid w:val="00324200"/>
    <w:rsid w:val="003245FE"/>
    <w:rsid w:val="00324DA5"/>
    <w:rsid w:val="003252D2"/>
    <w:rsid w:val="00325C1B"/>
    <w:rsid w:val="00325D17"/>
    <w:rsid w:val="00326342"/>
    <w:rsid w:val="00326799"/>
    <w:rsid w:val="0032688C"/>
    <w:rsid w:val="00326977"/>
    <w:rsid w:val="00326C7A"/>
    <w:rsid w:val="00327342"/>
    <w:rsid w:val="0032764C"/>
    <w:rsid w:val="003277DF"/>
    <w:rsid w:val="00327C5F"/>
    <w:rsid w:val="00327C86"/>
    <w:rsid w:val="00327D4E"/>
    <w:rsid w:val="00330314"/>
    <w:rsid w:val="0033036B"/>
    <w:rsid w:val="0033078C"/>
    <w:rsid w:val="00330858"/>
    <w:rsid w:val="00330B1D"/>
    <w:rsid w:val="00330EFA"/>
    <w:rsid w:val="00330FEB"/>
    <w:rsid w:val="003312DC"/>
    <w:rsid w:val="003315C5"/>
    <w:rsid w:val="00331869"/>
    <w:rsid w:val="0033218D"/>
    <w:rsid w:val="00332321"/>
    <w:rsid w:val="00332355"/>
    <w:rsid w:val="00332C5A"/>
    <w:rsid w:val="003333BD"/>
    <w:rsid w:val="00333A70"/>
    <w:rsid w:val="00333C02"/>
    <w:rsid w:val="00334EE1"/>
    <w:rsid w:val="003350D9"/>
    <w:rsid w:val="00335446"/>
    <w:rsid w:val="00335E32"/>
    <w:rsid w:val="00336708"/>
    <w:rsid w:val="00336728"/>
    <w:rsid w:val="00336765"/>
    <w:rsid w:val="00336A24"/>
    <w:rsid w:val="0033728F"/>
    <w:rsid w:val="00337948"/>
    <w:rsid w:val="00337AD6"/>
    <w:rsid w:val="00337C5D"/>
    <w:rsid w:val="00340187"/>
    <w:rsid w:val="0034048A"/>
    <w:rsid w:val="0034050B"/>
    <w:rsid w:val="003407DD"/>
    <w:rsid w:val="00341179"/>
    <w:rsid w:val="003411F5"/>
    <w:rsid w:val="00341275"/>
    <w:rsid w:val="003417B3"/>
    <w:rsid w:val="00341ADC"/>
    <w:rsid w:val="00341F8D"/>
    <w:rsid w:val="003420B2"/>
    <w:rsid w:val="003430CC"/>
    <w:rsid w:val="003434DC"/>
    <w:rsid w:val="0034379C"/>
    <w:rsid w:val="00343A3E"/>
    <w:rsid w:val="00343BCB"/>
    <w:rsid w:val="00343FFC"/>
    <w:rsid w:val="00344ACA"/>
    <w:rsid w:val="00344E15"/>
    <w:rsid w:val="00345346"/>
    <w:rsid w:val="003453D5"/>
    <w:rsid w:val="00345459"/>
    <w:rsid w:val="00345B35"/>
    <w:rsid w:val="00345F9B"/>
    <w:rsid w:val="00346C50"/>
    <w:rsid w:val="00346CA4"/>
    <w:rsid w:val="00346E8F"/>
    <w:rsid w:val="00346F8D"/>
    <w:rsid w:val="00346F9A"/>
    <w:rsid w:val="00347606"/>
    <w:rsid w:val="00347C69"/>
    <w:rsid w:val="00347D02"/>
    <w:rsid w:val="00350038"/>
    <w:rsid w:val="00350811"/>
    <w:rsid w:val="003514EC"/>
    <w:rsid w:val="00351571"/>
    <w:rsid w:val="00351625"/>
    <w:rsid w:val="0035186A"/>
    <w:rsid w:val="003518F4"/>
    <w:rsid w:val="00351983"/>
    <w:rsid w:val="00351A7F"/>
    <w:rsid w:val="00352515"/>
    <w:rsid w:val="0035280F"/>
    <w:rsid w:val="00352A75"/>
    <w:rsid w:val="00352EC9"/>
    <w:rsid w:val="00353A5F"/>
    <w:rsid w:val="00354870"/>
    <w:rsid w:val="00354F45"/>
    <w:rsid w:val="003554A9"/>
    <w:rsid w:val="00355967"/>
    <w:rsid w:val="0035596D"/>
    <w:rsid w:val="00356394"/>
    <w:rsid w:val="003563A4"/>
    <w:rsid w:val="0035658E"/>
    <w:rsid w:val="003567B5"/>
    <w:rsid w:val="0035681E"/>
    <w:rsid w:val="00356DAA"/>
    <w:rsid w:val="00356DB3"/>
    <w:rsid w:val="003577C2"/>
    <w:rsid w:val="0035782E"/>
    <w:rsid w:val="00357987"/>
    <w:rsid w:val="00357F8E"/>
    <w:rsid w:val="0036000E"/>
    <w:rsid w:val="003603D6"/>
    <w:rsid w:val="00360CDA"/>
    <w:rsid w:val="00360D97"/>
    <w:rsid w:val="003610CD"/>
    <w:rsid w:val="0036174A"/>
    <w:rsid w:val="003619A6"/>
    <w:rsid w:val="00361A21"/>
    <w:rsid w:val="00361AD9"/>
    <w:rsid w:val="003620E6"/>
    <w:rsid w:val="0036303B"/>
    <w:rsid w:val="00363139"/>
    <w:rsid w:val="0036317A"/>
    <w:rsid w:val="0036334A"/>
    <w:rsid w:val="0036358B"/>
    <w:rsid w:val="00363663"/>
    <w:rsid w:val="003647D3"/>
    <w:rsid w:val="00364C6F"/>
    <w:rsid w:val="00364ED1"/>
    <w:rsid w:val="0036555B"/>
    <w:rsid w:val="00365626"/>
    <w:rsid w:val="0036599F"/>
    <w:rsid w:val="0036613B"/>
    <w:rsid w:val="003661EC"/>
    <w:rsid w:val="00366A82"/>
    <w:rsid w:val="00366D51"/>
    <w:rsid w:val="00366FD0"/>
    <w:rsid w:val="003670D3"/>
    <w:rsid w:val="003701CB"/>
    <w:rsid w:val="0037085F"/>
    <w:rsid w:val="00370976"/>
    <w:rsid w:val="00370D2D"/>
    <w:rsid w:val="00370FE4"/>
    <w:rsid w:val="00371AD1"/>
    <w:rsid w:val="00371C3D"/>
    <w:rsid w:val="00371D7F"/>
    <w:rsid w:val="00372392"/>
    <w:rsid w:val="003723E1"/>
    <w:rsid w:val="0037273F"/>
    <w:rsid w:val="003730DE"/>
    <w:rsid w:val="00373317"/>
    <w:rsid w:val="00373418"/>
    <w:rsid w:val="003738A6"/>
    <w:rsid w:val="00373A53"/>
    <w:rsid w:val="00373B1A"/>
    <w:rsid w:val="00373DB0"/>
    <w:rsid w:val="003741C0"/>
    <w:rsid w:val="003745B2"/>
    <w:rsid w:val="0037464A"/>
    <w:rsid w:val="00374D8B"/>
    <w:rsid w:val="00375733"/>
    <w:rsid w:val="00375F21"/>
    <w:rsid w:val="003763B2"/>
    <w:rsid w:val="00377791"/>
    <w:rsid w:val="00377C23"/>
    <w:rsid w:val="00377DAF"/>
    <w:rsid w:val="0038073F"/>
    <w:rsid w:val="00380B34"/>
    <w:rsid w:val="00381019"/>
    <w:rsid w:val="00381088"/>
    <w:rsid w:val="003810F8"/>
    <w:rsid w:val="003812FA"/>
    <w:rsid w:val="003819E9"/>
    <w:rsid w:val="00382629"/>
    <w:rsid w:val="0038357C"/>
    <w:rsid w:val="00383879"/>
    <w:rsid w:val="003839EB"/>
    <w:rsid w:val="00383AEA"/>
    <w:rsid w:val="00383CEF"/>
    <w:rsid w:val="00383D90"/>
    <w:rsid w:val="00384883"/>
    <w:rsid w:val="00384A36"/>
    <w:rsid w:val="00384F9C"/>
    <w:rsid w:val="003851B8"/>
    <w:rsid w:val="003858B5"/>
    <w:rsid w:val="00385D4C"/>
    <w:rsid w:val="00385D7A"/>
    <w:rsid w:val="00385E9B"/>
    <w:rsid w:val="003860F6"/>
    <w:rsid w:val="003862BA"/>
    <w:rsid w:val="0038652B"/>
    <w:rsid w:val="00386594"/>
    <w:rsid w:val="0038663A"/>
    <w:rsid w:val="003867A4"/>
    <w:rsid w:val="00386923"/>
    <w:rsid w:val="0038700C"/>
    <w:rsid w:val="003870B4"/>
    <w:rsid w:val="00387DA2"/>
    <w:rsid w:val="00390859"/>
    <w:rsid w:val="003908E7"/>
    <w:rsid w:val="0039138A"/>
    <w:rsid w:val="0039260F"/>
    <w:rsid w:val="00392AF7"/>
    <w:rsid w:val="0039341A"/>
    <w:rsid w:val="00393638"/>
    <w:rsid w:val="0039375B"/>
    <w:rsid w:val="0039381D"/>
    <w:rsid w:val="00393E99"/>
    <w:rsid w:val="0039458C"/>
    <w:rsid w:val="00394CFB"/>
    <w:rsid w:val="00394D0A"/>
    <w:rsid w:val="00394D36"/>
    <w:rsid w:val="00394DE1"/>
    <w:rsid w:val="003950A3"/>
    <w:rsid w:val="0039521D"/>
    <w:rsid w:val="00395B29"/>
    <w:rsid w:val="00395FBA"/>
    <w:rsid w:val="00396D57"/>
    <w:rsid w:val="00396E2A"/>
    <w:rsid w:val="003970FB"/>
    <w:rsid w:val="00397918"/>
    <w:rsid w:val="003979F9"/>
    <w:rsid w:val="00397D61"/>
    <w:rsid w:val="00397E37"/>
    <w:rsid w:val="00397E7A"/>
    <w:rsid w:val="003A04DA"/>
    <w:rsid w:val="003A08E1"/>
    <w:rsid w:val="003A097F"/>
    <w:rsid w:val="003A0B78"/>
    <w:rsid w:val="003A1000"/>
    <w:rsid w:val="003A130D"/>
    <w:rsid w:val="003A1A68"/>
    <w:rsid w:val="003A1B83"/>
    <w:rsid w:val="003A1C66"/>
    <w:rsid w:val="003A1E87"/>
    <w:rsid w:val="003A291B"/>
    <w:rsid w:val="003A2E38"/>
    <w:rsid w:val="003A3049"/>
    <w:rsid w:val="003A3067"/>
    <w:rsid w:val="003A30A5"/>
    <w:rsid w:val="003A31F1"/>
    <w:rsid w:val="003A3260"/>
    <w:rsid w:val="003A3783"/>
    <w:rsid w:val="003A37EC"/>
    <w:rsid w:val="003A3957"/>
    <w:rsid w:val="003A3A76"/>
    <w:rsid w:val="003A3A81"/>
    <w:rsid w:val="003A4018"/>
    <w:rsid w:val="003A4445"/>
    <w:rsid w:val="003A46DB"/>
    <w:rsid w:val="003A47A5"/>
    <w:rsid w:val="003A4C23"/>
    <w:rsid w:val="003A4D50"/>
    <w:rsid w:val="003A4F67"/>
    <w:rsid w:val="003A5B45"/>
    <w:rsid w:val="003A6570"/>
    <w:rsid w:val="003A679C"/>
    <w:rsid w:val="003A69F1"/>
    <w:rsid w:val="003A7096"/>
    <w:rsid w:val="003A70DD"/>
    <w:rsid w:val="003A7348"/>
    <w:rsid w:val="003A7369"/>
    <w:rsid w:val="003A77F0"/>
    <w:rsid w:val="003A7B2D"/>
    <w:rsid w:val="003A7D94"/>
    <w:rsid w:val="003A7ECB"/>
    <w:rsid w:val="003B06E8"/>
    <w:rsid w:val="003B0C0F"/>
    <w:rsid w:val="003B0DD8"/>
    <w:rsid w:val="003B126B"/>
    <w:rsid w:val="003B1A10"/>
    <w:rsid w:val="003B1E16"/>
    <w:rsid w:val="003B2005"/>
    <w:rsid w:val="003B20FD"/>
    <w:rsid w:val="003B28C5"/>
    <w:rsid w:val="003B2A2C"/>
    <w:rsid w:val="003B2ADF"/>
    <w:rsid w:val="003B2C1F"/>
    <w:rsid w:val="003B2EB7"/>
    <w:rsid w:val="003B3110"/>
    <w:rsid w:val="003B31F8"/>
    <w:rsid w:val="003B3387"/>
    <w:rsid w:val="003B3F44"/>
    <w:rsid w:val="003B4039"/>
    <w:rsid w:val="003B45E5"/>
    <w:rsid w:val="003B4D47"/>
    <w:rsid w:val="003B4D9E"/>
    <w:rsid w:val="003B4E93"/>
    <w:rsid w:val="003B5047"/>
    <w:rsid w:val="003B5315"/>
    <w:rsid w:val="003B5366"/>
    <w:rsid w:val="003B58BF"/>
    <w:rsid w:val="003B6170"/>
    <w:rsid w:val="003B65CA"/>
    <w:rsid w:val="003B66EE"/>
    <w:rsid w:val="003B759E"/>
    <w:rsid w:val="003B75EA"/>
    <w:rsid w:val="003B7706"/>
    <w:rsid w:val="003B7F7E"/>
    <w:rsid w:val="003C097E"/>
    <w:rsid w:val="003C0AA7"/>
    <w:rsid w:val="003C10AC"/>
    <w:rsid w:val="003C10CA"/>
    <w:rsid w:val="003C14A8"/>
    <w:rsid w:val="003C18EC"/>
    <w:rsid w:val="003C19FA"/>
    <w:rsid w:val="003C20B6"/>
    <w:rsid w:val="003C2310"/>
    <w:rsid w:val="003C31BA"/>
    <w:rsid w:val="003C31C6"/>
    <w:rsid w:val="003C38AC"/>
    <w:rsid w:val="003C41F7"/>
    <w:rsid w:val="003C4B62"/>
    <w:rsid w:val="003C4C10"/>
    <w:rsid w:val="003C4DFB"/>
    <w:rsid w:val="003C5383"/>
    <w:rsid w:val="003C583A"/>
    <w:rsid w:val="003C5BD6"/>
    <w:rsid w:val="003C5C57"/>
    <w:rsid w:val="003C6159"/>
    <w:rsid w:val="003C64B9"/>
    <w:rsid w:val="003C6A3A"/>
    <w:rsid w:val="003C6A4C"/>
    <w:rsid w:val="003C70D5"/>
    <w:rsid w:val="003C735B"/>
    <w:rsid w:val="003C7BF4"/>
    <w:rsid w:val="003D043D"/>
    <w:rsid w:val="003D1196"/>
    <w:rsid w:val="003D1D5D"/>
    <w:rsid w:val="003D2979"/>
    <w:rsid w:val="003D2B0A"/>
    <w:rsid w:val="003D2B77"/>
    <w:rsid w:val="003D304F"/>
    <w:rsid w:val="003D31FB"/>
    <w:rsid w:val="003D3346"/>
    <w:rsid w:val="003D377F"/>
    <w:rsid w:val="003D391A"/>
    <w:rsid w:val="003D3C86"/>
    <w:rsid w:val="003D43A4"/>
    <w:rsid w:val="003D4AFA"/>
    <w:rsid w:val="003D4EAF"/>
    <w:rsid w:val="003D4F6D"/>
    <w:rsid w:val="003D4F83"/>
    <w:rsid w:val="003D51C3"/>
    <w:rsid w:val="003D54CF"/>
    <w:rsid w:val="003D64F6"/>
    <w:rsid w:val="003D65A0"/>
    <w:rsid w:val="003D6905"/>
    <w:rsid w:val="003D7096"/>
    <w:rsid w:val="003D7BEF"/>
    <w:rsid w:val="003D7C79"/>
    <w:rsid w:val="003D7CB4"/>
    <w:rsid w:val="003E0253"/>
    <w:rsid w:val="003E08B9"/>
    <w:rsid w:val="003E098B"/>
    <w:rsid w:val="003E0F76"/>
    <w:rsid w:val="003E11D1"/>
    <w:rsid w:val="003E124A"/>
    <w:rsid w:val="003E12D1"/>
    <w:rsid w:val="003E12E2"/>
    <w:rsid w:val="003E19FB"/>
    <w:rsid w:val="003E1BA5"/>
    <w:rsid w:val="003E2085"/>
    <w:rsid w:val="003E20B9"/>
    <w:rsid w:val="003E251E"/>
    <w:rsid w:val="003E2B0D"/>
    <w:rsid w:val="003E2C75"/>
    <w:rsid w:val="003E3048"/>
    <w:rsid w:val="003E373F"/>
    <w:rsid w:val="003E39C4"/>
    <w:rsid w:val="003E3A86"/>
    <w:rsid w:val="003E3BE2"/>
    <w:rsid w:val="003E3D41"/>
    <w:rsid w:val="003E43EC"/>
    <w:rsid w:val="003E4448"/>
    <w:rsid w:val="003E48D3"/>
    <w:rsid w:val="003E4E6E"/>
    <w:rsid w:val="003E4E8D"/>
    <w:rsid w:val="003E50B2"/>
    <w:rsid w:val="003E523F"/>
    <w:rsid w:val="003E5608"/>
    <w:rsid w:val="003E5910"/>
    <w:rsid w:val="003E5922"/>
    <w:rsid w:val="003E5EF8"/>
    <w:rsid w:val="003E644C"/>
    <w:rsid w:val="003E6466"/>
    <w:rsid w:val="003E6B96"/>
    <w:rsid w:val="003E7321"/>
    <w:rsid w:val="003E779D"/>
    <w:rsid w:val="003E79E4"/>
    <w:rsid w:val="003E7B4E"/>
    <w:rsid w:val="003F012B"/>
    <w:rsid w:val="003F0171"/>
    <w:rsid w:val="003F041D"/>
    <w:rsid w:val="003F0DE5"/>
    <w:rsid w:val="003F126D"/>
    <w:rsid w:val="003F1AA1"/>
    <w:rsid w:val="003F1F71"/>
    <w:rsid w:val="003F2648"/>
    <w:rsid w:val="003F266D"/>
    <w:rsid w:val="003F28BF"/>
    <w:rsid w:val="003F2A70"/>
    <w:rsid w:val="003F2AC5"/>
    <w:rsid w:val="003F2E1D"/>
    <w:rsid w:val="003F355E"/>
    <w:rsid w:val="003F37F0"/>
    <w:rsid w:val="003F39C4"/>
    <w:rsid w:val="003F39FE"/>
    <w:rsid w:val="003F3A1C"/>
    <w:rsid w:val="003F3A47"/>
    <w:rsid w:val="003F44F3"/>
    <w:rsid w:val="003F4EE7"/>
    <w:rsid w:val="003F4F46"/>
    <w:rsid w:val="003F501D"/>
    <w:rsid w:val="003F51FB"/>
    <w:rsid w:val="003F58A0"/>
    <w:rsid w:val="003F5EC2"/>
    <w:rsid w:val="003F67C2"/>
    <w:rsid w:val="003F6B4E"/>
    <w:rsid w:val="003F6E27"/>
    <w:rsid w:val="003F72FD"/>
    <w:rsid w:val="003F77B6"/>
    <w:rsid w:val="003F796D"/>
    <w:rsid w:val="003F7DDD"/>
    <w:rsid w:val="003F7F27"/>
    <w:rsid w:val="0040025D"/>
    <w:rsid w:val="00400679"/>
    <w:rsid w:val="00400EBD"/>
    <w:rsid w:val="0040102B"/>
    <w:rsid w:val="004011A7"/>
    <w:rsid w:val="004017FE"/>
    <w:rsid w:val="00401B7B"/>
    <w:rsid w:val="00401CC8"/>
    <w:rsid w:val="00401F59"/>
    <w:rsid w:val="00401FAB"/>
    <w:rsid w:val="00402084"/>
    <w:rsid w:val="0040290A"/>
    <w:rsid w:val="00402AF2"/>
    <w:rsid w:val="00402C8D"/>
    <w:rsid w:val="00403450"/>
    <w:rsid w:val="004047AA"/>
    <w:rsid w:val="00404C89"/>
    <w:rsid w:val="00405BAB"/>
    <w:rsid w:val="00405F3D"/>
    <w:rsid w:val="00405F93"/>
    <w:rsid w:val="00407379"/>
    <w:rsid w:val="004073DB"/>
    <w:rsid w:val="004074A7"/>
    <w:rsid w:val="004074AA"/>
    <w:rsid w:val="004079FA"/>
    <w:rsid w:val="00407D63"/>
    <w:rsid w:val="00410253"/>
    <w:rsid w:val="00410D0C"/>
    <w:rsid w:val="00410E7C"/>
    <w:rsid w:val="00411213"/>
    <w:rsid w:val="00411511"/>
    <w:rsid w:val="004115A6"/>
    <w:rsid w:val="00411B52"/>
    <w:rsid w:val="004122C8"/>
    <w:rsid w:val="004123C7"/>
    <w:rsid w:val="00412516"/>
    <w:rsid w:val="00412EFF"/>
    <w:rsid w:val="00413AD2"/>
    <w:rsid w:val="00413FA8"/>
    <w:rsid w:val="00414548"/>
    <w:rsid w:val="00414E0A"/>
    <w:rsid w:val="00414E4F"/>
    <w:rsid w:val="00414E91"/>
    <w:rsid w:val="00415411"/>
    <w:rsid w:val="00415991"/>
    <w:rsid w:val="00416D7F"/>
    <w:rsid w:val="00416F8F"/>
    <w:rsid w:val="004179F4"/>
    <w:rsid w:val="00417E22"/>
    <w:rsid w:val="00420DCF"/>
    <w:rsid w:val="00421390"/>
    <w:rsid w:val="004213D4"/>
    <w:rsid w:val="00421559"/>
    <w:rsid w:val="00421A47"/>
    <w:rsid w:val="00421D44"/>
    <w:rsid w:val="00422408"/>
    <w:rsid w:val="004226C0"/>
    <w:rsid w:val="004226ED"/>
    <w:rsid w:val="0042289B"/>
    <w:rsid w:val="00422E6B"/>
    <w:rsid w:val="004232AD"/>
    <w:rsid w:val="00423774"/>
    <w:rsid w:val="00423C1D"/>
    <w:rsid w:val="00423D81"/>
    <w:rsid w:val="00423F89"/>
    <w:rsid w:val="0042416D"/>
    <w:rsid w:val="00424383"/>
    <w:rsid w:val="00424865"/>
    <w:rsid w:val="00424A11"/>
    <w:rsid w:val="00424BCA"/>
    <w:rsid w:val="004252BE"/>
    <w:rsid w:val="00425561"/>
    <w:rsid w:val="004257D4"/>
    <w:rsid w:val="00425D7E"/>
    <w:rsid w:val="00425E97"/>
    <w:rsid w:val="00425F0E"/>
    <w:rsid w:val="00426022"/>
    <w:rsid w:val="004263FD"/>
    <w:rsid w:val="00426745"/>
    <w:rsid w:val="004270F9"/>
    <w:rsid w:val="00427231"/>
    <w:rsid w:val="004272A6"/>
    <w:rsid w:val="0042795C"/>
    <w:rsid w:val="00427DCF"/>
    <w:rsid w:val="004300FF"/>
    <w:rsid w:val="0043065F"/>
    <w:rsid w:val="00430898"/>
    <w:rsid w:val="004309FE"/>
    <w:rsid w:val="00430A2A"/>
    <w:rsid w:val="00430B85"/>
    <w:rsid w:val="00430EB6"/>
    <w:rsid w:val="00430FE2"/>
    <w:rsid w:val="00431004"/>
    <w:rsid w:val="00431059"/>
    <w:rsid w:val="004321AD"/>
    <w:rsid w:val="00432518"/>
    <w:rsid w:val="004329ED"/>
    <w:rsid w:val="00433697"/>
    <w:rsid w:val="0043383A"/>
    <w:rsid w:val="00434112"/>
    <w:rsid w:val="0043429E"/>
    <w:rsid w:val="004344B2"/>
    <w:rsid w:val="00434D38"/>
    <w:rsid w:val="00434E7D"/>
    <w:rsid w:val="004350A4"/>
    <w:rsid w:val="00435160"/>
    <w:rsid w:val="004365D7"/>
    <w:rsid w:val="00436634"/>
    <w:rsid w:val="00436CCB"/>
    <w:rsid w:val="00437068"/>
    <w:rsid w:val="00437113"/>
    <w:rsid w:val="0043726C"/>
    <w:rsid w:val="00437A91"/>
    <w:rsid w:val="00437C76"/>
    <w:rsid w:val="00440B43"/>
    <w:rsid w:val="00440C93"/>
    <w:rsid w:val="00440FBF"/>
    <w:rsid w:val="00441408"/>
    <w:rsid w:val="004414C9"/>
    <w:rsid w:val="00441736"/>
    <w:rsid w:val="004417D2"/>
    <w:rsid w:val="00441AC9"/>
    <w:rsid w:val="00441DF0"/>
    <w:rsid w:val="004422B4"/>
    <w:rsid w:val="004424BD"/>
    <w:rsid w:val="00442529"/>
    <w:rsid w:val="00442EB4"/>
    <w:rsid w:val="004432FE"/>
    <w:rsid w:val="0044393A"/>
    <w:rsid w:val="00443B29"/>
    <w:rsid w:val="00443C06"/>
    <w:rsid w:val="00443D25"/>
    <w:rsid w:val="00443E0B"/>
    <w:rsid w:val="00444132"/>
    <w:rsid w:val="0044441A"/>
    <w:rsid w:val="004444D6"/>
    <w:rsid w:val="00444B55"/>
    <w:rsid w:val="00444CBE"/>
    <w:rsid w:val="0044544D"/>
    <w:rsid w:val="004463B0"/>
    <w:rsid w:val="00446543"/>
    <w:rsid w:val="004467EC"/>
    <w:rsid w:val="0044707B"/>
    <w:rsid w:val="004471C7"/>
    <w:rsid w:val="0044721E"/>
    <w:rsid w:val="0044737F"/>
    <w:rsid w:val="00450C16"/>
    <w:rsid w:val="0045166F"/>
    <w:rsid w:val="00451BC8"/>
    <w:rsid w:val="00451C53"/>
    <w:rsid w:val="00452010"/>
    <w:rsid w:val="0045280F"/>
    <w:rsid w:val="00452E2B"/>
    <w:rsid w:val="004535A6"/>
    <w:rsid w:val="0045379B"/>
    <w:rsid w:val="004545DA"/>
    <w:rsid w:val="0045463E"/>
    <w:rsid w:val="00454C15"/>
    <w:rsid w:val="00455120"/>
    <w:rsid w:val="00455770"/>
    <w:rsid w:val="00455B8E"/>
    <w:rsid w:val="004560C9"/>
    <w:rsid w:val="0045665F"/>
    <w:rsid w:val="00456700"/>
    <w:rsid w:val="00456B6C"/>
    <w:rsid w:val="00457114"/>
    <w:rsid w:val="00457D97"/>
    <w:rsid w:val="00457F29"/>
    <w:rsid w:val="00457F73"/>
    <w:rsid w:val="00457FD3"/>
    <w:rsid w:val="004608F9"/>
    <w:rsid w:val="00460C5A"/>
    <w:rsid w:val="00460E23"/>
    <w:rsid w:val="0046103D"/>
    <w:rsid w:val="004610F5"/>
    <w:rsid w:val="004619B9"/>
    <w:rsid w:val="004619F1"/>
    <w:rsid w:val="00462A6C"/>
    <w:rsid w:val="00462F9F"/>
    <w:rsid w:val="00463012"/>
    <w:rsid w:val="00463536"/>
    <w:rsid w:val="00463E27"/>
    <w:rsid w:val="004643D5"/>
    <w:rsid w:val="00464B49"/>
    <w:rsid w:val="00464D5B"/>
    <w:rsid w:val="00465108"/>
    <w:rsid w:val="004651AC"/>
    <w:rsid w:val="00465822"/>
    <w:rsid w:val="004659A2"/>
    <w:rsid w:val="00465B00"/>
    <w:rsid w:val="0046636A"/>
    <w:rsid w:val="0046640D"/>
    <w:rsid w:val="0046641B"/>
    <w:rsid w:val="00466D12"/>
    <w:rsid w:val="004672BF"/>
    <w:rsid w:val="00467DE1"/>
    <w:rsid w:val="00470894"/>
    <w:rsid w:val="00470AF6"/>
    <w:rsid w:val="004715FA"/>
    <w:rsid w:val="00471E96"/>
    <w:rsid w:val="0047204F"/>
    <w:rsid w:val="004723FB"/>
    <w:rsid w:val="00472649"/>
    <w:rsid w:val="00472A4A"/>
    <w:rsid w:val="00472A71"/>
    <w:rsid w:val="00472D5C"/>
    <w:rsid w:val="00472DE2"/>
    <w:rsid w:val="00473698"/>
    <w:rsid w:val="00473822"/>
    <w:rsid w:val="00474410"/>
    <w:rsid w:val="00474B17"/>
    <w:rsid w:val="0047517B"/>
    <w:rsid w:val="0047535B"/>
    <w:rsid w:val="00475704"/>
    <w:rsid w:val="00475C5D"/>
    <w:rsid w:val="0047638D"/>
    <w:rsid w:val="0047643C"/>
    <w:rsid w:val="004769BC"/>
    <w:rsid w:val="00476EB7"/>
    <w:rsid w:val="00477203"/>
    <w:rsid w:val="00480CAE"/>
    <w:rsid w:val="00480D48"/>
    <w:rsid w:val="00480E0E"/>
    <w:rsid w:val="00480FCD"/>
    <w:rsid w:val="00481390"/>
    <w:rsid w:val="0048146B"/>
    <w:rsid w:val="00481C1B"/>
    <w:rsid w:val="00481F85"/>
    <w:rsid w:val="00482326"/>
    <w:rsid w:val="0048235E"/>
    <w:rsid w:val="004825AF"/>
    <w:rsid w:val="00482C3B"/>
    <w:rsid w:val="00482FFB"/>
    <w:rsid w:val="0048325A"/>
    <w:rsid w:val="0048380C"/>
    <w:rsid w:val="004838D6"/>
    <w:rsid w:val="00483F1F"/>
    <w:rsid w:val="00484DC3"/>
    <w:rsid w:val="004851BE"/>
    <w:rsid w:val="0048543E"/>
    <w:rsid w:val="00485689"/>
    <w:rsid w:val="00485DF0"/>
    <w:rsid w:val="0048601E"/>
    <w:rsid w:val="00486082"/>
    <w:rsid w:val="0048632A"/>
    <w:rsid w:val="00486560"/>
    <w:rsid w:val="00486B6C"/>
    <w:rsid w:val="00486E4B"/>
    <w:rsid w:val="0048702B"/>
    <w:rsid w:val="004871FA"/>
    <w:rsid w:val="00487581"/>
    <w:rsid w:val="00487B5B"/>
    <w:rsid w:val="00487B9E"/>
    <w:rsid w:val="00487D21"/>
    <w:rsid w:val="004900C7"/>
    <w:rsid w:val="00490BD6"/>
    <w:rsid w:val="0049181E"/>
    <w:rsid w:val="00491AFD"/>
    <w:rsid w:val="00491B2D"/>
    <w:rsid w:val="00492076"/>
    <w:rsid w:val="004924B5"/>
    <w:rsid w:val="00492560"/>
    <w:rsid w:val="00492670"/>
    <w:rsid w:val="004927DE"/>
    <w:rsid w:val="004928D3"/>
    <w:rsid w:val="00492A01"/>
    <w:rsid w:val="00493440"/>
    <w:rsid w:val="00494274"/>
    <w:rsid w:val="00494829"/>
    <w:rsid w:val="00494BB5"/>
    <w:rsid w:val="00494D3B"/>
    <w:rsid w:val="00494FDA"/>
    <w:rsid w:val="0049505D"/>
    <w:rsid w:val="00495102"/>
    <w:rsid w:val="004957BB"/>
    <w:rsid w:val="00496521"/>
    <w:rsid w:val="0049654E"/>
    <w:rsid w:val="0049657A"/>
    <w:rsid w:val="00496FB4"/>
    <w:rsid w:val="00497045"/>
    <w:rsid w:val="004976B7"/>
    <w:rsid w:val="0049791C"/>
    <w:rsid w:val="00497A6A"/>
    <w:rsid w:val="00497B32"/>
    <w:rsid w:val="00497EBB"/>
    <w:rsid w:val="004A0683"/>
    <w:rsid w:val="004A0858"/>
    <w:rsid w:val="004A0EC1"/>
    <w:rsid w:val="004A169B"/>
    <w:rsid w:val="004A1858"/>
    <w:rsid w:val="004A1B04"/>
    <w:rsid w:val="004A22D5"/>
    <w:rsid w:val="004A24BB"/>
    <w:rsid w:val="004A24D8"/>
    <w:rsid w:val="004A292A"/>
    <w:rsid w:val="004A2A77"/>
    <w:rsid w:val="004A39E5"/>
    <w:rsid w:val="004A3A7B"/>
    <w:rsid w:val="004A3B8C"/>
    <w:rsid w:val="004A3C77"/>
    <w:rsid w:val="004A4854"/>
    <w:rsid w:val="004A48DA"/>
    <w:rsid w:val="004A4CC9"/>
    <w:rsid w:val="004A5167"/>
    <w:rsid w:val="004A531B"/>
    <w:rsid w:val="004A5354"/>
    <w:rsid w:val="004A5D25"/>
    <w:rsid w:val="004A600F"/>
    <w:rsid w:val="004A66AC"/>
    <w:rsid w:val="004A7286"/>
    <w:rsid w:val="004A735C"/>
    <w:rsid w:val="004A7C03"/>
    <w:rsid w:val="004A7EDA"/>
    <w:rsid w:val="004B0107"/>
    <w:rsid w:val="004B0198"/>
    <w:rsid w:val="004B0CD7"/>
    <w:rsid w:val="004B0E90"/>
    <w:rsid w:val="004B0F4B"/>
    <w:rsid w:val="004B0F83"/>
    <w:rsid w:val="004B1F63"/>
    <w:rsid w:val="004B2D39"/>
    <w:rsid w:val="004B33B9"/>
    <w:rsid w:val="004B33C3"/>
    <w:rsid w:val="004B368D"/>
    <w:rsid w:val="004B3A34"/>
    <w:rsid w:val="004B3CC2"/>
    <w:rsid w:val="004B40D6"/>
    <w:rsid w:val="004B4850"/>
    <w:rsid w:val="004B54B8"/>
    <w:rsid w:val="004B5C53"/>
    <w:rsid w:val="004B5DDE"/>
    <w:rsid w:val="004B5E16"/>
    <w:rsid w:val="004B5F5A"/>
    <w:rsid w:val="004B6684"/>
    <w:rsid w:val="004B672E"/>
    <w:rsid w:val="004B6F42"/>
    <w:rsid w:val="004B7182"/>
    <w:rsid w:val="004B7B4F"/>
    <w:rsid w:val="004B7E57"/>
    <w:rsid w:val="004C00CD"/>
    <w:rsid w:val="004C012C"/>
    <w:rsid w:val="004C03CE"/>
    <w:rsid w:val="004C06A3"/>
    <w:rsid w:val="004C0710"/>
    <w:rsid w:val="004C0E2D"/>
    <w:rsid w:val="004C0FD9"/>
    <w:rsid w:val="004C1435"/>
    <w:rsid w:val="004C1A59"/>
    <w:rsid w:val="004C20F1"/>
    <w:rsid w:val="004C27EA"/>
    <w:rsid w:val="004C2AD6"/>
    <w:rsid w:val="004C2C89"/>
    <w:rsid w:val="004C2D10"/>
    <w:rsid w:val="004C2E19"/>
    <w:rsid w:val="004C2F1E"/>
    <w:rsid w:val="004C311A"/>
    <w:rsid w:val="004C3459"/>
    <w:rsid w:val="004C398E"/>
    <w:rsid w:val="004C3A55"/>
    <w:rsid w:val="004C3C59"/>
    <w:rsid w:val="004C3CAA"/>
    <w:rsid w:val="004C3F34"/>
    <w:rsid w:val="004C449B"/>
    <w:rsid w:val="004C4652"/>
    <w:rsid w:val="004C5541"/>
    <w:rsid w:val="004C5715"/>
    <w:rsid w:val="004C5818"/>
    <w:rsid w:val="004C5AA7"/>
    <w:rsid w:val="004C5E82"/>
    <w:rsid w:val="004C6DC4"/>
    <w:rsid w:val="004C731D"/>
    <w:rsid w:val="004C736D"/>
    <w:rsid w:val="004C75D1"/>
    <w:rsid w:val="004D033D"/>
    <w:rsid w:val="004D08DE"/>
    <w:rsid w:val="004D0B7A"/>
    <w:rsid w:val="004D0EEE"/>
    <w:rsid w:val="004D15C5"/>
    <w:rsid w:val="004D1686"/>
    <w:rsid w:val="004D26CE"/>
    <w:rsid w:val="004D270A"/>
    <w:rsid w:val="004D2BE7"/>
    <w:rsid w:val="004D2FFC"/>
    <w:rsid w:val="004D36F8"/>
    <w:rsid w:val="004D378C"/>
    <w:rsid w:val="004D3BCA"/>
    <w:rsid w:val="004D3D16"/>
    <w:rsid w:val="004D3E01"/>
    <w:rsid w:val="004D4585"/>
    <w:rsid w:val="004D48E2"/>
    <w:rsid w:val="004D4B4B"/>
    <w:rsid w:val="004D4F47"/>
    <w:rsid w:val="004D51B1"/>
    <w:rsid w:val="004D54AF"/>
    <w:rsid w:val="004D5611"/>
    <w:rsid w:val="004D63F0"/>
    <w:rsid w:val="004D68AF"/>
    <w:rsid w:val="004D6931"/>
    <w:rsid w:val="004D6D15"/>
    <w:rsid w:val="004D6D3D"/>
    <w:rsid w:val="004D6EF8"/>
    <w:rsid w:val="004D76F9"/>
    <w:rsid w:val="004D7827"/>
    <w:rsid w:val="004D7E09"/>
    <w:rsid w:val="004E0BD3"/>
    <w:rsid w:val="004E105D"/>
    <w:rsid w:val="004E156C"/>
    <w:rsid w:val="004E1817"/>
    <w:rsid w:val="004E2002"/>
    <w:rsid w:val="004E213E"/>
    <w:rsid w:val="004E2BE5"/>
    <w:rsid w:val="004E2F39"/>
    <w:rsid w:val="004E329B"/>
    <w:rsid w:val="004E3ACD"/>
    <w:rsid w:val="004E3DE4"/>
    <w:rsid w:val="004E4012"/>
    <w:rsid w:val="004E42E8"/>
    <w:rsid w:val="004E4C95"/>
    <w:rsid w:val="004E50E0"/>
    <w:rsid w:val="004E5351"/>
    <w:rsid w:val="004E5437"/>
    <w:rsid w:val="004E552F"/>
    <w:rsid w:val="004E581B"/>
    <w:rsid w:val="004E5868"/>
    <w:rsid w:val="004E61DF"/>
    <w:rsid w:val="004E6747"/>
    <w:rsid w:val="004E6A06"/>
    <w:rsid w:val="004E74F1"/>
    <w:rsid w:val="004E75FA"/>
    <w:rsid w:val="004E768F"/>
    <w:rsid w:val="004E7B8D"/>
    <w:rsid w:val="004E7CBE"/>
    <w:rsid w:val="004E7F5B"/>
    <w:rsid w:val="004F0089"/>
    <w:rsid w:val="004F05E0"/>
    <w:rsid w:val="004F0776"/>
    <w:rsid w:val="004F0A02"/>
    <w:rsid w:val="004F0B0A"/>
    <w:rsid w:val="004F195B"/>
    <w:rsid w:val="004F1A76"/>
    <w:rsid w:val="004F1F6E"/>
    <w:rsid w:val="004F22C2"/>
    <w:rsid w:val="004F2573"/>
    <w:rsid w:val="004F276E"/>
    <w:rsid w:val="004F2AB7"/>
    <w:rsid w:val="004F2D6C"/>
    <w:rsid w:val="004F35FB"/>
    <w:rsid w:val="004F3941"/>
    <w:rsid w:val="004F4218"/>
    <w:rsid w:val="004F43FB"/>
    <w:rsid w:val="004F4874"/>
    <w:rsid w:val="004F4960"/>
    <w:rsid w:val="004F4D5A"/>
    <w:rsid w:val="004F4EEC"/>
    <w:rsid w:val="004F4F68"/>
    <w:rsid w:val="004F51E9"/>
    <w:rsid w:val="004F54C5"/>
    <w:rsid w:val="004F588F"/>
    <w:rsid w:val="004F5C73"/>
    <w:rsid w:val="004F65EE"/>
    <w:rsid w:val="004F6A21"/>
    <w:rsid w:val="004F7578"/>
    <w:rsid w:val="004F7695"/>
    <w:rsid w:val="00500C6B"/>
    <w:rsid w:val="0050175C"/>
    <w:rsid w:val="00502C34"/>
    <w:rsid w:val="005031BB"/>
    <w:rsid w:val="00504972"/>
    <w:rsid w:val="00504A92"/>
    <w:rsid w:val="00505276"/>
    <w:rsid w:val="00505C51"/>
    <w:rsid w:val="00506147"/>
    <w:rsid w:val="00506161"/>
    <w:rsid w:val="005062CB"/>
    <w:rsid w:val="005062ED"/>
    <w:rsid w:val="005065C6"/>
    <w:rsid w:val="00506CCA"/>
    <w:rsid w:val="005078DE"/>
    <w:rsid w:val="00507A75"/>
    <w:rsid w:val="00507C12"/>
    <w:rsid w:val="00507CAD"/>
    <w:rsid w:val="00507D30"/>
    <w:rsid w:val="00507FA9"/>
    <w:rsid w:val="00510347"/>
    <w:rsid w:val="00510506"/>
    <w:rsid w:val="00510ADB"/>
    <w:rsid w:val="00510CD4"/>
    <w:rsid w:val="00510EBF"/>
    <w:rsid w:val="00511005"/>
    <w:rsid w:val="00511152"/>
    <w:rsid w:val="0051151D"/>
    <w:rsid w:val="0051173C"/>
    <w:rsid w:val="0051199A"/>
    <w:rsid w:val="00511A09"/>
    <w:rsid w:val="00511DCA"/>
    <w:rsid w:val="005121B8"/>
    <w:rsid w:val="005126EC"/>
    <w:rsid w:val="00512997"/>
    <w:rsid w:val="00512BA9"/>
    <w:rsid w:val="00512E61"/>
    <w:rsid w:val="005133F0"/>
    <w:rsid w:val="00513801"/>
    <w:rsid w:val="0051399C"/>
    <w:rsid w:val="00513A7D"/>
    <w:rsid w:val="00514397"/>
    <w:rsid w:val="005144B8"/>
    <w:rsid w:val="005148D7"/>
    <w:rsid w:val="00514D74"/>
    <w:rsid w:val="00515315"/>
    <w:rsid w:val="00515629"/>
    <w:rsid w:val="0051598E"/>
    <w:rsid w:val="00515B88"/>
    <w:rsid w:val="0051603A"/>
    <w:rsid w:val="005164C8"/>
    <w:rsid w:val="005168A6"/>
    <w:rsid w:val="00516B96"/>
    <w:rsid w:val="005177D3"/>
    <w:rsid w:val="005178A9"/>
    <w:rsid w:val="00517A1D"/>
    <w:rsid w:val="005200B2"/>
    <w:rsid w:val="005201C9"/>
    <w:rsid w:val="005207FE"/>
    <w:rsid w:val="0052091F"/>
    <w:rsid w:val="005212B3"/>
    <w:rsid w:val="00521682"/>
    <w:rsid w:val="00521885"/>
    <w:rsid w:val="00521AD7"/>
    <w:rsid w:val="00521C9B"/>
    <w:rsid w:val="00521E07"/>
    <w:rsid w:val="00521F58"/>
    <w:rsid w:val="005220E6"/>
    <w:rsid w:val="00522132"/>
    <w:rsid w:val="005225AA"/>
    <w:rsid w:val="005227A4"/>
    <w:rsid w:val="00522F27"/>
    <w:rsid w:val="005234CB"/>
    <w:rsid w:val="00523ED3"/>
    <w:rsid w:val="0052402C"/>
    <w:rsid w:val="005240F6"/>
    <w:rsid w:val="005241B8"/>
    <w:rsid w:val="00524362"/>
    <w:rsid w:val="0052488F"/>
    <w:rsid w:val="0052499B"/>
    <w:rsid w:val="00524D47"/>
    <w:rsid w:val="00524E66"/>
    <w:rsid w:val="005250E7"/>
    <w:rsid w:val="00525197"/>
    <w:rsid w:val="00525869"/>
    <w:rsid w:val="00526B17"/>
    <w:rsid w:val="00526C36"/>
    <w:rsid w:val="0052715C"/>
    <w:rsid w:val="0052717E"/>
    <w:rsid w:val="005271CC"/>
    <w:rsid w:val="00527411"/>
    <w:rsid w:val="00527516"/>
    <w:rsid w:val="00527529"/>
    <w:rsid w:val="0052754B"/>
    <w:rsid w:val="005277C4"/>
    <w:rsid w:val="00527856"/>
    <w:rsid w:val="005300B8"/>
    <w:rsid w:val="00530249"/>
    <w:rsid w:val="00530265"/>
    <w:rsid w:val="005302BB"/>
    <w:rsid w:val="005306A4"/>
    <w:rsid w:val="00530AE6"/>
    <w:rsid w:val="00531440"/>
    <w:rsid w:val="005314C7"/>
    <w:rsid w:val="00532357"/>
    <w:rsid w:val="005325B5"/>
    <w:rsid w:val="0053263B"/>
    <w:rsid w:val="0053264F"/>
    <w:rsid w:val="00532B31"/>
    <w:rsid w:val="005337CC"/>
    <w:rsid w:val="00533E5E"/>
    <w:rsid w:val="005341DE"/>
    <w:rsid w:val="005348BE"/>
    <w:rsid w:val="005350AA"/>
    <w:rsid w:val="00535BFC"/>
    <w:rsid w:val="00535F14"/>
    <w:rsid w:val="00536747"/>
    <w:rsid w:val="00537111"/>
    <w:rsid w:val="00537360"/>
    <w:rsid w:val="00537D5E"/>
    <w:rsid w:val="00540099"/>
    <w:rsid w:val="00540650"/>
    <w:rsid w:val="00540C0E"/>
    <w:rsid w:val="00540EE3"/>
    <w:rsid w:val="00540F52"/>
    <w:rsid w:val="00540FBE"/>
    <w:rsid w:val="00541267"/>
    <w:rsid w:val="005416CA"/>
    <w:rsid w:val="00542477"/>
    <w:rsid w:val="00542882"/>
    <w:rsid w:val="00542E33"/>
    <w:rsid w:val="0054476A"/>
    <w:rsid w:val="00544800"/>
    <w:rsid w:val="00544929"/>
    <w:rsid w:val="00544C4E"/>
    <w:rsid w:val="00544F29"/>
    <w:rsid w:val="0054515C"/>
    <w:rsid w:val="005468BD"/>
    <w:rsid w:val="00546C4E"/>
    <w:rsid w:val="00547698"/>
    <w:rsid w:val="00547762"/>
    <w:rsid w:val="00550DD5"/>
    <w:rsid w:val="00550E3F"/>
    <w:rsid w:val="00551714"/>
    <w:rsid w:val="005518CA"/>
    <w:rsid w:val="00551CE3"/>
    <w:rsid w:val="00552127"/>
    <w:rsid w:val="00552451"/>
    <w:rsid w:val="0055339E"/>
    <w:rsid w:val="005538C0"/>
    <w:rsid w:val="00553ABB"/>
    <w:rsid w:val="00553D91"/>
    <w:rsid w:val="00553FA7"/>
    <w:rsid w:val="00554143"/>
    <w:rsid w:val="00554540"/>
    <w:rsid w:val="005549D8"/>
    <w:rsid w:val="0055512A"/>
    <w:rsid w:val="0055563E"/>
    <w:rsid w:val="00555D83"/>
    <w:rsid w:val="00555F0D"/>
    <w:rsid w:val="0055627C"/>
    <w:rsid w:val="005564D9"/>
    <w:rsid w:val="005565F1"/>
    <w:rsid w:val="00556F66"/>
    <w:rsid w:val="0055700E"/>
    <w:rsid w:val="00557BDC"/>
    <w:rsid w:val="00560434"/>
    <w:rsid w:val="00560620"/>
    <w:rsid w:val="00560A0E"/>
    <w:rsid w:val="00560C7D"/>
    <w:rsid w:val="005612CE"/>
    <w:rsid w:val="00562159"/>
    <w:rsid w:val="0056257C"/>
    <w:rsid w:val="00562A42"/>
    <w:rsid w:val="00562BD8"/>
    <w:rsid w:val="00562E38"/>
    <w:rsid w:val="00562E57"/>
    <w:rsid w:val="0056338F"/>
    <w:rsid w:val="00563576"/>
    <w:rsid w:val="0056366A"/>
    <w:rsid w:val="00563785"/>
    <w:rsid w:val="005638AC"/>
    <w:rsid w:val="00563B7A"/>
    <w:rsid w:val="00563D54"/>
    <w:rsid w:val="00563E2C"/>
    <w:rsid w:val="00564C12"/>
    <w:rsid w:val="00564D84"/>
    <w:rsid w:val="00564DDB"/>
    <w:rsid w:val="005658D6"/>
    <w:rsid w:val="00565BCC"/>
    <w:rsid w:val="00565C68"/>
    <w:rsid w:val="00566139"/>
    <w:rsid w:val="0056655A"/>
    <w:rsid w:val="00566C20"/>
    <w:rsid w:val="00566DE8"/>
    <w:rsid w:val="005674C1"/>
    <w:rsid w:val="005679A4"/>
    <w:rsid w:val="00567A83"/>
    <w:rsid w:val="00570042"/>
    <w:rsid w:val="00570184"/>
    <w:rsid w:val="00570613"/>
    <w:rsid w:val="00570737"/>
    <w:rsid w:val="00570F45"/>
    <w:rsid w:val="00571106"/>
    <w:rsid w:val="0057135B"/>
    <w:rsid w:val="005718A5"/>
    <w:rsid w:val="005724A1"/>
    <w:rsid w:val="005727A8"/>
    <w:rsid w:val="00572F26"/>
    <w:rsid w:val="00573010"/>
    <w:rsid w:val="0057326B"/>
    <w:rsid w:val="00573CE4"/>
    <w:rsid w:val="005741CA"/>
    <w:rsid w:val="005742BB"/>
    <w:rsid w:val="00574477"/>
    <w:rsid w:val="00574528"/>
    <w:rsid w:val="00574D9E"/>
    <w:rsid w:val="00574DB5"/>
    <w:rsid w:val="00575222"/>
    <w:rsid w:val="0057537B"/>
    <w:rsid w:val="00575512"/>
    <w:rsid w:val="00575621"/>
    <w:rsid w:val="0057578A"/>
    <w:rsid w:val="00575B90"/>
    <w:rsid w:val="00575C8D"/>
    <w:rsid w:val="00577403"/>
    <w:rsid w:val="005779FD"/>
    <w:rsid w:val="00580767"/>
    <w:rsid w:val="00580A02"/>
    <w:rsid w:val="00580AA8"/>
    <w:rsid w:val="00581383"/>
    <w:rsid w:val="0058145B"/>
    <w:rsid w:val="00581ACC"/>
    <w:rsid w:val="00581D30"/>
    <w:rsid w:val="00581D3D"/>
    <w:rsid w:val="0058205D"/>
    <w:rsid w:val="00582A71"/>
    <w:rsid w:val="00582B40"/>
    <w:rsid w:val="00582C1F"/>
    <w:rsid w:val="00582CF9"/>
    <w:rsid w:val="00583B50"/>
    <w:rsid w:val="0058412A"/>
    <w:rsid w:val="00584A6A"/>
    <w:rsid w:val="00584EC7"/>
    <w:rsid w:val="00585071"/>
    <w:rsid w:val="005857FF"/>
    <w:rsid w:val="00585A3F"/>
    <w:rsid w:val="00586307"/>
    <w:rsid w:val="00586549"/>
    <w:rsid w:val="00586607"/>
    <w:rsid w:val="00586903"/>
    <w:rsid w:val="00586D09"/>
    <w:rsid w:val="00586F97"/>
    <w:rsid w:val="00587AAA"/>
    <w:rsid w:val="00587B14"/>
    <w:rsid w:val="00587E94"/>
    <w:rsid w:val="00590062"/>
    <w:rsid w:val="005900EA"/>
    <w:rsid w:val="0059084B"/>
    <w:rsid w:val="005909CE"/>
    <w:rsid w:val="005910D8"/>
    <w:rsid w:val="00591385"/>
    <w:rsid w:val="005914B9"/>
    <w:rsid w:val="00591535"/>
    <w:rsid w:val="00591E8E"/>
    <w:rsid w:val="00591FA9"/>
    <w:rsid w:val="00592370"/>
    <w:rsid w:val="0059255C"/>
    <w:rsid w:val="00592F4B"/>
    <w:rsid w:val="00593838"/>
    <w:rsid w:val="00593A0E"/>
    <w:rsid w:val="005940FA"/>
    <w:rsid w:val="00594ECC"/>
    <w:rsid w:val="00595178"/>
    <w:rsid w:val="00595243"/>
    <w:rsid w:val="00595ACE"/>
    <w:rsid w:val="00595EE2"/>
    <w:rsid w:val="00596C1D"/>
    <w:rsid w:val="00596C2F"/>
    <w:rsid w:val="00596FBE"/>
    <w:rsid w:val="00597F89"/>
    <w:rsid w:val="00597FCB"/>
    <w:rsid w:val="005A00B3"/>
    <w:rsid w:val="005A02C5"/>
    <w:rsid w:val="005A07D8"/>
    <w:rsid w:val="005A086C"/>
    <w:rsid w:val="005A1686"/>
    <w:rsid w:val="005A1CDB"/>
    <w:rsid w:val="005A2211"/>
    <w:rsid w:val="005A24A3"/>
    <w:rsid w:val="005A28F9"/>
    <w:rsid w:val="005A290A"/>
    <w:rsid w:val="005A32FC"/>
    <w:rsid w:val="005A333A"/>
    <w:rsid w:val="005A3899"/>
    <w:rsid w:val="005A4103"/>
    <w:rsid w:val="005A48A5"/>
    <w:rsid w:val="005A4CFF"/>
    <w:rsid w:val="005A5385"/>
    <w:rsid w:val="005A54BF"/>
    <w:rsid w:val="005A5572"/>
    <w:rsid w:val="005A5F2A"/>
    <w:rsid w:val="005A6238"/>
    <w:rsid w:val="005A6ABF"/>
    <w:rsid w:val="005A6F97"/>
    <w:rsid w:val="005A7234"/>
    <w:rsid w:val="005A7306"/>
    <w:rsid w:val="005A7C7E"/>
    <w:rsid w:val="005B019C"/>
    <w:rsid w:val="005B032B"/>
    <w:rsid w:val="005B04C2"/>
    <w:rsid w:val="005B1664"/>
    <w:rsid w:val="005B17BB"/>
    <w:rsid w:val="005B1934"/>
    <w:rsid w:val="005B1978"/>
    <w:rsid w:val="005B22CB"/>
    <w:rsid w:val="005B2585"/>
    <w:rsid w:val="005B273A"/>
    <w:rsid w:val="005B290B"/>
    <w:rsid w:val="005B2AD2"/>
    <w:rsid w:val="005B2B45"/>
    <w:rsid w:val="005B2BC9"/>
    <w:rsid w:val="005B2D04"/>
    <w:rsid w:val="005B311E"/>
    <w:rsid w:val="005B3391"/>
    <w:rsid w:val="005B34C0"/>
    <w:rsid w:val="005B3E1C"/>
    <w:rsid w:val="005B463C"/>
    <w:rsid w:val="005B49B4"/>
    <w:rsid w:val="005B4B3A"/>
    <w:rsid w:val="005B4B71"/>
    <w:rsid w:val="005B4C22"/>
    <w:rsid w:val="005B4CE3"/>
    <w:rsid w:val="005B4ECD"/>
    <w:rsid w:val="005B4F36"/>
    <w:rsid w:val="005B5247"/>
    <w:rsid w:val="005B5515"/>
    <w:rsid w:val="005B58E0"/>
    <w:rsid w:val="005B5D15"/>
    <w:rsid w:val="005B6525"/>
    <w:rsid w:val="005B78DF"/>
    <w:rsid w:val="005B7F23"/>
    <w:rsid w:val="005C0072"/>
    <w:rsid w:val="005C021D"/>
    <w:rsid w:val="005C0F79"/>
    <w:rsid w:val="005C0F7F"/>
    <w:rsid w:val="005C10E6"/>
    <w:rsid w:val="005C127A"/>
    <w:rsid w:val="005C167E"/>
    <w:rsid w:val="005C16BA"/>
    <w:rsid w:val="005C1835"/>
    <w:rsid w:val="005C1B30"/>
    <w:rsid w:val="005C1DA4"/>
    <w:rsid w:val="005C1E5D"/>
    <w:rsid w:val="005C223B"/>
    <w:rsid w:val="005C22B9"/>
    <w:rsid w:val="005C2A6C"/>
    <w:rsid w:val="005C2D76"/>
    <w:rsid w:val="005C2DB7"/>
    <w:rsid w:val="005C33FC"/>
    <w:rsid w:val="005C34FA"/>
    <w:rsid w:val="005C3670"/>
    <w:rsid w:val="005C3DAA"/>
    <w:rsid w:val="005C41D9"/>
    <w:rsid w:val="005C4491"/>
    <w:rsid w:val="005C4507"/>
    <w:rsid w:val="005C480D"/>
    <w:rsid w:val="005C4A3F"/>
    <w:rsid w:val="005C4B00"/>
    <w:rsid w:val="005C4BA0"/>
    <w:rsid w:val="005C4C6E"/>
    <w:rsid w:val="005C5043"/>
    <w:rsid w:val="005C5321"/>
    <w:rsid w:val="005C555F"/>
    <w:rsid w:val="005C5DE6"/>
    <w:rsid w:val="005C5F71"/>
    <w:rsid w:val="005C5FD5"/>
    <w:rsid w:val="005C6A0B"/>
    <w:rsid w:val="005C6BF4"/>
    <w:rsid w:val="005C6C20"/>
    <w:rsid w:val="005C6D63"/>
    <w:rsid w:val="005C6EA1"/>
    <w:rsid w:val="005C7328"/>
    <w:rsid w:val="005C75F2"/>
    <w:rsid w:val="005D0211"/>
    <w:rsid w:val="005D0559"/>
    <w:rsid w:val="005D05BD"/>
    <w:rsid w:val="005D0813"/>
    <w:rsid w:val="005D0842"/>
    <w:rsid w:val="005D168C"/>
    <w:rsid w:val="005D1E4E"/>
    <w:rsid w:val="005D1F24"/>
    <w:rsid w:val="005D2461"/>
    <w:rsid w:val="005D263B"/>
    <w:rsid w:val="005D2BD7"/>
    <w:rsid w:val="005D2BE3"/>
    <w:rsid w:val="005D338A"/>
    <w:rsid w:val="005D34DF"/>
    <w:rsid w:val="005D37F6"/>
    <w:rsid w:val="005D3D05"/>
    <w:rsid w:val="005D4721"/>
    <w:rsid w:val="005D4775"/>
    <w:rsid w:val="005D53E8"/>
    <w:rsid w:val="005D569B"/>
    <w:rsid w:val="005D5833"/>
    <w:rsid w:val="005D5E3B"/>
    <w:rsid w:val="005D685D"/>
    <w:rsid w:val="005D6890"/>
    <w:rsid w:val="005D6960"/>
    <w:rsid w:val="005D6A01"/>
    <w:rsid w:val="005D709F"/>
    <w:rsid w:val="005D74EF"/>
    <w:rsid w:val="005D77B3"/>
    <w:rsid w:val="005D7871"/>
    <w:rsid w:val="005D7A9C"/>
    <w:rsid w:val="005D7EA2"/>
    <w:rsid w:val="005D7EF7"/>
    <w:rsid w:val="005E01F0"/>
    <w:rsid w:val="005E0344"/>
    <w:rsid w:val="005E0421"/>
    <w:rsid w:val="005E0508"/>
    <w:rsid w:val="005E0696"/>
    <w:rsid w:val="005E0DFD"/>
    <w:rsid w:val="005E0FA5"/>
    <w:rsid w:val="005E1852"/>
    <w:rsid w:val="005E1B18"/>
    <w:rsid w:val="005E1BC0"/>
    <w:rsid w:val="005E1FC1"/>
    <w:rsid w:val="005E251C"/>
    <w:rsid w:val="005E31C0"/>
    <w:rsid w:val="005E31F5"/>
    <w:rsid w:val="005E3229"/>
    <w:rsid w:val="005E330F"/>
    <w:rsid w:val="005E34EE"/>
    <w:rsid w:val="005E463E"/>
    <w:rsid w:val="005E4917"/>
    <w:rsid w:val="005E4C92"/>
    <w:rsid w:val="005E4E9E"/>
    <w:rsid w:val="005E50DB"/>
    <w:rsid w:val="005E51F3"/>
    <w:rsid w:val="005E53D8"/>
    <w:rsid w:val="005E5581"/>
    <w:rsid w:val="005E5A24"/>
    <w:rsid w:val="005E618C"/>
    <w:rsid w:val="005E6454"/>
    <w:rsid w:val="005E645A"/>
    <w:rsid w:val="005E64B5"/>
    <w:rsid w:val="005E64F9"/>
    <w:rsid w:val="005E65E4"/>
    <w:rsid w:val="005E6672"/>
    <w:rsid w:val="005E6892"/>
    <w:rsid w:val="005E68CB"/>
    <w:rsid w:val="005E6F2D"/>
    <w:rsid w:val="005E771A"/>
    <w:rsid w:val="005E7C6C"/>
    <w:rsid w:val="005F026E"/>
    <w:rsid w:val="005F0348"/>
    <w:rsid w:val="005F083F"/>
    <w:rsid w:val="005F0B9C"/>
    <w:rsid w:val="005F0BF6"/>
    <w:rsid w:val="005F0CFC"/>
    <w:rsid w:val="005F11E7"/>
    <w:rsid w:val="005F1C82"/>
    <w:rsid w:val="005F1E22"/>
    <w:rsid w:val="005F2A47"/>
    <w:rsid w:val="005F2F2B"/>
    <w:rsid w:val="005F3658"/>
    <w:rsid w:val="005F39EA"/>
    <w:rsid w:val="005F3A16"/>
    <w:rsid w:val="005F3EFD"/>
    <w:rsid w:val="005F420C"/>
    <w:rsid w:val="005F4757"/>
    <w:rsid w:val="005F4897"/>
    <w:rsid w:val="005F4ADF"/>
    <w:rsid w:val="005F4EDE"/>
    <w:rsid w:val="005F58C2"/>
    <w:rsid w:val="005F5939"/>
    <w:rsid w:val="005F5B89"/>
    <w:rsid w:val="005F624E"/>
    <w:rsid w:val="005F67D8"/>
    <w:rsid w:val="005F6999"/>
    <w:rsid w:val="005F6C83"/>
    <w:rsid w:val="005F6E17"/>
    <w:rsid w:val="005F744C"/>
    <w:rsid w:val="005F7F3F"/>
    <w:rsid w:val="00600147"/>
    <w:rsid w:val="0060016C"/>
    <w:rsid w:val="0060079C"/>
    <w:rsid w:val="00600843"/>
    <w:rsid w:val="0060097D"/>
    <w:rsid w:val="0060111D"/>
    <w:rsid w:val="00601166"/>
    <w:rsid w:val="0060125D"/>
    <w:rsid w:val="00602387"/>
    <w:rsid w:val="0060255D"/>
    <w:rsid w:val="00602A4B"/>
    <w:rsid w:val="0060300A"/>
    <w:rsid w:val="00603650"/>
    <w:rsid w:val="0060378A"/>
    <w:rsid w:val="0060379A"/>
    <w:rsid w:val="00603C2D"/>
    <w:rsid w:val="00604D9B"/>
    <w:rsid w:val="0060515E"/>
    <w:rsid w:val="006055E6"/>
    <w:rsid w:val="00605690"/>
    <w:rsid w:val="006056E4"/>
    <w:rsid w:val="00605F1F"/>
    <w:rsid w:val="006060BF"/>
    <w:rsid w:val="0060658F"/>
    <w:rsid w:val="00606E8A"/>
    <w:rsid w:val="006072AD"/>
    <w:rsid w:val="00607C5A"/>
    <w:rsid w:val="006100A6"/>
    <w:rsid w:val="0061045A"/>
    <w:rsid w:val="00610A9F"/>
    <w:rsid w:val="006114E2"/>
    <w:rsid w:val="006114FB"/>
    <w:rsid w:val="00611699"/>
    <w:rsid w:val="0061183B"/>
    <w:rsid w:val="006127CD"/>
    <w:rsid w:val="00612810"/>
    <w:rsid w:val="0061292E"/>
    <w:rsid w:val="00612B43"/>
    <w:rsid w:val="00613196"/>
    <w:rsid w:val="00613621"/>
    <w:rsid w:val="006136D4"/>
    <w:rsid w:val="00614305"/>
    <w:rsid w:val="00614314"/>
    <w:rsid w:val="006147D0"/>
    <w:rsid w:val="0061492C"/>
    <w:rsid w:val="006149EE"/>
    <w:rsid w:val="00615E12"/>
    <w:rsid w:val="0061617D"/>
    <w:rsid w:val="00616393"/>
    <w:rsid w:val="00616ED4"/>
    <w:rsid w:val="00616F1F"/>
    <w:rsid w:val="006171D0"/>
    <w:rsid w:val="0061755C"/>
    <w:rsid w:val="00617C1D"/>
    <w:rsid w:val="006203D2"/>
    <w:rsid w:val="00620535"/>
    <w:rsid w:val="00620851"/>
    <w:rsid w:val="00620887"/>
    <w:rsid w:val="00620D19"/>
    <w:rsid w:val="00621855"/>
    <w:rsid w:val="00621884"/>
    <w:rsid w:val="00621BA7"/>
    <w:rsid w:val="00622453"/>
    <w:rsid w:val="0062283F"/>
    <w:rsid w:val="00622B21"/>
    <w:rsid w:val="00622E5A"/>
    <w:rsid w:val="0062308E"/>
    <w:rsid w:val="006233B6"/>
    <w:rsid w:val="00623807"/>
    <w:rsid w:val="006238A9"/>
    <w:rsid w:val="006238DB"/>
    <w:rsid w:val="00623A8C"/>
    <w:rsid w:val="00623C91"/>
    <w:rsid w:val="00623D79"/>
    <w:rsid w:val="00623E73"/>
    <w:rsid w:val="00624121"/>
    <w:rsid w:val="0062426A"/>
    <w:rsid w:val="006243E5"/>
    <w:rsid w:val="006250D0"/>
    <w:rsid w:val="006252F0"/>
    <w:rsid w:val="006259F1"/>
    <w:rsid w:val="00625A16"/>
    <w:rsid w:val="00625B10"/>
    <w:rsid w:val="00625B36"/>
    <w:rsid w:val="00625E44"/>
    <w:rsid w:val="00626180"/>
    <w:rsid w:val="00626455"/>
    <w:rsid w:val="00626C51"/>
    <w:rsid w:val="00626C7E"/>
    <w:rsid w:val="00626D60"/>
    <w:rsid w:val="00627891"/>
    <w:rsid w:val="00627A27"/>
    <w:rsid w:val="00627D3A"/>
    <w:rsid w:val="00630A3E"/>
    <w:rsid w:val="00630B56"/>
    <w:rsid w:val="006314F2"/>
    <w:rsid w:val="006315B3"/>
    <w:rsid w:val="00631885"/>
    <w:rsid w:val="0063193A"/>
    <w:rsid w:val="00631EA4"/>
    <w:rsid w:val="00632138"/>
    <w:rsid w:val="006327A4"/>
    <w:rsid w:val="00632F9C"/>
    <w:rsid w:val="00633221"/>
    <w:rsid w:val="00633753"/>
    <w:rsid w:val="00633774"/>
    <w:rsid w:val="00633915"/>
    <w:rsid w:val="00633934"/>
    <w:rsid w:val="00633970"/>
    <w:rsid w:val="00633B6B"/>
    <w:rsid w:val="00634331"/>
    <w:rsid w:val="0063436C"/>
    <w:rsid w:val="006344D1"/>
    <w:rsid w:val="00634579"/>
    <w:rsid w:val="00634C59"/>
    <w:rsid w:val="00634F8C"/>
    <w:rsid w:val="006350F0"/>
    <w:rsid w:val="00635110"/>
    <w:rsid w:val="006351FD"/>
    <w:rsid w:val="006362BB"/>
    <w:rsid w:val="00636522"/>
    <w:rsid w:val="00636697"/>
    <w:rsid w:val="00637285"/>
    <w:rsid w:val="006373A0"/>
    <w:rsid w:val="006374A5"/>
    <w:rsid w:val="006375EB"/>
    <w:rsid w:val="0063785D"/>
    <w:rsid w:val="00637BBB"/>
    <w:rsid w:val="006402D3"/>
    <w:rsid w:val="00640307"/>
    <w:rsid w:val="0064050A"/>
    <w:rsid w:val="00640C7F"/>
    <w:rsid w:val="006411D1"/>
    <w:rsid w:val="006416EF"/>
    <w:rsid w:val="0064197C"/>
    <w:rsid w:val="006419FC"/>
    <w:rsid w:val="00641E97"/>
    <w:rsid w:val="00641F38"/>
    <w:rsid w:val="0064251C"/>
    <w:rsid w:val="00642614"/>
    <w:rsid w:val="006428D0"/>
    <w:rsid w:val="00642D9E"/>
    <w:rsid w:val="00642EE5"/>
    <w:rsid w:val="00643630"/>
    <w:rsid w:val="00643D9A"/>
    <w:rsid w:val="006465C8"/>
    <w:rsid w:val="006466CF"/>
    <w:rsid w:val="006466E1"/>
    <w:rsid w:val="00646D30"/>
    <w:rsid w:val="00647128"/>
    <w:rsid w:val="0064726D"/>
    <w:rsid w:val="006477EB"/>
    <w:rsid w:val="00647EB5"/>
    <w:rsid w:val="00647F8E"/>
    <w:rsid w:val="0065044B"/>
    <w:rsid w:val="006505E7"/>
    <w:rsid w:val="006509FB"/>
    <w:rsid w:val="00650ADE"/>
    <w:rsid w:val="00650B2C"/>
    <w:rsid w:val="00650FAD"/>
    <w:rsid w:val="0065104B"/>
    <w:rsid w:val="00651785"/>
    <w:rsid w:val="00651B37"/>
    <w:rsid w:val="00651DF1"/>
    <w:rsid w:val="00652B18"/>
    <w:rsid w:val="00652C3B"/>
    <w:rsid w:val="0065303C"/>
    <w:rsid w:val="0065307C"/>
    <w:rsid w:val="0065329C"/>
    <w:rsid w:val="006532C2"/>
    <w:rsid w:val="006541DC"/>
    <w:rsid w:val="006542B0"/>
    <w:rsid w:val="006547AC"/>
    <w:rsid w:val="00654C1B"/>
    <w:rsid w:val="00654F37"/>
    <w:rsid w:val="00655018"/>
    <w:rsid w:val="006553D3"/>
    <w:rsid w:val="0065631B"/>
    <w:rsid w:val="00656E37"/>
    <w:rsid w:val="00656FAE"/>
    <w:rsid w:val="006573DB"/>
    <w:rsid w:val="00657DD5"/>
    <w:rsid w:val="006601E6"/>
    <w:rsid w:val="00660789"/>
    <w:rsid w:val="00661213"/>
    <w:rsid w:val="006613E0"/>
    <w:rsid w:val="00661571"/>
    <w:rsid w:val="00661A8E"/>
    <w:rsid w:val="00661C3A"/>
    <w:rsid w:val="00661E85"/>
    <w:rsid w:val="0066307B"/>
    <w:rsid w:val="00663967"/>
    <w:rsid w:val="00663B92"/>
    <w:rsid w:val="00663D67"/>
    <w:rsid w:val="006640AB"/>
    <w:rsid w:val="006643E3"/>
    <w:rsid w:val="00664533"/>
    <w:rsid w:val="00664C24"/>
    <w:rsid w:val="00664E78"/>
    <w:rsid w:val="00665258"/>
    <w:rsid w:val="006654F0"/>
    <w:rsid w:val="00665A7F"/>
    <w:rsid w:val="00666219"/>
    <w:rsid w:val="0066648E"/>
    <w:rsid w:val="00666D20"/>
    <w:rsid w:val="00667357"/>
    <w:rsid w:val="0066768F"/>
    <w:rsid w:val="00667770"/>
    <w:rsid w:val="0066787E"/>
    <w:rsid w:val="0066789A"/>
    <w:rsid w:val="006678C5"/>
    <w:rsid w:val="006705C6"/>
    <w:rsid w:val="00670B05"/>
    <w:rsid w:val="00670DEE"/>
    <w:rsid w:val="0067125D"/>
    <w:rsid w:val="00671433"/>
    <w:rsid w:val="006717C5"/>
    <w:rsid w:val="006719DE"/>
    <w:rsid w:val="006720C6"/>
    <w:rsid w:val="006721C5"/>
    <w:rsid w:val="0067269A"/>
    <w:rsid w:val="006728D6"/>
    <w:rsid w:val="006728E5"/>
    <w:rsid w:val="00672936"/>
    <w:rsid w:val="006729FA"/>
    <w:rsid w:val="00672C14"/>
    <w:rsid w:val="00672C7D"/>
    <w:rsid w:val="00672D1A"/>
    <w:rsid w:val="00673238"/>
    <w:rsid w:val="00673628"/>
    <w:rsid w:val="00673A76"/>
    <w:rsid w:val="00673FD1"/>
    <w:rsid w:val="006742F7"/>
    <w:rsid w:val="00674A27"/>
    <w:rsid w:val="00675783"/>
    <w:rsid w:val="006758AE"/>
    <w:rsid w:val="00675B34"/>
    <w:rsid w:val="00675F7B"/>
    <w:rsid w:val="0067600C"/>
    <w:rsid w:val="006768EB"/>
    <w:rsid w:val="00676910"/>
    <w:rsid w:val="00676D4B"/>
    <w:rsid w:val="00676F66"/>
    <w:rsid w:val="00677144"/>
    <w:rsid w:val="0067787D"/>
    <w:rsid w:val="006779F8"/>
    <w:rsid w:val="00677B96"/>
    <w:rsid w:val="006801EE"/>
    <w:rsid w:val="00680215"/>
    <w:rsid w:val="00680678"/>
    <w:rsid w:val="0068094A"/>
    <w:rsid w:val="00680B7A"/>
    <w:rsid w:val="00681373"/>
    <w:rsid w:val="00681954"/>
    <w:rsid w:val="00681C8C"/>
    <w:rsid w:val="0068219F"/>
    <w:rsid w:val="00682C96"/>
    <w:rsid w:val="00682F16"/>
    <w:rsid w:val="0068302D"/>
    <w:rsid w:val="00683DE7"/>
    <w:rsid w:val="006842D8"/>
    <w:rsid w:val="00684E87"/>
    <w:rsid w:val="00685095"/>
    <w:rsid w:val="0068534A"/>
    <w:rsid w:val="006853F5"/>
    <w:rsid w:val="006855DF"/>
    <w:rsid w:val="00685836"/>
    <w:rsid w:val="00685A5D"/>
    <w:rsid w:val="00685CEF"/>
    <w:rsid w:val="00685F0B"/>
    <w:rsid w:val="0068612A"/>
    <w:rsid w:val="00686314"/>
    <w:rsid w:val="0068682F"/>
    <w:rsid w:val="0068724C"/>
    <w:rsid w:val="0068735C"/>
    <w:rsid w:val="00687BC6"/>
    <w:rsid w:val="006901FE"/>
    <w:rsid w:val="0069038E"/>
    <w:rsid w:val="00690592"/>
    <w:rsid w:val="00690711"/>
    <w:rsid w:val="00690A34"/>
    <w:rsid w:val="00690ED4"/>
    <w:rsid w:val="00690F37"/>
    <w:rsid w:val="00691997"/>
    <w:rsid w:val="00692206"/>
    <w:rsid w:val="006929BB"/>
    <w:rsid w:val="00693411"/>
    <w:rsid w:val="00693709"/>
    <w:rsid w:val="00693884"/>
    <w:rsid w:val="00693932"/>
    <w:rsid w:val="00693B25"/>
    <w:rsid w:val="00693CB4"/>
    <w:rsid w:val="00693E22"/>
    <w:rsid w:val="00694304"/>
    <w:rsid w:val="00694492"/>
    <w:rsid w:val="006949A8"/>
    <w:rsid w:val="006949ED"/>
    <w:rsid w:val="00694C60"/>
    <w:rsid w:val="00695036"/>
    <w:rsid w:val="006954D2"/>
    <w:rsid w:val="00695E60"/>
    <w:rsid w:val="00695F59"/>
    <w:rsid w:val="006962E3"/>
    <w:rsid w:val="006964FA"/>
    <w:rsid w:val="00696886"/>
    <w:rsid w:val="00696C1E"/>
    <w:rsid w:val="00696E9F"/>
    <w:rsid w:val="00697261"/>
    <w:rsid w:val="00697EFA"/>
    <w:rsid w:val="006A1823"/>
    <w:rsid w:val="006A1844"/>
    <w:rsid w:val="006A20FD"/>
    <w:rsid w:val="006A27AF"/>
    <w:rsid w:val="006A27CD"/>
    <w:rsid w:val="006A2849"/>
    <w:rsid w:val="006A293D"/>
    <w:rsid w:val="006A29A9"/>
    <w:rsid w:val="006A2D9F"/>
    <w:rsid w:val="006A2DD9"/>
    <w:rsid w:val="006A37A2"/>
    <w:rsid w:val="006A3DBA"/>
    <w:rsid w:val="006A3DF4"/>
    <w:rsid w:val="006A3FF9"/>
    <w:rsid w:val="006A423B"/>
    <w:rsid w:val="006A44AE"/>
    <w:rsid w:val="006A4921"/>
    <w:rsid w:val="006A4951"/>
    <w:rsid w:val="006A5127"/>
    <w:rsid w:val="006A5462"/>
    <w:rsid w:val="006A5DAE"/>
    <w:rsid w:val="006A5E28"/>
    <w:rsid w:val="006A613A"/>
    <w:rsid w:val="006A622E"/>
    <w:rsid w:val="006A6486"/>
    <w:rsid w:val="006A6910"/>
    <w:rsid w:val="006A70AC"/>
    <w:rsid w:val="006A734F"/>
    <w:rsid w:val="006A7660"/>
    <w:rsid w:val="006B0308"/>
    <w:rsid w:val="006B06CA"/>
    <w:rsid w:val="006B12AF"/>
    <w:rsid w:val="006B143F"/>
    <w:rsid w:val="006B1D54"/>
    <w:rsid w:val="006B2131"/>
    <w:rsid w:val="006B2235"/>
    <w:rsid w:val="006B277E"/>
    <w:rsid w:val="006B2E50"/>
    <w:rsid w:val="006B31C6"/>
    <w:rsid w:val="006B32CF"/>
    <w:rsid w:val="006B34ED"/>
    <w:rsid w:val="006B419C"/>
    <w:rsid w:val="006B4294"/>
    <w:rsid w:val="006B430A"/>
    <w:rsid w:val="006B451F"/>
    <w:rsid w:val="006B459D"/>
    <w:rsid w:val="006B500E"/>
    <w:rsid w:val="006B5031"/>
    <w:rsid w:val="006B5153"/>
    <w:rsid w:val="006B58D0"/>
    <w:rsid w:val="006B5BAE"/>
    <w:rsid w:val="006B5FEB"/>
    <w:rsid w:val="006B6918"/>
    <w:rsid w:val="006B6AED"/>
    <w:rsid w:val="006B6B01"/>
    <w:rsid w:val="006B6DFD"/>
    <w:rsid w:val="006B71BD"/>
    <w:rsid w:val="006B7295"/>
    <w:rsid w:val="006B7A1B"/>
    <w:rsid w:val="006B7C92"/>
    <w:rsid w:val="006C09A8"/>
    <w:rsid w:val="006C0B46"/>
    <w:rsid w:val="006C0BA3"/>
    <w:rsid w:val="006C0EB5"/>
    <w:rsid w:val="006C1183"/>
    <w:rsid w:val="006C118B"/>
    <w:rsid w:val="006C146A"/>
    <w:rsid w:val="006C1F7D"/>
    <w:rsid w:val="006C1FB6"/>
    <w:rsid w:val="006C265D"/>
    <w:rsid w:val="006C29D2"/>
    <w:rsid w:val="006C2A5C"/>
    <w:rsid w:val="006C2A60"/>
    <w:rsid w:val="006C2AD2"/>
    <w:rsid w:val="006C2C8B"/>
    <w:rsid w:val="006C2E67"/>
    <w:rsid w:val="006C314E"/>
    <w:rsid w:val="006C3667"/>
    <w:rsid w:val="006C370C"/>
    <w:rsid w:val="006C3A8E"/>
    <w:rsid w:val="006C3C6B"/>
    <w:rsid w:val="006C3E47"/>
    <w:rsid w:val="006C3F82"/>
    <w:rsid w:val="006C4161"/>
    <w:rsid w:val="006C4198"/>
    <w:rsid w:val="006C471C"/>
    <w:rsid w:val="006C4884"/>
    <w:rsid w:val="006C4E18"/>
    <w:rsid w:val="006C5101"/>
    <w:rsid w:val="006C513E"/>
    <w:rsid w:val="006C5735"/>
    <w:rsid w:val="006C57C1"/>
    <w:rsid w:val="006C57D0"/>
    <w:rsid w:val="006C585D"/>
    <w:rsid w:val="006C5B0B"/>
    <w:rsid w:val="006C5E2C"/>
    <w:rsid w:val="006C5F91"/>
    <w:rsid w:val="006C630A"/>
    <w:rsid w:val="006C6584"/>
    <w:rsid w:val="006C6A3F"/>
    <w:rsid w:val="006C6A9A"/>
    <w:rsid w:val="006C6BFF"/>
    <w:rsid w:val="006C70DF"/>
    <w:rsid w:val="006C79A4"/>
    <w:rsid w:val="006C7B65"/>
    <w:rsid w:val="006C7F1F"/>
    <w:rsid w:val="006C7FE0"/>
    <w:rsid w:val="006D05A0"/>
    <w:rsid w:val="006D069D"/>
    <w:rsid w:val="006D075F"/>
    <w:rsid w:val="006D1179"/>
    <w:rsid w:val="006D20C7"/>
    <w:rsid w:val="006D2DA6"/>
    <w:rsid w:val="006D36C7"/>
    <w:rsid w:val="006D391C"/>
    <w:rsid w:val="006D391F"/>
    <w:rsid w:val="006D39B7"/>
    <w:rsid w:val="006D3C84"/>
    <w:rsid w:val="006D3DCA"/>
    <w:rsid w:val="006D4703"/>
    <w:rsid w:val="006D47FD"/>
    <w:rsid w:val="006D4874"/>
    <w:rsid w:val="006D4AE9"/>
    <w:rsid w:val="006D4D4C"/>
    <w:rsid w:val="006D52B6"/>
    <w:rsid w:val="006D5348"/>
    <w:rsid w:val="006D5768"/>
    <w:rsid w:val="006D57E9"/>
    <w:rsid w:val="006D5DF0"/>
    <w:rsid w:val="006D5E2F"/>
    <w:rsid w:val="006D622C"/>
    <w:rsid w:val="006D640C"/>
    <w:rsid w:val="006D673A"/>
    <w:rsid w:val="006D6AD7"/>
    <w:rsid w:val="006D7373"/>
    <w:rsid w:val="006D7378"/>
    <w:rsid w:val="006D76A0"/>
    <w:rsid w:val="006D78B0"/>
    <w:rsid w:val="006D7B80"/>
    <w:rsid w:val="006E16DB"/>
    <w:rsid w:val="006E1974"/>
    <w:rsid w:val="006E2B1E"/>
    <w:rsid w:val="006E325D"/>
    <w:rsid w:val="006E39F9"/>
    <w:rsid w:val="006E3AB8"/>
    <w:rsid w:val="006E3E29"/>
    <w:rsid w:val="006E3F3A"/>
    <w:rsid w:val="006E4263"/>
    <w:rsid w:val="006E4578"/>
    <w:rsid w:val="006E49CE"/>
    <w:rsid w:val="006E52DC"/>
    <w:rsid w:val="006E5447"/>
    <w:rsid w:val="006E55A2"/>
    <w:rsid w:val="006E5AC5"/>
    <w:rsid w:val="006E5B84"/>
    <w:rsid w:val="006E5F1E"/>
    <w:rsid w:val="006E6710"/>
    <w:rsid w:val="006E6B6E"/>
    <w:rsid w:val="006E749B"/>
    <w:rsid w:val="006E7FE0"/>
    <w:rsid w:val="006F03C0"/>
    <w:rsid w:val="006F049B"/>
    <w:rsid w:val="006F0CB7"/>
    <w:rsid w:val="006F0DF3"/>
    <w:rsid w:val="006F10C4"/>
    <w:rsid w:val="006F18AA"/>
    <w:rsid w:val="006F18E7"/>
    <w:rsid w:val="006F1AD2"/>
    <w:rsid w:val="006F1D7B"/>
    <w:rsid w:val="006F20B8"/>
    <w:rsid w:val="006F23A0"/>
    <w:rsid w:val="006F2438"/>
    <w:rsid w:val="006F2453"/>
    <w:rsid w:val="006F24AD"/>
    <w:rsid w:val="006F28AD"/>
    <w:rsid w:val="006F2992"/>
    <w:rsid w:val="006F2FE0"/>
    <w:rsid w:val="006F3D5D"/>
    <w:rsid w:val="006F4257"/>
    <w:rsid w:val="006F46BE"/>
    <w:rsid w:val="006F4C06"/>
    <w:rsid w:val="006F5072"/>
    <w:rsid w:val="006F5190"/>
    <w:rsid w:val="006F57BD"/>
    <w:rsid w:val="006F58CE"/>
    <w:rsid w:val="006F6027"/>
    <w:rsid w:val="006F61FE"/>
    <w:rsid w:val="006F64F2"/>
    <w:rsid w:val="006F6A6D"/>
    <w:rsid w:val="006F6B4C"/>
    <w:rsid w:val="006F6D63"/>
    <w:rsid w:val="006F7300"/>
    <w:rsid w:val="006F77C4"/>
    <w:rsid w:val="006F7EDD"/>
    <w:rsid w:val="0070033A"/>
    <w:rsid w:val="007005E6"/>
    <w:rsid w:val="007006AB"/>
    <w:rsid w:val="00700F85"/>
    <w:rsid w:val="00700FF5"/>
    <w:rsid w:val="00701792"/>
    <w:rsid w:val="00701EAF"/>
    <w:rsid w:val="007023B0"/>
    <w:rsid w:val="00702A1E"/>
    <w:rsid w:val="00702AC3"/>
    <w:rsid w:val="00702DE2"/>
    <w:rsid w:val="007030ED"/>
    <w:rsid w:val="007031D5"/>
    <w:rsid w:val="0070322D"/>
    <w:rsid w:val="00703B7F"/>
    <w:rsid w:val="007040C6"/>
    <w:rsid w:val="00704483"/>
    <w:rsid w:val="007045C9"/>
    <w:rsid w:val="0070467E"/>
    <w:rsid w:val="00704A70"/>
    <w:rsid w:val="00704B2B"/>
    <w:rsid w:val="00704BFA"/>
    <w:rsid w:val="00705648"/>
    <w:rsid w:val="00705DE3"/>
    <w:rsid w:val="007062C5"/>
    <w:rsid w:val="007063B8"/>
    <w:rsid w:val="00707683"/>
    <w:rsid w:val="00707761"/>
    <w:rsid w:val="007077FB"/>
    <w:rsid w:val="00707AE2"/>
    <w:rsid w:val="00707C0B"/>
    <w:rsid w:val="00707D65"/>
    <w:rsid w:val="00710553"/>
    <w:rsid w:val="007105CA"/>
    <w:rsid w:val="00711889"/>
    <w:rsid w:val="00711E9C"/>
    <w:rsid w:val="0071262B"/>
    <w:rsid w:val="007128AD"/>
    <w:rsid w:val="007128D3"/>
    <w:rsid w:val="00712B91"/>
    <w:rsid w:val="00713346"/>
    <w:rsid w:val="00713633"/>
    <w:rsid w:val="00713ADC"/>
    <w:rsid w:val="00713C89"/>
    <w:rsid w:val="00713EC8"/>
    <w:rsid w:val="00713F64"/>
    <w:rsid w:val="0071451B"/>
    <w:rsid w:val="0071457B"/>
    <w:rsid w:val="0071494E"/>
    <w:rsid w:val="00714C56"/>
    <w:rsid w:val="00714FA9"/>
    <w:rsid w:val="00715130"/>
    <w:rsid w:val="00715283"/>
    <w:rsid w:val="00716F46"/>
    <w:rsid w:val="00717221"/>
    <w:rsid w:val="00717B0B"/>
    <w:rsid w:val="00717C33"/>
    <w:rsid w:val="00720360"/>
    <w:rsid w:val="0072115A"/>
    <w:rsid w:val="0072147C"/>
    <w:rsid w:val="007221F5"/>
    <w:rsid w:val="00722533"/>
    <w:rsid w:val="0072286D"/>
    <w:rsid w:val="00722B6D"/>
    <w:rsid w:val="00722DD9"/>
    <w:rsid w:val="00722E3E"/>
    <w:rsid w:val="007241A7"/>
    <w:rsid w:val="007247C3"/>
    <w:rsid w:val="007247F2"/>
    <w:rsid w:val="007249CE"/>
    <w:rsid w:val="00724DE3"/>
    <w:rsid w:val="007250ED"/>
    <w:rsid w:val="0072528B"/>
    <w:rsid w:val="007256CD"/>
    <w:rsid w:val="007256D1"/>
    <w:rsid w:val="00725D45"/>
    <w:rsid w:val="00725D52"/>
    <w:rsid w:val="00726483"/>
    <w:rsid w:val="007269AB"/>
    <w:rsid w:val="00726C5B"/>
    <w:rsid w:val="00726F47"/>
    <w:rsid w:val="00727441"/>
    <w:rsid w:val="007277DD"/>
    <w:rsid w:val="00727B24"/>
    <w:rsid w:val="0073096F"/>
    <w:rsid w:val="00730981"/>
    <w:rsid w:val="00730A87"/>
    <w:rsid w:val="00730EF2"/>
    <w:rsid w:val="007310C2"/>
    <w:rsid w:val="00731208"/>
    <w:rsid w:val="00731315"/>
    <w:rsid w:val="00731A3D"/>
    <w:rsid w:val="00731B81"/>
    <w:rsid w:val="007323BC"/>
    <w:rsid w:val="00732586"/>
    <w:rsid w:val="007330A9"/>
    <w:rsid w:val="007333C3"/>
    <w:rsid w:val="007336BF"/>
    <w:rsid w:val="00733B2C"/>
    <w:rsid w:val="00734018"/>
    <w:rsid w:val="00735715"/>
    <w:rsid w:val="007362FF"/>
    <w:rsid w:val="00736419"/>
    <w:rsid w:val="0073699D"/>
    <w:rsid w:val="00736A15"/>
    <w:rsid w:val="00736DAF"/>
    <w:rsid w:val="00737089"/>
    <w:rsid w:val="00737094"/>
    <w:rsid w:val="007373C5"/>
    <w:rsid w:val="00737571"/>
    <w:rsid w:val="00737848"/>
    <w:rsid w:val="007378C9"/>
    <w:rsid w:val="00740C32"/>
    <w:rsid w:val="00740F63"/>
    <w:rsid w:val="00741217"/>
    <w:rsid w:val="0074146F"/>
    <w:rsid w:val="007415E7"/>
    <w:rsid w:val="00741711"/>
    <w:rsid w:val="00741CD5"/>
    <w:rsid w:val="00741FFE"/>
    <w:rsid w:val="007420AB"/>
    <w:rsid w:val="00742422"/>
    <w:rsid w:val="007430C3"/>
    <w:rsid w:val="007434BA"/>
    <w:rsid w:val="007436A5"/>
    <w:rsid w:val="00743898"/>
    <w:rsid w:val="00743D09"/>
    <w:rsid w:val="00744BDB"/>
    <w:rsid w:val="0074548B"/>
    <w:rsid w:val="007455B5"/>
    <w:rsid w:val="00745729"/>
    <w:rsid w:val="0074608F"/>
    <w:rsid w:val="0074681C"/>
    <w:rsid w:val="00746C18"/>
    <w:rsid w:val="00746CD2"/>
    <w:rsid w:val="00747634"/>
    <w:rsid w:val="00747849"/>
    <w:rsid w:val="00747983"/>
    <w:rsid w:val="007479AC"/>
    <w:rsid w:val="00747F56"/>
    <w:rsid w:val="00747F7A"/>
    <w:rsid w:val="007502DB"/>
    <w:rsid w:val="007504D7"/>
    <w:rsid w:val="00750AB5"/>
    <w:rsid w:val="007521FF"/>
    <w:rsid w:val="00752471"/>
    <w:rsid w:val="00752744"/>
    <w:rsid w:val="007527AC"/>
    <w:rsid w:val="00752BBE"/>
    <w:rsid w:val="00752BBF"/>
    <w:rsid w:val="00752DFB"/>
    <w:rsid w:val="007535CD"/>
    <w:rsid w:val="00753DA6"/>
    <w:rsid w:val="007545C3"/>
    <w:rsid w:val="007549FF"/>
    <w:rsid w:val="00755170"/>
    <w:rsid w:val="0075522F"/>
    <w:rsid w:val="00755863"/>
    <w:rsid w:val="00755C5F"/>
    <w:rsid w:val="00755C92"/>
    <w:rsid w:val="00755EBA"/>
    <w:rsid w:val="0075608B"/>
    <w:rsid w:val="00756734"/>
    <w:rsid w:val="00756D0B"/>
    <w:rsid w:val="00757779"/>
    <w:rsid w:val="00757A09"/>
    <w:rsid w:val="00757D70"/>
    <w:rsid w:val="00760481"/>
    <w:rsid w:val="00760884"/>
    <w:rsid w:val="00761172"/>
    <w:rsid w:val="00761556"/>
    <w:rsid w:val="007616F8"/>
    <w:rsid w:val="007628C9"/>
    <w:rsid w:val="007631B0"/>
    <w:rsid w:val="00763389"/>
    <w:rsid w:val="0076338E"/>
    <w:rsid w:val="00763A33"/>
    <w:rsid w:val="00763AEC"/>
    <w:rsid w:val="00763DD9"/>
    <w:rsid w:val="007641B8"/>
    <w:rsid w:val="007643E1"/>
    <w:rsid w:val="00764601"/>
    <w:rsid w:val="00764B69"/>
    <w:rsid w:val="007653C2"/>
    <w:rsid w:val="007657C9"/>
    <w:rsid w:val="007663A3"/>
    <w:rsid w:val="00767053"/>
    <w:rsid w:val="0076770F"/>
    <w:rsid w:val="00767B25"/>
    <w:rsid w:val="007705A5"/>
    <w:rsid w:val="007706F9"/>
    <w:rsid w:val="00770716"/>
    <w:rsid w:val="00770A05"/>
    <w:rsid w:val="00770D40"/>
    <w:rsid w:val="00770E1D"/>
    <w:rsid w:val="0077116E"/>
    <w:rsid w:val="00771A95"/>
    <w:rsid w:val="00771D11"/>
    <w:rsid w:val="00772322"/>
    <w:rsid w:val="007724BC"/>
    <w:rsid w:val="007724CD"/>
    <w:rsid w:val="00772681"/>
    <w:rsid w:val="007733F0"/>
    <w:rsid w:val="0077360D"/>
    <w:rsid w:val="00773B3A"/>
    <w:rsid w:val="00773CD8"/>
    <w:rsid w:val="00773E0E"/>
    <w:rsid w:val="00773FD1"/>
    <w:rsid w:val="00774EA4"/>
    <w:rsid w:val="00775471"/>
    <w:rsid w:val="00776173"/>
    <w:rsid w:val="00776370"/>
    <w:rsid w:val="00776455"/>
    <w:rsid w:val="00777065"/>
    <w:rsid w:val="007773FD"/>
    <w:rsid w:val="0077763C"/>
    <w:rsid w:val="00777E3F"/>
    <w:rsid w:val="00777E66"/>
    <w:rsid w:val="0078055E"/>
    <w:rsid w:val="00780BB6"/>
    <w:rsid w:val="00780CE9"/>
    <w:rsid w:val="0078101E"/>
    <w:rsid w:val="00781282"/>
    <w:rsid w:val="00781533"/>
    <w:rsid w:val="0078169E"/>
    <w:rsid w:val="00781841"/>
    <w:rsid w:val="00781E67"/>
    <w:rsid w:val="007820FC"/>
    <w:rsid w:val="007824A0"/>
    <w:rsid w:val="0078280F"/>
    <w:rsid w:val="00782A1D"/>
    <w:rsid w:val="00782A91"/>
    <w:rsid w:val="0078350F"/>
    <w:rsid w:val="00783E45"/>
    <w:rsid w:val="007840BF"/>
    <w:rsid w:val="0078487E"/>
    <w:rsid w:val="00785105"/>
    <w:rsid w:val="00785289"/>
    <w:rsid w:val="007852D6"/>
    <w:rsid w:val="00785385"/>
    <w:rsid w:val="00786210"/>
    <w:rsid w:val="00786528"/>
    <w:rsid w:val="00786634"/>
    <w:rsid w:val="00786947"/>
    <w:rsid w:val="00786963"/>
    <w:rsid w:val="00786BB3"/>
    <w:rsid w:val="007872E6"/>
    <w:rsid w:val="0078775F"/>
    <w:rsid w:val="00787789"/>
    <w:rsid w:val="007878CC"/>
    <w:rsid w:val="00787A80"/>
    <w:rsid w:val="00787BD8"/>
    <w:rsid w:val="007901ED"/>
    <w:rsid w:val="007903D9"/>
    <w:rsid w:val="00790C87"/>
    <w:rsid w:val="00790D47"/>
    <w:rsid w:val="0079140D"/>
    <w:rsid w:val="00791473"/>
    <w:rsid w:val="00791A83"/>
    <w:rsid w:val="00791BB4"/>
    <w:rsid w:val="00791E62"/>
    <w:rsid w:val="00792275"/>
    <w:rsid w:val="00792481"/>
    <w:rsid w:val="007925BD"/>
    <w:rsid w:val="00792B2E"/>
    <w:rsid w:val="00793030"/>
    <w:rsid w:val="007932CA"/>
    <w:rsid w:val="007933A9"/>
    <w:rsid w:val="00793B60"/>
    <w:rsid w:val="00793FC6"/>
    <w:rsid w:val="00794480"/>
    <w:rsid w:val="00794485"/>
    <w:rsid w:val="007945A8"/>
    <w:rsid w:val="007947EC"/>
    <w:rsid w:val="00794AA0"/>
    <w:rsid w:val="00795A14"/>
    <w:rsid w:val="00796551"/>
    <w:rsid w:val="007967A7"/>
    <w:rsid w:val="00796A43"/>
    <w:rsid w:val="00796AAB"/>
    <w:rsid w:val="00796DAD"/>
    <w:rsid w:val="00796F6C"/>
    <w:rsid w:val="00797002"/>
    <w:rsid w:val="007A0155"/>
    <w:rsid w:val="007A0F22"/>
    <w:rsid w:val="007A10F2"/>
    <w:rsid w:val="007A124A"/>
    <w:rsid w:val="007A13A3"/>
    <w:rsid w:val="007A13E5"/>
    <w:rsid w:val="007A18AB"/>
    <w:rsid w:val="007A19F6"/>
    <w:rsid w:val="007A2E3A"/>
    <w:rsid w:val="007A2EFC"/>
    <w:rsid w:val="007A3529"/>
    <w:rsid w:val="007A388C"/>
    <w:rsid w:val="007A3E56"/>
    <w:rsid w:val="007A3E64"/>
    <w:rsid w:val="007A4177"/>
    <w:rsid w:val="007A445F"/>
    <w:rsid w:val="007A4A2E"/>
    <w:rsid w:val="007A4A96"/>
    <w:rsid w:val="007A516E"/>
    <w:rsid w:val="007A52D9"/>
    <w:rsid w:val="007A53C2"/>
    <w:rsid w:val="007A5602"/>
    <w:rsid w:val="007A5904"/>
    <w:rsid w:val="007A5F78"/>
    <w:rsid w:val="007A6415"/>
    <w:rsid w:val="007A687D"/>
    <w:rsid w:val="007A71BA"/>
    <w:rsid w:val="007A7250"/>
    <w:rsid w:val="007A763B"/>
    <w:rsid w:val="007B0444"/>
    <w:rsid w:val="007B0B60"/>
    <w:rsid w:val="007B13E6"/>
    <w:rsid w:val="007B14D2"/>
    <w:rsid w:val="007B26DD"/>
    <w:rsid w:val="007B294F"/>
    <w:rsid w:val="007B29D5"/>
    <w:rsid w:val="007B3177"/>
    <w:rsid w:val="007B35A0"/>
    <w:rsid w:val="007B3980"/>
    <w:rsid w:val="007B3AC9"/>
    <w:rsid w:val="007B439D"/>
    <w:rsid w:val="007B4750"/>
    <w:rsid w:val="007B4BF4"/>
    <w:rsid w:val="007B4CC7"/>
    <w:rsid w:val="007B4E47"/>
    <w:rsid w:val="007B51D4"/>
    <w:rsid w:val="007B52C5"/>
    <w:rsid w:val="007B5B38"/>
    <w:rsid w:val="007B62B6"/>
    <w:rsid w:val="007B641D"/>
    <w:rsid w:val="007B72A4"/>
    <w:rsid w:val="007B7850"/>
    <w:rsid w:val="007B7E9B"/>
    <w:rsid w:val="007B7FD3"/>
    <w:rsid w:val="007C0C11"/>
    <w:rsid w:val="007C107E"/>
    <w:rsid w:val="007C19DD"/>
    <w:rsid w:val="007C1D05"/>
    <w:rsid w:val="007C1E98"/>
    <w:rsid w:val="007C2644"/>
    <w:rsid w:val="007C29E4"/>
    <w:rsid w:val="007C2C67"/>
    <w:rsid w:val="007C2F61"/>
    <w:rsid w:val="007C3629"/>
    <w:rsid w:val="007C40DB"/>
    <w:rsid w:val="007C430A"/>
    <w:rsid w:val="007C4413"/>
    <w:rsid w:val="007C4B8C"/>
    <w:rsid w:val="007C4DD7"/>
    <w:rsid w:val="007C5B5A"/>
    <w:rsid w:val="007C6716"/>
    <w:rsid w:val="007C6C6F"/>
    <w:rsid w:val="007C711E"/>
    <w:rsid w:val="007C7A6A"/>
    <w:rsid w:val="007D23C8"/>
    <w:rsid w:val="007D2538"/>
    <w:rsid w:val="007D315C"/>
    <w:rsid w:val="007D46C1"/>
    <w:rsid w:val="007D4B6B"/>
    <w:rsid w:val="007D52F6"/>
    <w:rsid w:val="007D5655"/>
    <w:rsid w:val="007D5A85"/>
    <w:rsid w:val="007D5EAD"/>
    <w:rsid w:val="007D5F28"/>
    <w:rsid w:val="007D61CC"/>
    <w:rsid w:val="007D6368"/>
    <w:rsid w:val="007D6408"/>
    <w:rsid w:val="007D6EB5"/>
    <w:rsid w:val="007D6F83"/>
    <w:rsid w:val="007D7064"/>
    <w:rsid w:val="007D72A4"/>
    <w:rsid w:val="007D7882"/>
    <w:rsid w:val="007D7DAA"/>
    <w:rsid w:val="007E078C"/>
    <w:rsid w:val="007E0E92"/>
    <w:rsid w:val="007E154A"/>
    <w:rsid w:val="007E16E9"/>
    <w:rsid w:val="007E1900"/>
    <w:rsid w:val="007E196F"/>
    <w:rsid w:val="007E2192"/>
    <w:rsid w:val="007E2327"/>
    <w:rsid w:val="007E26A6"/>
    <w:rsid w:val="007E2A5C"/>
    <w:rsid w:val="007E2A77"/>
    <w:rsid w:val="007E2AB9"/>
    <w:rsid w:val="007E2CDB"/>
    <w:rsid w:val="007E2F1E"/>
    <w:rsid w:val="007E3A08"/>
    <w:rsid w:val="007E3E84"/>
    <w:rsid w:val="007E4946"/>
    <w:rsid w:val="007E4E39"/>
    <w:rsid w:val="007E5DE0"/>
    <w:rsid w:val="007E6CA0"/>
    <w:rsid w:val="007E7C43"/>
    <w:rsid w:val="007E7C5D"/>
    <w:rsid w:val="007E7CE3"/>
    <w:rsid w:val="007F00B3"/>
    <w:rsid w:val="007F06B7"/>
    <w:rsid w:val="007F06BA"/>
    <w:rsid w:val="007F090C"/>
    <w:rsid w:val="007F0BD4"/>
    <w:rsid w:val="007F0CB6"/>
    <w:rsid w:val="007F0EEC"/>
    <w:rsid w:val="007F1057"/>
    <w:rsid w:val="007F121F"/>
    <w:rsid w:val="007F1401"/>
    <w:rsid w:val="007F25A3"/>
    <w:rsid w:val="007F2C2C"/>
    <w:rsid w:val="007F2FDA"/>
    <w:rsid w:val="007F317D"/>
    <w:rsid w:val="007F438B"/>
    <w:rsid w:val="007F4A0B"/>
    <w:rsid w:val="007F4B0E"/>
    <w:rsid w:val="007F4F43"/>
    <w:rsid w:val="007F516A"/>
    <w:rsid w:val="007F5931"/>
    <w:rsid w:val="007F5F4C"/>
    <w:rsid w:val="007F5FA9"/>
    <w:rsid w:val="007F601D"/>
    <w:rsid w:val="007F69CD"/>
    <w:rsid w:val="007F6B97"/>
    <w:rsid w:val="007F6C5D"/>
    <w:rsid w:val="007F71CA"/>
    <w:rsid w:val="007F7229"/>
    <w:rsid w:val="007F7547"/>
    <w:rsid w:val="007F79F7"/>
    <w:rsid w:val="007F7AC7"/>
    <w:rsid w:val="0080013C"/>
    <w:rsid w:val="008003D6"/>
    <w:rsid w:val="00800401"/>
    <w:rsid w:val="008004D0"/>
    <w:rsid w:val="008006C5"/>
    <w:rsid w:val="00800FB1"/>
    <w:rsid w:val="00801278"/>
    <w:rsid w:val="0080169C"/>
    <w:rsid w:val="00801DAF"/>
    <w:rsid w:val="00802948"/>
    <w:rsid w:val="00802D48"/>
    <w:rsid w:val="00803416"/>
    <w:rsid w:val="00803447"/>
    <w:rsid w:val="00803647"/>
    <w:rsid w:val="00803DE3"/>
    <w:rsid w:val="00804228"/>
    <w:rsid w:val="00804341"/>
    <w:rsid w:val="008046FC"/>
    <w:rsid w:val="00804881"/>
    <w:rsid w:val="0080495B"/>
    <w:rsid w:val="00804FD0"/>
    <w:rsid w:val="00805488"/>
    <w:rsid w:val="00805549"/>
    <w:rsid w:val="00805917"/>
    <w:rsid w:val="00805E02"/>
    <w:rsid w:val="00805ECF"/>
    <w:rsid w:val="00806288"/>
    <w:rsid w:val="00806319"/>
    <w:rsid w:val="00806A52"/>
    <w:rsid w:val="00807864"/>
    <w:rsid w:val="00810577"/>
    <w:rsid w:val="00810952"/>
    <w:rsid w:val="008109A2"/>
    <w:rsid w:val="00810AD4"/>
    <w:rsid w:val="0081137C"/>
    <w:rsid w:val="0081169F"/>
    <w:rsid w:val="00811B90"/>
    <w:rsid w:val="00811CB9"/>
    <w:rsid w:val="00811EDC"/>
    <w:rsid w:val="00811FE4"/>
    <w:rsid w:val="00812022"/>
    <w:rsid w:val="00812264"/>
    <w:rsid w:val="00812403"/>
    <w:rsid w:val="008128EC"/>
    <w:rsid w:val="008138F0"/>
    <w:rsid w:val="00813AAC"/>
    <w:rsid w:val="00813B10"/>
    <w:rsid w:val="00814618"/>
    <w:rsid w:val="00814D36"/>
    <w:rsid w:val="00814F64"/>
    <w:rsid w:val="00815C37"/>
    <w:rsid w:val="00815EDA"/>
    <w:rsid w:val="00815F92"/>
    <w:rsid w:val="0081609E"/>
    <w:rsid w:val="008160C9"/>
    <w:rsid w:val="00816E49"/>
    <w:rsid w:val="0081705A"/>
    <w:rsid w:val="0081708B"/>
    <w:rsid w:val="00817208"/>
    <w:rsid w:val="0081764F"/>
    <w:rsid w:val="00817848"/>
    <w:rsid w:val="00817B8E"/>
    <w:rsid w:val="00817E08"/>
    <w:rsid w:val="00817F9A"/>
    <w:rsid w:val="008203AA"/>
    <w:rsid w:val="00820BB7"/>
    <w:rsid w:val="0082116A"/>
    <w:rsid w:val="00821176"/>
    <w:rsid w:val="00821682"/>
    <w:rsid w:val="00821767"/>
    <w:rsid w:val="0082198D"/>
    <w:rsid w:val="00821A64"/>
    <w:rsid w:val="00822342"/>
    <w:rsid w:val="00822453"/>
    <w:rsid w:val="008227D2"/>
    <w:rsid w:val="00822A4F"/>
    <w:rsid w:val="00822F72"/>
    <w:rsid w:val="008233E4"/>
    <w:rsid w:val="0082341E"/>
    <w:rsid w:val="00823479"/>
    <w:rsid w:val="00823685"/>
    <w:rsid w:val="00824426"/>
    <w:rsid w:val="00824506"/>
    <w:rsid w:val="00824D88"/>
    <w:rsid w:val="00824E5B"/>
    <w:rsid w:val="00825210"/>
    <w:rsid w:val="008254E3"/>
    <w:rsid w:val="0082662B"/>
    <w:rsid w:val="0082683B"/>
    <w:rsid w:val="00826BF2"/>
    <w:rsid w:val="00826BF5"/>
    <w:rsid w:val="00826CF6"/>
    <w:rsid w:val="00826D6F"/>
    <w:rsid w:val="00827270"/>
    <w:rsid w:val="00830183"/>
    <w:rsid w:val="00830B6F"/>
    <w:rsid w:val="008311CD"/>
    <w:rsid w:val="00831410"/>
    <w:rsid w:val="0083144F"/>
    <w:rsid w:val="008315D8"/>
    <w:rsid w:val="008316D2"/>
    <w:rsid w:val="00831E6A"/>
    <w:rsid w:val="0083209A"/>
    <w:rsid w:val="00832483"/>
    <w:rsid w:val="00832813"/>
    <w:rsid w:val="00832EE9"/>
    <w:rsid w:val="00833559"/>
    <w:rsid w:val="008336EF"/>
    <w:rsid w:val="0083373D"/>
    <w:rsid w:val="00833CB2"/>
    <w:rsid w:val="00833EB3"/>
    <w:rsid w:val="00833F56"/>
    <w:rsid w:val="00834033"/>
    <w:rsid w:val="00834189"/>
    <w:rsid w:val="008344AE"/>
    <w:rsid w:val="00834AA4"/>
    <w:rsid w:val="00834E0D"/>
    <w:rsid w:val="00835052"/>
    <w:rsid w:val="0083531B"/>
    <w:rsid w:val="00835831"/>
    <w:rsid w:val="00835DB1"/>
    <w:rsid w:val="00836408"/>
    <w:rsid w:val="0083695B"/>
    <w:rsid w:val="00837A1B"/>
    <w:rsid w:val="00837C41"/>
    <w:rsid w:val="00837CDD"/>
    <w:rsid w:val="00837ED2"/>
    <w:rsid w:val="008405EB"/>
    <w:rsid w:val="008414F9"/>
    <w:rsid w:val="00841732"/>
    <w:rsid w:val="00841A91"/>
    <w:rsid w:val="00842022"/>
    <w:rsid w:val="00842324"/>
    <w:rsid w:val="00842552"/>
    <w:rsid w:val="00842858"/>
    <w:rsid w:val="00842F1C"/>
    <w:rsid w:val="00842FA3"/>
    <w:rsid w:val="008431CD"/>
    <w:rsid w:val="00843787"/>
    <w:rsid w:val="00844011"/>
    <w:rsid w:val="00844078"/>
    <w:rsid w:val="0084432C"/>
    <w:rsid w:val="00844744"/>
    <w:rsid w:val="0084512B"/>
    <w:rsid w:val="008455AC"/>
    <w:rsid w:val="00845765"/>
    <w:rsid w:val="0084582F"/>
    <w:rsid w:val="00845EDD"/>
    <w:rsid w:val="00845F70"/>
    <w:rsid w:val="008464D9"/>
    <w:rsid w:val="008464EA"/>
    <w:rsid w:val="00846BBB"/>
    <w:rsid w:val="00847423"/>
    <w:rsid w:val="008474CF"/>
    <w:rsid w:val="008476B7"/>
    <w:rsid w:val="00847905"/>
    <w:rsid w:val="00847A16"/>
    <w:rsid w:val="00847E6A"/>
    <w:rsid w:val="0085012C"/>
    <w:rsid w:val="00850AC1"/>
    <w:rsid w:val="00851CE0"/>
    <w:rsid w:val="008520A7"/>
    <w:rsid w:val="00852126"/>
    <w:rsid w:val="008524FF"/>
    <w:rsid w:val="0085293C"/>
    <w:rsid w:val="00852974"/>
    <w:rsid w:val="00852BFD"/>
    <w:rsid w:val="00853B0F"/>
    <w:rsid w:val="0085406C"/>
    <w:rsid w:val="008543E1"/>
    <w:rsid w:val="008544D8"/>
    <w:rsid w:val="008544E3"/>
    <w:rsid w:val="0085452F"/>
    <w:rsid w:val="008548A0"/>
    <w:rsid w:val="0085539F"/>
    <w:rsid w:val="00855708"/>
    <w:rsid w:val="00855BA3"/>
    <w:rsid w:val="00855FA3"/>
    <w:rsid w:val="008560F1"/>
    <w:rsid w:val="008565B0"/>
    <w:rsid w:val="008566BD"/>
    <w:rsid w:val="008568BE"/>
    <w:rsid w:val="00856B29"/>
    <w:rsid w:val="00857245"/>
    <w:rsid w:val="00857495"/>
    <w:rsid w:val="008577B4"/>
    <w:rsid w:val="008579DC"/>
    <w:rsid w:val="00857B0A"/>
    <w:rsid w:val="00857C09"/>
    <w:rsid w:val="00857F86"/>
    <w:rsid w:val="0086008D"/>
    <w:rsid w:val="0086053A"/>
    <w:rsid w:val="00860D82"/>
    <w:rsid w:val="00861090"/>
    <w:rsid w:val="0086114D"/>
    <w:rsid w:val="00861406"/>
    <w:rsid w:val="0086151E"/>
    <w:rsid w:val="008619B4"/>
    <w:rsid w:val="00861C41"/>
    <w:rsid w:val="00862E4D"/>
    <w:rsid w:val="00863611"/>
    <w:rsid w:val="00864616"/>
    <w:rsid w:val="00864738"/>
    <w:rsid w:val="008647EB"/>
    <w:rsid w:val="00864D8F"/>
    <w:rsid w:val="0086537B"/>
    <w:rsid w:val="008654C4"/>
    <w:rsid w:val="00865D2E"/>
    <w:rsid w:val="00866246"/>
    <w:rsid w:val="00866286"/>
    <w:rsid w:val="008662C1"/>
    <w:rsid w:val="0086657E"/>
    <w:rsid w:val="00866968"/>
    <w:rsid w:val="0086783C"/>
    <w:rsid w:val="00867AF0"/>
    <w:rsid w:val="00867C0E"/>
    <w:rsid w:val="008706DA"/>
    <w:rsid w:val="0087070F"/>
    <w:rsid w:val="0087078E"/>
    <w:rsid w:val="00870F1D"/>
    <w:rsid w:val="0087103E"/>
    <w:rsid w:val="00871494"/>
    <w:rsid w:val="008714C0"/>
    <w:rsid w:val="00871F6A"/>
    <w:rsid w:val="00872B32"/>
    <w:rsid w:val="00873620"/>
    <w:rsid w:val="00873675"/>
    <w:rsid w:val="00874515"/>
    <w:rsid w:val="0087469D"/>
    <w:rsid w:val="00874F3C"/>
    <w:rsid w:val="0087580E"/>
    <w:rsid w:val="00875857"/>
    <w:rsid w:val="00876659"/>
    <w:rsid w:val="00876953"/>
    <w:rsid w:val="0087702A"/>
    <w:rsid w:val="00877A5B"/>
    <w:rsid w:val="00877E64"/>
    <w:rsid w:val="008800FC"/>
    <w:rsid w:val="00880360"/>
    <w:rsid w:val="008804EA"/>
    <w:rsid w:val="008807D3"/>
    <w:rsid w:val="00880C48"/>
    <w:rsid w:val="00880E67"/>
    <w:rsid w:val="008815DB"/>
    <w:rsid w:val="00881B7F"/>
    <w:rsid w:val="00881C40"/>
    <w:rsid w:val="00881D55"/>
    <w:rsid w:val="00882F71"/>
    <w:rsid w:val="00883102"/>
    <w:rsid w:val="008832CA"/>
    <w:rsid w:val="008837CC"/>
    <w:rsid w:val="00883CAF"/>
    <w:rsid w:val="00884493"/>
    <w:rsid w:val="00884525"/>
    <w:rsid w:val="008845A8"/>
    <w:rsid w:val="00884683"/>
    <w:rsid w:val="00884D3C"/>
    <w:rsid w:val="00884F2F"/>
    <w:rsid w:val="0088510A"/>
    <w:rsid w:val="0088510D"/>
    <w:rsid w:val="00885556"/>
    <w:rsid w:val="00885990"/>
    <w:rsid w:val="00885F54"/>
    <w:rsid w:val="0088651C"/>
    <w:rsid w:val="008866FB"/>
    <w:rsid w:val="00886864"/>
    <w:rsid w:val="0088734F"/>
    <w:rsid w:val="008874C4"/>
    <w:rsid w:val="008876C6"/>
    <w:rsid w:val="00887F23"/>
    <w:rsid w:val="00890BBC"/>
    <w:rsid w:val="00890D49"/>
    <w:rsid w:val="008917BB"/>
    <w:rsid w:val="00891807"/>
    <w:rsid w:val="00891A45"/>
    <w:rsid w:val="00891C8C"/>
    <w:rsid w:val="0089214C"/>
    <w:rsid w:val="0089277F"/>
    <w:rsid w:val="00892BF5"/>
    <w:rsid w:val="00892F26"/>
    <w:rsid w:val="00893757"/>
    <w:rsid w:val="008943A1"/>
    <w:rsid w:val="00894595"/>
    <w:rsid w:val="00894639"/>
    <w:rsid w:val="00894AE6"/>
    <w:rsid w:val="00895003"/>
    <w:rsid w:val="00895610"/>
    <w:rsid w:val="00895827"/>
    <w:rsid w:val="00895E41"/>
    <w:rsid w:val="008964F9"/>
    <w:rsid w:val="0089653A"/>
    <w:rsid w:val="00896D42"/>
    <w:rsid w:val="0089720F"/>
    <w:rsid w:val="0089733D"/>
    <w:rsid w:val="008973D4"/>
    <w:rsid w:val="008A003B"/>
    <w:rsid w:val="008A0046"/>
    <w:rsid w:val="008A07AE"/>
    <w:rsid w:val="008A14E5"/>
    <w:rsid w:val="008A1C4B"/>
    <w:rsid w:val="008A22EA"/>
    <w:rsid w:val="008A25B9"/>
    <w:rsid w:val="008A2609"/>
    <w:rsid w:val="008A2660"/>
    <w:rsid w:val="008A2CFE"/>
    <w:rsid w:val="008A2DDC"/>
    <w:rsid w:val="008A32D8"/>
    <w:rsid w:val="008A3790"/>
    <w:rsid w:val="008A37CD"/>
    <w:rsid w:val="008A38BF"/>
    <w:rsid w:val="008A401B"/>
    <w:rsid w:val="008A4282"/>
    <w:rsid w:val="008A44B7"/>
    <w:rsid w:val="008A47FE"/>
    <w:rsid w:val="008A48A4"/>
    <w:rsid w:val="008A4B3E"/>
    <w:rsid w:val="008A55E6"/>
    <w:rsid w:val="008A581E"/>
    <w:rsid w:val="008A6A14"/>
    <w:rsid w:val="008A6F1D"/>
    <w:rsid w:val="008A73A3"/>
    <w:rsid w:val="008A750F"/>
    <w:rsid w:val="008A7D9D"/>
    <w:rsid w:val="008A7E20"/>
    <w:rsid w:val="008B02A5"/>
    <w:rsid w:val="008B0571"/>
    <w:rsid w:val="008B0888"/>
    <w:rsid w:val="008B0ABC"/>
    <w:rsid w:val="008B154A"/>
    <w:rsid w:val="008B187C"/>
    <w:rsid w:val="008B18C2"/>
    <w:rsid w:val="008B1D06"/>
    <w:rsid w:val="008B2EB1"/>
    <w:rsid w:val="008B2F7B"/>
    <w:rsid w:val="008B3132"/>
    <w:rsid w:val="008B325D"/>
    <w:rsid w:val="008B32D4"/>
    <w:rsid w:val="008B36EB"/>
    <w:rsid w:val="008B3964"/>
    <w:rsid w:val="008B3CBF"/>
    <w:rsid w:val="008B3D32"/>
    <w:rsid w:val="008B3F60"/>
    <w:rsid w:val="008B4BF0"/>
    <w:rsid w:val="008B4C84"/>
    <w:rsid w:val="008B4D38"/>
    <w:rsid w:val="008B4E29"/>
    <w:rsid w:val="008B525D"/>
    <w:rsid w:val="008B55FB"/>
    <w:rsid w:val="008B5617"/>
    <w:rsid w:val="008B5823"/>
    <w:rsid w:val="008B5E28"/>
    <w:rsid w:val="008B5F08"/>
    <w:rsid w:val="008B6059"/>
    <w:rsid w:val="008B6125"/>
    <w:rsid w:val="008B62A9"/>
    <w:rsid w:val="008B64EE"/>
    <w:rsid w:val="008B6A09"/>
    <w:rsid w:val="008B6D9D"/>
    <w:rsid w:val="008B6F3E"/>
    <w:rsid w:val="008B74C4"/>
    <w:rsid w:val="008B7672"/>
    <w:rsid w:val="008B7FFC"/>
    <w:rsid w:val="008C04C6"/>
    <w:rsid w:val="008C0B12"/>
    <w:rsid w:val="008C0EBE"/>
    <w:rsid w:val="008C119B"/>
    <w:rsid w:val="008C148F"/>
    <w:rsid w:val="008C1A90"/>
    <w:rsid w:val="008C1BA8"/>
    <w:rsid w:val="008C1DD6"/>
    <w:rsid w:val="008C2489"/>
    <w:rsid w:val="008C278D"/>
    <w:rsid w:val="008C29BA"/>
    <w:rsid w:val="008C31D9"/>
    <w:rsid w:val="008C3539"/>
    <w:rsid w:val="008C3590"/>
    <w:rsid w:val="008C35D0"/>
    <w:rsid w:val="008C3A9C"/>
    <w:rsid w:val="008C3F59"/>
    <w:rsid w:val="008C41AF"/>
    <w:rsid w:val="008C427F"/>
    <w:rsid w:val="008C4282"/>
    <w:rsid w:val="008C459E"/>
    <w:rsid w:val="008C496C"/>
    <w:rsid w:val="008C50BB"/>
    <w:rsid w:val="008C52D1"/>
    <w:rsid w:val="008C52E9"/>
    <w:rsid w:val="008C55BB"/>
    <w:rsid w:val="008C594D"/>
    <w:rsid w:val="008C69BA"/>
    <w:rsid w:val="008C6D82"/>
    <w:rsid w:val="008C763A"/>
    <w:rsid w:val="008C79D8"/>
    <w:rsid w:val="008C7BD5"/>
    <w:rsid w:val="008D0929"/>
    <w:rsid w:val="008D0D72"/>
    <w:rsid w:val="008D1190"/>
    <w:rsid w:val="008D1243"/>
    <w:rsid w:val="008D221A"/>
    <w:rsid w:val="008D2291"/>
    <w:rsid w:val="008D2922"/>
    <w:rsid w:val="008D3509"/>
    <w:rsid w:val="008D421C"/>
    <w:rsid w:val="008D4506"/>
    <w:rsid w:val="008D46E8"/>
    <w:rsid w:val="008D4810"/>
    <w:rsid w:val="008D4896"/>
    <w:rsid w:val="008D4910"/>
    <w:rsid w:val="008D4B16"/>
    <w:rsid w:val="008D5C0F"/>
    <w:rsid w:val="008D5D6C"/>
    <w:rsid w:val="008D5EED"/>
    <w:rsid w:val="008D5F98"/>
    <w:rsid w:val="008D5FCA"/>
    <w:rsid w:val="008D6204"/>
    <w:rsid w:val="008D622D"/>
    <w:rsid w:val="008D632E"/>
    <w:rsid w:val="008D6477"/>
    <w:rsid w:val="008D67EE"/>
    <w:rsid w:val="008D6A55"/>
    <w:rsid w:val="008D6AD2"/>
    <w:rsid w:val="008D6CA5"/>
    <w:rsid w:val="008D6E4C"/>
    <w:rsid w:val="008D73E4"/>
    <w:rsid w:val="008D7ED6"/>
    <w:rsid w:val="008D7FBA"/>
    <w:rsid w:val="008E02D7"/>
    <w:rsid w:val="008E0E03"/>
    <w:rsid w:val="008E1299"/>
    <w:rsid w:val="008E16A8"/>
    <w:rsid w:val="008E1F7D"/>
    <w:rsid w:val="008E2715"/>
    <w:rsid w:val="008E2740"/>
    <w:rsid w:val="008E2A97"/>
    <w:rsid w:val="008E2ECB"/>
    <w:rsid w:val="008E3169"/>
    <w:rsid w:val="008E3D0B"/>
    <w:rsid w:val="008E441C"/>
    <w:rsid w:val="008E4666"/>
    <w:rsid w:val="008E46F8"/>
    <w:rsid w:val="008E4B63"/>
    <w:rsid w:val="008E5136"/>
    <w:rsid w:val="008E5437"/>
    <w:rsid w:val="008E5925"/>
    <w:rsid w:val="008E62AB"/>
    <w:rsid w:val="008E679C"/>
    <w:rsid w:val="008E6987"/>
    <w:rsid w:val="008E6BD8"/>
    <w:rsid w:val="008E6EE6"/>
    <w:rsid w:val="008E7F88"/>
    <w:rsid w:val="008F01A4"/>
    <w:rsid w:val="008F025A"/>
    <w:rsid w:val="008F03EC"/>
    <w:rsid w:val="008F085E"/>
    <w:rsid w:val="008F0BAE"/>
    <w:rsid w:val="008F0F07"/>
    <w:rsid w:val="008F1346"/>
    <w:rsid w:val="008F162A"/>
    <w:rsid w:val="008F17BA"/>
    <w:rsid w:val="008F1E49"/>
    <w:rsid w:val="008F2017"/>
    <w:rsid w:val="008F238C"/>
    <w:rsid w:val="008F2603"/>
    <w:rsid w:val="008F26E5"/>
    <w:rsid w:val="008F28D4"/>
    <w:rsid w:val="008F2C06"/>
    <w:rsid w:val="008F2F8C"/>
    <w:rsid w:val="008F3037"/>
    <w:rsid w:val="008F433C"/>
    <w:rsid w:val="008F4784"/>
    <w:rsid w:val="008F4F3B"/>
    <w:rsid w:val="008F53B2"/>
    <w:rsid w:val="008F5529"/>
    <w:rsid w:val="008F584D"/>
    <w:rsid w:val="008F5EDB"/>
    <w:rsid w:val="008F63B8"/>
    <w:rsid w:val="008F65CE"/>
    <w:rsid w:val="008F6B9F"/>
    <w:rsid w:val="008F6BFE"/>
    <w:rsid w:val="008F7E06"/>
    <w:rsid w:val="008F7E68"/>
    <w:rsid w:val="009000E6"/>
    <w:rsid w:val="009003FD"/>
    <w:rsid w:val="0090135C"/>
    <w:rsid w:val="00901379"/>
    <w:rsid w:val="009017BF"/>
    <w:rsid w:val="00902938"/>
    <w:rsid w:val="00902CF8"/>
    <w:rsid w:val="0090318D"/>
    <w:rsid w:val="0090338A"/>
    <w:rsid w:val="00903814"/>
    <w:rsid w:val="00903A41"/>
    <w:rsid w:val="00903AF6"/>
    <w:rsid w:val="00903C27"/>
    <w:rsid w:val="00903C96"/>
    <w:rsid w:val="00904348"/>
    <w:rsid w:val="0090446C"/>
    <w:rsid w:val="0090504C"/>
    <w:rsid w:val="009051BA"/>
    <w:rsid w:val="00905201"/>
    <w:rsid w:val="009054A8"/>
    <w:rsid w:val="00905629"/>
    <w:rsid w:val="00905A0A"/>
    <w:rsid w:val="0090604C"/>
    <w:rsid w:val="00906175"/>
    <w:rsid w:val="009061D9"/>
    <w:rsid w:val="00906271"/>
    <w:rsid w:val="00906359"/>
    <w:rsid w:val="009065E2"/>
    <w:rsid w:val="00906802"/>
    <w:rsid w:val="0090690A"/>
    <w:rsid w:val="009071F8"/>
    <w:rsid w:val="00907234"/>
    <w:rsid w:val="0090723C"/>
    <w:rsid w:val="00907548"/>
    <w:rsid w:val="00907FC2"/>
    <w:rsid w:val="009101E6"/>
    <w:rsid w:val="00910615"/>
    <w:rsid w:val="00910919"/>
    <w:rsid w:val="00910C00"/>
    <w:rsid w:val="00910E1D"/>
    <w:rsid w:val="00910E31"/>
    <w:rsid w:val="00910F51"/>
    <w:rsid w:val="00911350"/>
    <w:rsid w:val="0091150F"/>
    <w:rsid w:val="009115A8"/>
    <w:rsid w:val="00911918"/>
    <w:rsid w:val="0091210C"/>
    <w:rsid w:val="009122FC"/>
    <w:rsid w:val="00912491"/>
    <w:rsid w:val="0091297D"/>
    <w:rsid w:val="00912D38"/>
    <w:rsid w:val="00912D54"/>
    <w:rsid w:val="00912E70"/>
    <w:rsid w:val="00913076"/>
    <w:rsid w:val="009134EC"/>
    <w:rsid w:val="00913756"/>
    <w:rsid w:val="00913AD5"/>
    <w:rsid w:val="00913B64"/>
    <w:rsid w:val="00913B8B"/>
    <w:rsid w:val="00913EA4"/>
    <w:rsid w:val="009141C6"/>
    <w:rsid w:val="00914886"/>
    <w:rsid w:val="009149B1"/>
    <w:rsid w:val="00914EDB"/>
    <w:rsid w:val="00915366"/>
    <w:rsid w:val="0091562C"/>
    <w:rsid w:val="00915983"/>
    <w:rsid w:val="00915AC4"/>
    <w:rsid w:val="00915C99"/>
    <w:rsid w:val="00915CE9"/>
    <w:rsid w:val="00915F67"/>
    <w:rsid w:val="0091626F"/>
    <w:rsid w:val="00916477"/>
    <w:rsid w:val="00916A40"/>
    <w:rsid w:val="00916E24"/>
    <w:rsid w:val="009172BA"/>
    <w:rsid w:val="009173D7"/>
    <w:rsid w:val="009176F5"/>
    <w:rsid w:val="0091793C"/>
    <w:rsid w:val="00917D68"/>
    <w:rsid w:val="009201BC"/>
    <w:rsid w:val="009201FD"/>
    <w:rsid w:val="0092051D"/>
    <w:rsid w:val="009205A7"/>
    <w:rsid w:val="00920D50"/>
    <w:rsid w:val="00920DD5"/>
    <w:rsid w:val="009217FB"/>
    <w:rsid w:val="00921802"/>
    <w:rsid w:val="00921CE9"/>
    <w:rsid w:val="00921D38"/>
    <w:rsid w:val="00921F3B"/>
    <w:rsid w:val="009221C8"/>
    <w:rsid w:val="00922854"/>
    <w:rsid w:val="00922C99"/>
    <w:rsid w:val="00922EA0"/>
    <w:rsid w:val="0092304A"/>
    <w:rsid w:val="0092339B"/>
    <w:rsid w:val="00923966"/>
    <w:rsid w:val="00923A7C"/>
    <w:rsid w:val="00923EF6"/>
    <w:rsid w:val="009241AE"/>
    <w:rsid w:val="00924218"/>
    <w:rsid w:val="0092439C"/>
    <w:rsid w:val="00924587"/>
    <w:rsid w:val="009247C0"/>
    <w:rsid w:val="00924DEE"/>
    <w:rsid w:val="0092542E"/>
    <w:rsid w:val="009257BB"/>
    <w:rsid w:val="00925B98"/>
    <w:rsid w:val="00925C62"/>
    <w:rsid w:val="00925E8F"/>
    <w:rsid w:val="00926C84"/>
    <w:rsid w:val="0092708C"/>
    <w:rsid w:val="009274C6"/>
    <w:rsid w:val="00927FEA"/>
    <w:rsid w:val="0093005E"/>
    <w:rsid w:val="0093014E"/>
    <w:rsid w:val="0093059F"/>
    <w:rsid w:val="00930714"/>
    <w:rsid w:val="009310AC"/>
    <w:rsid w:val="009313D1"/>
    <w:rsid w:val="00931689"/>
    <w:rsid w:val="00931B48"/>
    <w:rsid w:val="00931CBA"/>
    <w:rsid w:val="00931FA5"/>
    <w:rsid w:val="00932034"/>
    <w:rsid w:val="00932935"/>
    <w:rsid w:val="00933111"/>
    <w:rsid w:val="009335AB"/>
    <w:rsid w:val="009338F4"/>
    <w:rsid w:val="009339FB"/>
    <w:rsid w:val="00933FCC"/>
    <w:rsid w:val="00934E3D"/>
    <w:rsid w:val="00935004"/>
    <w:rsid w:val="009358C3"/>
    <w:rsid w:val="00935EAE"/>
    <w:rsid w:val="009360F8"/>
    <w:rsid w:val="00936704"/>
    <w:rsid w:val="00936AED"/>
    <w:rsid w:val="00937741"/>
    <w:rsid w:val="0094019B"/>
    <w:rsid w:val="00940555"/>
    <w:rsid w:val="00940A2F"/>
    <w:rsid w:val="00941012"/>
    <w:rsid w:val="009410B0"/>
    <w:rsid w:val="009410F1"/>
    <w:rsid w:val="0094115C"/>
    <w:rsid w:val="00941291"/>
    <w:rsid w:val="009412D1"/>
    <w:rsid w:val="009412FB"/>
    <w:rsid w:val="0094158B"/>
    <w:rsid w:val="009416AA"/>
    <w:rsid w:val="009416D7"/>
    <w:rsid w:val="00941D1D"/>
    <w:rsid w:val="00941E2D"/>
    <w:rsid w:val="009421B4"/>
    <w:rsid w:val="009425EC"/>
    <w:rsid w:val="00942E16"/>
    <w:rsid w:val="00942EA4"/>
    <w:rsid w:val="009431EE"/>
    <w:rsid w:val="009435CA"/>
    <w:rsid w:val="009435D9"/>
    <w:rsid w:val="0094368A"/>
    <w:rsid w:val="00943716"/>
    <w:rsid w:val="00943BAF"/>
    <w:rsid w:val="00943E2D"/>
    <w:rsid w:val="00944311"/>
    <w:rsid w:val="00944455"/>
    <w:rsid w:val="00944626"/>
    <w:rsid w:val="0094485B"/>
    <w:rsid w:val="00944D5D"/>
    <w:rsid w:val="00945A37"/>
    <w:rsid w:val="00945C66"/>
    <w:rsid w:val="00946034"/>
    <w:rsid w:val="009461ED"/>
    <w:rsid w:val="00947002"/>
    <w:rsid w:val="00947848"/>
    <w:rsid w:val="00947934"/>
    <w:rsid w:val="009501DF"/>
    <w:rsid w:val="00950672"/>
    <w:rsid w:val="00950C24"/>
    <w:rsid w:val="009516A3"/>
    <w:rsid w:val="009521D9"/>
    <w:rsid w:val="00953374"/>
    <w:rsid w:val="009534AE"/>
    <w:rsid w:val="0095377C"/>
    <w:rsid w:val="00953EF1"/>
    <w:rsid w:val="00954035"/>
    <w:rsid w:val="009542EC"/>
    <w:rsid w:val="00954EA9"/>
    <w:rsid w:val="00954FBF"/>
    <w:rsid w:val="0095511F"/>
    <w:rsid w:val="00955491"/>
    <w:rsid w:val="00956062"/>
    <w:rsid w:val="00956078"/>
    <w:rsid w:val="00956588"/>
    <w:rsid w:val="00956AD3"/>
    <w:rsid w:val="00956B23"/>
    <w:rsid w:val="00956CD2"/>
    <w:rsid w:val="00956F38"/>
    <w:rsid w:val="00956FB2"/>
    <w:rsid w:val="0095721F"/>
    <w:rsid w:val="009575DE"/>
    <w:rsid w:val="009578E0"/>
    <w:rsid w:val="00957E82"/>
    <w:rsid w:val="00957FF4"/>
    <w:rsid w:val="0096057A"/>
    <w:rsid w:val="00961A97"/>
    <w:rsid w:val="00961B56"/>
    <w:rsid w:val="00961C98"/>
    <w:rsid w:val="00961F44"/>
    <w:rsid w:val="00962049"/>
    <w:rsid w:val="00962191"/>
    <w:rsid w:val="009621A7"/>
    <w:rsid w:val="009622BB"/>
    <w:rsid w:val="00962424"/>
    <w:rsid w:val="00962519"/>
    <w:rsid w:val="00962549"/>
    <w:rsid w:val="009626F1"/>
    <w:rsid w:val="00962767"/>
    <w:rsid w:val="00962E8F"/>
    <w:rsid w:val="00963BB9"/>
    <w:rsid w:val="00964162"/>
    <w:rsid w:val="009641AF"/>
    <w:rsid w:val="009641FA"/>
    <w:rsid w:val="00964279"/>
    <w:rsid w:val="009644BD"/>
    <w:rsid w:val="00964526"/>
    <w:rsid w:val="00964798"/>
    <w:rsid w:val="00964A69"/>
    <w:rsid w:val="00964C34"/>
    <w:rsid w:val="00965DD9"/>
    <w:rsid w:val="00965EE1"/>
    <w:rsid w:val="00965F4B"/>
    <w:rsid w:val="00966455"/>
    <w:rsid w:val="0096647E"/>
    <w:rsid w:val="009669F7"/>
    <w:rsid w:val="00967864"/>
    <w:rsid w:val="00967E09"/>
    <w:rsid w:val="00970141"/>
    <w:rsid w:val="00970984"/>
    <w:rsid w:val="00970C93"/>
    <w:rsid w:val="00971772"/>
    <w:rsid w:val="009718C5"/>
    <w:rsid w:val="009719CC"/>
    <w:rsid w:val="00971E2E"/>
    <w:rsid w:val="00971FA9"/>
    <w:rsid w:val="00972368"/>
    <w:rsid w:val="00972998"/>
    <w:rsid w:val="00972A5F"/>
    <w:rsid w:val="00972B0C"/>
    <w:rsid w:val="009730BB"/>
    <w:rsid w:val="009733F4"/>
    <w:rsid w:val="009735D9"/>
    <w:rsid w:val="00973E15"/>
    <w:rsid w:val="00974230"/>
    <w:rsid w:val="009746C4"/>
    <w:rsid w:val="00974D16"/>
    <w:rsid w:val="0097537B"/>
    <w:rsid w:val="0097578C"/>
    <w:rsid w:val="009759FD"/>
    <w:rsid w:val="0097611B"/>
    <w:rsid w:val="00976702"/>
    <w:rsid w:val="0097673D"/>
    <w:rsid w:val="00976C93"/>
    <w:rsid w:val="00977C32"/>
    <w:rsid w:val="00980111"/>
    <w:rsid w:val="00980637"/>
    <w:rsid w:val="009807AF"/>
    <w:rsid w:val="009809EA"/>
    <w:rsid w:val="00980E79"/>
    <w:rsid w:val="009816C4"/>
    <w:rsid w:val="00981726"/>
    <w:rsid w:val="00981C23"/>
    <w:rsid w:val="00982D07"/>
    <w:rsid w:val="0098323E"/>
    <w:rsid w:val="00983697"/>
    <w:rsid w:val="00983ABC"/>
    <w:rsid w:val="00983ACD"/>
    <w:rsid w:val="00983FD7"/>
    <w:rsid w:val="00984742"/>
    <w:rsid w:val="0098618B"/>
    <w:rsid w:val="009869AE"/>
    <w:rsid w:val="00986B8D"/>
    <w:rsid w:val="00986E46"/>
    <w:rsid w:val="0098702A"/>
    <w:rsid w:val="009877A9"/>
    <w:rsid w:val="00987D56"/>
    <w:rsid w:val="00987E37"/>
    <w:rsid w:val="00987EAF"/>
    <w:rsid w:val="009901FF"/>
    <w:rsid w:val="00990568"/>
    <w:rsid w:val="00990DFB"/>
    <w:rsid w:val="00990FAA"/>
    <w:rsid w:val="0099117D"/>
    <w:rsid w:val="00991837"/>
    <w:rsid w:val="00991D69"/>
    <w:rsid w:val="009921DC"/>
    <w:rsid w:val="00992249"/>
    <w:rsid w:val="0099278B"/>
    <w:rsid w:val="0099299A"/>
    <w:rsid w:val="00992B55"/>
    <w:rsid w:val="00992CB0"/>
    <w:rsid w:val="00992F57"/>
    <w:rsid w:val="0099322E"/>
    <w:rsid w:val="00993ABD"/>
    <w:rsid w:val="00993BB7"/>
    <w:rsid w:val="00993C60"/>
    <w:rsid w:val="00993C98"/>
    <w:rsid w:val="00994EBC"/>
    <w:rsid w:val="00995192"/>
    <w:rsid w:val="009953FA"/>
    <w:rsid w:val="0099542F"/>
    <w:rsid w:val="009955DF"/>
    <w:rsid w:val="00995928"/>
    <w:rsid w:val="00995F9F"/>
    <w:rsid w:val="00996F17"/>
    <w:rsid w:val="009975FD"/>
    <w:rsid w:val="0099774E"/>
    <w:rsid w:val="00997F7B"/>
    <w:rsid w:val="009A095C"/>
    <w:rsid w:val="009A09E4"/>
    <w:rsid w:val="009A0BCB"/>
    <w:rsid w:val="009A0DF1"/>
    <w:rsid w:val="009A0E30"/>
    <w:rsid w:val="009A0EB2"/>
    <w:rsid w:val="009A108C"/>
    <w:rsid w:val="009A1112"/>
    <w:rsid w:val="009A1539"/>
    <w:rsid w:val="009A1BE2"/>
    <w:rsid w:val="009A1C2B"/>
    <w:rsid w:val="009A24E3"/>
    <w:rsid w:val="009A29D4"/>
    <w:rsid w:val="009A30BD"/>
    <w:rsid w:val="009A3157"/>
    <w:rsid w:val="009A32E6"/>
    <w:rsid w:val="009A3472"/>
    <w:rsid w:val="009A363C"/>
    <w:rsid w:val="009A3882"/>
    <w:rsid w:val="009A3E77"/>
    <w:rsid w:val="009A4421"/>
    <w:rsid w:val="009A5149"/>
    <w:rsid w:val="009A570D"/>
    <w:rsid w:val="009A601B"/>
    <w:rsid w:val="009A61FA"/>
    <w:rsid w:val="009A6421"/>
    <w:rsid w:val="009A672F"/>
    <w:rsid w:val="009A68A8"/>
    <w:rsid w:val="009A6B33"/>
    <w:rsid w:val="009A6D4F"/>
    <w:rsid w:val="009A6FDA"/>
    <w:rsid w:val="009A7BE8"/>
    <w:rsid w:val="009B0222"/>
    <w:rsid w:val="009B131F"/>
    <w:rsid w:val="009B1631"/>
    <w:rsid w:val="009B2021"/>
    <w:rsid w:val="009B2F7F"/>
    <w:rsid w:val="009B363C"/>
    <w:rsid w:val="009B3660"/>
    <w:rsid w:val="009B392E"/>
    <w:rsid w:val="009B3BEB"/>
    <w:rsid w:val="009B422C"/>
    <w:rsid w:val="009B479F"/>
    <w:rsid w:val="009B48B8"/>
    <w:rsid w:val="009B4B80"/>
    <w:rsid w:val="009B4BAD"/>
    <w:rsid w:val="009B4DCB"/>
    <w:rsid w:val="009B55AD"/>
    <w:rsid w:val="009B5705"/>
    <w:rsid w:val="009B5BDE"/>
    <w:rsid w:val="009B5E83"/>
    <w:rsid w:val="009B6C13"/>
    <w:rsid w:val="009B6F60"/>
    <w:rsid w:val="009B6F6C"/>
    <w:rsid w:val="009B706B"/>
    <w:rsid w:val="009B71F0"/>
    <w:rsid w:val="009C00B9"/>
    <w:rsid w:val="009C079E"/>
    <w:rsid w:val="009C0E36"/>
    <w:rsid w:val="009C1082"/>
    <w:rsid w:val="009C10CE"/>
    <w:rsid w:val="009C10DC"/>
    <w:rsid w:val="009C1300"/>
    <w:rsid w:val="009C17AF"/>
    <w:rsid w:val="009C18FA"/>
    <w:rsid w:val="009C1E36"/>
    <w:rsid w:val="009C2993"/>
    <w:rsid w:val="009C2BA5"/>
    <w:rsid w:val="009C2C02"/>
    <w:rsid w:val="009C2F42"/>
    <w:rsid w:val="009C319E"/>
    <w:rsid w:val="009C3664"/>
    <w:rsid w:val="009C3FE0"/>
    <w:rsid w:val="009C4137"/>
    <w:rsid w:val="009C433C"/>
    <w:rsid w:val="009C436D"/>
    <w:rsid w:val="009C4463"/>
    <w:rsid w:val="009C4D44"/>
    <w:rsid w:val="009C5464"/>
    <w:rsid w:val="009C56FF"/>
    <w:rsid w:val="009C57DC"/>
    <w:rsid w:val="009C5C39"/>
    <w:rsid w:val="009C6A0E"/>
    <w:rsid w:val="009C6BF2"/>
    <w:rsid w:val="009C6D29"/>
    <w:rsid w:val="009C6F14"/>
    <w:rsid w:val="009C6FBD"/>
    <w:rsid w:val="009D00F7"/>
    <w:rsid w:val="009D011B"/>
    <w:rsid w:val="009D03C7"/>
    <w:rsid w:val="009D0462"/>
    <w:rsid w:val="009D0985"/>
    <w:rsid w:val="009D0A91"/>
    <w:rsid w:val="009D0AF1"/>
    <w:rsid w:val="009D0DAA"/>
    <w:rsid w:val="009D0F99"/>
    <w:rsid w:val="009D12FC"/>
    <w:rsid w:val="009D1315"/>
    <w:rsid w:val="009D139C"/>
    <w:rsid w:val="009D192C"/>
    <w:rsid w:val="009D1A32"/>
    <w:rsid w:val="009D1CEE"/>
    <w:rsid w:val="009D207A"/>
    <w:rsid w:val="009D2859"/>
    <w:rsid w:val="009D2CC5"/>
    <w:rsid w:val="009D3495"/>
    <w:rsid w:val="009D37C9"/>
    <w:rsid w:val="009D45B1"/>
    <w:rsid w:val="009D4683"/>
    <w:rsid w:val="009D4E0B"/>
    <w:rsid w:val="009D4FF3"/>
    <w:rsid w:val="009D50C0"/>
    <w:rsid w:val="009D5AE4"/>
    <w:rsid w:val="009D5FC5"/>
    <w:rsid w:val="009D5FDC"/>
    <w:rsid w:val="009D6148"/>
    <w:rsid w:val="009D6234"/>
    <w:rsid w:val="009D6345"/>
    <w:rsid w:val="009D6655"/>
    <w:rsid w:val="009D7411"/>
    <w:rsid w:val="009D7A61"/>
    <w:rsid w:val="009E00F5"/>
    <w:rsid w:val="009E0114"/>
    <w:rsid w:val="009E0260"/>
    <w:rsid w:val="009E02B4"/>
    <w:rsid w:val="009E03E7"/>
    <w:rsid w:val="009E0810"/>
    <w:rsid w:val="009E0BFC"/>
    <w:rsid w:val="009E0D79"/>
    <w:rsid w:val="009E10FA"/>
    <w:rsid w:val="009E11DF"/>
    <w:rsid w:val="009E13AE"/>
    <w:rsid w:val="009E2074"/>
    <w:rsid w:val="009E239B"/>
    <w:rsid w:val="009E2856"/>
    <w:rsid w:val="009E2DE0"/>
    <w:rsid w:val="009E2F2F"/>
    <w:rsid w:val="009E34B8"/>
    <w:rsid w:val="009E362B"/>
    <w:rsid w:val="009E3651"/>
    <w:rsid w:val="009E3731"/>
    <w:rsid w:val="009E3C75"/>
    <w:rsid w:val="009E3D4F"/>
    <w:rsid w:val="009E4234"/>
    <w:rsid w:val="009E42EF"/>
    <w:rsid w:val="009E493B"/>
    <w:rsid w:val="009E49CC"/>
    <w:rsid w:val="009E4A45"/>
    <w:rsid w:val="009E4DC2"/>
    <w:rsid w:val="009E4DD8"/>
    <w:rsid w:val="009E4F84"/>
    <w:rsid w:val="009E553B"/>
    <w:rsid w:val="009E57D2"/>
    <w:rsid w:val="009E57E0"/>
    <w:rsid w:val="009E5F46"/>
    <w:rsid w:val="009E6799"/>
    <w:rsid w:val="009E6B45"/>
    <w:rsid w:val="009E6B94"/>
    <w:rsid w:val="009E6E9F"/>
    <w:rsid w:val="009E704F"/>
    <w:rsid w:val="009E712C"/>
    <w:rsid w:val="009E7484"/>
    <w:rsid w:val="009E776E"/>
    <w:rsid w:val="009F006F"/>
    <w:rsid w:val="009F00E6"/>
    <w:rsid w:val="009F05C2"/>
    <w:rsid w:val="009F0C2B"/>
    <w:rsid w:val="009F195C"/>
    <w:rsid w:val="009F1AAE"/>
    <w:rsid w:val="009F1B08"/>
    <w:rsid w:val="009F1D27"/>
    <w:rsid w:val="009F1E14"/>
    <w:rsid w:val="009F1F66"/>
    <w:rsid w:val="009F23A4"/>
    <w:rsid w:val="009F2DF0"/>
    <w:rsid w:val="009F2F4C"/>
    <w:rsid w:val="009F30D6"/>
    <w:rsid w:val="009F3D70"/>
    <w:rsid w:val="009F3DE4"/>
    <w:rsid w:val="009F46E9"/>
    <w:rsid w:val="009F47D8"/>
    <w:rsid w:val="009F514D"/>
    <w:rsid w:val="009F5651"/>
    <w:rsid w:val="009F5950"/>
    <w:rsid w:val="009F5AF1"/>
    <w:rsid w:val="009F5C8D"/>
    <w:rsid w:val="009F5D1E"/>
    <w:rsid w:val="009F5E68"/>
    <w:rsid w:val="009F615B"/>
    <w:rsid w:val="009F62CA"/>
    <w:rsid w:val="009F631B"/>
    <w:rsid w:val="009F7C32"/>
    <w:rsid w:val="00A003F2"/>
    <w:rsid w:val="00A00873"/>
    <w:rsid w:val="00A00BBD"/>
    <w:rsid w:val="00A011A7"/>
    <w:rsid w:val="00A014B8"/>
    <w:rsid w:val="00A02775"/>
    <w:rsid w:val="00A029CF"/>
    <w:rsid w:val="00A02D0F"/>
    <w:rsid w:val="00A03186"/>
    <w:rsid w:val="00A03404"/>
    <w:rsid w:val="00A0344D"/>
    <w:rsid w:val="00A03496"/>
    <w:rsid w:val="00A03798"/>
    <w:rsid w:val="00A04E22"/>
    <w:rsid w:val="00A05812"/>
    <w:rsid w:val="00A05B99"/>
    <w:rsid w:val="00A05D84"/>
    <w:rsid w:val="00A06BF2"/>
    <w:rsid w:val="00A06C50"/>
    <w:rsid w:val="00A07364"/>
    <w:rsid w:val="00A07BD8"/>
    <w:rsid w:val="00A1009E"/>
    <w:rsid w:val="00A1019F"/>
    <w:rsid w:val="00A10A80"/>
    <w:rsid w:val="00A10B21"/>
    <w:rsid w:val="00A110FA"/>
    <w:rsid w:val="00A11150"/>
    <w:rsid w:val="00A112B8"/>
    <w:rsid w:val="00A113ED"/>
    <w:rsid w:val="00A118F2"/>
    <w:rsid w:val="00A11F22"/>
    <w:rsid w:val="00A122A9"/>
    <w:rsid w:val="00A125FC"/>
    <w:rsid w:val="00A12B28"/>
    <w:rsid w:val="00A130F8"/>
    <w:rsid w:val="00A131AE"/>
    <w:rsid w:val="00A135D6"/>
    <w:rsid w:val="00A13998"/>
    <w:rsid w:val="00A13F58"/>
    <w:rsid w:val="00A145AE"/>
    <w:rsid w:val="00A146EA"/>
    <w:rsid w:val="00A14A92"/>
    <w:rsid w:val="00A14F9F"/>
    <w:rsid w:val="00A15EA5"/>
    <w:rsid w:val="00A164B1"/>
    <w:rsid w:val="00A16A69"/>
    <w:rsid w:val="00A1736C"/>
    <w:rsid w:val="00A17425"/>
    <w:rsid w:val="00A17B6B"/>
    <w:rsid w:val="00A17BA2"/>
    <w:rsid w:val="00A17FED"/>
    <w:rsid w:val="00A20CDE"/>
    <w:rsid w:val="00A21206"/>
    <w:rsid w:val="00A2193E"/>
    <w:rsid w:val="00A21B7B"/>
    <w:rsid w:val="00A222F9"/>
    <w:rsid w:val="00A224F8"/>
    <w:rsid w:val="00A22607"/>
    <w:rsid w:val="00A23B81"/>
    <w:rsid w:val="00A242CB"/>
    <w:rsid w:val="00A24313"/>
    <w:rsid w:val="00A24574"/>
    <w:rsid w:val="00A24D48"/>
    <w:rsid w:val="00A25D6F"/>
    <w:rsid w:val="00A263D4"/>
    <w:rsid w:val="00A26691"/>
    <w:rsid w:val="00A2688C"/>
    <w:rsid w:val="00A27305"/>
    <w:rsid w:val="00A278A3"/>
    <w:rsid w:val="00A27CE7"/>
    <w:rsid w:val="00A27D2B"/>
    <w:rsid w:val="00A30058"/>
    <w:rsid w:val="00A30232"/>
    <w:rsid w:val="00A30828"/>
    <w:rsid w:val="00A309C6"/>
    <w:rsid w:val="00A31144"/>
    <w:rsid w:val="00A31C59"/>
    <w:rsid w:val="00A31DA2"/>
    <w:rsid w:val="00A31E6D"/>
    <w:rsid w:val="00A31ED4"/>
    <w:rsid w:val="00A32831"/>
    <w:rsid w:val="00A32D01"/>
    <w:rsid w:val="00A3314C"/>
    <w:rsid w:val="00A33733"/>
    <w:rsid w:val="00A337AD"/>
    <w:rsid w:val="00A338B2"/>
    <w:rsid w:val="00A339E9"/>
    <w:rsid w:val="00A33F52"/>
    <w:rsid w:val="00A3430F"/>
    <w:rsid w:val="00A34906"/>
    <w:rsid w:val="00A34F51"/>
    <w:rsid w:val="00A356E1"/>
    <w:rsid w:val="00A35F79"/>
    <w:rsid w:val="00A35FD2"/>
    <w:rsid w:val="00A362B8"/>
    <w:rsid w:val="00A36463"/>
    <w:rsid w:val="00A369A7"/>
    <w:rsid w:val="00A36F05"/>
    <w:rsid w:val="00A373F7"/>
    <w:rsid w:val="00A37659"/>
    <w:rsid w:val="00A3787B"/>
    <w:rsid w:val="00A37950"/>
    <w:rsid w:val="00A4080F"/>
    <w:rsid w:val="00A40912"/>
    <w:rsid w:val="00A40D70"/>
    <w:rsid w:val="00A4128D"/>
    <w:rsid w:val="00A416FB"/>
    <w:rsid w:val="00A41B61"/>
    <w:rsid w:val="00A41BE5"/>
    <w:rsid w:val="00A41CE0"/>
    <w:rsid w:val="00A4205D"/>
    <w:rsid w:val="00A42BD6"/>
    <w:rsid w:val="00A42CF9"/>
    <w:rsid w:val="00A42D17"/>
    <w:rsid w:val="00A4327A"/>
    <w:rsid w:val="00A432A6"/>
    <w:rsid w:val="00A43D07"/>
    <w:rsid w:val="00A43FB2"/>
    <w:rsid w:val="00A4434B"/>
    <w:rsid w:val="00A4438C"/>
    <w:rsid w:val="00A447BD"/>
    <w:rsid w:val="00A44E05"/>
    <w:rsid w:val="00A46422"/>
    <w:rsid w:val="00A46CA7"/>
    <w:rsid w:val="00A47A8F"/>
    <w:rsid w:val="00A47AB4"/>
    <w:rsid w:val="00A515F4"/>
    <w:rsid w:val="00A52084"/>
    <w:rsid w:val="00A522BC"/>
    <w:rsid w:val="00A52409"/>
    <w:rsid w:val="00A52695"/>
    <w:rsid w:val="00A52862"/>
    <w:rsid w:val="00A52E2E"/>
    <w:rsid w:val="00A5337C"/>
    <w:rsid w:val="00A53675"/>
    <w:rsid w:val="00A536AA"/>
    <w:rsid w:val="00A5380A"/>
    <w:rsid w:val="00A541FC"/>
    <w:rsid w:val="00A545B5"/>
    <w:rsid w:val="00A54A45"/>
    <w:rsid w:val="00A54A53"/>
    <w:rsid w:val="00A54A62"/>
    <w:rsid w:val="00A54FC1"/>
    <w:rsid w:val="00A55008"/>
    <w:rsid w:val="00A55057"/>
    <w:rsid w:val="00A55068"/>
    <w:rsid w:val="00A55585"/>
    <w:rsid w:val="00A55BFC"/>
    <w:rsid w:val="00A55FD7"/>
    <w:rsid w:val="00A55FED"/>
    <w:rsid w:val="00A56018"/>
    <w:rsid w:val="00A56306"/>
    <w:rsid w:val="00A56668"/>
    <w:rsid w:val="00A569DD"/>
    <w:rsid w:val="00A56D9C"/>
    <w:rsid w:val="00A56E16"/>
    <w:rsid w:val="00A56EF8"/>
    <w:rsid w:val="00A574F5"/>
    <w:rsid w:val="00A579D8"/>
    <w:rsid w:val="00A60187"/>
    <w:rsid w:val="00A60280"/>
    <w:rsid w:val="00A6075F"/>
    <w:rsid w:val="00A60DFF"/>
    <w:rsid w:val="00A614A2"/>
    <w:rsid w:val="00A614E1"/>
    <w:rsid w:val="00A61EC4"/>
    <w:rsid w:val="00A622A9"/>
    <w:rsid w:val="00A62300"/>
    <w:rsid w:val="00A62384"/>
    <w:rsid w:val="00A623DF"/>
    <w:rsid w:val="00A626CE"/>
    <w:rsid w:val="00A62FD8"/>
    <w:rsid w:val="00A63175"/>
    <w:rsid w:val="00A631F5"/>
    <w:rsid w:val="00A634B8"/>
    <w:rsid w:val="00A639A9"/>
    <w:rsid w:val="00A63C79"/>
    <w:rsid w:val="00A63DC7"/>
    <w:rsid w:val="00A64039"/>
    <w:rsid w:val="00A64186"/>
    <w:rsid w:val="00A649AB"/>
    <w:rsid w:val="00A64A60"/>
    <w:rsid w:val="00A65170"/>
    <w:rsid w:val="00A65211"/>
    <w:rsid w:val="00A65233"/>
    <w:rsid w:val="00A6546C"/>
    <w:rsid w:val="00A655A7"/>
    <w:rsid w:val="00A6586A"/>
    <w:rsid w:val="00A6590A"/>
    <w:rsid w:val="00A65A72"/>
    <w:rsid w:val="00A65B91"/>
    <w:rsid w:val="00A660A6"/>
    <w:rsid w:val="00A6632E"/>
    <w:rsid w:val="00A67135"/>
    <w:rsid w:val="00A67DCB"/>
    <w:rsid w:val="00A70084"/>
    <w:rsid w:val="00A70102"/>
    <w:rsid w:val="00A70259"/>
    <w:rsid w:val="00A704BB"/>
    <w:rsid w:val="00A70C36"/>
    <w:rsid w:val="00A70D01"/>
    <w:rsid w:val="00A70D28"/>
    <w:rsid w:val="00A7125B"/>
    <w:rsid w:val="00A715FF"/>
    <w:rsid w:val="00A720E1"/>
    <w:rsid w:val="00A7219E"/>
    <w:rsid w:val="00A72321"/>
    <w:rsid w:val="00A72372"/>
    <w:rsid w:val="00A7254E"/>
    <w:rsid w:val="00A7258A"/>
    <w:rsid w:val="00A72837"/>
    <w:rsid w:val="00A734F7"/>
    <w:rsid w:val="00A7378B"/>
    <w:rsid w:val="00A73A43"/>
    <w:rsid w:val="00A74675"/>
    <w:rsid w:val="00A74824"/>
    <w:rsid w:val="00A74AC8"/>
    <w:rsid w:val="00A74AF5"/>
    <w:rsid w:val="00A74C5D"/>
    <w:rsid w:val="00A7510A"/>
    <w:rsid w:val="00A75149"/>
    <w:rsid w:val="00A7569F"/>
    <w:rsid w:val="00A75803"/>
    <w:rsid w:val="00A75AF3"/>
    <w:rsid w:val="00A75E4D"/>
    <w:rsid w:val="00A76144"/>
    <w:rsid w:val="00A76539"/>
    <w:rsid w:val="00A76C18"/>
    <w:rsid w:val="00A76EB9"/>
    <w:rsid w:val="00A76F17"/>
    <w:rsid w:val="00A775D0"/>
    <w:rsid w:val="00A77A65"/>
    <w:rsid w:val="00A77B44"/>
    <w:rsid w:val="00A8060F"/>
    <w:rsid w:val="00A80BA4"/>
    <w:rsid w:val="00A80EEA"/>
    <w:rsid w:val="00A8141D"/>
    <w:rsid w:val="00A81686"/>
    <w:rsid w:val="00A81B10"/>
    <w:rsid w:val="00A822BA"/>
    <w:rsid w:val="00A826DD"/>
    <w:rsid w:val="00A82834"/>
    <w:rsid w:val="00A828A5"/>
    <w:rsid w:val="00A82C47"/>
    <w:rsid w:val="00A82D5B"/>
    <w:rsid w:val="00A83762"/>
    <w:rsid w:val="00A837CC"/>
    <w:rsid w:val="00A83C71"/>
    <w:rsid w:val="00A83CF1"/>
    <w:rsid w:val="00A83E29"/>
    <w:rsid w:val="00A84005"/>
    <w:rsid w:val="00A8401C"/>
    <w:rsid w:val="00A84039"/>
    <w:rsid w:val="00A8449F"/>
    <w:rsid w:val="00A84522"/>
    <w:rsid w:val="00A847A6"/>
    <w:rsid w:val="00A85AD4"/>
    <w:rsid w:val="00A85B06"/>
    <w:rsid w:val="00A85E9C"/>
    <w:rsid w:val="00A8609C"/>
    <w:rsid w:val="00A868C5"/>
    <w:rsid w:val="00A868FA"/>
    <w:rsid w:val="00A86D84"/>
    <w:rsid w:val="00A86F5E"/>
    <w:rsid w:val="00A86FDD"/>
    <w:rsid w:val="00A87171"/>
    <w:rsid w:val="00A87411"/>
    <w:rsid w:val="00A8755B"/>
    <w:rsid w:val="00A87ACB"/>
    <w:rsid w:val="00A87B01"/>
    <w:rsid w:val="00A902D8"/>
    <w:rsid w:val="00A902EF"/>
    <w:rsid w:val="00A9085C"/>
    <w:rsid w:val="00A9103C"/>
    <w:rsid w:val="00A917B0"/>
    <w:rsid w:val="00A92292"/>
    <w:rsid w:val="00A922D7"/>
    <w:rsid w:val="00A92B73"/>
    <w:rsid w:val="00A930F3"/>
    <w:rsid w:val="00A93E83"/>
    <w:rsid w:val="00A93F7E"/>
    <w:rsid w:val="00A93FEB"/>
    <w:rsid w:val="00A94459"/>
    <w:rsid w:val="00A949D9"/>
    <w:rsid w:val="00A955BD"/>
    <w:rsid w:val="00A956E3"/>
    <w:rsid w:val="00A964DB"/>
    <w:rsid w:val="00A96D9B"/>
    <w:rsid w:val="00A96F32"/>
    <w:rsid w:val="00A96FAC"/>
    <w:rsid w:val="00A97081"/>
    <w:rsid w:val="00A9769F"/>
    <w:rsid w:val="00A978FB"/>
    <w:rsid w:val="00A97F57"/>
    <w:rsid w:val="00AA0507"/>
    <w:rsid w:val="00AA0522"/>
    <w:rsid w:val="00AA0798"/>
    <w:rsid w:val="00AA07D3"/>
    <w:rsid w:val="00AA0AD8"/>
    <w:rsid w:val="00AA0F2F"/>
    <w:rsid w:val="00AA17A2"/>
    <w:rsid w:val="00AA187E"/>
    <w:rsid w:val="00AA1E59"/>
    <w:rsid w:val="00AA1EA6"/>
    <w:rsid w:val="00AA1EB0"/>
    <w:rsid w:val="00AA2CD9"/>
    <w:rsid w:val="00AA2F06"/>
    <w:rsid w:val="00AA303D"/>
    <w:rsid w:val="00AA369B"/>
    <w:rsid w:val="00AA4432"/>
    <w:rsid w:val="00AA516A"/>
    <w:rsid w:val="00AA5389"/>
    <w:rsid w:val="00AA5CC5"/>
    <w:rsid w:val="00AA65B1"/>
    <w:rsid w:val="00AA67DD"/>
    <w:rsid w:val="00AA7EBF"/>
    <w:rsid w:val="00AB02EB"/>
    <w:rsid w:val="00AB072F"/>
    <w:rsid w:val="00AB0B9F"/>
    <w:rsid w:val="00AB1253"/>
    <w:rsid w:val="00AB12F9"/>
    <w:rsid w:val="00AB1421"/>
    <w:rsid w:val="00AB191C"/>
    <w:rsid w:val="00AB1F0E"/>
    <w:rsid w:val="00AB1FE8"/>
    <w:rsid w:val="00AB2538"/>
    <w:rsid w:val="00AB2C9C"/>
    <w:rsid w:val="00AB2DDD"/>
    <w:rsid w:val="00AB3328"/>
    <w:rsid w:val="00AB34E4"/>
    <w:rsid w:val="00AB36FA"/>
    <w:rsid w:val="00AB3B97"/>
    <w:rsid w:val="00AB4F23"/>
    <w:rsid w:val="00AB50E9"/>
    <w:rsid w:val="00AB517E"/>
    <w:rsid w:val="00AB5595"/>
    <w:rsid w:val="00AB5E5C"/>
    <w:rsid w:val="00AB5FB5"/>
    <w:rsid w:val="00AB666E"/>
    <w:rsid w:val="00AB757F"/>
    <w:rsid w:val="00AB7825"/>
    <w:rsid w:val="00AB78C2"/>
    <w:rsid w:val="00AB7B95"/>
    <w:rsid w:val="00AC02EC"/>
    <w:rsid w:val="00AC042B"/>
    <w:rsid w:val="00AC0445"/>
    <w:rsid w:val="00AC0746"/>
    <w:rsid w:val="00AC0954"/>
    <w:rsid w:val="00AC1176"/>
    <w:rsid w:val="00AC12E3"/>
    <w:rsid w:val="00AC1505"/>
    <w:rsid w:val="00AC193D"/>
    <w:rsid w:val="00AC1B18"/>
    <w:rsid w:val="00AC1B29"/>
    <w:rsid w:val="00AC1B91"/>
    <w:rsid w:val="00AC1D68"/>
    <w:rsid w:val="00AC2210"/>
    <w:rsid w:val="00AC2244"/>
    <w:rsid w:val="00AC2917"/>
    <w:rsid w:val="00AC2A9B"/>
    <w:rsid w:val="00AC2AD2"/>
    <w:rsid w:val="00AC2E58"/>
    <w:rsid w:val="00AC30C8"/>
    <w:rsid w:val="00AC3119"/>
    <w:rsid w:val="00AC49F3"/>
    <w:rsid w:val="00AC4ABA"/>
    <w:rsid w:val="00AC4C9B"/>
    <w:rsid w:val="00AC4CA2"/>
    <w:rsid w:val="00AC5333"/>
    <w:rsid w:val="00AC5353"/>
    <w:rsid w:val="00AC55D5"/>
    <w:rsid w:val="00AC565D"/>
    <w:rsid w:val="00AC5EA0"/>
    <w:rsid w:val="00AC610E"/>
    <w:rsid w:val="00AC67CF"/>
    <w:rsid w:val="00AC6889"/>
    <w:rsid w:val="00AC68A2"/>
    <w:rsid w:val="00AC6E5E"/>
    <w:rsid w:val="00AC707B"/>
    <w:rsid w:val="00AC7BA6"/>
    <w:rsid w:val="00AC7FB8"/>
    <w:rsid w:val="00AD02EA"/>
    <w:rsid w:val="00AD0383"/>
    <w:rsid w:val="00AD087B"/>
    <w:rsid w:val="00AD0CF0"/>
    <w:rsid w:val="00AD168A"/>
    <w:rsid w:val="00AD1C93"/>
    <w:rsid w:val="00AD1E06"/>
    <w:rsid w:val="00AD22B4"/>
    <w:rsid w:val="00AD2553"/>
    <w:rsid w:val="00AD30B5"/>
    <w:rsid w:val="00AD326B"/>
    <w:rsid w:val="00AD32DE"/>
    <w:rsid w:val="00AD3A28"/>
    <w:rsid w:val="00AD4975"/>
    <w:rsid w:val="00AD51E1"/>
    <w:rsid w:val="00AD59AD"/>
    <w:rsid w:val="00AD5C40"/>
    <w:rsid w:val="00AD61E1"/>
    <w:rsid w:val="00AD674B"/>
    <w:rsid w:val="00AD712B"/>
    <w:rsid w:val="00AD7990"/>
    <w:rsid w:val="00AD79D8"/>
    <w:rsid w:val="00AE00D5"/>
    <w:rsid w:val="00AE0237"/>
    <w:rsid w:val="00AE09E2"/>
    <w:rsid w:val="00AE0AEE"/>
    <w:rsid w:val="00AE0B37"/>
    <w:rsid w:val="00AE0C2F"/>
    <w:rsid w:val="00AE12C8"/>
    <w:rsid w:val="00AE1369"/>
    <w:rsid w:val="00AE17D4"/>
    <w:rsid w:val="00AE189C"/>
    <w:rsid w:val="00AE1FFE"/>
    <w:rsid w:val="00AE24E0"/>
    <w:rsid w:val="00AE27E5"/>
    <w:rsid w:val="00AE2BBE"/>
    <w:rsid w:val="00AE2F1D"/>
    <w:rsid w:val="00AE3473"/>
    <w:rsid w:val="00AE3DF2"/>
    <w:rsid w:val="00AE4221"/>
    <w:rsid w:val="00AE44F7"/>
    <w:rsid w:val="00AE48B4"/>
    <w:rsid w:val="00AE4C5E"/>
    <w:rsid w:val="00AE4CF2"/>
    <w:rsid w:val="00AE50A4"/>
    <w:rsid w:val="00AE52DB"/>
    <w:rsid w:val="00AE5373"/>
    <w:rsid w:val="00AE54A6"/>
    <w:rsid w:val="00AE5A4C"/>
    <w:rsid w:val="00AE61DF"/>
    <w:rsid w:val="00AE65E3"/>
    <w:rsid w:val="00AE6A66"/>
    <w:rsid w:val="00AE6C38"/>
    <w:rsid w:val="00AE6F47"/>
    <w:rsid w:val="00AE74AB"/>
    <w:rsid w:val="00AE7D29"/>
    <w:rsid w:val="00AF0179"/>
    <w:rsid w:val="00AF0CA5"/>
    <w:rsid w:val="00AF111E"/>
    <w:rsid w:val="00AF204A"/>
    <w:rsid w:val="00AF2584"/>
    <w:rsid w:val="00AF2D0D"/>
    <w:rsid w:val="00AF3036"/>
    <w:rsid w:val="00AF3163"/>
    <w:rsid w:val="00AF4289"/>
    <w:rsid w:val="00AF483D"/>
    <w:rsid w:val="00AF4DA6"/>
    <w:rsid w:val="00AF4FCE"/>
    <w:rsid w:val="00AF5197"/>
    <w:rsid w:val="00AF5818"/>
    <w:rsid w:val="00AF597F"/>
    <w:rsid w:val="00AF5FA0"/>
    <w:rsid w:val="00AF6754"/>
    <w:rsid w:val="00AF6CA7"/>
    <w:rsid w:val="00AF7025"/>
    <w:rsid w:val="00AF7A7B"/>
    <w:rsid w:val="00AF7AA8"/>
    <w:rsid w:val="00AF7BF0"/>
    <w:rsid w:val="00AF7E9A"/>
    <w:rsid w:val="00AF7EF4"/>
    <w:rsid w:val="00B0078C"/>
    <w:rsid w:val="00B009A0"/>
    <w:rsid w:val="00B00D41"/>
    <w:rsid w:val="00B00F03"/>
    <w:rsid w:val="00B01412"/>
    <w:rsid w:val="00B015F9"/>
    <w:rsid w:val="00B01816"/>
    <w:rsid w:val="00B01968"/>
    <w:rsid w:val="00B019B0"/>
    <w:rsid w:val="00B019C5"/>
    <w:rsid w:val="00B01E17"/>
    <w:rsid w:val="00B01FE4"/>
    <w:rsid w:val="00B0223D"/>
    <w:rsid w:val="00B024EF"/>
    <w:rsid w:val="00B02A35"/>
    <w:rsid w:val="00B030FD"/>
    <w:rsid w:val="00B0363F"/>
    <w:rsid w:val="00B036FE"/>
    <w:rsid w:val="00B0412F"/>
    <w:rsid w:val="00B044D8"/>
    <w:rsid w:val="00B04768"/>
    <w:rsid w:val="00B0483E"/>
    <w:rsid w:val="00B04AE7"/>
    <w:rsid w:val="00B05230"/>
    <w:rsid w:val="00B0546B"/>
    <w:rsid w:val="00B05477"/>
    <w:rsid w:val="00B05A06"/>
    <w:rsid w:val="00B05BE2"/>
    <w:rsid w:val="00B05FA8"/>
    <w:rsid w:val="00B06177"/>
    <w:rsid w:val="00B06DA1"/>
    <w:rsid w:val="00B06F2D"/>
    <w:rsid w:val="00B0711D"/>
    <w:rsid w:val="00B07A52"/>
    <w:rsid w:val="00B10144"/>
    <w:rsid w:val="00B107C8"/>
    <w:rsid w:val="00B10B67"/>
    <w:rsid w:val="00B11548"/>
    <w:rsid w:val="00B1197A"/>
    <w:rsid w:val="00B11B6E"/>
    <w:rsid w:val="00B11BFA"/>
    <w:rsid w:val="00B11C79"/>
    <w:rsid w:val="00B11F72"/>
    <w:rsid w:val="00B12ACC"/>
    <w:rsid w:val="00B13367"/>
    <w:rsid w:val="00B134F8"/>
    <w:rsid w:val="00B137D8"/>
    <w:rsid w:val="00B13BB2"/>
    <w:rsid w:val="00B13D70"/>
    <w:rsid w:val="00B13E3B"/>
    <w:rsid w:val="00B14045"/>
    <w:rsid w:val="00B143D3"/>
    <w:rsid w:val="00B145C8"/>
    <w:rsid w:val="00B14925"/>
    <w:rsid w:val="00B14BB9"/>
    <w:rsid w:val="00B15071"/>
    <w:rsid w:val="00B16009"/>
    <w:rsid w:val="00B16512"/>
    <w:rsid w:val="00B16887"/>
    <w:rsid w:val="00B16A98"/>
    <w:rsid w:val="00B16AD1"/>
    <w:rsid w:val="00B17718"/>
    <w:rsid w:val="00B17AE0"/>
    <w:rsid w:val="00B17AFC"/>
    <w:rsid w:val="00B17D84"/>
    <w:rsid w:val="00B2020A"/>
    <w:rsid w:val="00B203E2"/>
    <w:rsid w:val="00B20687"/>
    <w:rsid w:val="00B21EA5"/>
    <w:rsid w:val="00B22128"/>
    <w:rsid w:val="00B22AEB"/>
    <w:rsid w:val="00B22C1C"/>
    <w:rsid w:val="00B233C1"/>
    <w:rsid w:val="00B233CF"/>
    <w:rsid w:val="00B238D6"/>
    <w:rsid w:val="00B23BE0"/>
    <w:rsid w:val="00B23D8D"/>
    <w:rsid w:val="00B24444"/>
    <w:rsid w:val="00B248FD"/>
    <w:rsid w:val="00B24FB8"/>
    <w:rsid w:val="00B25156"/>
    <w:rsid w:val="00B26219"/>
    <w:rsid w:val="00B263FC"/>
    <w:rsid w:val="00B2647E"/>
    <w:rsid w:val="00B26589"/>
    <w:rsid w:val="00B269D5"/>
    <w:rsid w:val="00B26F4F"/>
    <w:rsid w:val="00B27339"/>
    <w:rsid w:val="00B27B15"/>
    <w:rsid w:val="00B27F94"/>
    <w:rsid w:val="00B3074F"/>
    <w:rsid w:val="00B30A20"/>
    <w:rsid w:val="00B30C98"/>
    <w:rsid w:val="00B315FA"/>
    <w:rsid w:val="00B3169F"/>
    <w:rsid w:val="00B31B33"/>
    <w:rsid w:val="00B32445"/>
    <w:rsid w:val="00B32790"/>
    <w:rsid w:val="00B327F5"/>
    <w:rsid w:val="00B331EC"/>
    <w:rsid w:val="00B3336C"/>
    <w:rsid w:val="00B33461"/>
    <w:rsid w:val="00B334CE"/>
    <w:rsid w:val="00B33657"/>
    <w:rsid w:val="00B33F9C"/>
    <w:rsid w:val="00B33F9E"/>
    <w:rsid w:val="00B34560"/>
    <w:rsid w:val="00B3471E"/>
    <w:rsid w:val="00B349A3"/>
    <w:rsid w:val="00B34DD0"/>
    <w:rsid w:val="00B34F33"/>
    <w:rsid w:val="00B356EC"/>
    <w:rsid w:val="00B357E4"/>
    <w:rsid w:val="00B357FA"/>
    <w:rsid w:val="00B35A61"/>
    <w:rsid w:val="00B35CD0"/>
    <w:rsid w:val="00B36611"/>
    <w:rsid w:val="00B36680"/>
    <w:rsid w:val="00B369AC"/>
    <w:rsid w:val="00B36B41"/>
    <w:rsid w:val="00B36B88"/>
    <w:rsid w:val="00B36DFC"/>
    <w:rsid w:val="00B370BA"/>
    <w:rsid w:val="00B370D9"/>
    <w:rsid w:val="00B374E7"/>
    <w:rsid w:val="00B377E2"/>
    <w:rsid w:val="00B37C3A"/>
    <w:rsid w:val="00B401AC"/>
    <w:rsid w:val="00B4021C"/>
    <w:rsid w:val="00B4022F"/>
    <w:rsid w:val="00B40237"/>
    <w:rsid w:val="00B40683"/>
    <w:rsid w:val="00B40719"/>
    <w:rsid w:val="00B40790"/>
    <w:rsid w:val="00B40DED"/>
    <w:rsid w:val="00B40E0C"/>
    <w:rsid w:val="00B40F60"/>
    <w:rsid w:val="00B418F1"/>
    <w:rsid w:val="00B41B29"/>
    <w:rsid w:val="00B41B6A"/>
    <w:rsid w:val="00B427AE"/>
    <w:rsid w:val="00B429AD"/>
    <w:rsid w:val="00B42A47"/>
    <w:rsid w:val="00B42E0A"/>
    <w:rsid w:val="00B42E52"/>
    <w:rsid w:val="00B4301D"/>
    <w:rsid w:val="00B430B9"/>
    <w:rsid w:val="00B440FE"/>
    <w:rsid w:val="00B441AD"/>
    <w:rsid w:val="00B4420B"/>
    <w:rsid w:val="00B4439F"/>
    <w:rsid w:val="00B4482F"/>
    <w:rsid w:val="00B44E11"/>
    <w:rsid w:val="00B44ED9"/>
    <w:rsid w:val="00B4528B"/>
    <w:rsid w:val="00B45C2F"/>
    <w:rsid w:val="00B45F71"/>
    <w:rsid w:val="00B45FE7"/>
    <w:rsid w:val="00B46187"/>
    <w:rsid w:val="00B46532"/>
    <w:rsid w:val="00B46550"/>
    <w:rsid w:val="00B46849"/>
    <w:rsid w:val="00B46CDA"/>
    <w:rsid w:val="00B473BF"/>
    <w:rsid w:val="00B47439"/>
    <w:rsid w:val="00B47747"/>
    <w:rsid w:val="00B479F9"/>
    <w:rsid w:val="00B47DC2"/>
    <w:rsid w:val="00B504E7"/>
    <w:rsid w:val="00B50C67"/>
    <w:rsid w:val="00B50EBB"/>
    <w:rsid w:val="00B51084"/>
    <w:rsid w:val="00B5117F"/>
    <w:rsid w:val="00B51720"/>
    <w:rsid w:val="00B52171"/>
    <w:rsid w:val="00B52286"/>
    <w:rsid w:val="00B524F9"/>
    <w:rsid w:val="00B526BA"/>
    <w:rsid w:val="00B52914"/>
    <w:rsid w:val="00B52915"/>
    <w:rsid w:val="00B52AA6"/>
    <w:rsid w:val="00B52CB5"/>
    <w:rsid w:val="00B52FF6"/>
    <w:rsid w:val="00B533D2"/>
    <w:rsid w:val="00B53412"/>
    <w:rsid w:val="00B5407B"/>
    <w:rsid w:val="00B54DCF"/>
    <w:rsid w:val="00B55397"/>
    <w:rsid w:val="00B55581"/>
    <w:rsid w:val="00B561B0"/>
    <w:rsid w:val="00B561C3"/>
    <w:rsid w:val="00B563CD"/>
    <w:rsid w:val="00B56C62"/>
    <w:rsid w:val="00B56C7E"/>
    <w:rsid w:val="00B56DD9"/>
    <w:rsid w:val="00B56F2B"/>
    <w:rsid w:val="00B56F58"/>
    <w:rsid w:val="00B5707F"/>
    <w:rsid w:val="00B57308"/>
    <w:rsid w:val="00B57B73"/>
    <w:rsid w:val="00B606E0"/>
    <w:rsid w:val="00B606E7"/>
    <w:rsid w:val="00B60B7B"/>
    <w:rsid w:val="00B60F37"/>
    <w:rsid w:val="00B610EA"/>
    <w:rsid w:val="00B620A6"/>
    <w:rsid w:val="00B62383"/>
    <w:rsid w:val="00B624BD"/>
    <w:rsid w:val="00B62A5F"/>
    <w:rsid w:val="00B62AAC"/>
    <w:rsid w:val="00B62C02"/>
    <w:rsid w:val="00B634E6"/>
    <w:rsid w:val="00B636B6"/>
    <w:rsid w:val="00B638FB"/>
    <w:rsid w:val="00B63C33"/>
    <w:rsid w:val="00B63F72"/>
    <w:rsid w:val="00B6449B"/>
    <w:rsid w:val="00B64E01"/>
    <w:rsid w:val="00B6507F"/>
    <w:rsid w:val="00B6578C"/>
    <w:rsid w:val="00B65BF1"/>
    <w:rsid w:val="00B65CF0"/>
    <w:rsid w:val="00B66031"/>
    <w:rsid w:val="00B6736F"/>
    <w:rsid w:val="00B67A38"/>
    <w:rsid w:val="00B67E33"/>
    <w:rsid w:val="00B7045A"/>
    <w:rsid w:val="00B704FC"/>
    <w:rsid w:val="00B711B5"/>
    <w:rsid w:val="00B71241"/>
    <w:rsid w:val="00B72371"/>
    <w:rsid w:val="00B72A55"/>
    <w:rsid w:val="00B72A72"/>
    <w:rsid w:val="00B730C6"/>
    <w:rsid w:val="00B730CB"/>
    <w:rsid w:val="00B73843"/>
    <w:rsid w:val="00B7398B"/>
    <w:rsid w:val="00B7449B"/>
    <w:rsid w:val="00B7468E"/>
    <w:rsid w:val="00B74DE8"/>
    <w:rsid w:val="00B74EBE"/>
    <w:rsid w:val="00B7519D"/>
    <w:rsid w:val="00B75688"/>
    <w:rsid w:val="00B76098"/>
    <w:rsid w:val="00B7634C"/>
    <w:rsid w:val="00B76569"/>
    <w:rsid w:val="00B767D1"/>
    <w:rsid w:val="00B771FD"/>
    <w:rsid w:val="00B77243"/>
    <w:rsid w:val="00B7744C"/>
    <w:rsid w:val="00B7745B"/>
    <w:rsid w:val="00B77683"/>
    <w:rsid w:val="00B777A3"/>
    <w:rsid w:val="00B77C4A"/>
    <w:rsid w:val="00B77D9F"/>
    <w:rsid w:val="00B806D5"/>
    <w:rsid w:val="00B80D3A"/>
    <w:rsid w:val="00B80FD5"/>
    <w:rsid w:val="00B81A4A"/>
    <w:rsid w:val="00B81AD5"/>
    <w:rsid w:val="00B81B4F"/>
    <w:rsid w:val="00B823D5"/>
    <w:rsid w:val="00B823E8"/>
    <w:rsid w:val="00B82436"/>
    <w:rsid w:val="00B82762"/>
    <w:rsid w:val="00B829E1"/>
    <w:rsid w:val="00B82C22"/>
    <w:rsid w:val="00B833EB"/>
    <w:rsid w:val="00B836F9"/>
    <w:rsid w:val="00B83AC2"/>
    <w:rsid w:val="00B83E20"/>
    <w:rsid w:val="00B8436A"/>
    <w:rsid w:val="00B84A9B"/>
    <w:rsid w:val="00B84F3B"/>
    <w:rsid w:val="00B850AA"/>
    <w:rsid w:val="00B85D1C"/>
    <w:rsid w:val="00B8632C"/>
    <w:rsid w:val="00B87A6E"/>
    <w:rsid w:val="00B87CF8"/>
    <w:rsid w:val="00B87D7A"/>
    <w:rsid w:val="00B90009"/>
    <w:rsid w:val="00B90044"/>
    <w:rsid w:val="00B902D6"/>
    <w:rsid w:val="00B90D83"/>
    <w:rsid w:val="00B90DE0"/>
    <w:rsid w:val="00B91BCA"/>
    <w:rsid w:val="00B921B9"/>
    <w:rsid w:val="00B924E3"/>
    <w:rsid w:val="00B92532"/>
    <w:rsid w:val="00B92672"/>
    <w:rsid w:val="00B93015"/>
    <w:rsid w:val="00B931C0"/>
    <w:rsid w:val="00B93677"/>
    <w:rsid w:val="00B93698"/>
    <w:rsid w:val="00B936EF"/>
    <w:rsid w:val="00B939E2"/>
    <w:rsid w:val="00B941D3"/>
    <w:rsid w:val="00B945F3"/>
    <w:rsid w:val="00B94720"/>
    <w:rsid w:val="00B94A8F"/>
    <w:rsid w:val="00B94C4F"/>
    <w:rsid w:val="00B95285"/>
    <w:rsid w:val="00B955AA"/>
    <w:rsid w:val="00B955B3"/>
    <w:rsid w:val="00B958D2"/>
    <w:rsid w:val="00B95B2C"/>
    <w:rsid w:val="00B95B84"/>
    <w:rsid w:val="00B9633B"/>
    <w:rsid w:val="00B96511"/>
    <w:rsid w:val="00B96CB0"/>
    <w:rsid w:val="00B96D48"/>
    <w:rsid w:val="00B9721E"/>
    <w:rsid w:val="00B9739E"/>
    <w:rsid w:val="00B976F9"/>
    <w:rsid w:val="00B9794D"/>
    <w:rsid w:val="00B97E61"/>
    <w:rsid w:val="00BA0038"/>
    <w:rsid w:val="00BA0552"/>
    <w:rsid w:val="00BA09C5"/>
    <w:rsid w:val="00BA0A44"/>
    <w:rsid w:val="00BA0B3C"/>
    <w:rsid w:val="00BA0DC3"/>
    <w:rsid w:val="00BA1130"/>
    <w:rsid w:val="00BA12EF"/>
    <w:rsid w:val="00BA14E3"/>
    <w:rsid w:val="00BA17C6"/>
    <w:rsid w:val="00BA1914"/>
    <w:rsid w:val="00BA1AA3"/>
    <w:rsid w:val="00BA1AC9"/>
    <w:rsid w:val="00BA1BC6"/>
    <w:rsid w:val="00BA1D61"/>
    <w:rsid w:val="00BA22B7"/>
    <w:rsid w:val="00BA26A3"/>
    <w:rsid w:val="00BA2F1A"/>
    <w:rsid w:val="00BA3119"/>
    <w:rsid w:val="00BA3F60"/>
    <w:rsid w:val="00BA4BF1"/>
    <w:rsid w:val="00BA549A"/>
    <w:rsid w:val="00BA5BDB"/>
    <w:rsid w:val="00BA5D74"/>
    <w:rsid w:val="00BA69EF"/>
    <w:rsid w:val="00BA6B88"/>
    <w:rsid w:val="00BA6DE3"/>
    <w:rsid w:val="00BA709C"/>
    <w:rsid w:val="00BA7167"/>
    <w:rsid w:val="00BA72F8"/>
    <w:rsid w:val="00BA77C2"/>
    <w:rsid w:val="00BA7B40"/>
    <w:rsid w:val="00BB065A"/>
    <w:rsid w:val="00BB0B44"/>
    <w:rsid w:val="00BB0D8A"/>
    <w:rsid w:val="00BB1465"/>
    <w:rsid w:val="00BB1536"/>
    <w:rsid w:val="00BB159F"/>
    <w:rsid w:val="00BB1759"/>
    <w:rsid w:val="00BB24F4"/>
    <w:rsid w:val="00BB38A2"/>
    <w:rsid w:val="00BB3920"/>
    <w:rsid w:val="00BB3D6F"/>
    <w:rsid w:val="00BB3F5D"/>
    <w:rsid w:val="00BB4022"/>
    <w:rsid w:val="00BB50F4"/>
    <w:rsid w:val="00BB5CC2"/>
    <w:rsid w:val="00BB625B"/>
    <w:rsid w:val="00BB64A0"/>
    <w:rsid w:val="00BB693B"/>
    <w:rsid w:val="00BB6C20"/>
    <w:rsid w:val="00BB6F31"/>
    <w:rsid w:val="00BB6FC2"/>
    <w:rsid w:val="00BB7007"/>
    <w:rsid w:val="00BB799B"/>
    <w:rsid w:val="00BB7D5B"/>
    <w:rsid w:val="00BB7F99"/>
    <w:rsid w:val="00BC0446"/>
    <w:rsid w:val="00BC05DA"/>
    <w:rsid w:val="00BC0681"/>
    <w:rsid w:val="00BC0A35"/>
    <w:rsid w:val="00BC0EB5"/>
    <w:rsid w:val="00BC110B"/>
    <w:rsid w:val="00BC131F"/>
    <w:rsid w:val="00BC1370"/>
    <w:rsid w:val="00BC1409"/>
    <w:rsid w:val="00BC1835"/>
    <w:rsid w:val="00BC1AF0"/>
    <w:rsid w:val="00BC219F"/>
    <w:rsid w:val="00BC24A0"/>
    <w:rsid w:val="00BC26A1"/>
    <w:rsid w:val="00BC3651"/>
    <w:rsid w:val="00BC3ABC"/>
    <w:rsid w:val="00BC3AC2"/>
    <w:rsid w:val="00BC452B"/>
    <w:rsid w:val="00BC49FC"/>
    <w:rsid w:val="00BC4D51"/>
    <w:rsid w:val="00BC4E5A"/>
    <w:rsid w:val="00BC504C"/>
    <w:rsid w:val="00BC55AA"/>
    <w:rsid w:val="00BC561B"/>
    <w:rsid w:val="00BC5946"/>
    <w:rsid w:val="00BC5A5A"/>
    <w:rsid w:val="00BC5CE5"/>
    <w:rsid w:val="00BC5F6C"/>
    <w:rsid w:val="00BC7684"/>
    <w:rsid w:val="00BC7B15"/>
    <w:rsid w:val="00BD0040"/>
    <w:rsid w:val="00BD01C1"/>
    <w:rsid w:val="00BD04D0"/>
    <w:rsid w:val="00BD1056"/>
    <w:rsid w:val="00BD1917"/>
    <w:rsid w:val="00BD1956"/>
    <w:rsid w:val="00BD1A6C"/>
    <w:rsid w:val="00BD1B0A"/>
    <w:rsid w:val="00BD1DCA"/>
    <w:rsid w:val="00BD1EB0"/>
    <w:rsid w:val="00BD25DC"/>
    <w:rsid w:val="00BD316E"/>
    <w:rsid w:val="00BD3183"/>
    <w:rsid w:val="00BD3C21"/>
    <w:rsid w:val="00BD3D2E"/>
    <w:rsid w:val="00BD41BE"/>
    <w:rsid w:val="00BD4538"/>
    <w:rsid w:val="00BD57D9"/>
    <w:rsid w:val="00BD5A33"/>
    <w:rsid w:val="00BD5B6C"/>
    <w:rsid w:val="00BD5B84"/>
    <w:rsid w:val="00BD5C78"/>
    <w:rsid w:val="00BD5FDE"/>
    <w:rsid w:val="00BD608C"/>
    <w:rsid w:val="00BD6418"/>
    <w:rsid w:val="00BD7A8C"/>
    <w:rsid w:val="00BD7A9F"/>
    <w:rsid w:val="00BD7D49"/>
    <w:rsid w:val="00BE0138"/>
    <w:rsid w:val="00BE07C8"/>
    <w:rsid w:val="00BE0BA5"/>
    <w:rsid w:val="00BE0D0F"/>
    <w:rsid w:val="00BE0EAE"/>
    <w:rsid w:val="00BE0EF2"/>
    <w:rsid w:val="00BE0FAA"/>
    <w:rsid w:val="00BE139B"/>
    <w:rsid w:val="00BE1531"/>
    <w:rsid w:val="00BE19A5"/>
    <w:rsid w:val="00BE19EF"/>
    <w:rsid w:val="00BE1D27"/>
    <w:rsid w:val="00BE230B"/>
    <w:rsid w:val="00BE25C5"/>
    <w:rsid w:val="00BE29DD"/>
    <w:rsid w:val="00BE32AA"/>
    <w:rsid w:val="00BE35F3"/>
    <w:rsid w:val="00BE381C"/>
    <w:rsid w:val="00BE38DA"/>
    <w:rsid w:val="00BE3DB2"/>
    <w:rsid w:val="00BE3E13"/>
    <w:rsid w:val="00BE4EB9"/>
    <w:rsid w:val="00BE5321"/>
    <w:rsid w:val="00BE5379"/>
    <w:rsid w:val="00BE58FA"/>
    <w:rsid w:val="00BE5C19"/>
    <w:rsid w:val="00BE5CB1"/>
    <w:rsid w:val="00BE5D88"/>
    <w:rsid w:val="00BE6970"/>
    <w:rsid w:val="00BE785B"/>
    <w:rsid w:val="00BE7A48"/>
    <w:rsid w:val="00BE7BFC"/>
    <w:rsid w:val="00BE7C5E"/>
    <w:rsid w:val="00BE7EA8"/>
    <w:rsid w:val="00BF008B"/>
    <w:rsid w:val="00BF0D44"/>
    <w:rsid w:val="00BF11DB"/>
    <w:rsid w:val="00BF15AE"/>
    <w:rsid w:val="00BF1607"/>
    <w:rsid w:val="00BF1FB3"/>
    <w:rsid w:val="00BF27CE"/>
    <w:rsid w:val="00BF2907"/>
    <w:rsid w:val="00BF29BD"/>
    <w:rsid w:val="00BF2DB4"/>
    <w:rsid w:val="00BF398A"/>
    <w:rsid w:val="00BF3DE5"/>
    <w:rsid w:val="00BF3E0D"/>
    <w:rsid w:val="00BF3ED5"/>
    <w:rsid w:val="00BF4438"/>
    <w:rsid w:val="00BF4BB6"/>
    <w:rsid w:val="00BF523D"/>
    <w:rsid w:val="00BF5D4F"/>
    <w:rsid w:val="00BF5DE4"/>
    <w:rsid w:val="00BF5E21"/>
    <w:rsid w:val="00BF623A"/>
    <w:rsid w:val="00BF6532"/>
    <w:rsid w:val="00BF72CC"/>
    <w:rsid w:val="00BF7812"/>
    <w:rsid w:val="00BF79D6"/>
    <w:rsid w:val="00BF7A77"/>
    <w:rsid w:val="00C007E1"/>
    <w:rsid w:val="00C015D7"/>
    <w:rsid w:val="00C017A5"/>
    <w:rsid w:val="00C019BD"/>
    <w:rsid w:val="00C01A16"/>
    <w:rsid w:val="00C01B37"/>
    <w:rsid w:val="00C01D2C"/>
    <w:rsid w:val="00C01D9F"/>
    <w:rsid w:val="00C02378"/>
    <w:rsid w:val="00C025D0"/>
    <w:rsid w:val="00C02E5E"/>
    <w:rsid w:val="00C033EB"/>
    <w:rsid w:val="00C03C72"/>
    <w:rsid w:val="00C042EC"/>
    <w:rsid w:val="00C045B6"/>
    <w:rsid w:val="00C04A86"/>
    <w:rsid w:val="00C04B64"/>
    <w:rsid w:val="00C04CFE"/>
    <w:rsid w:val="00C0509A"/>
    <w:rsid w:val="00C0558D"/>
    <w:rsid w:val="00C05640"/>
    <w:rsid w:val="00C057FB"/>
    <w:rsid w:val="00C05986"/>
    <w:rsid w:val="00C05A20"/>
    <w:rsid w:val="00C05A2B"/>
    <w:rsid w:val="00C05A77"/>
    <w:rsid w:val="00C05C36"/>
    <w:rsid w:val="00C05E94"/>
    <w:rsid w:val="00C064CF"/>
    <w:rsid w:val="00C06C28"/>
    <w:rsid w:val="00C06E07"/>
    <w:rsid w:val="00C0722C"/>
    <w:rsid w:val="00C07266"/>
    <w:rsid w:val="00C076C3"/>
    <w:rsid w:val="00C0792F"/>
    <w:rsid w:val="00C07C4A"/>
    <w:rsid w:val="00C07FCE"/>
    <w:rsid w:val="00C07FFC"/>
    <w:rsid w:val="00C107D4"/>
    <w:rsid w:val="00C10D4B"/>
    <w:rsid w:val="00C10D73"/>
    <w:rsid w:val="00C10FB0"/>
    <w:rsid w:val="00C118CF"/>
    <w:rsid w:val="00C11A02"/>
    <w:rsid w:val="00C123C6"/>
    <w:rsid w:val="00C12B83"/>
    <w:rsid w:val="00C12DF8"/>
    <w:rsid w:val="00C13141"/>
    <w:rsid w:val="00C134B1"/>
    <w:rsid w:val="00C13A0E"/>
    <w:rsid w:val="00C13DEA"/>
    <w:rsid w:val="00C14172"/>
    <w:rsid w:val="00C145AD"/>
    <w:rsid w:val="00C14C87"/>
    <w:rsid w:val="00C14D5A"/>
    <w:rsid w:val="00C153E9"/>
    <w:rsid w:val="00C154D6"/>
    <w:rsid w:val="00C15DAE"/>
    <w:rsid w:val="00C1644A"/>
    <w:rsid w:val="00C164D4"/>
    <w:rsid w:val="00C16884"/>
    <w:rsid w:val="00C175C9"/>
    <w:rsid w:val="00C17C9E"/>
    <w:rsid w:val="00C17E41"/>
    <w:rsid w:val="00C17E6A"/>
    <w:rsid w:val="00C201B8"/>
    <w:rsid w:val="00C20209"/>
    <w:rsid w:val="00C20524"/>
    <w:rsid w:val="00C2061E"/>
    <w:rsid w:val="00C20C30"/>
    <w:rsid w:val="00C20C42"/>
    <w:rsid w:val="00C21070"/>
    <w:rsid w:val="00C211D1"/>
    <w:rsid w:val="00C21709"/>
    <w:rsid w:val="00C21E81"/>
    <w:rsid w:val="00C2218F"/>
    <w:rsid w:val="00C22451"/>
    <w:rsid w:val="00C226A3"/>
    <w:rsid w:val="00C2270D"/>
    <w:rsid w:val="00C22760"/>
    <w:rsid w:val="00C22AE0"/>
    <w:rsid w:val="00C23449"/>
    <w:rsid w:val="00C239F3"/>
    <w:rsid w:val="00C23A98"/>
    <w:rsid w:val="00C23CAE"/>
    <w:rsid w:val="00C24224"/>
    <w:rsid w:val="00C242EA"/>
    <w:rsid w:val="00C24317"/>
    <w:rsid w:val="00C24E87"/>
    <w:rsid w:val="00C2538B"/>
    <w:rsid w:val="00C261D8"/>
    <w:rsid w:val="00C26570"/>
    <w:rsid w:val="00C26644"/>
    <w:rsid w:val="00C2697B"/>
    <w:rsid w:val="00C26AFF"/>
    <w:rsid w:val="00C26F86"/>
    <w:rsid w:val="00C275E2"/>
    <w:rsid w:val="00C2765F"/>
    <w:rsid w:val="00C30E05"/>
    <w:rsid w:val="00C31178"/>
    <w:rsid w:val="00C314C3"/>
    <w:rsid w:val="00C318D7"/>
    <w:rsid w:val="00C31CA3"/>
    <w:rsid w:val="00C31D31"/>
    <w:rsid w:val="00C31D7E"/>
    <w:rsid w:val="00C32556"/>
    <w:rsid w:val="00C32933"/>
    <w:rsid w:val="00C32F1C"/>
    <w:rsid w:val="00C333A7"/>
    <w:rsid w:val="00C33450"/>
    <w:rsid w:val="00C33552"/>
    <w:rsid w:val="00C33A90"/>
    <w:rsid w:val="00C33E74"/>
    <w:rsid w:val="00C341D2"/>
    <w:rsid w:val="00C3497C"/>
    <w:rsid w:val="00C34DE5"/>
    <w:rsid w:val="00C35B86"/>
    <w:rsid w:val="00C35D89"/>
    <w:rsid w:val="00C35D8D"/>
    <w:rsid w:val="00C36521"/>
    <w:rsid w:val="00C36535"/>
    <w:rsid w:val="00C36A7C"/>
    <w:rsid w:val="00C37114"/>
    <w:rsid w:val="00C37184"/>
    <w:rsid w:val="00C3743F"/>
    <w:rsid w:val="00C379F1"/>
    <w:rsid w:val="00C403E1"/>
    <w:rsid w:val="00C40465"/>
    <w:rsid w:val="00C404FB"/>
    <w:rsid w:val="00C4074F"/>
    <w:rsid w:val="00C409B0"/>
    <w:rsid w:val="00C40BD9"/>
    <w:rsid w:val="00C40C8E"/>
    <w:rsid w:val="00C41219"/>
    <w:rsid w:val="00C412D6"/>
    <w:rsid w:val="00C4162B"/>
    <w:rsid w:val="00C41701"/>
    <w:rsid w:val="00C418B1"/>
    <w:rsid w:val="00C41B1B"/>
    <w:rsid w:val="00C41E13"/>
    <w:rsid w:val="00C41F0A"/>
    <w:rsid w:val="00C426F6"/>
    <w:rsid w:val="00C433A8"/>
    <w:rsid w:val="00C439EB"/>
    <w:rsid w:val="00C43AED"/>
    <w:rsid w:val="00C4422E"/>
    <w:rsid w:val="00C44BCC"/>
    <w:rsid w:val="00C45031"/>
    <w:rsid w:val="00C45386"/>
    <w:rsid w:val="00C4576B"/>
    <w:rsid w:val="00C457A5"/>
    <w:rsid w:val="00C45CC3"/>
    <w:rsid w:val="00C45CF9"/>
    <w:rsid w:val="00C46513"/>
    <w:rsid w:val="00C465A8"/>
    <w:rsid w:val="00C465B6"/>
    <w:rsid w:val="00C46840"/>
    <w:rsid w:val="00C468C3"/>
    <w:rsid w:val="00C473BA"/>
    <w:rsid w:val="00C47DE5"/>
    <w:rsid w:val="00C47E32"/>
    <w:rsid w:val="00C50366"/>
    <w:rsid w:val="00C503BA"/>
    <w:rsid w:val="00C50706"/>
    <w:rsid w:val="00C50E5C"/>
    <w:rsid w:val="00C50F9E"/>
    <w:rsid w:val="00C5108A"/>
    <w:rsid w:val="00C51386"/>
    <w:rsid w:val="00C51414"/>
    <w:rsid w:val="00C51800"/>
    <w:rsid w:val="00C51944"/>
    <w:rsid w:val="00C5195E"/>
    <w:rsid w:val="00C51D4A"/>
    <w:rsid w:val="00C51DAD"/>
    <w:rsid w:val="00C52223"/>
    <w:rsid w:val="00C5276E"/>
    <w:rsid w:val="00C52DEB"/>
    <w:rsid w:val="00C53465"/>
    <w:rsid w:val="00C53712"/>
    <w:rsid w:val="00C543B9"/>
    <w:rsid w:val="00C54797"/>
    <w:rsid w:val="00C54C06"/>
    <w:rsid w:val="00C553ED"/>
    <w:rsid w:val="00C55751"/>
    <w:rsid w:val="00C55943"/>
    <w:rsid w:val="00C5636D"/>
    <w:rsid w:val="00C56474"/>
    <w:rsid w:val="00C57516"/>
    <w:rsid w:val="00C57536"/>
    <w:rsid w:val="00C576B9"/>
    <w:rsid w:val="00C5775D"/>
    <w:rsid w:val="00C5776B"/>
    <w:rsid w:val="00C57A0D"/>
    <w:rsid w:val="00C608C0"/>
    <w:rsid w:val="00C6103F"/>
    <w:rsid w:val="00C61CD8"/>
    <w:rsid w:val="00C61E0F"/>
    <w:rsid w:val="00C6227F"/>
    <w:rsid w:val="00C62A3D"/>
    <w:rsid w:val="00C62BAF"/>
    <w:rsid w:val="00C62E0D"/>
    <w:rsid w:val="00C63E06"/>
    <w:rsid w:val="00C64059"/>
    <w:rsid w:val="00C6447D"/>
    <w:rsid w:val="00C6456F"/>
    <w:rsid w:val="00C65230"/>
    <w:rsid w:val="00C655E7"/>
    <w:rsid w:val="00C6571A"/>
    <w:rsid w:val="00C65A8F"/>
    <w:rsid w:val="00C66266"/>
    <w:rsid w:val="00C6646A"/>
    <w:rsid w:val="00C665D5"/>
    <w:rsid w:val="00C6663D"/>
    <w:rsid w:val="00C66A65"/>
    <w:rsid w:val="00C67192"/>
    <w:rsid w:val="00C6742D"/>
    <w:rsid w:val="00C677C2"/>
    <w:rsid w:val="00C67AF8"/>
    <w:rsid w:val="00C70368"/>
    <w:rsid w:val="00C70F2E"/>
    <w:rsid w:val="00C71000"/>
    <w:rsid w:val="00C71218"/>
    <w:rsid w:val="00C71BF5"/>
    <w:rsid w:val="00C72023"/>
    <w:rsid w:val="00C72047"/>
    <w:rsid w:val="00C736CB"/>
    <w:rsid w:val="00C73E3C"/>
    <w:rsid w:val="00C74348"/>
    <w:rsid w:val="00C745BA"/>
    <w:rsid w:val="00C74DA0"/>
    <w:rsid w:val="00C75243"/>
    <w:rsid w:val="00C75411"/>
    <w:rsid w:val="00C75507"/>
    <w:rsid w:val="00C75A30"/>
    <w:rsid w:val="00C75AD1"/>
    <w:rsid w:val="00C75B01"/>
    <w:rsid w:val="00C75F6D"/>
    <w:rsid w:val="00C7606B"/>
    <w:rsid w:val="00C76304"/>
    <w:rsid w:val="00C7676D"/>
    <w:rsid w:val="00C76AD3"/>
    <w:rsid w:val="00C76AFB"/>
    <w:rsid w:val="00C76E76"/>
    <w:rsid w:val="00C770FC"/>
    <w:rsid w:val="00C774BC"/>
    <w:rsid w:val="00C774D4"/>
    <w:rsid w:val="00C77D98"/>
    <w:rsid w:val="00C77F6B"/>
    <w:rsid w:val="00C77FC0"/>
    <w:rsid w:val="00C80203"/>
    <w:rsid w:val="00C8024F"/>
    <w:rsid w:val="00C808DD"/>
    <w:rsid w:val="00C80BEC"/>
    <w:rsid w:val="00C80E0F"/>
    <w:rsid w:val="00C80F42"/>
    <w:rsid w:val="00C814BE"/>
    <w:rsid w:val="00C81516"/>
    <w:rsid w:val="00C81541"/>
    <w:rsid w:val="00C81711"/>
    <w:rsid w:val="00C81BEF"/>
    <w:rsid w:val="00C831A0"/>
    <w:rsid w:val="00C8324D"/>
    <w:rsid w:val="00C83664"/>
    <w:rsid w:val="00C8369D"/>
    <w:rsid w:val="00C83A8A"/>
    <w:rsid w:val="00C83B43"/>
    <w:rsid w:val="00C83BB1"/>
    <w:rsid w:val="00C83CE6"/>
    <w:rsid w:val="00C84AC8"/>
    <w:rsid w:val="00C84C1E"/>
    <w:rsid w:val="00C85494"/>
    <w:rsid w:val="00C85DA2"/>
    <w:rsid w:val="00C868F2"/>
    <w:rsid w:val="00C86AE0"/>
    <w:rsid w:val="00C86BDC"/>
    <w:rsid w:val="00C86E4A"/>
    <w:rsid w:val="00C86F0C"/>
    <w:rsid w:val="00C8788D"/>
    <w:rsid w:val="00C878AC"/>
    <w:rsid w:val="00C903F2"/>
    <w:rsid w:val="00C90CB0"/>
    <w:rsid w:val="00C90F09"/>
    <w:rsid w:val="00C910BB"/>
    <w:rsid w:val="00C91BA9"/>
    <w:rsid w:val="00C91C9A"/>
    <w:rsid w:val="00C92AEE"/>
    <w:rsid w:val="00C92DB4"/>
    <w:rsid w:val="00C93755"/>
    <w:rsid w:val="00C937F7"/>
    <w:rsid w:val="00C94913"/>
    <w:rsid w:val="00C95130"/>
    <w:rsid w:val="00C95244"/>
    <w:rsid w:val="00C9533E"/>
    <w:rsid w:val="00C953F2"/>
    <w:rsid w:val="00C95995"/>
    <w:rsid w:val="00C95B02"/>
    <w:rsid w:val="00C95F10"/>
    <w:rsid w:val="00C96673"/>
    <w:rsid w:val="00C9693E"/>
    <w:rsid w:val="00C96E4D"/>
    <w:rsid w:val="00C97023"/>
    <w:rsid w:val="00C97286"/>
    <w:rsid w:val="00C972CB"/>
    <w:rsid w:val="00CA009A"/>
    <w:rsid w:val="00CA0386"/>
    <w:rsid w:val="00CA0D9F"/>
    <w:rsid w:val="00CA1100"/>
    <w:rsid w:val="00CA13D4"/>
    <w:rsid w:val="00CA1E4C"/>
    <w:rsid w:val="00CA2FE7"/>
    <w:rsid w:val="00CA3392"/>
    <w:rsid w:val="00CA4730"/>
    <w:rsid w:val="00CA4D24"/>
    <w:rsid w:val="00CA5260"/>
    <w:rsid w:val="00CA5AB9"/>
    <w:rsid w:val="00CA5AF5"/>
    <w:rsid w:val="00CA5B65"/>
    <w:rsid w:val="00CA5FED"/>
    <w:rsid w:val="00CA62F2"/>
    <w:rsid w:val="00CA6845"/>
    <w:rsid w:val="00CA6856"/>
    <w:rsid w:val="00CA6A87"/>
    <w:rsid w:val="00CA6DB4"/>
    <w:rsid w:val="00CA726C"/>
    <w:rsid w:val="00CA78FC"/>
    <w:rsid w:val="00CA7994"/>
    <w:rsid w:val="00CA79EC"/>
    <w:rsid w:val="00CB0304"/>
    <w:rsid w:val="00CB0400"/>
    <w:rsid w:val="00CB0915"/>
    <w:rsid w:val="00CB0D37"/>
    <w:rsid w:val="00CB12E6"/>
    <w:rsid w:val="00CB204B"/>
    <w:rsid w:val="00CB253E"/>
    <w:rsid w:val="00CB2CF9"/>
    <w:rsid w:val="00CB36ED"/>
    <w:rsid w:val="00CB3959"/>
    <w:rsid w:val="00CB3A1C"/>
    <w:rsid w:val="00CB3BFA"/>
    <w:rsid w:val="00CB43B7"/>
    <w:rsid w:val="00CB47B9"/>
    <w:rsid w:val="00CB4860"/>
    <w:rsid w:val="00CB497A"/>
    <w:rsid w:val="00CB4AF5"/>
    <w:rsid w:val="00CB4B3E"/>
    <w:rsid w:val="00CB4ECB"/>
    <w:rsid w:val="00CB5790"/>
    <w:rsid w:val="00CB5B0F"/>
    <w:rsid w:val="00CB5FB8"/>
    <w:rsid w:val="00CB6005"/>
    <w:rsid w:val="00CB60AA"/>
    <w:rsid w:val="00CB6451"/>
    <w:rsid w:val="00CB6992"/>
    <w:rsid w:val="00CB705D"/>
    <w:rsid w:val="00CB74A2"/>
    <w:rsid w:val="00CB7812"/>
    <w:rsid w:val="00CB7B7D"/>
    <w:rsid w:val="00CB7CDE"/>
    <w:rsid w:val="00CC023A"/>
    <w:rsid w:val="00CC0A0B"/>
    <w:rsid w:val="00CC0DE1"/>
    <w:rsid w:val="00CC1556"/>
    <w:rsid w:val="00CC170C"/>
    <w:rsid w:val="00CC2816"/>
    <w:rsid w:val="00CC39BB"/>
    <w:rsid w:val="00CC3EFF"/>
    <w:rsid w:val="00CC3FA8"/>
    <w:rsid w:val="00CC4103"/>
    <w:rsid w:val="00CC4754"/>
    <w:rsid w:val="00CC48C0"/>
    <w:rsid w:val="00CC528D"/>
    <w:rsid w:val="00CC560C"/>
    <w:rsid w:val="00CC56C4"/>
    <w:rsid w:val="00CC5747"/>
    <w:rsid w:val="00CC57EB"/>
    <w:rsid w:val="00CC595E"/>
    <w:rsid w:val="00CC62C2"/>
    <w:rsid w:val="00CC6496"/>
    <w:rsid w:val="00CC65B4"/>
    <w:rsid w:val="00CC68BD"/>
    <w:rsid w:val="00CC73E0"/>
    <w:rsid w:val="00CC7438"/>
    <w:rsid w:val="00CC7CF2"/>
    <w:rsid w:val="00CD01AF"/>
    <w:rsid w:val="00CD0300"/>
    <w:rsid w:val="00CD17A6"/>
    <w:rsid w:val="00CD17C6"/>
    <w:rsid w:val="00CD1A05"/>
    <w:rsid w:val="00CD1A7E"/>
    <w:rsid w:val="00CD22BD"/>
    <w:rsid w:val="00CD25CB"/>
    <w:rsid w:val="00CD2652"/>
    <w:rsid w:val="00CD26D2"/>
    <w:rsid w:val="00CD2B86"/>
    <w:rsid w:val="00CD2D5B"/>
    <w:rsid w:val="00CD2EEC"/>
    <w:rsid w:val="00CD3114"/>
    <w:rsid w:val="00CD3384"/>
    <w:rsid w:val="00CD3452"/>
    <w:rsid w:val="00CD36C7"/>
    <w:rsid w:val="00CD39BB"/>
    <w:rsid w:val="00CD424E"/>
    <w:rsid w:val="00CD4250"/>
    <w:rsid w:val="00CD469B"/>
    <w:rsid w:val="00CD4807"/>
    <w:rsid w:val="00CD4812"/>
    <w:rsid w:val="00CD51DE"/>
    <w:rsid w:val="00CD592E"/>
    <w:rsid w:val="00CD6329"/>
    <w:rsid w:val="00CD6D59"/>
    <w:rsid w:val="00CD6DFE"/>
    <w:rsid w:val="00CD72CA"/>
    <w:rsid w:val="00CD75C1"/>
    <w:rsid w:val="00CD7719"/>
    <w:rsid w:val="00CD7824"/>
    <w:rsid w:val="00CD7904"/>
    <w:rsid w:val="00CD7B5E"/>
    <w:rsid w:val="00CD7F63"/>
    <w:rsid w:val="00CE0049"/>
    <w:rsid w:val="00CE0764"/>
    <w:rsid w:val="00CE0A37"/>
    <w:rsid w:val="00CE0E52"/>
    <w:rsid w:val="00CE11C8"/>
    <w:rsid w:val="00CE1223"/>
    <w:rsid w:val="00CE15FB"/>
    <w:rsid w:val="00CE1D6D"/>
    <w:rsid w:val="00CE1E64"/>
    <w:rsid w:val="00CE2187"/>
    <w:rsid w:val="00CE23B2"/>
    <w:rsid w:val="00CE2B97"/>
    <w:rsid w:val="00CE2D0A"/>
    <w:rsid w:val="00CE2FEF"/>
    <w:rsid w:val="00CE306D"/>
    <w:rsid w:val="00CE33C5"/>
    <w:rsid w:val="00CE343A"/>
    <w:rsid w:val="00CE3470"/>
    <w:rsid w:val="00CE35F9"/>
    <w:rsid w:val="00CE3690"/>
    <w:rsid w:val="00CE36DC"/>
    <w:rsid w:val="00CE38C3"/>
    <w:rsid w:val="00CE3A51"/>
    <w:rsid w:val="00CE416C"/>
    <w:rsid w:val="00CE41D6"/>
    <w:rsid w:val="00CE43F1"/>
    <w:rsid w:val="00CE4757"/>
    <w:rsid w:val="00CE4B7F"/>
    <w:rsid w:val="00CE4C04"/>
    <w:rsid w:val="00CE516D"/>
    <w:rsid w:val="00CE558E"/>
    <w:rsid w:val="00CE5B84"/>
    <w:rsid w:val="00CE6364"/>
    <w:rsid w:val="00CE6598"/>
    <w:rsid w:val="00CE67E6"/>
    <w:rsid w:val="00CE69B9"/>
    <w:rsid w:val="00CE6F54"/>
    <w:rsid w:val="00CE71A9"/>
    <w:rsid w:val="00CE72BD"/>
    <w:rsid w:val="00CE7420"/>
    <w:rsid w:val="00CE7BC0"/>
    <w:rsid w:val="00CE7FFD"/>
    <w:rsid w:val="00CF01AD"/>
    <w:rsid w:val="00CF046C"/>
    <w:rsid w:val="00CF0900"/>
    <w:rsid w:val="00CF0B21"/>
    <w:rsid w:val="00CF0CD6"/>
    <w:rsid w:val="00CF0DA1"/>
    <w:rsid w:val="00CF0EF9"/>
    <w:rsid w:val="00CF0F20"/>
    <w:rsid w:val="00CF10E1"/>
    <w:rsid w:val="00CF1519"/>
    <w:rsid w:val="00CF1966"/>
    <w:rsid w:val="00CF24A6"/>
    <w:rsid w:val="00CF2507"/>
    <w:rsid w:val="00CF2EB6"/>
    <w:rsid w:val="00CF3286"/>
    <w:rsid w:val="00CF3D40"/>
    <w:rsid w:val="00CF417A"/>
    <w:rsid w:val="00CF44B5"/>
    <w:rsid w:val="00CF450D"/>
    <w:rsid w:val="00CF54D8"/>
    <w:rsid w:val="00CF603F"/>
    <w:rsid w:val="00CF6730"/>
    <w:rsid w:val="00CF782D"/>
    <w:rsid w:val="00CF7A1D"/>
    <w:rsid w:val="00CF7C11"/>
    <w:rsid w:val="00D0012B"/>
    <w:rsid w:val="00D0105B"/>
    <w:rsid w:val="00D010B7"/>
    <w:rsid w:val="00D01999"/>
    <w:rsid w:val="00D01EE7"/>
    <w:rsid w:val="00D0200F"/>
    <w:rsid w:val="00D020AC"/>
    <w:rsid w:val="00D0258B"/>
    <w:rsid w:val="00D02EB2"/>
    <w:rsid w:val="00D02F06"/>
    <w:rsid w:val="00D03295"/>
    <w:rsid w:val="00D03542"/>
    <w:rsid w:val="00D03871"/>
    <w:rsid w:val="00D03B88"/>
    <w:rsid w:val="00D03BD6"/>
    <w:rsid w:val="00D040E5"/>
    <w:rsid w:val="00D04970"/>
    <w:rsid w:val="00D04E6E"/>
    <w:rsid w:val="00D057D2"/>
    <w:rsid w:val="00D05A25"/>
    <w:rsid w:val="00D05C61"/>
    <w:rsid w:val="00D06166"/>
    <w:rsid w:val="00D06800"/>
    <w:rsid w:val="00D06A4C"/>
    <w:rsid w:val="00D070E6"/>
    <w:rsid w:val="00D076CF"/>
    <w:rsid w:val="00D10069"/>
    <w:rsid w:val="00D103C6"/>
    <w:rsid w:val="00D10A68"/>
    <w:rsid w:val="00D10CAF"/>
    <w:rsid w:val="00D11204"/>
    <w:rsid w:val="00D11348"/>
    <w:rsid w:val="00D114A9"/>
    <w:rsid w:val="00D12110"/>
    <w:rsid w:val="00D12A39"/>
    <w:rsid w:val="00D12F07"/>
    <w:rsid w:val="00D1333E"/>
    <w:rsid w:val="00D138CF"/>
    <w:rsid w:val="00D13B3C"/>
    <w:rsid w:val="00D13CA3"/>
    <w:rsid w:val="00D13CF7"/>
    <w:rsid w:val="00D13D9A"/>
    <w:rsid w:val="00D14199"/>
    <w:rsid w:val="00D14540"/>
    <w:rsid w:val="00D14C80"/>
    <w:rsid w:val="00D14CE0"/>
    <w:rsid w:val="00D152AD"/>
    <w:rsid w:val="00D15921"/>
    <w:rsid w:val="00D15D35"/>
    <w:rsid w:val="00D15F7D"/>
    <w:rsid w:val="00D1678A"/>
    <w:rsid w:val="00D16F2E"/>
    <w:rsid w:val="00D17885"/>
    <w:rsid w:val="00D2044F"/>
    <w:rsid w:val="00D20764"/>
    <w:rsid w:val="00D20854"/>
    <w:rsid w:val="00D208E3"/>
    <w:rsid w:val="00D22089"/>
    <w:rsid w:val="00D22942"/>
    <w:rsid w:val="00D22AD3"/>
    <w:rsid w:val="00D2302A"/>
    <w:rsid w:val="00D237F0"/>
    <w:rsid w:val="00D23B4C"/>
    <w:rsid w:val="00D24302"/>
    <w:rsid w:val="00D245AA"/>
    <w:rsid w:val="00D24953"/>
    <w:rsid w:val="00D24DB0"/>
    <w:rsid w:val="00D24F15"/>
    <w:rsid w:val="00D25861"/>
    <w:rsid w:val="00D2592A"/>
    <w:rsid w:val="00D259ED"/>
    <w:rsid w:val="00D25B17"/>
    <w:rsid w:val="00D25D39"/>
    <w:rsid w:val="00D25FF9"/>
    <w:rsid w:val="00D261E4"/>
    <w:rsid w:val="00D262D8"/>
    <w:rsid w:val="00D263F7"/>
    <w:rsid w:val="00D26455"/>
    <w:rsid w:val="00D26465"/>
    <w:rsid w:val="00D265AE"/>
    <w:rsid w:val="00D26737"/>
    <w:rsid w:val="00D272A7"/>
    <w:rsid w:val="00D2736B"/>
    <w:rsid w:val="00D2742A"/>
    <w:rsid w:val="00D27AFA"/>
    <w:rsid w:val="00D30944"/>
    <w:rsid w:val="00D30D8E"/>
    <w:rsid w:val="00D30DA8"/>
    <w:rsid w:val="00D30E15"/>
    <w:rsid w:val="00D31005"/>
    <w:rsid w:val="00D31D27"/>
    <w:rsid w:val="00D324E4"/>
    <w:rsid w:val="00D325E2"/>
    <w:rsid w:val="00D3279C"/>
    <w:rsid w:val="00D32A5D"/>
    <w:rsid w:val="00D32B3E"/>
    <w:rsid w:val="00D33553"/>
    <w:rsid w:val="00D339DE"/>
    <w:rsid w:val="00D346B6"/>
    <w:rsid w:val="00D347CB"/>
    <w:rsid w:val="00D34C54"/>
    <w:rsid w:val="00D35000"/>
    <w:rsid w:val="00D353D2"/>
    <w:rsid w:val="00D358C7"/>
    <w:rsid w:val="00D35AD2"/>
    <w:rsid w:val="00D36EA5"/>
    <w:rsid w:val="00D370D4"/>
    <w:rsid w:val="00D37480"/>
    <w:rsid w:val="00D378D5"/>
    <w:rsid w:val="00D4046A"/>
    <w:rsid w:val="00D40FFF"/>
    <w:rsid w:val="00D410CD"/>
    <w:rsid w:val="00D429E4"/>
    <w:rsid w:val="00D430B4"/>
    <w:rsid w:val="00D436C8"/>
    <w:rsid w:val="00D43CF8"/>
    <w:rsid w:val="00D43F46"/>
    <w:rsid w:val="00D44539"/>
    <w:rsid w:val="00D445E5"/>
    <w:rsid w:val="00D4475D"/>
    <w:rsid w:val="00D4476F"/>
    <w:rsid w:val="00D44917"/>
    <w:rsid w:val="00D44B71"/>
    <w:rsid w:val="00D44CB1"/>
    <w:rsid w:val="00D44E2C"/>
    <w:rsid w:val="00D4502B"/>
    <w:rsid w:val="00D45161"/>
    <w:rsid w:val="00D45469"/>
    <w:rsid w:val="00D45525"/>
    <w:rsid w:val="00D45692"/>
    <w:rsid w:val="00D45B53"/>
    <w:rsid w:val="00D45F43"/>
    <w:rsid w:val="00D4761B"/>
    <w:rsid w:val="00D477B5"/>
    <w:rsid w:val="00D47FE5"/>
    <w:rsid w:val="00D504DC"/>
    <w:rsid w:val="00D506C7"/>
    <w:rsid w:val="00D509A8"/>
    <w:rsid w:val="00D50CCE"/>
    <w:rsid w:val="00D51113"/>
    <w:rsid w:val="00D5181D"/>
    <w:rsid w:val="00D5204F"/>
    <w:rsid w:val="00D53218"/>
    <w:rsid w:val="00D5385E"/>
    <w:rsid w:val="00D53968"/>
    <w:rsid w:val="00D53FD7"/>
    <w:rsid w:val="00D5416E"/>
    <w:rsid w:val="00D545CA"/>
    <w:rsid w:val="00D54C22"/>
    <w:rsid w:val="00D54D92"/>
    <w:rsid w:val="00D54FA9"/>
    <w:rsid w:val="00D54FB8"/>
    <w:rsid w:val="00D55447"/>
    <w:rsid w:val="00D5569A"/>
    <w:rsid w:val="00D55C60"/>
    <w:rsid w:val="00D566A2"/>
    <w:rsid w:val="00D5684E"/>
    <w:rsid w:val="00D56944"/>
    <w:rsid w:val="00D56FAB"/>
    <w:rsid w:val="00D5710A"/>
    <w:rsid w:val="00D5717B"/>
    <w:rsid w:val="00D574EA"/>
    <w:rsid w:val="00D57757"/>
    <w:rsid w:val="00D57977"/>
    <w:rsid w:val="00D57D2D"/>
    <w:rsid w:val="00D6015A"/>
    <w:rsid w:val="00D60E73"/>
    <w:rsid w:val="00D61012"/>
    <w:rsid w:val="00D61198"/>
    <w:rsid w:val="00D61723"/>
    <w:rsid w:val="00D6182C"/>
    <w:rsid w:val="00D61D39"/>
    <w:rsid w:val="00D62293"/>
    <w:rsid w:val="00D62736"/>
    <w:rsid w:val="00D631F9"/>
    <w:rsid w:val="00D632A2"/>
    <w:rsid w:val="00D6330A"/>
    <w:rsid w:val="00D63692"/>
    <w:rsid w:val="00D63948"/>
    <w:rsid w:val="00D639B8"/>
    <w:rsid w:val="00D639DE"/>
    <w:rsid w:val="00D63E3E"/>
    <w:rsid w:val="00D64329"/>
    <w:rsid w:val="00D64528"/>
    <w:rsid w:val="00D6496F"/>
    <w:rsid w:val="00D64DF5"/>
    <w:rsid w:val="00D6512B"/>
    <w:rsid w:val="00D65238"/>
    <w:rsid w:val="00D6548E"/>
    <w:rsid w:val="00D656CE"/>
    <w:rsid w:val="00D66155"/>
    <w:rsid w:val="00D661BD"/>
    <w:rsid w:val="00D67C2F"/>
    <w:rsid w:val="00D7039B"/>
    <w:rsid w:val="00D7049A"/>
    <w:rsid w:val="00D704B6"/>
    <w:rsid w:val="00D707D0"/>
    <w:rsid w:val="00D70AB9"/>
    <w:rsid w:val="00D70E87"/>
    <w:rsid w:val="00D711D7"/>
    <w:rsid w:val="00D712A3"/>
    <w:rsid w:val="00D715E5"/>
    <w:rsid w:val="00D71CCC"/>
    <w:rsid w:val="00D71D9C"/>
    <w:rsid w:val="00D71F8B"/>
    <w:rsid w:val="00D722AD"/>
    <w:rsid w:val="00D7240C"/>
    <w:rsid w:val="00D72836"/>
    <w:rsid w:val="00D72D54"/>
    <w:rsid w:val="00D72FE6"/>
    <w:rsid w:val="00D7339D"/>
    <w:rsid w:val="00D734DC"/>
    <w:rsid w:val="00D735B1"/>
    <w:rsid w:val="00D73B6F"/>
    <w:rsid w:val="00D73DC9"/>
    <w:rsid w:val="00D7402C"/>
    <w:rsid w:val="00D741C9"/>
    <w:rsid w:val="00D74C07"/>
    <w:rsid w:val="00D75114"/>
    <w:rsid w:val="00D754CB"/>
    <w:rsid w:val="00D75EFC"/>
    <w:rsid w:val="00D76240"/>
    <w:rsid w:val="00D76398"/>
    <w:rsid w:val="00D7660C"/>
    <w:rsid w:val="00D76C65"/>
    <w:rsid w:val="00D775E0"/>
    <w:rsid w:val="00D806A9"/>
    <w:rsid w:val="00D80A13"/>
    <w:rsid w:val="00D80A21"/>
    <w:rsid w:val="00D80E19"/>
    <w:rsid w:val="00D80F0B"/>
    <w:rsid w:val="00D810B7"/>
    <w:rsid w:val="00D817E1"/>
    <w:rsid w:val="00D825CA"/>
    <w:rsid w:val="00D82A1B"/>
    <w:rsid w:val="00D82A22"/>
    <w:rsid w:val="00D82B0E"/>
    <w:rsid w:val="00D82CFB"/>
    <w:rsid w:val="00D82FAC"/>
    <w:rsid w:val="00D831BA"/>
    <w:rsid w:val="00D83748"/>
    <w:rsid w:val="00D83BF1"/>
    <w:rsid w:val="00D83E40"/>
    <w:rsid w:val="00D84375"/>
    <w:rsid w:val="00D8491D"/>
    <w:rsid w:val="00D84B31"/>
    <w:rsid w:val="00D85110"/>
    <w:rsid w:val="00D8544B"/>
    <w:rsid w:val="00D856E0"/>
    <w:rsid w:val="00D8585A"/>
    <w:rsid w:val="00D85930"/>
    <w:rsid w:val="00D85A1E"/>
    <w:rsid w:val="00D85C02"/>
    <w:rsid w:val="00D85FD8"/>
    <w:rsid w:val="00D8621E"/>
    <w:rsid w:val="00D86909"/>
    <w:rsid w:val="00D870DB"/>
    <w:rsid w:val="00D870EC"/>
    <w:rsid w:val="00D87164"/>
    <w:rsid w:val="00D871E6"/>
    <w:rsid w:val="00D875DC"/>
    <w:rsid w:val="00D87DC4"/>
    <w:rsid w:val="00D90154"/>
    <w:rsid w:val="00D902B6"/>
    <w:rsid w:val="00D90500"/>
    <w:rsid w:val="00D905F7"/>
    <w:rsid w:val="00D906B2"/>
    <w:rsid w:val="00D90860"/>
    <w:rsid w:val="00D90CE0"/>
    <w:rsid w:val="00D91337"/>
    <w:rsid w:val="00D917F6"/>
    <w:rsid w:val="00D918FA"/>
    <w:rsid w:val="00D91963"/>
    <w:rsid w:val="00D91FFD"/>
    <w:rsid w:val="00D92350"/>
    <w:rsid w:val="00D923C4"/>
    <w:rsid w:val="00D92432"/>
    <w:rsid w:val="00D9243D"/>
    <w:rsid w:val="00D925F2"/>
    <w:rsid w:val="00D92CB0"/>
    <w:rsid w:val="00D9359E"/>
    <w:rsid w:val="00D93DB3"/>
    <w:rsid w:val="00D93FD1"/>
    <w:rsid w:val="00D94519"/>
    <w:rsid w:val="00D94937"/>
    <w:rsid w:val="00D94AAC"/>
    <w:rsid w:val="00D94D40"/>
    <w:rsid w:val="00D95349"/>
    <w:rsid w:val="00D953D2"/>
    <w:rsid w:val="00D953F7"/>
    <w:rsid w:val="00D958F6"/>
    <w:rsid w:val="00D96579"/>
    <w:rsid w:val="00D96960"/>
    <w:rsid w:val="00D96E81"/>
    <w:rsid w:val="00D975CD"/>
    <w:rsid w:val="00D9779F"/>
    <w:rsid w:val="00D97BFF"/>
    <w:rsid w:val="00DA02C2"/>
    <w:rsid w:val="00DA031F"/>
    <w:rsid w:val="00DA08AC"/>
    <w:rsid w:val="00DA12B3"/>
    <w:rsid w:val="00DA1562"/>
    <w:rsid w:val="00DA1D31"/>
    <w:rsid w:val="00DA1EB5"/>
    <w:rsid w:val="00DA2088"/>
    <w:rsid w:val="00DA23DE"/>
    <w:rsid w:val="00DA25B3"/>
    <w:rsid w:val="00DA26B4"/>
    <w:rsid w:val="00DA27A2"/>
    <w:rsid w:val="00DA28A5"/>
    <w:rsid w:val="00DA29B6"/>
    <w:rsid w:val="00DA30C7"/>
    <w:rsid w:val="00DA3886"/>
    <w:rsid w:val="00DA3EA5"/>
    <w:rsid w:val="00DA41CB"/>
    <w:rsid w:val="00DA44C9"/>
    <w:rsid w:val="00DA52B7"/>
    <w:rsid w:val="00DA530F"/>
    <w:rsid w:val="00DA531E"/>
    <w:rsid w:val="00DA5CA8"/>
    <w:rsid w:val="00DA5D14"/>
    <w:rsid w:val="00DA5DA7"/>
    <w:rsid w:val="00DA5ED4"/>
    <w:rsid w:val="00DA60F9"/>
    <w:rsid w:val="00DA6124"/>
    <w:rsid w:val="00DA627A"/>
    <w:rsid w:val="00DA642A"/>
    <w:rsid w:val="00DA65BC"/>
    <w:rsid w:val="00DA6CC6"/>
    <w:rsid w:val="00DA6D21"/>
    <w:rsid w:val="00DA74D1"/>
    <w:rsid w:val="00DA7753"/>
    <w:rsid w:val="00DA7E1B"/>
    <w:rsid w:val="00DA7FA9"/>
    <w:rsid w:val="00DB0078"/>
    <w:rsid w:val="00DB02BA"/>
    <w:rsid w:val="00DB0381"/>
    <w:rsid w:val="00DB072C"/>
    <w:rsid w:val="00DB0B40"/>
    <w:rsid w:val="00DB0D20"/>
    <w:rsid w:val="00DB0DE1"/>
    <w:rsid w:val="00DB0F6B"/>
    <w:rsid w:val="00DB0F82"/>
    <w:rsid w:val="00DB13B7"/>
    <w:rsid w:val="00DB1AA7"/>
    <w:rsid w:val="00DB1EFA"/>
    <w:rsid w:val="00DB2803"/>
    <w:rsid w:val="00DB28F8"/>
    <w:rsid w:val="00DB2B18"/>
    <w:rsid w:val="00DB2D1E"/>
    <w:rsid w:val="00DB34CF"/>
    <w:rsid w:val="00DB361F"/>
    <w:rsid w:val="00DB36CD"/>
    <w:rsid w:val="00DB3B16"/>
    <w:rsid w:val="00DB4449"/>
    <w:rsid w:val="00DB4B9E"/>
    <w:rsid w:val="00DB4C26"/>
    <w:rsid w:val="00DB5013"/>
    <w:rsid w:val="00DB54AC"/>
    <w:rsid w:val="00DB551A"/>
    <w:rsid w:val="00DB5717"/>
    <w:rsid w:val="00DB5B18"/>
    <w:rsid w:val="00DB5BC7"/>
    <w:rsid w:val="00DB5C29"/>
    <w:rsid w:val="00DB5DA8"/>
    <w:rsid w:val="00DB6708"/>
    <w:rsid w:val="00DB6A5A"/>
    <w:rsid w:val="00DB6C54"/>
    <w:rsid w:val="00DB6D64"/>
    <w:rsid w:val="00DB6FC2"/>
    <w:rsid w:val="00DB700D"/>
    <w:rsid w:val="00DB7682"/>
    <w:rsid w:val="00DB7C41"/>
    <w:rsid w:val="00DB7FDF"/>
    <w:rsid w:val="00DC0362"/>
    <w:rsid w:val="00DC0634"/>
    <w:rsid w:val="00DC0678"/>
    <w:rsid w:val="00DC07D1"/>
    <w:rsid w:val="00DC081F"/>
    <w:rsid w:val="00DC1AF4"/>
    <w:rsid w:val="00DC2191"/>
    <w:rsid w:val="00DC29AF"/>
    <w:rsid w:val="00DC29FE"/>
    <w:rsid w:val="00DC3333"/>
    <w:rsid w:val="00DC374A"/>
    <w:rsid w:val="00DC393D"/>
    <w:rsid w:val="00DC3E67"/>
    <w:rsid w:val="00DC4880"/>
    <w:rsid w:val="00DC4C83"/>
    <w:rsid w:val="00DC536D"/>
    <w:rsid w:val="00DC5ABC"/>
    <w:rsid w:val="00DC5B52"/>
    <w:rsid w:val="00DC5CC0"/>
    <w:rsid w:val="00DC6897"/>
    <w:rsid w:val="00DC6D56"/>
    <w:rsid w:val="00DC6DAC"/>
    <w:rsid w:val="00DC6E0E"/>
    <w:rsid w:val="00DC6E5E"/>
    <w:rsid w:val="00DC710F"/>
    <w:rsid w:val="00DC74D1"/>
    <w:rsid w:val="00DC77BA"/>
    <w:rsid w:val="00DD02BC"/>
    <w:rsid w:val="00DD0381"/>
    <w:rsid w:val="00DD0402"/>
    <w:rsid w:val="00DD042C"/>
    <w:rsid w:val="00DD0755"/>
    <w:rsid w:val="00DD11B2"/>
    <w:rsid w:val="00DD193E"/>
    <w:rsid w:val="00DD1C93"/>
    <w:rsid w:val="00DD20E1"/>
    <w:rsid w:val="00DD2150"/>
    <w:rsid w:val="00DD252A"/>
    <w:rsid w:val="00DD2F76"/>
    <w:rsid w:val="00DD37CB"/>
    <w:rsid w:val="00DD3A30"/>
    <w:rsid w:val="00DD3FC8"/>
    <w:rsid w:val="00DD4752"/>
    <w:rsid w:val="00DD4C69"/>
    <w:rsid w:val="00DD4F02"/>
    <w:rsid w:val="00DD4F3A"/>
    <w:rsid w:val="00DD5438"/>
    <w:rsid w:val="00DD5581"/>
    <w:rsid w:val="00DD58C5"/>
    <w:rsid w:val="00DD5FC3"/>
    <w:rsid w:val="00DD60A4"/>
    <w:rsid w:val="00DD6533"/>
    <w:rsid w:val="00DD6E86"/>
    <w:rsid w:val="00DD6F97"/>
    <w:rsid w:val="00DD71E8"/>
    <w:rsid w:val="00DD732A"/>
    <w:rsid w:val="00DD7462"/>
    <w:rsid w:val="00DD7597"/>
    <w:rsid w:val="00DD7C5B"/>
    <w:rsid w:val="00DD7CB7"/>
    <w:rsid w:val="00DE0833"/>
    <w:rsid w:val="00DE08E7"/>
    <w:rsid w:val="00DE0A56"/>
    <w:rsid w:val="00DE0BED"/>
    <w:rsid w:val="00DE0C89"/>
    <w:rsid w:val="00DE0D35"/>
    <w:rsid w:val="00DE0E04"/>
    <w:rsid w:val="00DE0E27"/>
    <w:rsid w:val="00DE1022"/>
    <w:rsid w:val="00DE1360"/>
    <w:rsid w:val="00DE1A5C"/>
    <w:rsid w:val="00DE1C41"/>
    <w:rsid w:val="00DE1F25"/>
    <w:rsid w:val="00DE2156"/>
    <w:rsid w:val="00DE21D7"/>
    <w:rsid w:val="00DE26B3"/>
    <w:rsid w:val="00DE370E"/>
    <w:rsid w:val="00DE38E8"/>
    <w:rsid w:val="00DE3DFC"/>
    <w:rsid w:val="00DE3E4B"/>
    <w:rsid w:val="00DE4413"/>
    <w:rsid w:val="00DE47D1"/>
    <w:rsid w:val="00DE4D46"/>
    <w:rsid w:val="00DE4F07"/>
    <w:rsid w:val="00DE518E"/>
    <w:rsid w:val="00DE5968"/>
    <w:rsid w:val="00DE5E9E"/>
    <w:rsid w:val="00DE6017"/>
    <w:rsid w:val="00DE6457"/>
    <w:rsid w:val="00DE7242"/>
    <w:rsid w:val="00DE7704"/>
    <w:rsid w:val="00DE79D0"/>
    <w:rsid w:val="00DE7A87"/>
    <w:rsid w:val="00DE7C3B"/>
    <w:rsid w:val="00DE7DFA"/>
    <w:rsid w:val="00DF0122"/>
    <w:rsid w:val="00DF0718"/>
    <w:rsid w:val="00DF157F"/>
    <w:rsid w:val="00DF1A3A"/>
    <w:rsid w:val="00DF1B68"/>
    <w:rsid w:val="00DF1FD7"/>
    <w:rsid w:val="00DF23C7"/>
    <w:rsid w:val="00DF2627"/>
    <w:rsid w:val="00DF2839"/>
    <w:rsid w:val="00DF283D"/>
    <w:rsid w:val="00DF2ACF"/>
    <w:rsid w:val="00DF2E85"/>
    <w:rsid w:val="00DF2EEB"/>
    <w:rsid w:val="00DF3364"/>
    <w:rsid w:val="00DF3654"/>
    <w:rsid w:val="00DF3910"/>
    <w:rsid w:val="00DF3CED"/>
    <w:rsid w:val="00DF3D74"/>
    <w:rsid w:val="00DF42A3"/>
    <w:rsid w:val="00DF468B"/>
    <w:rsid w:val="00DF46C8"/>
    <w:rsid w:val="00DF47A6"/>
    <w:rsid w:val="00DF4D37"/>
    <w:rsid w:val="00DF5494"/>
    <w:rsid w:val="00DF5D61"/>
    <w:rsid w:val="00DF5FF3"/>
    <w:rsid w:val="00DF60C4"/>
    <w:rsid w:val="00DF660A"/>
    <w:rsid w:val="00DF679D"/>
    <w:rsid w:val="00DF68D5"/>
    <w:rsid w:val="00DF68DC"/>
    <w:rsid w:val="00DF70E9"/>
    <w:rsid w:val="00DF7206"/>
    <w:rsid w:val="00DF7944"/>
    <w:rsid w:val="00DF7B17"/>
    <w:rsid w:val="00DF7D62"/>
    <w:rsid w:val="00DF7EBD"/>
    <w:rsid w:val="00DF7F21"/>
    <w:rsid w:val="00E00C44"/>
    <w:rsid w:val="00E0236C"/>
    <w:rsid w:val="00E0236F"/>
    <w:rsid w:val="00E02648"/>
    <w:rsid w:val="00E026D3"/>
    <w:rsid w:val="00E02EF9"/>
    <w:rsid w:val="00E0306A"/>
    <w:rsid w:val="00E030B8"/>
    <w:rsid w:val="00E03315"/>
    <w:rsid w:val="00E036D1"/>
    <w:rsid w:val="00E03945"/>
    <w:rsid w:val="00E03A4C"/>
    <w:rsid w:val="00E03FF0"/>
    <w:rsid w:val="00E047D6"/>
    <w:rsid w:val="00E04810"/>
    <w:rsid w:val="00E05175"/>
    <w:rsid w:val="00E05425"/>
    <w:rsid w:val="00E0550C"/>
    <w:rsid w:val="00E05CC2"/>
    <w:rsid w:val="00E05DF5"/>
    <w:rsid w:val="00E06262"/>
    <w:rsid w:val="00E06362"/>
    <w:rsid w:val="00E063B3"/>
    <w:rsid w:val="00E064DA"/>
    <w:rsid w:val="00E06930"/>
    <w:rsid w:val="00E0748B"/>
    <w:rsid w:val="00E075C9"/>
    <w:rsid w:val="00E079DC"/>
    <w:rsid w:val="00E07ADA"/>
    <w:rsid w:val="00E10060"/>
    <w:rsid w:val="00E1057E"/>
    <w:rsid w:val="00E10D24"/>
    <w:rsid w:val="00E1152B"/>
    <w:rsid w:val="00E12083"/>
    <w:rsid w:val="00E12283"/>
    <w:rsid w:val="00E12508"/>
    <w:rsid w:val="00E126EC"/>
    <w:rsid w:val="00E12A65"/>
    <w:rsid w:val="00E12D01"/>
    <w:rsid w:val="00E13039"/>
    <w:rsid w:val="00E13089"/>
    <w:rsid w:val="00E13294"/>
    <w:rsid w:val="00E13374"/>
    <w:rsid w:val="00E13487"/>
    <w:rsid w:val="00E13947"/>
    <w:rsid w:val="00E13B00"/>
    <w:rsid w:val="00E13F4C"/>
    <w:rsid w:val="00E13F76"/>
    <w:rsid w:val="00E14231"/>
    <w:rsid w:val="00E14994"/>
    <w:rsid w:val="00E14AC2"/>
    <w:rsid w:val="00E14C60"/>
    <w:rsid w:val="00E14DEC"/>
    <w:rsid w:val="00E15AF6"/>
    <w:rsid w:val="00E15E3D"/>
    <w:rsid w:val="00E166EB"/>
    <w:rsid w:val="00E16BC3"/>
    <w:rsid w:val="00E16FEF"/>
    <w:rsid w:val="00E1705C"/>
    <w:rsid w:val="00E1735A"/>
    <w:rsid w:val="00E176E2"/>
    <w:rsid w:val="00E17B62"/>
    <w:rsid w:val="00E20D46"/>
    <w:rsid w:val="00E20DE0"/>
    <w:rsid w:val="00E213C4"/>
    <w:rsid w:val="00E21E79"/>
    <w:rsid w:val="00E22B57"/>
    <w:rsid w:val="00E22BA9"/>
    <w:rsid w:val="00E230F2"/>
    <w:rsid w:val="00E2318D"/>
    <w:rsid w:val="00E236DB"/>
    <w:rsid w:val="00E23B70"/>
    <w:rsid w:val="00E23E27"/>
    <w:rsid w:val="00E24654"/>
    <w:rsid w:val="00E24DB7"/>
    <w:rsid w:val="00E24EF9"/>
    <w:rsid w:val="00E2506F"/>
    <w:rsid w:val="00E252DB"/>
    <w:rsid w:val="00E2539B"/>
    <w:rsid w:val="00E26010"/>
    <w:rsid w:val="00E26167"/>
    <w:rsid w:val="00E261C3"/>
    <w:rsid w:val="00E263CC"/>
    <w:rsid w:val="00E270DA"/>
    <w:rsid w:val="00E27233"/>
    <w:rsid w:val="00E27DEA"/>
    <w:rsid w:val="00E27E2C"/>
    <w:rsid w:val="00E30794"/>
    <w:rsid w:val="00E30BF2"/>
    <w:rsid w:val="00E3133F"/>
    <w:rsid w:val="00E31A8F"/>
    <w:rsid w:val="00E327A7"/>
    <w:rsid w:val="00E32B56"/>
    <w:rsid w:val="00E33232"/>
    <w:rsid w:val="00E33E16"/>
    <w:rsid w:val="00E34754"/>
    <w:rsid w:val="00E353D4"/>
    <w:rsid w:val="00E35DE1"/>
    <w:rsid w:val="00E36513"/>
    <w:rsid w:val="00E36613"/>
    <w:rsid w:val="00E366A4"/>
    <w:rsid w:val="00E3734E"/>
    <w:rsid w:val="00E3778B"/>
    <w:rsid w:val="00E37808"/>
    <w:rsid w:val="00E3787A"/>
    <w:rsid w:val="00E37D16"/>
    <w:rsid w:val="00E37E8A"/>
    <w:rsid w:val="00E40042"/>
    <w:rsid w:val="00E4030D"/>
    <w:rsid w:val="00E40421"/>
    <w:rsid w:val="00E407DF"/>
    <w:rsid w:val="00E40924"/>
    <w:rsid w:val="00E40C49"/>
    <w:rsid w:val="00E40D5E"/>
    <w:rsid w:val="00E40F69"/>
    <w:rsid w:val="00E40FC0"/>
    <w:rsid w:val="00E4106D"/>
    <w:rsid w:val="00E418FF"/>
    <w:rsid w:val="00E41E51"/>
    <w:rsid w:val="00E41EBF"/>
    <w:rsid w:val="00E4217D"/>
    <w:rsid w:val="00E42484"/>
    <w:rsid w:val="00E42553"/>
    <w:rsid w:val="00E428F7"/>
    <w:rsid w:val="00E430E0"/>
    <w:rsid w:val="00E43CB2"/>
    <w:rsid w:val="00E442C5"/>
    <w:rsid w:val="00E4474B"/>
    <w:rsid w:val="00E4479E"/>
    <w:rsid w:val="00E450CE"/>
    <w:rsid w:val="00E45B77"/>
    <w:rsid w:val="00E45F1B"/>
    <w:rsid w:val="00E45F69"/>
    <w:rsid w:val="00E4635A"/>
    <w:rsid w:val="00E466D6"/>
    <w:rsid w:val="00E4693D"/>
    <w:rsid w:val="00E470FE"/>
    <w:rsid w:val="00E47687"/>
    <w:rsid w:val="00E47C9F"/>
    <w:rsid w:val="00E50630"/>
    <w:rsid w:val="00E5084B"/>
    <w:rsid w:val="00E50A44"/>
    <w:rsid w:val="00E513F0"/>
    <w:rsid w:val="00E513F9"/>
    <w:rsid w:val="00E51775"/>
    <w:rsid w:val="00E519F6"/>
    <w:rsid w:val="00E51A8E"/>
    <w:rsid w:val="00E51C82"/>
    <w:rsid w:val="00E51D25"/>
    <w:rsid w:val="00E51DC9"/>
    <w:rsid w:val="00E51E59"/>
    <w:rsid w:val="00E52BD9"/>
    <w:rsid w:val="00E52BF6"/>
    <w:rsid w:val="00E53633"/>
    <w:rsid w:val="00E53A4F"/>
    <w:rsid w:val="00E53FDD"/>
    <w:rsid w:val="00E549C7"/>
    <w:rsid w:val="00E54A6A"/>
    <w:rsid w:val="00E54A9A"/>
    <w:rsid w:val="00E54AC2"/>
    <w:rsid w:val="00E54BEA"/>
    <w:rsid w:val="00E54DD2"/>
    <w:rsid w:val="00E54EC6"/>
    <w:rsid w:val="00E55035"/>
    <w:rsid w:val="00E551BE"/>
    <w:rsid w:val="00E55570"/>
    <w:rsid w:val="00E56291"/>
    <w:rsid w:val="00E5658C"/>
    <w:rsid w:val="00E56A00"/>
    <w:rsid w:val="00E56B93"/>
    <w:rsid w:val="00E56DCB"/>
    <w:rsid w:val="00E56E32"/>
    <w:rsid w:val="00E56E83"/>
    <w:rsid w:val="00E577F7"/>
    <w:rsid w:val="00E578BA"/>
    <w:rsid w:val="00E57A94"/>
    <w:rsid w:val="00E57A9C"/>
    <w:rsid w:val="00E57FE5"/>
    <w:rsid w:val="00E60893"/>
    <w:rsid w:val="00E60AAF"/>
    <w:rsid w:val="00E60BC3"/>
    <w:rsid w:val="00E60D59"/>
    <w:rsid w:val="00E60E9C"/>
    <w:rsid w:val="00E612D4"/>
    <w:rsid w:val="00E615C1"/>
    <w:rsid w:val="00E616C8"/>
    <w:rsid w:val="00E62D3E"/>
    <w:rsid w:val="00E634D7"/>
    <w:rsid w:val="00E63676"/>
    <w:rsid w:val="00E636A3"/>
    <w:rsid w:val="00E63B61"/>
    <w:rsid w:val="00E63F1D"/>
    <w:rsid w:val="00E640F7"/>
    <w:rsid w:val="00E640FF"/>
    <w:rsid w:val="00E644DC"/>
    <w:rsid w:val="00E64BC5"/>
    <w:rsid w:val="00E64FBD"/>
    <w:rsid w:val="00E6503B"/>
    <w:rsid w:val="00E650D6"/>
    <w:rsid w:val="00E651EE"/>
    <w:rsid w:val="00E653F2"/>
    <w:rsid w:val="00E654D1"/>
    <w:rsid w:val="00E65561"/>
    <w:rsid w:val="00E66549"/>
    <w:rsid w:val="00E66A74"/>
    <w:rsid w:val="00E67102"/>
    <w:rsid w:val="00E67679"/>
    <w:rsid w:val="00E7054F"/>
    <w:rsid w:val="00E706A6"/>
    <w:rsid w:val="00E71189"/>
    <w:rsid w:val="00E71331"/>
    <w:rsid w:val="00E71937"/>
    <w:rsid w:val="00E71C03"/>
    <w:rsid w:val="00E71F2B"/>
    <w:rsid w:val="00E72010"/>
    <w:rsid w:val="00E721B7"/>
    <w:rsid w:val="00E72411"/>
    <w:rsid w:val="00E72663"/>
    <w:rsid w:val="00E7273E"/>
    <w:rsid w:val="00E72803"/>
    <w:rsid w:val="00E73053"/>
    <w:rsid w:val="00E7333D"/>
    <w:rsid w:val="00E733B8"/>
    <w:rsid w:val="00E739DA"/>
    <w:rsid w:val="00E73A55"/>
    <w:rsid w:val="00E73C90"/>
    <w:rsid w:val="00E742B1"/>
    <w:rsid w:val="00E74341"/>
    <w:rsid w:val="00E761E1"/>
    <w:rsid w:val="00E7639E"/>
    <w:rsid w:val="00E76422"/>
    <w:rsid w:val="00E76939"/>
    <w:rsid w:val="00E76F67"/>
    <w:rsid w:val="00E7787E"/>
    <w:rsid w:val="00E77913"/>
    <w:rsid w:val="00E77AFE"/>
    <w:rsid w:val="00E77BE8"/>
    <w:rsid w:val="00E803BD"/>
    <w:rsid w:val="00E80589"/>
    <w:rsid w:val="00E809A0"/>
    <w:rsid w:val="00E809C7"/>
    <w:rsid w:val="00E80AA8"/>
    <w:rsid w:val="00E80F5A"/>
    <w:rsid w:val="00E81828"/>
    <w:rsid w:val="00E81972"/>
    <w:rsid w:val="00E81E98"/>
    <w:rsid w:val="00E825B1"/>
    <w:rsid w:val="00E82995"/>
    <w:rsid w:val="00E82E13"/>
    <w:rsid w:val="00E83029"/>
    <w:rsid w:val="00E8374E"/>
    <w:rsid w:val="00E83C52"/>
    <w:rsid w:val="00E83F5A"/>
    <w:rsid w:val="00E84263"/>
    <w:rsid w:val="00E84271"/>
    <w:rsid w:val="00E8432C"/>
    <w:rsid w:val="00E843C4"/>
    <w:rsid w:val="00E8458B"/>
    <w:rsid w:val="00E84800"/>
    <w:rsid w:val="00E852DD"/>
    <w:rsid w:val="00E85D70"/>
    <w:rsid w:val="00E85E6B"/>
    <w:rsid w:val="00E8625F"/>
    <w:rsid w:val="00E86973"/>
    <w:rsid w:val="00E87101"/>
    <w:rsid w:val="00E8734F"/>
    <w:rsid w:val="00E87D47"/>
    <w:rsid w:val="00E87E81"/>
    <w:rsid w:val="00E9039B"/>
    <w:rsid w:val="00E904D0"/>
    <w:rsid w:val="00E90FA5"/>
    <w:rsid w:val="00E9110D"/>
    <w:rsid w:val="00E912C7"/>
    <w:rsid w:val="00E9163D"/>
    <w:rsid w:val="00E91B80"/>
    <w:rsid w:val="00E91BCF"/>
    <w:rsid w:val="00E9285E"/>
    <w:rsid w:val="00E92B71"/>
    <w:rsid w:val="00E92BD5"/>
    <w:rsid w:val="00E931BC"/>
    <w:rsid w:val="00E93CF6"/>
    <w:rsid w:val="00E93FEF"/>
    <w:rsid w:val="00E940CE"/>
    <w:rsid w:val="00E9412B"/>
    <w:rsid w:val="00E94A3F"/>
    <w:rsid w:val="00E94AD5"/>
    <w:rsid w:val="00E950A0"/>
    <w:rsid w:val="00E954D1"/>
    <w:rsid w:val="00E95BAA"/>
    <w:rsid w:val="00E95D19"/>
    <w:rsid w:val="00E96D7D"/>
    <w:rsid w:val="00E973FD"/>
    <w:rsid w:val="00E97822"/>
    <w:rsid w:val="00E97841"/>
    <w:rsid w:val="00E9788D"/>
    <w:rsid w:val="00E97A23"/>
    <w:rsid w:val="00E97F25"/>
    <w:rsid w:val="00EA021B"/>
    <w:rsid w:val="00EA021E"/>
    <w:rsid w:val="00EA05F9"/>
    <w:rsid w:val="00EA0780"/>
    <w:rsid w:val="00EA0790"/>
    <w:rsid w:val="00EA0ACA"/>
    <w:rsid w:val="00EA0D70"/>
    <w:rsid w:val="00EA1E4A"/>
    <w:rsid w:val="00EA202B"/>
    <w:rsid w:val="00EA27A1"/>
    <w:rsid w:val="00EA2919"/>
    <w:rsid w:val="00EA2A90"/>
    <w:rsid w:val="00EA2E10"/>
    <w:rsid w:val="00EA2E39"/>
    <w:rsid w:val="00EA314A"/>
    <w:rsid w:val="00EA38FA"/>
    <w:rsid w:val="00EA3C9B"/>
    <w:rsid w:val="00EA3EA5"/>
    <w:rsid w:val="00EA4101"/>
    <w:rsid w:val="00EA417F"/>
    <w:rsid w:val="00EA45FF"/>
    <w:rsid w:val="00EA4716"/>
    <w:rsid w:val="00EA5264"/>
    <w:rsid w:val="00EA52EA"/>
    <w:rsid w:val="00EA5376"/>
    <w:rsid w:val="00EA5E49"/>
    <w:rsid w:val="00EA5EE9"/>
    <w:rsid w:val="00EA5FC1"/>
    <w:rsid w:val="00EA6355"/>
    <w:rsid w:val="00EA687A"/>
    <w:rsid w:val="00EA6F26"/>
    <w:rsid w:val="00EA7706"/>
    <w:rsid w:val="00EB06A7"/>
    <w:rsid w:val="00EB07D9"/>
    <w:rsid w:val="00EB0D8D"/>
    <w:rsid w:val="00EB0FC7"/>
    <w:rsid w:val="00EB1424"/>
    <w:rsid w:val="00EB1ACE"/>
    <w:rsid w:val="00EB1CFB"/>
    <w:rsid w:val="00EB1FC3"/>
    <w:rsid w:val="00EB27C3"/>
    <w:rsid w:val="00EB3151"/>
    <w:rsid w:val="00EB321E"/>
    <w:rsid w:val="00EB33E6"/>
    <w:rsid w:val="00EB3A43"/>
    <w:rsid w:val="00EB4129"/>
    <w:rsid w:val="00EB4498"/>
    <w:rsid w:val="00EB5606"/>
    <w:rsid w:val="00EB6128"/>
    <w:rsid w:val="00EB66D2"/>
    <w:rsid w:val="00EB6ABA"/>
    <w:rsid w:val="00EB6E40"/>
    <w:rsid w:val="00EB729A"/>
    <w:rsid w:val="00EC03C1"/>
    <w:rsid w:val="00EC0A65"/>
    <w:rsid w:val="00EC0AA5"/>
    <w:rsid w:val="00EC128F"/>
    <w:rsid w:val="00EC1296"/>
    <w:rsid w:val="00EC137E"/>
    <w:rsid w:val="00EC1570"/>
    <w:rsid w:val="00EC1DD6"/>
    <w:rsid w:val="00EC1F02"/>
    <w:rsid w:val="00EC3374"/>
    <w:rsid w:val="00EC33A7"/>
    <w:rsid w:val="00EC3B4D"/>
    <w:rsid w:val="00EC3F71"/>
    <w:rsid w:val="00EC42BD"/>
    <w:rsid w:val="00EC469A"/>
    <w:rsid w:val="00EC4DCF"/>
    <w:rsid w:val="00EC4FD0"/>
    <w:rsid w:val="00EC51F9"/>
    <w:rsid w:val="00EC529A"/>
    <w:rsid w:val="00EC5665"/>
    <w:rsid w:val="00EC5C70"/>
    <w:rsid w:val="00EC711B"/>
    <w:rsid w:val="00EC7156"/>
    <w:rsid w:val="00EC761B"/>
    <w:rsid w:val="00EC76D6"/>
    <w:rsid w:val="00EC7808"/>
    <w:rsid w:val="00EC7E32"/>
    <w:rsid w:val="00ED0579"/>
    <w:rsid w:val="00ED062F"/>
    <w:rsid w:val="00ED09E5"/>
    <w:rsid w:val="00ED0B59"/>
    <w:rsid w:val="00ED0BA1"/>
    <w:rsid w:val="00ED0F0A"/>
    <w:rsid w:val="00ED0F1E"/>
    <w:rsid w:val="00ED1225"/>
    <w:rsid w:val="00ED14B0"/>
    <w:rsid w:val="00ED1521"/>
    <w:rsid w:val="00ED1827"/>
    <w:rsid w:val="00ED1993"/>
    <w:rsid w:val="00ED2192"/>
    <w:rsid w:val="00ED21E2"/>
    <w:rsid w:val="00ED22E1"/>
    <w:rsid w:val="00ED23F3"/>
    <w:rsid w:val="00ED2A5A"/>
    <w:rsid w:val="00ED2ADB"/>
    <w:rsid w:val="00ED2EAD"/>
    <w:rsid w:val="00ED30EA"/>
    <w:rsid w:val="00ED3508"/>
    <w:rsid w:val="00ED3863"/>
    <w:rsid w:val="00ED3A53"/>
    <w:rsid w:val="00ED3C11"/>
    <w:rsid w:val="00ED42AF"/>
    <w:rsid w:val="00ED45A2"/>
    <w:rsid w:val="00ED46D9"/>
    <w:rsid w:val="00ED47CD"/>
    <w:rsid w:val="00ED49DE"/>
    <w:rsid w:val="00ED4ACF"/>
    <w:rsid w:val="00ED4CFB"/>
    <w:rsid w:val="00ED52EC"/>
    <w:rsid w:val="00ED56BB"/>
    <w:rsid w:val="00ED5950"/>
    <w:rsid w:val="00ED61B7"/>
    <w:rsid w:val="00ED6432"/>
    <w:rsid w:val="00ED6507"/>
    <w:rsid w:val="00ED6F67"/>
    <w:rsid w:val="00ED703C"/>
    <w:rsid w:val="00ED7848"/>
    <w:rsid w:val="00ED7A28"/>
    <w:rsid w:val="00EE0014"/>
    <w:rsid w:val="00EE0544"/>
    <w:rsid w:val="00EE0811"/>
    <w:rsid w:val="00EE09DD"/>
    <w:rsid w:val="00EE105D"/>
    <w:rsid w:val="00EE114E"/>
    <w:rsid w:val="00EE11D8"/>
    <w:rsid w:val="00EE13B1"/>
    <w:rsid w:val="00EE16BD"/>
    <w:rsid w:val="00EE1721"/>
    <w:rsid w:val="00EE1877"/>
    <w:rsid w:val="00EE1A8E"/>
    <w:rsid w:val="00EE1FC1"/>
    <w:rsid w:val="00EE23C1"/>
    <w:rsid w:val="00EE261F"/>
    <w:rsid w:val="00EE266D"/>
    <w:rsid w:val="00EE276E"/>
    <w:rsid w:val="00EE2BAC"/>
    <w:rsid w:val="00EE2C4F"/>
    <w:rsid w:val="00EE2CAE"/>
    <w:rsid w:val="00EE2D63"/>
    <w:rsid w:val="00EE32A4"/>
    <w:rsid w:val="00EE36EA"/>
    <w:rsid w:val="00EE3782"/>
    <w:rsid w:val="00EE3B24"/>
    <w:rsid w:val="00EE422B"/>
    <w:rsid w:val="00EE435B"/>
    <w:rsid w:val="00EE4635"/>
    <w:rsid w:val="00EE48C6"/>
    <w:rsid w:val="00EE5425"/>
    <w:rsid w:val="00EE5542"/>
    <w:rsid w:val="00EE5987"/>
    <w:rsid w:val="00EE5BD2"/>
    <w:rsid w:val="00EE5C98"/>
    <w:rsid w:val="00EE5D8C"/>
    <w:rsid w:val="00EE6E09"/>
    <w:rsid w:val="00EE6FDE"/>
    <w:rsid w:val="00EE7444"/>
    <w:rsid w:val="00EE744A"/>
    <w:rsid w:val="00EF00B3"/>
    <w:rsid w:val="00EF029A"/>
    <w:rsid w:val="00EF02CB"/>
    <w:rsid w:val="00EF1C9E"/>
    <w:rsid w:val="00EF1F78"/>
    <w:rsid w:val="00EF2016"/>
    <w:rsid w:val="00EF25D6"/>
    <w:rsid w:val="00EF2B8F"/>
    <w:rsid w:val="00EF2FD4"/>
    <w:rsid w:val="00EF3F33"/>
    <w:rsid w:val="00EF3F49"/>
    <w:rsid w:val="00EF40E8"/>
    <w:rsid w:val="00EF441C"/>
    <w:rsid w:val="00EF46E7"/>
    <w:rsid w:val="00EF4AB8"/>
    <w:rsid w:val="00EF4EB2"/>
    <w:rsid w:val="00EF5A04"/>
    <w:rsid w:val="00EF5B87"/>
    <w:rsid w:val="00EF5BFE"/>
    <w:rsid w:val="00EF5CAC"/>
    <w:rsid w:val="00EF5D1D"/>
    <w:rsid w:val="00EF6209"/>
    <w:rsid w:val="00EF6F39"/>
    <w:rsid w:val="00EF7442"/>
    <w:rsid w:val="00F00B13"/>
    <w:rsid w:val="00F00B78"/>
    <w:rsid w:val="00F00CE2"/>
    <w:rsid w:val="00F00DA6"/>
    <w:rsid w:val="00F01B59"/>
    <w:rsid w:val="00F01D3E"/>
    <w:rsid w:val="00F02B71"/>
    <w:rsid w:val="00F02C68"/>
    <w:rsid w:val="00F0354B"/>
    <w:rsid w:val="00F037D5"/>
    <w:rsid w:val="00F03CD6"/>
    <w:rsid w:val="00F03F92"/>
    <w:rsid w:val="00F041A4"/>
    <w:rsid w:val="00F0425B"/>
    <w:rsid w:val="00F042EB"/>
    <w:rsid w:val="00F04973"/>
    <w:rsid w:val="00F04A06"/>
    <w:rsid w:val="00F04EF0"/>
    <w:rsid w:val="00F05135"/>
    <w:rsid w:val="00F054E7"/>
    <w:rsid w:val="00F05565"/>
    <w:rsid w:val="00F05949"/>
    <w:rsid w:val="00F05E69"/>
    <w:rsid w:val="00F06E8B"/>
    <w:rsid w:val="00F07265"/>
    <w:rsid w:val="00F075BB"/>
    <w:rsid w:val="00F07654"/>
    <w:rsid w:val="00F077BB"/>
    <w:rsid w:val="00F07BA0"/>
    <w:rsid w:val="00F07E4C"/>
    <w:rsid w:val="00F07E76"/>
    <w:rsid w:val="00F100E3"/>
    <w:rsid w:val="00F101DE"/>
    <w:rsid w:val="00F10D43"/>
    <w:rsid w:val="00F10FCF"/>
    <w:rsid w:val="00F11515"/>
    <w:rsid w:val="00F11686"/>
    <w:rsid w:val="00F11C1D"/>
    <w:rsid w:val="00F11DB7"/>
    <w:rsid w:val="00F1257F"/>
    <w:rsid w:val="00F126C1"/>
    <w:rsid w:val="00F12DBD"/>
    <w:rsid w:val="00F13466"/>
    <w:rsid w:val="00F1379A"/>
    <w:rsid w:val="00F138C2"/>
    <w:rsid w:val="00F138E3"/>
    <w:rsid w:val="00F13B0E"/>
    <w:rsid w:val="00F13C2A"/>
    <w:rsid w:val="00F13E8D"/>
    <w:rsid w:val="00F14062"/>
    <w:rsid w:val="00F143AC"/>
    <w:rsid w:val="00F144EC"/>
    <w:rsid w:val="00F14985"/>
    <w:rsid w:val="00F14A6F"/>
    <w:rsid w:val="00F14EB3"/>
    <w:rsid w:val="00F150B8"/>
    <w:rsid w:val="00F1532C"/>
    <w:rsid w:val="00F154EC"/>
    <w:rsid w:val="00F15CD0"/>
    <w:rsid w:val="00F15E88"/>
    <w:rsid w:val="00F15F2B"/>
    <w:rsid w:val="00F16059"/>
    <w:rsid w:val="00F16439"/>
    <w:rsid w:val="00F16AD4"/>
    <w:rsid w:val="00F17359"/>
    <w:rsid w:val="00F174FF"/>
    <w:rsid w:val="00F17755"/>
    <w:rsid w:val="00F1778B"/>
    <w:rsid w:val="00F17F1D"/>
    <w:rsid w:val="00F20BBB"/>
    <w:rsid w:val="00F212BB"/>
    <w:rsid w:val="00F214B4"/>
    <w:rsid w:val="00F216C1"/>
    <w:rsid w:val="00F21BAB"/>
    <w:rsid w:val="00F22579"/>
    <w:rsid w:val="00F22A28"/>
    <w:rsid w:val="00F22C45"/>
    <w:rsid w:val="00F23067"/>
    <w:rsid w:val="00F23B09"/>
    <w:rsid w:val="00F241B8"/>
    <w:rsid w:val="00F24386"/>
    <w:rsid w:val="00F24443"/>
    <w:rsid w:val="00F24634"/>
    <w:rsid w:val="00F24C27"/>
    <w:rsid w:val="00F2530F"/>
    <w:rsid w:val="00F2534D"/>
    <w:rsid w:val="00F25503"/>
    <w:rsid w:val="00F25886"/>
    <w:rsid w:val="00F259F3"/>
    <w:rsid w:val="00F25CA6"/>
    <w:rsid w:val="00F25EBC"/>
    <w:rsid w:val="00F26029"/>
    <w:rsid w:val="00F26748"/>
    <w:rsid w:val="00F26CCE"/>
    <w:rsid w:val="00F26DF7"/>
    <w:rsid w:val="00F26F1C"/>
    <w:rsid w:val="00F26FB1"/>
    <w:rsid w:val="00F2705C"/>
    <w:rsid w:val="00F27159"/>
    <w:rsid w:val="00F27184"/>
    <w:rsid w:val="00F2759D"/>
    <w:rsid w:val="00F27C13"/>
    <w:rsid w:val="00F30258"/>
    <w:rsid w:val="00F30432"/>
    <w:rsid w:val="00F30AC0"/>
    <w:rsid w:val="00F30BFC"/>
    <w:rsid w:val="00F30D32"/>
    <w:rsid w:val="00F30F63"/>
    <w:rsid w:val="00F315A4"/>
    <w:rsid w:val="00F31615"/>
    <w:rsid w:val="00F3168A"/>
    <w:rsid w:val="00F32986"/>
    <w:rsid w:val="00F3299D"/>
    <w:rsid w:val="00F32FB2"/>
    <w:rsid w:val="00F33332"/>
    <w:rsid w:val="00F333E9"/>
    <w:rsid w:val="00F33EE3"/>
    <w:rsid w:val="00F34641"/>
    <w:rsid w:val="00F347C4"/>
    <w:rsid w:val="00F34D41"/>
    <w:rsid w:val="00F3518C"/>
    <w:rsid w:val="00F35293"/>
    <w:rsid w:val="00F352A5"/>
    <w:rsid w:val="00F3570B"/>
    <w:rsid w:val="00F35935"/>
    <w:rsid w:val="00F359D4"/>
    <w:rsid w:val="00F35E32"/>
    <w:rsid w:val="00F36235"/>
    <w:rsid w:val="00F36643"/>
    <w:rsid w:val="00F367A2"/>
    <w:rsid w:val="00F37261"/>
    <w:rsid w:val="00F3726B"/>
    <w:rsid w:val="00F375BE"/>
    <w:rsid w:val="00F37EAE"/>
    <w:rsid w:val="00F40147"/>
    <w:rsid w:val="00F4084C"/>
    <w:rsid w:val="00F40951"/>
    <w:rsid w:val="00F40D24"/>
    <w:rsid w:val="00F40DE1"/>
    <w:rsid w:val="00F41553"/>
    <w:rsid w:val="00F41C42"/>
    <w:rsid w:val="00F41D27"/>
    <w:rsid w:val="00F429A2"/>
    <w:rsid w:val="00F4355A"/>
    <w:rsid w:val="00F435ED"/>
    <w:rsid w:val="00F4360A"/>
    <w:rsid w:val="00F43674"/>
    <w:rsid w:val="00F43DBF"/>
    <w:rsid w:val="00F44405"/>
    <w:rsid w:val="00F449D5"/>
    <w:rsid w:val="00F44E8F"/>
    <w:rsid w:val="00F44F64"/>
    <w:rsid w:val="00F4504A"/>
    <w:rsid w:val="00F4516D"/>
    <w:rsid w:val="00F454DC"/>
    <w:rsid w:val="00F454E1"/>
    <w:rsid w:val="00F4556A"/>
    <w:rsid w:val="00F45A69"/>
    <w:rsid w:val="00F46071"/>
    <w:rsid w:val="00F46312"/>
    <w:rsid w:val="00F4681F"/>
    <w:rsid w:val="00F468C3"/>
    <w:rsid w:val="00F4693A"/>
    <w:rsid w:val="00F46B48"/>
    <w:rsid w:val="00F46FA0"/>
    <w:rsid w:val="00F47C05"/>
    <w:rsid w:val="00F500C2"/>
    <w:rsid w:val="00F50543"/>
    <w:rsid w:val="00F5087B"/>
    <w:rsid w:val="00F50B91"/>
    <w:rsid w:val="00F50E53"/>
    <w:rsid w:val="00F51296"/>
    <w:rsid w:val="00F51411"/>
    <w:rsid w:val="00F517CC"/>
    <w:rsid w:val="00F51BD7"/>
    <w:rsid w:val="00F51C76"/>
    <w:rsid w:val="00F5254B"/>
    <w:rsid w:val="00F52DC3"/>
    <w:rsid w:val="00F537BD"/>
    <w:rsid w:val="00F53AA9"/>
    <w:rsid w:val="00F54299"/>
    <w:rsid w:val="00F546BE"/>
    <w:rsid w:val="00F54880"/>
    <w:rsid w:val="00F54B62"/>
    <w:rsid w:val="00F556BF"/>
    <w:rsid w:val="00F5587F"/>
    <w:rsid w:val="00F55B0A"/>
    <w:rsid w:val="00F5718B"/>
    <w:rsid w:val="00F578C2"/>
    <w:rsid w:val="00F57FC0"/>
    <w:rsid w:val="00F601A6"/>
    <w:rsid w:val="00F602FB"/>
    <w:rsid w:val="00F60551"/>
    <w:rsid w:val="00F6081F"/>
    <w:rsid w:val="00F610ED"/>
    <w:rsid w:val="00F61366"/>
    <w:rsid w:val="00F61B7C"/>
    <w:rsid w:val="00F61D83"/>
    <w:rsid w:val="00F62062"/>
    <w:rsid w:val="00F621F0"/>
    <w:rsid w:val="00F62720"/>
    <w:rsid w:val="00F630E7"/>
    <w:rsid w:val="00F634C9"/>
    <w:rsid w:val="00F637EC"/>
    <w:rsid w:val="00F638F3"/>
    <w:rsid w:val="00F641B5"/>
    <w:rsid w:val="00F64C41"/>
    <w:rsid w:val="00F64E05"/>
    <w:rsid w:val="00F65413"/>
    <w:rsid w:val="00F65644"/>
    <w:rsid w:val="00F657AB"/>
    <w:rsid w:val="00F65BDA"/>
    <w:rsid w:val="00F65FD1"/>
    <w:rsid w:val="00F660EF"/>
    <w:rsid w:val="00F664EC"/>
    <w:rsid w:val="00F665D7"/>
    <w:rsid w:val="00F66C1F"/>
    <w:rsid w:val="00F66E00"/>
    <w:rsid w:val="00F67575"/>
    <w:rsid w:val="00F675FE"/>
    <w:rsid w:val="00F6765D"/>
    <w:rsid w:val="00F677FD"/>
    <w:rsid w:val="00F701CA"/>
    <w:rsid w:val="00F70308"/>
    <w:rsid w:val="00F7044B"/>
    <w:rsid w:val="00F70D00"/>
    <w:rsid w:val="00F711E8"/>
    <w:rsid w:val="00F7121E"/>
    <w:rsid w:val="00F7165F"/>
    <w:rsid w:val="00F72535"/>
    <w:rsid w:val="00F728BC"/>
    <w:rsid w:val="00F72921"/>
    <w:rsid w:val="00F72B99"/>
    <w:rsid w:val="00F72EEB"/>
    <w:rsid w:val="00F731FE"/>
    <w:rsid w:val="00F73571"/>
    <w:rsid w:val="00F736F4"/>
    <w:rsid w:val="00F73C13"/>
    <w:rsid w:val="00F73F2E"/>
    <w:rsid w:val="00F74132"/>
    <w:rsid w:val="00F741FF"/>
    <w:rsid w:val="00F7471F"/>
    <w:rsid w:val="00F74AB7"/>
    <w:rsid w:val="00F74FED"/>
    <w:rsid w:val="00F753B8"/>
    <w:rsid w:val="00F75456"/>
    <w:rsid w:val="00F756CD"/>
    <w:rsid w:val="00F75AFD"/>
    <w:rsid w:val="00F765A1"/>
    <w:rsid w:val="00F76BC8"/>
    <w:rsid w:val="00F76D39"/>
    <w:rsid w:val="00F76E8F"/>
    <w:rsid w:val="00F776DE"/>
    <w:rsid w:val="00F7798B"/>
    <w:rsid w:val="00F77E97"/>
    <w:rsid w:val="00F77FAC"/>
    <w:rsid w:val="00F80095"/>
    <w:rsid w:val="00F804C0"/>
    <w:rsid w:val="00F804FC"/>
    <w:rsid w:val="00F80793"/>
    <w:rsid w:val="00F8118D"/>
    <w:rsid w:val="00F816C3"/>
    <w:rsid w:val="00F8175A"/>
    <w:rsid w:val="00F81918"/>
    <w:rsid w:val="00F8235E"/>
    <w:rsid w:val="00F82AF8"/>
    <w:rsid w:val="00F82E18"/>
    <w:rsid w:val="00F82E68"/>
    <w:rsid w:val="00F83310"/>
    <w:rsid w:val="00F83362"/>
    <w:rsid w:val="00F8372D"/>
    <w:rsid w:val="00F83793"/>
    <w:rsid w:val="00F842BD"/>
    <w:rsid w:val="00F85126"/>
    <w:rsid w:val="00F85205"/>
    <w:rsid w:val="00F85E11"/>
    <w:rsid w:val="00F861B4"/>
    <w:rsid w:val="00F8646F"/>
    <w:rsid w:val="00F8650C"/>
    <w:rsid w:val="00F8689A"/>
    <w:rsid w:val="00F86961"/>
    <w:rsid w:val="00F86A71"/>
    <w:rsid w:val="00F86CE3"/>
    <w:rsid w:val="00F86FE2"/>
    <w:rsid w:val="00F87571"/>
    <w:rsid w:val="00F87682"/>
    <w:rsid w:val="00F87BBD"/>
    <w:rsid w:val="00F87BE8"/>
    <w:rsid w:val="00F87F6E"/>
    <w:rsid w:val="00F90841"/>
    <w:rsid w:val="00F90B7E"/>
    <w:rsid w:val="00F90D1B"/>
    <w:rsid w:val="00F910C2"/>
    <w:rsid w:val="00F91417"/>
    <w:rsid w:val="00F91721"/>
    <w:rsid w:val="00F92015"/>
    <w:rsid w:val="00F92B36"/>
    <w:rsid w:val="00F934D4"/>
    <w:rsid w:val="00F937A1"/>
    <w:rsid w:val="00F9407B"/>
    <w:rsid w:val="00F9491C"/>
    <w:rsid w:val="00F949C8"/>
    <w:rsid w:val="00F94A0B"/>
    <w:rsid w:val="00F94B43"/>
    <w:rsid w:val="00F95A9C"/>
    <w:rsid w:val="00F95B3B"/>
    <w:rsid w:val="00F95E39"/>
    <w:rsid w:val="00F96339"/>
    <w:rsid w:val="00F96848"/>
    <w:rsid w:val="00F96BB5"/>
    <w:rsid w:val="00F97408"/>
    <w:rsid w:val="00F974A1"/>
    <w:rsid w:val="00F97A10"/>
    <w:rsid w:val="00F97AB9"/>
    <w:rsid w:val="00F97D7B"/>
    <w:rsid w:val="00FA02C1"/>
    <w:rsid w:val="00FA02EE"/>
    <w:rsid w:val="00FA036B"/>
    <w:rsid w:val="00FA0921"/>
    <w:rsid w:val="00FA0B27"/>
    <w:rsid w:val="00FA1EC9"/>
    <w:rsid w:val="00FA2566"/>
    <w:rsid w:val="00FA299C"/>
    <w:rsid w:val="00FA2BD9"/>
    <w:rsid w:val="00FA2F05"/>
    <w:rsid w:val="00FA32B8"/>
    <w:rsid w:val="00FA33C0"/>
    <w:rsid w:val="00FA38E6"/>
    <w:rsid w:val="00FA41B0"/>
    <w:rsid w:val="00FA4944"/>
    <w:rsid w:val="00FA4C18"/>
    <w:rsid w:val="00FA5005"/>
    <w:rsid w:val="00FA514A"/>
    <w:rsid w:val="00FA5ADF"/>
    <w:rsid w:val="00FA5BAC"/>
    <w:rsid w:val="00FA5D82"/>
    <w:rsid w:val="00FA5DA7"/>
    <w:rsid w:val="00FA5DD6"/>
    <w:rsid w:val="00FA61F7"/>
    <w:rsid w:val="00FA688C"/>
    <w:rsid w:val="00FA6D2C"/>
    <w:rsid w:val="00FA6F9F"/>
    <w:rsid w:val="00FA742A"/>
    <w:rsid w:val="00FA7E38"/>
    <w:rsid w:val="00FB01AE"/>
    <w:rsid w:val="00FB0E9D"/>
    <w:rsid w:val="00FB1124"/>
    <w:rsid w:val="00FB154F"/>
    <w:rsid w:val="00FB1658"/>
    <w:rsid w:val="00FB1BAB"/>
    <w:rsid w:val="00FB1CF3"/>
    <w:rsid w:val="00FB1F97"/>
    <w:rsid w:val="00FB2383"/>
    <w:rsid w:val="00FB2890"/>
    <w:rsid w:val="00FB2EEF"/>
    <w:rsid w:val="00FB305A"/>
    <w:rsid w:val="00FB32B0"/>
    <w:rsid w:val="00FB3369"/>
    <w:rsid w:val="00FB3675"/>
    <w:rsid w:val="00FB37B3"/>
    <w:rsid w:val="00FB3992"/>
    <w:rsid w:val="00FB3AAE"/>
    <w:rsid w:val="00FB3CF2"/>
    <w:rsid w:val="00FB4F72"/>
    <w:rsid w:val="00FB4FC8"/>
    <w:rsid w:val="00FB50EA"/>
    <w:rsid w:val="00FB5375"/>
    <w:rsid w:val="00FB60FF"/>
    <w:rsid w:val="00FB654D"/>
    <w:rsid w:val="00FB6758"/>
    <w:rsid w:val="00FB6790"/>
    <w:rsid w:val="00FB6A13"/>
    <w:rsid w:val="00FB6B96"/>
    <w:rsid w:val="00FB702D"/>
    <w:rsid w:val="00FB72A4"/>
    <w:rsid w:val="00FB7670"/>
    <w:rsid w:val="00FB797F"/>
    <w:rsid w:val="00FB7CF1"/>
    <w:rsid w:val="00FC0594"/>
    <w:rsid w:val="00FC0779"/>
    <w:rsid w:val="00FC0A92"/>
    <w:rsid w:val="00FC0B98"/>
    <w:rsid w:val="00FC0C63"/>
    <w:rsid w:val="00FC13A7"/>
    <w:rsid w:val="00FC1B7F"/>
    <w:rsid w:val="00FC1BCB"/>
    <w:rsid w:val="00FC1CB4"/>
    <w:rsid w:val="00FC20FD"/>
    <w:rsid w:val="00FC219A"/>
    <w:rsid w:val="00FC21A8"/>
    <w:rsid w:val="00FC2856"/>
    <w:rsid w:val="00FC2D3A"/>
    <w:rsid w:val="00FC2DFC"/>
    <w:rsid w:val="00FC2F48"/>
    <w:rsid w:val="00FC41AC"/>
    <w:rsid w:val="00FC44D3"/>
    <w:rsid w:val="00FC50EA"/>
    <w:rsid w:val="00FC5251"/>
    <w:rsid w:val="00FC57FC"/>
    <w:rsid w:val="00FC5AA6"/>
    <w:rsid w:val="00FC5FF2"/>
    <w:rsid w:val="00FC6239"/>
    <w:rsid w:val="00FC63C7"/>
    <w:rsid w:val="00FC6870"/>
    <w:rsid w:val="00FC699C"/>
    <w:rsid w:val="00FC6FC9"/>
    <w:rsid w:val="00FC7383"/>
    <w:rsid w:val="00FC73A3"/>
    <w:rsid w:val="00FC774D"/>
    <w:rsid w:val="00FC7C22"/>
    <w:rsid w:val="00FD066E"/>
    <w:rsid w:val="00FD07A0"/>
    <w:rsid w:val="00FD0BEE"/>
    <w:rsid w:val="00FD14F9"/>
    <w:rsid w:val="00FD1EEF"/>
    <w:rsid w:val="00FD24CA"/>
    <w:rsid w:val="00FD31B5"/>
    <w:rsid w:val="00FD348A"/>
    <w:rsid w:val="00FD3A3B"/>
    <w:rsid w:val="00FD40B5"/>
    <w:rsid w:val="00FD4126"/>
    <w:rsid w:val="00FD444A"/>
    <w:rsid w:val="00FD49E9"/>
    <w:rsid w:val="00FD4BC7"/>
    <w:rsid w:val="00FD5AF6"/>
    <w:rsid w:val="00FD6245"/>
    <w:rsid w:val="00FD646A"/>
    <w:rsid w:val="00FD654C"/>
    <w:rsid w:val="00FD6592"/>
    <w:rsid w:val="00FD6768"/>
    <w:rsid w:val="00FD6CAE"/>
    <w:rsid w:val="00FD7082"/>
    <w:rsid w:val="00FD70D0"/>
    <w:rsid w:val="00FD740D"/>
    <w:rsid w:val="00FD76D1"/>
    <w:rsid w:val="00FD7D27"/>
    <w:rsid w:val="00FD7F10"/>
    <w:rsid w:val="00FD7FEF"/>
    <w:rsid w:val="00FE0096"/>
    <w:rsid w:val="00FE00FC"/>
    <w:rsid w:val="00FE0B59"/>
    <w:rsid w:val="00FE0C2D"/>
    <w:rsid w:val="00FE0DC2"/>
    <w:rsid w:val="00FE0F54"/>
    <w:rsid w:val="00FE114E"/>
    <w:rsid w:val="00FE1508"/>
    <w:rsid w:val="00FE1D9A"/>
    <w:rsid w:val="00FE1E38"/>
    <w:rsid w:val="00FE260B"/>
    <w:rsid w:val="00FE2F57"/>
    <w:rsid w:val="00FE3A5B"/>
    <w:rsid w:val="00FE405D"/>
    <w:rsid w:val="00FE4081"/>
    <w:rsid w:val="00FE490F"/>
    <w:rsid w:val="00FE54AC"/>
    <w:rsid w:val="00FE5C6F"/>
    <w:rsid w:val="00FE5EAC"/>
    <w:rsid w:val="00FE673D"/>
    <w:rsid w:val="00FE69B3"/>
    <w:rsid w:val="00FE6A62"/>
    <w:rsid w:val="00FE6B93"/>
    <w:rsid w:val="00FE7136"/>
    <w:rsid w:val="00FE7B06"/>
    <w:rsid w:val="00FF002D"/>
    <w:rsid w:val="00FF0438"/>
    <w:rsid w:val="00FF0764"/>
    <w:rsid w:val="00FF0B09"/>
    <w:rsid w:val="00FF0BFC"/>
    <w:rsid w:val="00FF0D5C"/>
    <w:rsid w:val="00FF15AF"/>
    <w:rsid w:val="00FF2690"/>
    <w:rsid w:val="00FF2C25"/>
    <w:rsid w:val="00FF340B"/>
    <w:rsid w:val="00FF379B"/>
    <w:rsid w:val="00FF3A86"/>
    <w:rsid w:val="00FF3DCE"/>
    <w:rsid w:val="00FF3E03"/>
    <w:rsid w:val="00FF416A"/>
    <w:rsid w:val="00FF4407"/>
    <w:rsid w:val="00FF4739"/>
    <w:rsid w:val="00FF4BB1"/>
    <w:rsid w:val="00FF4C80"/>
    <w:rsid w:val="00FF4D0B"/>
    <w:rsid w:val="00FF4D97"/>
    <w:rsid w:val="00FF4E40"/>
    <w:rsid w:val="00FF5107"/>
    <w:rsid w:val="00FF5203"/>
    <w:rsid w:val="00FF567C"/>
    <w:rsid w:val="00FF58FE"/>
    <w:rsid w:val="00FF5A4B"/>
    <w:rsid w:val="00FF5B0D"/>
    <w:rsid w:val="00FF61A8"/>
    <w:rsid w:val="00FF668F"/>
    <w:rsid w:val="00FF6B69"/>
    <w:rsid w:val="00FF6D90"/>
    <w:rsid w:val="00FF6E58"/>
    <w:rsid w:val="00FF6F78"/>
    <w:rsid w:val="00FF72A6"/>
    <w:rsid w:val="00FF75EF"/>
    <w:rsid w:val="00FF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5377"/>
    <o:shapelayout v:ext="edit">
      <o:idmap v:ext="edit" data="1"/>
    </o:shapelayout>
  </w:shapeDefaults>
  <w:decimalSymbol w:val="."/>
  <w:listSeparator w:val=","/>
  <w14:docId w14:val="4ED184FC"/>
  <w15:docId w15:val="{86AED7B0-306B-4DFA-AF15-D54C0942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E93"/>
    <w:rPr>
      <w:lang w:eastAsia="en-US"/>
    </w:rPr>
  </w:style>
  <w:style w:type="paragraph" w:styleId="Heading1">
    <w:name w:val="heading 1"/>
    <w:basedOn w:val="Normal"/>
    <w:next w:val="Normal"/>
    <w:qFormat/>
    <w:rsid w:val="00704A70"/>
    <w:pPr>
      <w:keepNext/>
      <w:widowControl w:val="0"/>
      <w:outlineLvl w:val="0"/>
    </w:pPr>
    <w:rPr>
      <w:rFonts w:asciiTheme="minorHAnsi" w:hAnsiTheme="minorHAnsi"/>
      <w:b/>
      <w:sz w:val="28"/>
    </w:rPr>
  </w:style>
  <w:style w:type="paragraph" w:styleId="Heading2">
    <w:name w:val="heading 2"/>
    <w:basedOn w:val="Normal"/>
    <w:next w:val="Normal"/>
    <w:qFormat/>
    <w:rsid w:val="00704A70"/>
    <w:pPr>
      <w:keepNext/>
      <w:widowControl w:val="0"/>
      <w:ind w:left="720" w:right="-144" w:hanging="720"/>
      <w:jc w:val="both"/>
      <w:outlineLvl w:val="1"/>
    </w:pPr>
    <w:rPr>
      <w:rFonts w:asciiTheme="minorHAnsi" w:hAnsiTheme="minorHAnsi"/>
      <w:b/>
      <w:sz w:val="28"/>
    </w:rPr>
  </w:style>
  <w:style w:type="paragraph" w:styleId="Heading3">
    <w:name w:val="heading 3"/>
    <w:basedOn w:val="Normal"/>
    <w:next w:val="Normal"/>
    <w:qFormat/>
    <w:rsid w:val="002C43F4"/>
    <w:pPr>
      <w:keepNext/>
      <w:widowControl w:val="0"/>
      <w:spacing w:before="60" w:after="60" w:line="210" w:lineRule="atLeast"/>
      <w:ind w:right="-720"/>
      <w:outlineLvl w:val="2"/>
    </w:pPr>
    <w:rPr>
      <w:u w:val="single"/>
    </w:rPr>
  </w:style>
  <w:style w:type="paragraph" w:styleId="Heading4">
    <w:name w:val="heading 4"/>
    <w:basedOn w:val="Normal"/>
    <w:next w:val="Normal"/>
    <w:qFormat/>
    <w:rsid w:val="002C43F4"/>
    <w:pPr>
      <w:keepNext/>
      <w:widowControl w:val="0"/>
      <w:tabs>
        <w:tab w:val="left" w:pos="1800"/>
        <w:tab w:val="left" w:pos="8640"/>
      </w:tabs>
      <w:ind w:left="180" w:right="-288"/>
      <w:outlineLvl w:val="3"/>
    </w:pPr>
    <w:rPr>
      <w:b/>
      <w:u w:val="single"/>
    </w:rPr>
  </w:style>
  <w:style w:type="paragraph" w:styleId="Heading5">
    <w:name w:val="heading 5"/>
    <w:basedOn w:val="Normal"/>
    <w:next w:val="Normal"/>
    <w:qFormat/>
    <w:rsid w:val="002C43F4"/>
    <w:pPr>
      <w:keepNext/>
      <w:widowControl w:val="0"/>
      <w:tabs>
        <w:tab w:val="left" w:pos="0"/>
      </w:tabs>
      <w:ind w:left="-180" w:firstLine="90"/>
      <w:jc w:val="right"/>
      <w:outlineLvl w:val="4"/>
    </w:pPr>
    <w:rPr>
      <w:b/>
      <w:sz w:val="18"/>
    </w:rPr>
  </w:style>
  <w:style w:type="paragraph" w:styleId="Heading6">
    <w:name w:val="heading 6"/>
    <w:basedOn w:val="Normal"/>
    <w:next w:val="Normal"/>
    <w:qFormat/>
    <w:rsid w:val="002C43F4"/>
    <w:pPr>
      <w:keepNext/>
      <w:outlineLvl w:val="5"/>
    </w:pPr>
    <w:rPr>
      <w:b/>
      <w:sz w:val="22"/>
    </w:rPr>
  </w:style>
  <w:style w:type="paragraph" w:styleId="Heading7">
    <w:name w:val="heading 7"/>
    <w:basedOn w:val="Normal"/>
    <w:next w:val="Normal"/>
    <w:qFormat/>
    <w:rsid w:val="002C43F4"/>
    <w:pPr>
      <w:keepNext/>
      <w:widowControl w:val="0"/>
      <w:tabs>
        <w:tab w:val="left" w:pos="720"/>
        <w:tab w:val="left" w:pos="8294"/>
      </w:tabs>
      <w:outlineLvl w:val="6"/>
    </w:pPr>
    <w:rPr>
      <w:u w:val="single"/>
    </w:rPr>
  </w:style>
  <w:style w:type="paragraph" w:styleId="Heading8">
    <w:name w:val="heading 8"/>
    <w:basedOn w:val="Normal"/>
    <w:next w:val="Normal"/>
    <w:qFormat/>
    <w:rsid w:val="002C43F4"/>
    <w:pPr>
      <w:keepNext/>
      <w:jc w:val="right"/>
      <w:outlineLvl w:val="7"/>
    </w:pPr>
    <w:rPr>
      <w:b/>
      <w:bCs/>
      <w:sz w:val="16"/>
      <w:szCs w:val="17"/>
    </w:rPr>
  </w:style>
  <w:style w:type="paragraph" w:styleId="Heading9">
    <w:name w:val="heading 9"/>
    <w:basedOn w:val="Normal"/>
    <w:next w:val="Normal"/>
    <w:qFormat/>
    <w:rsid w:val="002C43F4"/>
    <w:pPr>
      <w:keepNext/>
      <w:outlineLvl w:val="8"/>
    </w:pPr>
    <w:rPr>
      <w:b/>
      <w:bCs/>
      <w:sz w:val="1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3F4"/>
    <w:pPr>
      <w:tabs>
        <w:tab w:val="center" w:pos="4153"/>
        <w:tab w:val="right" w:pos="8306"/>
      </w:tabs>
    </w:pPr>
  </w:style>
  <w:style w:type="paragraph" w:styleId="Caption">
    <w:name w:val="caption"/>
    <w:basedOn w:val="Normal"/>
    <w:next w:val="Normal"/>
    <w:qFormat/>
    <w:rsid w:val="002C43F4"/>
    <w:pPr>
      <w:spacing w:before="120" w:after="120"/>
    </w:pPr>
    <w:rPr>
      <w:b/>
    </w:rPr>
  </w:style>
  <w:style w:type="paragraph" w:styleId="Header">
    <w:name w:val="header"/>
    <w:basedOn w:val="Normal"/>
    <w:rsid w:val="002C43F4"/>
    <w:pPr>
      <w:tabs>
        <w:tab w:val="center" w:pos="4153"/>
        <w:tab w:val="right" w:pos="8306"/>
      </w:tabs>
    </w:pPr>
  </w:style>
  <w:style w:type="character" w:styleId="PageNumber">
    <w:name w:val="page number"/>
    <w:basedOn w:val="DefaultParagraphFont"/>
    <w:rsid w:val="002C43F4"/>
  </w:style>
  <w:style w:type="paragraph" w:styleId="BlockText">
    <w:name w:val="Block Text"/>
    <w:basedOn w:val="Normal"/>
    <w:rsid w:val="002C43F4"/>
    <w:pPr>
      <w:widowControl w:val="0"/>
      <w:ind w:left="720" w:right="540" w:hanging="720"/>
    </w:pPr>
  </w:style>
  <w:style w:type="paragraph" w:styleId="BodyTextIndent">
    <w:name w:val="Body Text Indent"/>
    <w:basedOn w:val="Normal"/>
    <w:rsid w:val="002C43F4"/>
    <w:pPr>
      <w:widowControl w:val="0"/>
      <w:tabs>
        <w:tab w:val="left" w:pos="2160"/>
        <w:tab w:val="left" w:pos="7200"/>
        <w:tab w:val="left" w:pos="7920"/>
      </w:tabs>
      <w:spacing w:line="220" w:lineRule="exact"/>
      <w:ind w:left="1440" w:hanging="720"/>
      <w:jc w:val="both"/>
    </w:pPr>
  </w:style>
  <w:style w:type="paragraph" w:styleId="DocumentMap">
    <w:name w:val="Document Map"/>
    <w:basedOn w:val="Normal"/>
    <w:semiHidden/>
    <w:rsid w:val="002C43F4"/>
    <w:pPr>
      <w:shd w:val="clear" w:color="auto" w:fill="000080"/>
    </w:pPr>
    <w:rPr>
      <w:rFonts w:ascii="Tahoma" w:hAnsi="Tahoma"/>
    </w:rPr>
  </w:style>
  <w:style w:type="paragraph" w:styleId="BodyTextIndent2">
    <w:name w:val="Body Text Indent 2"/>
    <w:basedOn w:val="Normal"/>
    <w:rsid w:val="002C43F4"/>
    <w:pPr>
      <w:widowControl w:val="0"/>
      <w:ind w:left="720" w:hanging="720"/>
    </w:pPr>
  </w:style>
  <w:style w:type="paragraph" w:styleId="BodyTextIndent3">
    <w:name w:val="Body Text Indent 3"/>
    <w:basedOn w:val="Normal"/>
    <w:link w:val="BodyTextIndent3Char"/>
    <w:rsid w:val="002C43F4"/>
    <w:pPr>
      <w:widowControl w:val="0"/>
      <w:ind w:left="720"/>
      <w:jc w:val="both"/>
    </w:pPr>
  </w:style>
  <w:style w:type="paragraph" w:customStyle="1" w:styleId="xl24">
    <w:name w:val="xl24"/>
    <w:basedOn w:val="Normal"/>
    <w:rsid w:val="002C43F4"/>
    <w:pPr>
      <w:spacing w:before="100" w:beforeAutospacing="1" w:after="100" w:afterAutospacing="1"/>
    </w:pPr>
    <w:rPr>
      <w:rFonts w:eastAsia="Arial Unicode MS"/>
      <w:sz w:val="24"/>
      <w:szCs w:val="24"/>
    </w:rPr>
  </w:style>
  <w:style w:type="paragraph" w:customStyle="1" w:styleId="xl25">
    <w:name w:val="xl25"/>
    <w:basedOn w:val="Normal"/>
    <w:rsid w:val="002C43F4"/>
    <w:pPr>
      <w:spacing w:before="100" w:beforeAutospacing="1" w:after="100" w:afterAutospacing="1"/>
      <w:jc w:val="right"/>
    </w:pPr>
    <w:rPr>
      <w:rFonts w:eastAsia="Arial Unicode MS"/>
      <w:b/>
      <w:bCs/>
      <w:sz w:val="24"/>
      <w:szCs w:val="24"/>
    </w:rPr>
  </w:style>
  <w:style w:type="paragraph" w:customStyle="1" w:styleId="xl26">
    <w:name w:val="xl26"/>
    <w:basedOn w:val="Normal"/>
    <w:rsid w:val="002C43F4"/>
    <w:pPr>
      <w:spacing w:before="100" w:beforeAutospacing="1" w:after="100" w:afterAutospacing="1"/>
      <w:jc w:val="right"/>
      <w:textAlignment w:val="top"/>
    </w:pPr>
    <w:rPr>
      <w:rFonts w:eastAsia="Arial Unicode MS"/>
      <w:b/>
      <w:bCs/>
      <w:sz w:val="24"/>
      <w:szCs w:val="24"/>
    </w:rPr>
  </w:style>
  <w:style w:type="paragraph" w:customStyle="1" w:styleId="xl27">
    <w:name w:val="xl27"/>
    <w:basedOn w:val="Normal"/>
    <w:rsid w:val="002C43F4"/>
    <w:pPr>
      <w:spacing w:before="100" w:beforeAutospacing="1" w:after="100" w:afterAutospacing="1"/>
    </w:pPr>
    <w:rPr>
      <w:rFonts w:eastAsia="Arial Unicode MS"/>
      <w:b/>
      <w:bCs/>
      <w:sz w:val="24"/>
      <w:szCs w:val="24"/>
    </w:rPr>
  </w:style>
  <w:style w:type="paragraph" w:customStyle="1" w:styleId="xl28">
    <w:name w:val="xl28"/>
    <w:basedOn w:val="Normal"/>
    <w:rsid w:val="002C43F4"/>
    <w:pPr>
      <w:spacing w:before="100" w:beforeAutospacing="1" w:after="100" w:afterAutospacing="1"/>
      <w:jc w:val="right"/>
    </w:pPr>
    <w:rPr>
      <w:rFonts w:eastAsia="Arial Unicode MS"/>
      <w:b/>
      <w:bCs/>
      <w:sz w:val="24"/>
      <w:szCs w:val="24"/>
    </w:rPr>
  </w:style>
  <w:style w:type="paragraph" w:customStyle="1" w:styleId="xl29">
    <w:name w:val="xl29"/>
    <w:basedOn w:val="Normal"/>
    <w:rsid w:val="002C43F4"/>
    <w:pPr>
      <w:pBdr>
        <w:bottom w:val="single" w:sz="4" w:space="0" w:color="auto"/>
      </w:pBdr>
      <w:spacing w:before="100" w:beforeAutospacing="1" w:after="100" w:afterAutospacing="1"/>
    </w:pPr>
    <w:rPr>
      <w:rFonts w:eastAsia="Arial Unicode MS"/>
      <w:sz w:val="24"/>
      <w:szCs w:val="24"/>
    </w:rPr>
  </w:style>
  <w:style w:type="paragraph" w:customStyle="1" w:styleId="xl30">
    <w:name w:val="xl30"/>
    <w:basedOn w:val="Normal"/>
    <w:rsid w:val="002C43F4"/>
    <w:pPr>
      <w:pBdr>
        <w:top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31">
    <w:name w:val="xl31"/>
    <w:basedOn w:val="Normal"/>
    <w:rsid w:val="002C43F4"/>
    <w:pPr>
      <w:spacing w:before="100" w:beforeAutospacing="1" w:after="100" w:afterAutospacing="1"/>
    </w:pPr>
    <w:rPr>
      <w:rFonts w:eastAsia="Arial Unicode MS"/>
      <w:sz w:val="24"/>
      <w:szCs w:val="24"/>
    </w:rPr>
  </w:style>
  <w:style w:type="paragraph" w:customStyle="1" w:styleId="xl32">
    <w:name w:val="xl32"/>
    <w:basedOn w:val="Normal"/>
    <w:rsid w:val="002C43F4"/>
    <w:pPr>
      <w:spacing w:before="100" w:beforeAutospacing="1" w:after="100" w:afterAutospacing="1"/>
    </w:pPr>
    <w:rPr>
      <w:rFonts w:eastAsia="Arial Unicode MS"/>
      <w:b/>
      <w:bCs/>
      <w:sz w:val="24"/>
      <w:szCs w:val="24"/>
    </w:rPr>
  </w:style>
  <w:style w:type="paragraph" w:styleId="BodyText">
    <w:name w:val="Body Text"/>
    <w:basedOn w:val="Normal"/>
    <w:rsid w:val="002C43F4"/>
    <w:pPr>
      <w:widowControl w:val="0"/>
      <w:ind w:right="-288"/>
    </w:pPr>
  </w:style>
  <w:style w:type="paragraph" w:styleId="Title">
    <w:name w:val="Title"/>
    <w:basedOn w:val="Normal"/>
    <w:qFormat/>
    <w:rsid w:val="002639E4"/>
    <w:pPr>
      <w:widowControl w:val="0"/>
    </w:pPr>
    <w:rPr>
      <w:rFonts w:asciiTheme="minorHAnsi" w:hAnsiTheme="minorHAnsi"/>
      <w:b/>
      <w:sz w:val="28"/>
    </w:rPr>
  </w:style>
  <w:style w:type="paragraph" w:styleId="BodyText2">
    <w:name w:val="Body Text 2"/>
    <w:basedOn w:val="Normal"/>
    <w:link w:val="BodyText2Char"/>
    <w:rsid w:val="005A3899"/>
    <w:pPr>
      <w:spacing w:after="120" w:line="480" w:lineRule="auto"/>
    </w:pPr>
  </w:style>
  <w:style w:type="table" w:styleId="TableGrid">
    <w:name w:val="Table Grid"/>
    <w:basedOn w:val="TableNormal"/>
    <w:rsid w:val="00983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8083A"/>
    <w:pPr>
      <w:widowControl w:val="0"/>
      <w:ind w:left="720" w:hanging="720"/>
    </w:pPr>
    <w:rPr>
      <w:snapToGrid w:val="0"/>
      <w:sz w:val="24"/>
      <w:lang w:val="en-US"/>
    </w:rPr>
  </w:style>
  <w:style w:type="character" w:styleId="Hyperlink">
    <w:name w:val="Hyperlink"/>
    <w:basedOn w:val="DefaultParagraphFont"/>
    <w:rsid w:val="0018083A"/>
    <w:rPr>
      <w:color w:val="0000FF"/>
      <w:u w:val="single"/>
    </w:rPr>
  </w:style>
  <w:style w:type="paragraph" w:styleId="BalloonText">
    <w:name w:val="Balloon Text"/>
    <w:basedOn w:val="Normal"/>
    <w:semiHidden/>
    <w:rsid w:val="006601E6"/>
    <w:rPr>
      <w:rFonts w:ascii="Tahoma" w:hAnsi="Tahoma" w:cs="Tahoma"/>
      <w:sz w:val="16"/>
      <w:szCs w:val="16"/>
    </w:rPr>
  </w:style>
  <w:style w:type="paragraph" w:customStyle="1" w:styleId="Bullets">
    <w:name w:val="Bullets"/>
    <w:basedOn w:val="Normal"/>
    <w:rsid w:val="00B77683"/>
    <w:pPr>
      <w:numPr>
        <w:numId w:val="1"/>
      </w:numPr>
      <w:tabs>
        <w:tab w:val="left" w:pos="3062"/>
      </w:tabs>
      <w:spacing w:before="30" w:line="264" w:lineRule="auto"/>
    </w:pPr>
    <w:rPr>
      <w:rFonts w:ascii="Times" w:hAnsi="Times"/>
      <w:sz w:val="21"/>
    </w:rPr>
  </w:style>
  <w:style w:type="paragraph" w:styleId="NormalWeb">
    <w:name w:val="Normal (Web)"/>
    <w:basedOn w:val="Normal"/>
    <w:rsid w:val="00B77683"/>
    <w:pPr>
      <w:spacing w:before="100" w:beforeAutospacing="1" w:after="100" w:afterAutospacing="1"/>
    </w:pPr>
    <w:rPr>
      <w:rFonts w:ascii="Arial" w:hAnsi="Arial" w:cs="Arial"/>
      <w:lang w:eastAsia="en-GB"/>
    </w:rPr>
  </w:style>
  <w:style w:type="paragraph" w:customStyle="1" w:styleId="ExampleText">
    <w:name w:val="ExampleText"/>
    <w:basedOn w:val="Normal"/>
    <w:uiPriority w:val="99"/>
    <w:rsid w:val="00903C96"/>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eastAsia="en-GB"/>
    </w:rPr>
  </w:style>
  <w:style w:type="paragraph" w:customStyle="1" w:styleId="Style1">
    <w:name w:val="Style1"/>
    <w:basedOn w:val="Normal"/>
    <w:rsid w:val="00435160"/>
    <w:rPr>
      <w:b/>
      <w:i/>
      <w:sz w:val="72"/>
      <w:lang w:eastAsia="en-GB"/>
    </w:rPr>
  </w:style>
  <w:style w:type="paragraph" w:styleId="ListBullet">
    <w:name w:val="List Bullet"/>
    <w:basedOn w:val="Normal"/>
    <w:autoRedefine/>
    <w:rsid w:val="00B17AE0"/>
    <w:pPr>
      <w:numPr>
        <w:ilvl w:val="3"/>
        <w:numId w:val="2"/>
      </w:numPr>
      <w:spacing w:after="240" w:line="264" w:lineRule="auto"/>
    </w:pPr>
    <w:rPr>
      <w:rFonts w:ascii="Arial" w:hAnsi="Arial"/>
      <w:sz w:val="24"/>
    </w:rPr>
  </w:style>
  <w:style w:type="paragraph" w:customStyle="1" w:styleId="ListNumbered">
    <w:name w:val="List Numbered"/>
    <w:basedOn w:val="Normal"/>
    <w:rsid w:val="00B17AE0"/>
    <w:pPr>
      <w:numPr>
        <w:ilvl w:val="4"/>
        <w:numId w:val="2"/>
      </w:numPr>
      <w:spacing w:after="240" w:line="264" w:lineRule="auto"/>
    </w:pPr>
    <w:rPr>
      <w:rFonts w:ascii="Arial" w:hAnsi="Arial"/>
      <w:sz w:val="24"/>
    </w:rPr>
  </w:style>
  <w:style w:type="paragraph" w:customStyle="1" w:styleId="ReportLevel1">
    <w:name w:val="Report Level 1"/>
    <w:basedOn w:val="Normal"/>
    <w:next w:val="Normal"/>
    <w:rsid w:val="00B17AE0"/>
    <w:pPr>
      <w:numPr>
        <w:numId w:val="2"/>
      </w:numPr>
      <w:spacing w:before="60" w:after="240" w:line="264" w:lineRule="auto"/>
      <w:outlineLvl w:val="0"/>
    </w:pPr>
    <w:rPr>
      <w:rFonts w:ascii="Arial" w:hAnsi="Arial"/>
      <w:b/>
      <w:caps/>
      <w:sz w:val="24"/>
      <w:u w:val="single"/>
    </w:rPr>
  </w:style>
  <w:style w:type="paragraph" w:customStyle="1" w:styleId="ReportLevel2">
    <w:name w:val="Report Level 2"/>
    <w:basedOn w:val="Normal"/>
    <w:next w:val="ReportLevel3"/>
    <w:rsid w:val="00B17AE0"/>
    <w:pPr>
      <w:numPr>
        <w:ilvl w:val="1"/>
        <w:numId w:val="2"/>
      </w:numPr>
      <w:tabs>
        <w:tab w:val="left" w:pos="2880"/>
      </w:tabs>
      <w:spacing w:after="240" w:line="264" w:lineRule="auto"/>
    </w:pPr>
    <w:rPr>
      <w:rFonts w:ascii="Arial" w:hAnsi="Arial"/>
      <w:b/>
      <w:sz w:val="24"/>
    </w:rPr>
  </w:style>
  <w:style w:type="paragraph" w:customStyle="1" w:styleId="ReportLevel3">
    <w:name w:val="Report Level 3"/>
    <w:basedOn w:val="ReportLevel2"/>
    <w:rsid w:val="00B17AE0"/>
    <w:pPr>
      <w:numPr>
        <w:ilvl w:val="2"/>
      </w:numPr>
      <w:tabs>
        <w:tab w:val="clear" w:pos="2880"/>
      </w:tabs>
    </w:pPr>
    <w:rPr>
      <w:b w:val="0"/>
    </w:rPr>
  </w:style>
  <w:style w:type="paragraph" w:customStyle="1" w:styleId="Body">
    <w:name w:val="Body"/>
    <w:basedOn w:val="Normal"/>
    <w:link w:val="BodyChar"/>
    <w:rsid w:val="00BA0038"/>
    <w:pPr>
      <w:widowControl w:val="0"/>
      <w:suppressAutoHyphens/>
      <w:autoSpaceDE w:val="0"/>
      <w:autoSpaceDN w:val="0"/>
      <w:adjustRightInd w:val="0"/>
      <w:spacing w:before="280" w:line="300" w:lineRule="atLeast"/>
      <w:ind w:left="680" w:hanging="680"/>
      <w:textAlignment w:val="baseline"/>
    </w:pPr>
    <w:rPr>
      <w:rFonts w:ascii="Sabon" w:hAnsi="Sabon" w:cs="Sabon"/>
      <w:color w:val="000000"/>
      <w:sz w:val="22"/>
      <w:szCs w:val="22"/>
      <w:lang w:val="en-US" w:eastAsia="en-GB"/>
    </w:rPr>
  </w:style>
  <w:style w:type="character" w:customStyle="1" w:styleId="BodyChar">
    <w:name w:val="Body Char"/>
    <w:basedOn w:val="DefaultParagraphFont"/>
    <w:link w:val="Body"/>
    <w:rsid w:val="00BA0038"/>
    <w:rPr>
      <w:rFonts w:ascii="Sabon" w:hAnsi="Sabon" w:cs="Sabon"/>
      <w:color w:val="000000"/>
      <w:sz w:val="22"/>
      <w:szCs w:val="22"/>
      <w:lang w:val="en-US" w:eastAsia="en-GB" w:bidi="ar-SA"/>
    </w:rPr>
  </w:style>
  <w:style w:type="paragraph" w:customStyle="1" w:styleId="Default">
    <w:name w:val="Default"/>
    <w:rsid w:val="00106B2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C4162B"/>
    <w:pPr>
      <w:ind w:left="720"/>
    </w:pPr>
  </w:style>
  <w:style w:type="paragraph" w:customStyle="1" w:styleId="inlinenormal">
    <w:name w:val="inlinenormal"/>
    <w:basedOn w:val="Normal"/>
    <w:rsid w:val="006B32CF"/>
    <w:pPr>
      <w:autoSpaceDN w:val="0"/>
      <w:spacing w:before="120" w:after="60" w:line="264" w:lineRule="auto"/>
    </w:pPr>
    <w:rPr>
      <w:rFonts w:ascii="Arial" w:hAnsi="Arial" w:cs="Arial"/>
      <w:sz w:val="24"/>
      <w:szCs w:val="24"/>
      <w:lang w:eastAsia="en-GB"/>
    </w:rPr>
  </w:style>
  <w:style w:type="character" w:styleId="Strong">
    <w:name w:val="Strong"/>
    <w:basedOn w:val="DefaultParagraphFont"/>
    <w:qFormat/>
    <w:rsid w:val="006B32CF"/>
    <w:rPr>
      <w:b/>
      <w:bCs/>
    </w:rPr>
  </w:style>
  <w:style w:type="character" w:styleId="Emphasis">
    <w:name w:val="Emphasis"/>
    <w:basedOn w:val="DefaultParagraphFont"/>
    <w:qFormat/>
    <w:rsid w:val="006B32CF"/>
    <w:rPr>
      <w:i/>
      <w:iCs/>
    </w:rPr>
  </w:style>
  <w:style w:type="paragraph" w:styleId="Revision">
    <w:name w:val="Revision"/>
    <w:hidden/>
    <w:uiPriority w:val="99"/>
    <w:semiHidden/>
    <w:rsid w:val="00C4074F"/>
    <w:rPr>
      <w:lang w:eastAsia="en-US"/>
    </w:rPr>
  </w:style>
  <w:style w:type="character" w:customStyle="1" w:styleId="FooterChar">
    <w:name w:val="Footer Char"/>
    <w:basedOn w:val="DefaultParagraphFont"/>
    <w:link w:val="Footer"/>
    <w:uiPriority w:val="99"/>
    <w:rsid w:val="003E779D"/>
    <w:rPr>
      <w:lang w:eastAsia="en-US"/>
    </w:rPr>
  </w:style>
  <w:style w:type="character" w:styleId="CommentReference">
    <w:name w:val="annotation reference"/>
    <w:basedOn w:val="DefaultParagraphFont"/>
    <w:rsid w:val="00165EFD"/>
    <w:rPr>
      <w:sz w:val="16"/>
      <w:szCs w:val="16"/>
    </w:rPr>
  </w:style>
  <w:style w:type="paragraph" w:styleId="CommentText">
    <w:name w:val="annotation text"/>
    <w:basedOn w:val="Normal"/>
    <w:link w:val="CommentTextChar"/>
    <w:rsid w:val="00165EFD"/>
  </w:style>
  <w:style w:type="character" w:customStyle="1" w:styleId="CommentTextChar">
    <w:name w:val="Comment Text Char"/>
    <w:basedOn w:val="DefaultParagraphFont"/>
    <w:link w:val="CommentText"/>
    <w:rsid w:val="00165EFD"/>
    <w:rPr>
      <w:lang w:eastAsia="en-US"/>
    </w:rPr>
  </w:style>
  <w:style w:type="paragraph" w:styleId="CommentSubject">
    <w:name w:val="annotation subject"/>
    <w:basedOn w:val="CommentText"/>
    <w:next w:val="CommentText"/>
    <w:link w:val="CommentSubjectChar"/>
    <w:rsid w:val="00165EFD"/>
    <w:rPr>
      <w:b/>
      <w:bCs/>
    </w:rPr>
  </w:style>
  <w:style w:type="character" w:customStyle="1" w:styleId="CommentSubjectChar">
    <w:name w:val="Comment Subject Char"/>
    <w:basedOn w:val="CommentTextChar"/>
    <w:link w:val="CommentSubject"/>
    <w:rsid w:val="00165EFD"/>
    <w:rPr>
      <w:b/>
      <w:bCs/>
      <w:lang w:eastAsia="en-US"/>
    </w:rPr>
  </w:style>
  <w:style w:type="character" w:customStyle="1" w:styleId="BodyTextIndent3Char">
    <w:name w:val="Body Text Indent 3 Char"/>
    <w:basedOn w:val="DefaultParagraphFont"/>
    <w:link w:val="BodyTextIndent3"/>
    <w:rsid w:val="0004640C"/>
    <w:rPr>
      <w:lang w:eastAsia="en-US"/>
    </w:rPr>
  </w:style>
  <w:style w:type="numbering" w:customStyle="1" w:styleId="NoList1">
    <w:name w:val="No List1"/>
    <w:next w:val="NoList"/>
    <w:uiPriority w:val="99"/>
    <w:semiHidden/>
    <w:unhideWhenUsed/>
    <w:rsid w:val="00EF00B3"/>
  </w:style>
  <w:style w:type="character" w:customStyle="1" w:styleId="EYBodytextwithparaspaceChar">
    <w:name w:val="EY Body text (with para space) Char"/>
    <w:basedOn w:val="DefaultParagraphFont"/>
    <w:link w:val="EYBodytextwithparaspace"/>
    <w:locked/>
    <w:rsid w:val="00DB0B40"/>
    <w:rPr>
      <w:rFonts w:ascii="Arial" w:hAnsi="Arial" w:cs="Arial"/>
    </w:rPr>
  </w:style>
  <w:style w:type="paragraph" w:customStyle="1" w:styleId="EYBodytextwithparaspace">
    <w:name w:val="EY Body text (with para space)"/>
    <w:basedOn w:val="Normal"/>
    <w:link w:val="EYBodytextwithparaspaceChar"/>
    <w:rsid w:val="00DB0B40"/>
    <w:pPr>
      <w:spacing w:after="240" w:line="260" w:lineRule="exact"/>
    </w:pPr>
    <w:rPr>
      <w:rFonts w:ascii="Arial" w:hAnsi="Arial" w:cs="Arial"/>
      <w:lang w:eastAsia="en-GB"/>
    </w:rPr>
  </w:style>
  <w:style w:type="character" w:customStyle="1" w:styleId="A16">
    <w:name w:val="A16"/>
    <w:uiPriority w:val="99"/>
    <w:rsid w:val="00A917B0"/>
    <w:rPr>
      <w:rFonts w:cs="FS Lola"/>
      <w:b/>
      <w:bCs/>
      <w:color w:val="000000"/>
      <w:sz w:val="16"/>
      <w:szCs w:val="16"/>
    </w:rPr>
  </w:style>
  <w:style w:type="paragraph" w:customStyle="1" w:styleId="Pa8">
    <w:name w:val="Pa8"/>
    <w:basedOn w:val="Default"/>
    <w:next w:val="Default"/>
    <w:uiPriority w:val="99"/>
    <w:rsid w:val="00A917B0"/>
    <w:pPr>
      <w:spacing w:line="231" w:lineRule="atLeast"/>
    </w:pPr>
    <w:rPr>
      <w:rFonts w:ascii="FS Lola" w:hAnsi="FS Lola" w:cs="Times New Roman"/>
      <w:color w:val="auto"/>
    </w:rPr>
  </w:style>
  <w:style w:type="paragraph" w:styleId="TOC1">
    <w:name w:val="toc 1"/>
    <w:basedOn w:val="Normal"/>
    <w:next w:val="Normal"/>
    <w:autoRedefine/>
    <w:uiPriority w:val="39"/>
    <w:unhideWhenUsed/>
    <w:rsid w:val="004A735C"/>
    <w:pPr>
      <w:spacing w:after="100"/>
    </w:pPr>
  </w:style>
  <w:style w:type="character" w:customStyle="1" w:styleId="UnresolvedMention1">
    <w:name w:val="Unresolved Mention1"/>
    <w:basedOn w:val="DefaultParagraphFont"/>
    <w:uiPriority w:val="99"/>
    <w:semiHidden/>
    <w:unhideWhenUsed/>
    <w:rsid w:val="006259F1"/>
    <w:rPr>
      <w:color w:val="605E5C"/>
      <w:shd w:val="clear" w:color="auto" w:fill="E1DFDD"/>
    </w:rPr>
  </w:style>
  <w:style w:type="character" w:customStyle="1" w:styleId="BodyText2Char">
    <w:name w:val="Body Text 2 Char"/>
    <w:basedOn w:val="DefaultParagraphFont"/>
    <w:link w:val="BodyText2"/>
    <w:rsid w:val="0042795C"/>
    <w:rPr>
      <w:lang w:eastAsia="en-US"/>
    </w:rPr>
  </w:style>
  <w:style w:type="character" w:customStyle="1" w:styleId="UnresolvedMention2">
    <w:name w:val="Unresolved Mention2"/>
    <w:basedOn w:val="DefaultParagraphFont"/>
    <w:uiPriority w:val="99"/>
    <w:semiHidden/>
    <w:unhideWhenUsed/>
    <w:rsid w:val="00E93FEF"/>
    <w:rPr>
      <w:color w:val="605E5C"/>
      <w:shd w:val="clear" w:color="auto" w:fill="E1DFDD"/>
    </w:rPr>
  </w:style>
  <w:style w:type="paragraph" w:customStyle="1" w:styleId="MBCHeading1">
    <w:name w:val="MBC_Heading 1"/>
    <w:next w:val="MBCParagraphLevel1"/>
    <w:qFormat/>
    <w:rsid w:val="00274A22"/>
    <w:pPr>
      <w:numPr>
        <w:numId w:val="50"/>
      </w:numPr>
      <w:spacing w:before="120" w:after="120" w:line="259" w:lineRule="auto"/>
      <w:outlineLvl w:val="0"/>
    </w:pPr>
    <w:rPr>
      <w:rFonts w:ascii="Arial" w:eastAsiaTheme="majorEastAsia" w:hAnsi="Arial" w:cs="Arial"/>
      <w:b/>
      <w:bCs/>
      <w:sz w:val="28"/>
      <w:szCs w:val="28"/>
      <w:lang w:eastAsia="en-US"/>
    </w:rPr>
  </w:style>
  <w:style w:type="paragraph" w:customStyle="1" w:styleId="MBCParagraphLevel1">
    <w:name w:val="MBC_Paragraph Level 1"/>
    <w:qFormat/>
    <w:rsid w:val="00274A22"/>
    <w:pPr>
      <w:numPr>
        <w:ilvl w:val="1"/>
        <w:numId w:val="50"/>
      </w:numPr>
      <w:spacing w:after="120" w:line="259" w:lineRule="auto"/>
    </w:pPr>
    <w:rPr>
      <w:rFonts w:ascii="Arial" w:eastAsiaTheme="majorEastAsia" w:hAnsi="Arial" w:cs="Arial"/>
      <w:bCs/>
      <w:color w:val="000000" w:themeColor="text1"/>
      <w:sz w:val="24"/>
      <w:szCs w:val="26"/>
      <w:lang w:eastAsia="en-US"/>
    </w:rPr>
  </w:style>
  <w:style w:type="paragraph" w:customStyle="1" w:styleId="MBCParagraphLevel2">
    <w:name w:val="MBC_Paragraph Level 2"/>
    <w:qFormat/>
    <w:rsid w:val="00274A22"/>
    <w:pPr>
      <w:numPr>
        <w:ilvl w:val="2"/>
        <w:numId w:val="50"/>
      </w:numPr>
      <w:spacing w:after="120" w:line="259" w:lineRule="auto"/>
    </w:pPr>
    <w:rPr>
      <w:rFonts w:ascii="Arial" w:eastAsiaTheme="majorEastAsia" w:hAnsi="Arial" w:cs="Arial"/>
      <w:bCs/>
      <w:color w:val="000000" w:themeColor="text1"/>
      <w:sz w:val="24"/>
      <w:szCs w:val="26"/>
      <w:lang w:eastAsia="en-US"/>
    </w:rPr>
  </w:style>
  <w:style w:type="numbering" w:customStyle="1" w:styleId="MBCNumberingStructure">
    <w:name w:val="MBC Numbering Structure"/>
    <w:uiPriority w:val="99"/>
    <w:rsid w:val="00274A22"/>
    <w:pPr>
      <w:numPr>
        <w:numId w:val="49"/>
      </w:numPr>
    </w:pPr>
  </w:style>
  <w:style w:type="paragraph" w:customStyle="1" w:styleId="MBCParagraphLevel3">
    <w:name w:val="MBC_Paragraph Level 3"/>
    <w:qFormat/>
    <w:rsid w:val="00274A22"/>
    <w:pPr>
      <w:numPr>
        <w:ilvl w:val="3"/>
        <w:numId w:val="50"/>
      </w:numPr>
      <w:spacing w:after="120" w:line="259" w:lineRule="auto"/>
    </w:pPr>
    <w:rPr>
      <w:rFonts w:ascii="Arial" w:eastAsiaTheme="majorEastAsia" w:hAnsi="Arial" w:cs="Arial"/>
      <w:bCs/>
      <w:color w:val="000000" w:themeColor="text1"/>
      <w:sz w:val="24"/>
      <w:szCs w:val="26"/>
      <w:lang w:eastAsia="en-US"/>
    </w:rPr>
  </w:style>
  <w:style w:type="paragraph" w:customStyle="1" w:styleId="MBCParagraphLevel4">
    <w:name w:val="MBC_Paragraph Level 4"/>
    <w:qFormat/>
    <w:rsid w:val="00274A22"/>
    <w:pPr>
      <w:numPr>
        <w:ilvl w:val="4"/>
        <w:numId w:val="50"/>
      </w:numPr>
      <w:spacing w:after="120" w:line="259" w:lineRule="auto"/>
    </w:pPr>
    <w:rPr>
      <w:rFonts w:ascii="Arial" w:eastAsiaTheme="majorEastAsia" w:hAnsi="Arial" w:cs="Arial"/>
      <w:bCs/>
      <w:color w:val="000000"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45">
      <w:bodyDiv w:val="1"/>
      <w:marLeft w:val="0"/>
      <w:marRight w:val="0"/>
      <w:marTop w:val="0"/>
      <w:marBottom w:val="0"/>
      <w:divBdr>
        <w:top w:val="none" w:sz="0" w:space="0" w:color="auto"/>
        <w:left w:val="none" w:sz="0" w:space="0" w:color="auto"/>
        <w:bottom w:val="none" w:sz="0" w:space="0" w:color="auto"/>
        <w:right w:val="none" w:sz="0" w:space="0" w:color="auto"/>
      </w:divBdr>
    </w:div>
    <w:div w:id="23406002">
      <w:bodyDiv w:val="1"/>
      <w:marLeft w:val="0"/>
      <w:marRight w:val="0"/>
      <w:marTop w:val="0"/>
      <w:marBottom w:val="0"/>
      <w:divBdr>
        <w:top w:val="none" w:sz="0" w:space="0" w:color="auto"/>
        <w:left w:val="none" w:sz="0" w:space="0" w:color="auto"/>
        <w:bottom w:val="none" w:sz="0" w:space="0" w:color="auto"/>
        <w:right w:val="none" w:sz="0" w:space="0" w:color="auto"/>
      </w:divBdr>
    </w:div>
    <w:div w:id="27337463">
      <w:bodyDiv w:val="1"/>
      <w:marLeft w:val="0"/>
      <w:marRight w:val="0"/>
      <w:marTop w:val="0"/>
      <w:marBottom w:val="0"/>
      <w:divBdr>
        <w:top w:val="none" w:sz="0" w:space="0" w:color="auto"/>
        <w:left w:val="none" w:sz="0" w:space="0" w:color="auto"/>
        <w:bottom w:val="none" w:sz="0" w:space="0" w:color="auto"/>
        <w:right w:val="none" w:sz="0" w:space="0" w:color="auto"/>
      </w:divBdr>
    </w:div>
    <w:div w:id="30343627">
      <w:bodyDiv w:val="1"/>
      <w:marLeft w:val="0"/>
      <w:marRight w:val="0"/>
      <w:marTop w:val="0"/>
      <w:marBottom w:val="0"/>
      <w:divBdr>
        <w:top w:val="none" w:sz="0" w:space="0" w:color="auto"/>
        <w:left w:val="none" w:sz="0" w:space="0" w:color="auto"/>
        <w:bottom w:val="none" w:sz="0" w:space="0" w:color="auto"/>
        <w:right w:val="none" w:sz="0" w:space="0" w:color="auto"/>
      </w:divBdr>
    </w:div>
    <w:div w:id="31658368">
      <w:bodyDiv w:val="1"/>
      <w:marLeft w:val="0"/>
      <w:marRight w:val="0"/>
      <w:marTop w:val="0"/>
      <w:marBottom w:val="0"/>
      <w:divBdr>
        <w:top w:val="none" w:sz="0" w:space="0" w:color="auto"/>
        <w:left w:val="none" w:sz="0" w:space="0" w:color="auto"/>
        <w:bottom w:val="none" w:sz="0" w:space="0" w:color="auto"/>
        <w:right w:val="none" w:sz="0" w:space="0" w:color="auto"/>
      </w:divBdr>
    </w:div>
    <w:div w:id="36397524">
      <w:bodyDiv w:val="1"/>
      <w:marLeft w:val="0"/>
      <w:marRight w:val="0"/>
      <w:marTop w:val="0"/>
      <w:marBottom w:val="0"/>
      <w:divBdr>
        <w:top w:val="none" w:sz="0" w:space="0" w:color="auto"/>
        <w:left w:val="none" w:sz="0" w:space="0" w:color="auto"/>
        <w:bottom w:val="none" w:sz="0" w:space="0" w:color="auto"/>
        <w:right w:val="none" w:sz="0" w:space="0" w:color="auto"/>
      </w:divBdr>
    </w:div>
    <w:div w:id="41444146">
      <w:bodyDiv w:val="1"/>
      <w:marLeft w:val="0"/>
      <w:marRight w:val="0"/>
      <w:marTop w:val="0"/>
      <w:marBottom w:val="0"/>
      <w:divBdr>
        <w:top w:val="none" w:sz="0" w:space="0" w:color="auto"/>
        <w:left w:val="none" w:sz="0" w:space="0" w:color="auto"/>
        <w:bottom w:val="none" w:sz="0" w:space="0" w:color="auto"/>
        <w:right w:val="none" w:sz="0" w:space="0" w:color="auto"/>
      </w:divBdr>
    </w:div>
    <w:div w:id="50156761">
      <w:bodyDiv w:val="1"/>
      <w:marLeft w:val="0"/>
      <w:marRight w:val="0"/>
      <w:marTop w:val="0"/>
      <w:marBottom w:val="0"/>
      <w:divBdr>
        <w:top w:val="none" w:sz="0" w:space="0" w:color="auto"/>
        <w:left w:val="none" w:sz="0" w:space="0" w:color="auto"/>
        <w:bottom w:val="none" w:sz="0" w:space="0" w:color="auto"/>
        <w:right w:val="none" w:sz="0" w:space="0" w:color="auto"/>
      </w:divBdr>
    </w:div>
    <w:div w:id="54550642">
      <w:bodyDiv w:val="1"/>
      <w:marLeft w:val="0"/>
      <w:marRight w:val="0"/>
      <w:marTop w:val="0"/>
      <w:marBottom w:val="0"/>
      <w:divBdr>
        <w:top w:val="none" w:sz="0" w:space="0" w:color="auto"/>
        <w:left w:val="none" w:sz="0" w:space="0" w:color="auto"/>
        <w:bottom w:val="none" w:sz="0" w:space="0" w:color="auto"/>
        <w:right w:val="none" w:sz="0" w:space="0" w:color="auto"/>
      </w:divBdr>
    </w:div>
    <w:div w:id="59139082">
      <w:bodyDiv w:val="1"/>
      <w:marLeft w:val="0"/>
      <w:marRight w:val="0"/>
      <w:marTop w:val="0"/>
      <w:marBottom w:val="0"/>
      <w:divBdr>
        <w:top w:val="none" w:sz="0" w:space="0" w:color="auto"/>
        <w:left w:val="none" w:sz="0" w:space="0" w:color="auto"/>
        <w:bottom w:val="none" w:sz="0" w:space="0" w:color="auto"/>
        <w:right w:val="none" w:sz="0" w:space="0" w:color="auto"/>
      </w:divBdr>
    </w:div>
    <w:div w:id="61292343">
      <w:bodyDiv w:val="1"/>
      <w:marLeft w:val="0"/>
      <w:marRight w:val="0"/>
      <w:marTop w:val="0"/>
      <w:marBottom w:val="0"/>
      <w:divBdr>
        <w:top w:val="none" w:sz="0" w:space="0" w:color="auto"/>
        <w:left w:val="none" w:sz="0" w:space="0" w:color="auto"/>
        <w:bottom w:val="none" w:sz="0" w:space="0" w:color="auto"/>
        <w:right w:val="none" w:sz="0" w:space="0" w:color="auto"/>
      </w:divBdr>
    </w:div>
    <w:div w:id="67389261">
      <w:bodyDiv w:val="1"/>
      <w:marLeft w:val="0"/>
      <w:marRight w:val="0"/>
      <w:marTop w:val="0"/>
      <w:marBottom w:val="0"/>
      <w:divBdr>
        <w:top w:val="none" w:sz="0" w:space="0" w:color="auto"/>
        <w:left w:val="none" w:sz="0" w:space="0" w:color="auto"/>
        <w:bottom w:val="none" w:sz="0" w:space="0" w:color="auto"/>
        <w:right w:val="none" w:sz="0" w:space="0" w:color="auto"/>
      </w:divBdr>
    </w:div>
    <w:div w:id="69475089">
      <w:bodyDiv w:val="1"/>
      <w:marLeft w:val="0"/>
      <w:marRight w:val="0"/>
      <w:marTop w:val="0"/>
      <w:marBottom w:val="0"/>
      <w:divBdr>
        <w:top w:val="none" w:sz="0" w:space="0" w:color="auto"/>
        <w:left w:val="none" w:sz="0" w:space="0" w:color="auto"/>
        <w:bottom w:val="none" w:sz="0" w:space="0" w:color="auto"/>
        <w:right w:val="none" w:sz="0" w:space="0" w:color="auto"/>
      </w:divBdr>
    </w:div>
    <w:div w:id="71780742">
      <w:bodyDiv w:val="1"/>
      <w:marLeft w:val="0"/>
      <w:marRight w:val="0"/>
      <w:marTop w:val="0"/>
      <w:marBottom w:val="0"/>
      <w:divBdr>
        <w:top w:val="none" w:sz="0" w:space="0" w:color="auto"/>
        <w:left w:val="none" w:sz="0" w:space="0" w:color="auto"/>
        <w:bottom w:val="none" w:sz="0" w:space="0" w:color="auto"/>
        <w:right w:val="none" w:sz="0" w:space="0" w:color="auto"/>
      </w:divBdr>
    </w:div>
    <w:div w:id="79644383">
      <w:bodyDiv w:val="1"/>
      <w:marLeft w:val="0"/>
      <w:marRight w:val="0"/>
      <w:marTop w:val="0"/>
      <w:marBottom w:val="0"/>
      <w:divBdr>
        <w:top w:val="none" w:sz="0" w:space="0" w:color="auto"/>
        <w:left w:val="none" w:sz="0" w:space="0" w:color="auto"/>
        <w:bottom w:val="none" w:sz="0" w:space="0" w:color="auto"/>
        <w:right w:val="none" w:sz="0" w:space="0" w:color="auto"/>
      </w:divBdr>
    </w:div>
    <w:div w:id="79759577">
      <w:bodyDiv w:val="1"/>
      <w:marLeft w:val="0"/>
      <w:marRight w:val="0"/>
      <w:marTop w:val="0"/>
      <w:marBottom w:val="0"/>
      <w:divBdr>
        <w:top w:val="none" w:sz="0" w:space="0" w:color="auto"/>
        <w:left w:val="none" w:sz="0" w:space="0" w:color="auto"/>
        <w:bottom w:val="none" w:sz="0" w:space="0" w:color="auto"/>
        <w:right w:val="none" w:sz="0" w:space="0" w:color="auto"/>
      </w:divBdr>
    </w:div>
    <w:div w:id="84502842">
      <w:bodyDiv w:val="1"/>
      <w:marLeft w:val="0"/>
      <w:marRight w:val="0"/>
      <w:marTop w:val="0"/>
      <w:marBottom w:val="0"/>
      <w:divBdr>
        <w:top w:val="none" w:sz="0" w:space="0" w:color="auto"/>
        <w:left w:val="none" w:sz="0" w:space="0" w:color="auto"/>
        <w:bottom w:val="none" w:sz="0" w:space="0" w:color="auto"/>
        <w:right w:val="none" w:sz="0" w:space="0" w:color="auto"/>
      </w:divBdr>
    </w:div>
    <w:div w:id="84571692">
      <w:bodyDiv w:val="1"/>
      <w:marLeft w:val="0"/>
      <w:marRight w:val="0"/>
      <w:marTop w:val="0"/>
      <w:marBottom w:val="0"/>
      <w:divBdr>
        <w:top w:val="none" w:sz="0" w:space="0" w:color="auto"/>
        <w:left w:val="none" w:sz="0" w:space="0" w:color="auto"/>
        <w:bottom w:val="none" w:sz="0" w:space="0" w:color="auto"/>
        <w:right w:val="none" w:sz="0" w:space="0" w:color="auto"/>
      </w:divBdr>
    </w:div>
    <w:div w:id="89393461">
      <w:bodyDiv w:val="1"/>
      <w:marLeft w:val="0"/>
      <w:marRight w:val="0"/>
      <w:marTop w:val="0"/>
      <w:marBottom w:val="0"/>
      <w:divBdr>
        <w:top w:val="none" w:sz="0" w:space="0" w:color="auto"/>
        <w:left w:val="none" w:sz="0" w:space="0" w:color="auto"/>
        <w:bottom w:val="none" w:sz="0" w:space="0" w:color="auto"/>
        <w:right w:val="none" w:sz="0" w:space="0" w:color="auto"/>
      </w:divBdr>
    </w:div>
    <w:div w:id="89474172">
      <w:bodyDiv w:val="1"/>
      <w:marLeft w:val="0"/>
      <w:marRight w:val="0"/>
      <w:marTop w:val="0"/>
      <w:marBottom w:val="0"/>
      <w:divBdr>
        <w:top w:val="none" w:sz="0" w:space="0" w:color="auto"/>
        <w:left w:val="none" w:sz="0" w:space="0" w:color="auto"/>
        <w:bottom w:val="none" w:sz="0" w:space="0" w:color="auto"/>
        <w:right w:val="none" w:sz="0" w:space="0" w:color="auto"/>
      </w:divBdr>
    </w:div>
    <w:div w:id="94326194">
      <w:bodyDiv w:val="1"/>
      <w:marLeft w:val="0"/>
      <w:marRight w:val="0"/>
      <w:marTop w:val="0"/>
      <w:marBottom w:val="0"/>
      <w:divBdr>
        <w:top w:val="none" w:sz="0" w:space="0" w:color="auto"/>
        <w:left w:val="none" w:sz="0" w:space="0" w:color="auto"/>
        <w:bottom w:val="none" w:sz="0" w:space="0" w:color="auto"/>
        <w:right w:val="none" w:sz="0" w:space="0" w:color="auto"/>
      </w:divBdr>
    </w:div>
    <w:div w:id="108743806">
      <w:bodyDiv w:val="1"/>
      <w:marLeft w:val="0"/>
      <w:marRight w:val="0"/>
      <w:marTop w:val="0"/>
      <w:marBottom w:val="0"/>
      <w:divBdr>
        <w:top w:val="none" w:sz="0" w:space="0" w:color="auto"/>
        <w:left w:val="none" w:sz="0" w:space="0" w:color="auto"/>
        <w:bottom w:val="none" w:sz="0" w:space="0" w:color="auto"/>
        <w:right w:val="none" w:sz="0" w:space="0" w:color="auto"/>
      </w:divBdr>
    </w:div>
    <w:div w:id="111019559">
      <w:bodyDiv w:val="1"/>
      <w:marLeft w:val="0"/>
      <w:marRight w:val="0"/>
      <w:marTop w:val="0"/>
      <w:marBottom w:val="0"/>
      <w:divBdr>
        <w:top w:val="none" w:sz="0" w:space="0" w:color="auto"/>
        <w:left w:val="none" w:sz="0" w:space="0" w:color="auto"/>
        <w:bottom w:val="none" w:sz="0" w:space="0" w:color="auto"/>
        <w:right w:val="none" w:sz="0" w:space="0" w:color="auto"/>
      </w:divBdr>
    </w:div>
    <w:div w:id="117771559">
      <w:bodyDiv w:val="1"/>
      <w:marLeft w:val="0"/>
      <w:marRight w:val="0"/>
      <w:marTop w:val="0"/>
      <w:marBottom w:val="0"/>
      <w:divBdr>
        <w:top w:val="none" w:sz="0" w:space="0" w:color="auto"/>
        <w:left w:val="none" w:sz="0" w:space="0" w:color="auto"/>
        <w:bottom w:val="none" w:sz="0" w:space="0" w:color="auto"/>
        <w:right w:val="none" w:sz="0" w:space="0" w:color="auto"/>
      </w:divBdr>
    </w:div>
    <w:div w:id="121466402">
      <w:bodyDiv w:val="1"/>
      <w:marLeft w:val="0"/>
      <w:marRight w:val="0"/>
      <w:marTop w:val="0"/>
      <w:marBottom w:val="0"/>
      <w:divBdr>
        <w:top w:val="none" w:sz="0" w:space="0" w:color="auto"/>
        <w:left w:val="none" w:sz="0" w:space="0" w:color="auto"/>
        <w:bottom w:val="none" w:sz="0" w:space="0" w:color="auto"/>
        <w:right w:val="none" w:sz="0" w:space="0" w:color="auto"/>
      </w:divBdr>
    </w:div>
    <w:div w:id="122313456">
      <w:bodyDiv w:val="1"/>
      <w:marLeft w:val="0"/>
      <w:marRight w:val="0"/>
      <w:marTop w:val="0"/>
      <w:marBottom w:val="0"/>
      <w:divBdr>
        <w:top w:val="none" w:sz="0" w:space="0" w:color="auto"/>
        <w:left w:val="none" w:sz="0" w:space="0" w:color="auto"/>
        <w:bottom w:val="none" w:sz="0" w:space="0" w:color="auto"/>
        <w:right w:val="none" w:sz="0" w:space="0" w:color="auto"/>
      </w:divBdr>
    </w:div>
    <w:div w:id="124354108">
      <w:bodyDiv w:val="1"/>
      <w:marLeft w:val="0"/>
      <w:marRight w:val="0"/>
      <w:marTop w:val="0"/>
      <w:marBottom w:val="0"/>
      <w:divBdr>
        <w:top w:val="none" w:sz="0" w:space="0" w:color="auto"/>
        <w:left w:val="none" w:sz="0" w:space="0" w:color="auto"/>
        <w:bottom w:val="none" w:sz="0" w:space="0" w:color="auto"/>
        <w:right w:val="none" w:sz="0" w:space="0" w:color="auto"/>
      </w:divBdr>
    </w:div>
    <w:div w:id="130291644">
      <w:bodyDiv w:val="1"/>
      <w:marLeft w:val="0"/>
      <w:marRight w:val="0"/>
      <w:marTop w:val="0"/>
      <w:marBottom w:val="0"/>
      <w:divBdr>
        <w:top w:val="none" w:sz="0" w:space="0" w:color="auto"/>
        <w:left w:val="none" w:sz="0" w:space="0" w:color="auto"/>
        <w:bottom w:val="none" w:sz="0" w:space="0" w:color="auto"/>
        <w:right w:val="none" w:sz="0" w:space="0" w:color="auto"/>
      </w:divBdr>
    </w:div>
    <w:div w:id="143131450">
      <w:bodyDiv w:val="1"/>
      <w:marLeft w:val="0"/>
      <w:marRight w:val="0"/>
      <w:marTop w:val="0"/>
      <w:marBottom w:val="0"/>
      <w:divBdr>
        <w:top w:val="none" w:sz="0" w:space="0" w:color="auto"/>
        <w:left w:val="none" w:sz="0" w:space="0" w:color="auto"/>
        <w:bottom w:val="none" w:sz="0" w:space="0" w:color="auto"/>
        <w:right w:val="none" w:sz="0" w:space="0" w:color="auto"/>
      </w:divBdr>
    </w:div>
    <w:div w:id="152568396">
      <w:bodyDiv w:val="1"/>
      <w:marLeft w:val="0"/>
      <w:marRight w:val="0"/>
      <w:marTop w:val="0"/>
      <w:marBottom w:val="0"/>
      <w:divBdr>
        <w:top w:val="none" w:sz="0" w:space="0" w:color="auto"/>
        <w:left w:val="none" w:sz="0" w:space="0" w:color="auto"/>
        <w:bottom w:val="none" w:sz="0" w:space="0" w:color="auto"/>
        <w:right w:val="none" w:sz="0" w:space="0" w:color="auto"/>
      </w:divBdr>
    </w:div>
    <w:div w:id="159392302">
      <w:bodyDiv w:val="1"/>
      <w:marLeft w:val="0"/>
      <w:marRight w:val="0"/>
      <w:marTop w:val="0"/>
      <w:marBottom w:val="0"/>
      <w:divBdr>
        <w:top w:val="none" w:sz="0" w:space="0" w:color="auto"/>
        <w:left w:val="none" w:sz="0" w:space="0" w:color="auto"/>
        <w:bottom w:val="none" w:sz="0" w:space="0" w:color="auto"/>
        <w:right w:val="none" w:sz="0" w:space="0" w:color="auto"/>
      </w:divBdr>
    </w:div>
    <w:div w:id="161236546">
      <w:bodyDiv w:val="1"/>
      <w:marLeft w:val="0"/>
      <w:marRight w:val="0"/>
      <w:marTop w:val="0"/>
      <w:marBottom w:val="0"/>
      <w:divBdr>
        <w:top w:val="none" w:sz="0" w:space="0" w:color="auto"/>
        <w:left w:val="none" w:sz="0" w:space="0" w:color="auto"/>
        <w:bottom w:val="none" w:sz="0" w:space="0" w:color="auto"/>
        <w:right w:val="none" w:sz="0" w:space="0" w:color="auto"/>
      </w:divBdr>
    </w:div>
    <w:div w:id="175315531">
      <w:bodyDiv w:val="1"/>
      <w:marLeft w:val="0"/>
      <w:marRight w:val="0"/>
      <w:marTop w:val="0"/>
      <w:marBottom w:val="0"/>
      <w:divBdr>
        <w:top w:val="none" w:sz="0" w:space="0" w:color="auto"/>
        <w:left w:val="none" w:sz="0" w:space="0" w:color="auto"/>
        <w:bottom w:val="none" w:sz="0" w:space="0" w:color="auto"/>
        <w:right w:val="none" w:sz="0" w:space="0" w:color="auto"/>
      </w:divBdr>
    </w:div>
    <w:div w:id="176964593">
      <w:bodyDiv w:val="1"/>
      <w:marLeft w:val="0"/>
      <w:marRight w:val="0"/>
      <w:marTop w:val="0"/>
      <w:marBottom w:val="0"/>
      <w:divBdr>
        <w:top w:val="none" w:sz="0" w:space="0" w:color="auto"/>
        <w:left w:val="none" w:sz="0" w:space="0" w:color="auto"/>
        <w:bottom w:val="none" w:sz="0" w:space="0" w:color="auto"/>
        <w:right w:val="none" w:sz="0" w:space="0" w:color="auto"/>
      </w:divBdr>
    </w:div>
    <w:div w:id="177353871">
      <w:bodyDiv w:val="1"/>
      <w:marLeft w:val="0"/>
      <w:marRight w:val="0"/>
      <w:marTop w:val="0"/>
      <w:marBottom w:val="0"/>
      <w:divBdr>
        <w:top w:val="none" w:sz="0" w:space="0" w:color="auto"/>
        <w:left w:val="none" w:sz="0" w:space="0" w:color="auto"/>
        <w:bottom w:val="none" w:sz="0" w:space="0" w:color="auto"/>
        <w:right w:val="none" w:sz="0" w:space="0" w:color="auto"/>
      </w:divBdr>
    </w:div>
    <w:div w:id="177895835">
      <w:bodyDiv w:val="1"/>
      <w:marLeft w:val="0"/>
      <w:marRight w:val="0"/>
      <w:marTop w:val="0"/>
      <w:marBottom w:val="0"/>
      <w:divBdr>
        <w:top w:val="none" w:sz="0" w:space="0" w:color="auto"/>
        <w:left w:val="none" w:sz="0" w:space="0" w:color="auto"/>
        <w:bottom w:val="none" w:sz="0" w:space="0" w:color="auto"/>
        <w:right w:val="none" w:sz="0" w:space="0" w:color="auto"/>
      </w:divBdr>
    </w:div>
    <w:div w:id="192773828">
      <w:bodyDiv w:val="1"/>
      <w:marLeft w:val="0"/>
      <w:marRight w:val="0"/>
      <w:marTop w:val="0"/>
      <w:marBottom w:val="0"/>
      <w:divBdr>
        <w:top w:val="none" w:sz="0" w:space="0" w:color="auto"/>
        <w:left w:val="none" w:sz="0" w:space="0" w:color="auto"/>
        <w:bottom w:val="none" w:sz="0" w:space="0" w:color="auto"/>
        <w:right w:val="none" w:sz="0" w:space="0" w:color="auto"/>
      </w:divBdr>
    </w:div>
    <w:div w:id="202644277">
      <w:bodyDiv w:val="1"/>
      <w:marLeft w:val="0"/>
      <w:marRight w:val="0"/>
      <w:marTop w:val="0"/>
      <w:marBottom w:val="0"/>
      <w:divBdr>
        <w:top w:val="none" w:sz="0" w:space="0" w:color="auto"/>
        <w:left w:val="none" w:sz="0" w:space="0" w:color="auto"/>
        <w:bottom w:val="none" w:sz="0" w:space="0" w:color="auto"/>
        <w:right w:val="none" w:sz="0" w:space="0" w:color="auto"/>
      </w:divBdr>
    </w:div>
    <w:div w:id="214588775">
      <w:bodyDiv w:val="1"/>
      <w:marLeft w:val="0"/>
      <w:marRight w:val="0"/>
      <w:marTop w:val="0"/>
      <w:marBottom w:val="0"/>
      <w:divBdr>
        <w:top w:val="none" w:sz="0" w:space="0" w:color="auto"/>
        <w:left w:val="none" w:sz="0" w:space="0" w:color="auto"/>
        <w:bottom w:val="none" w:sz="0" w:space="0" w:color="auto"/>
        <w:right w:val="none" w:sz="0" w:space="0" w:color="auto"/>
      </w:divBdr>
    </w:div>
    <w:div w:id="215358858">
      <w:bodyDiv w:val="1"/>
      <w:marLeft w:val="0"/>
      <w:marRight w:val="0"/>
      <w:marTop w:val="0"/>
      <w:marBottom w:val="0"/>
      <w:divBdr>
        <w:top w:val="none" w:sz="0" w:space="0" w:color="auto"/>
        <w:left w:val="none" w:sz="0" w:space="0" w:color="auto"/>
        <w:bottom w:val="none" w:sz="0" w:space="0" w:color="auto"/>
        <w:right w:val="none" w:sz="0" w:space="0" w:color="auto"/>
      </w:divBdr>
    </w:div>
    <w:div w:id="216165406">
      <w:bodyDiv w:val="1"/>
      <w:marLeft w:val="0"/>
      <w:marRight w:val="0"/>
      <w:marTop w:val="0"/>
      <w:marBottom w:val="0"/>
      <w:divBdr>
        <w:top w:val="none" w:sz="0" w:space="0" w:color="auto"/>
        <w:left w:val="none" w:sz="0" w:space="0" w:color="auto"/>
        <w:bottom w:val="none" w:sz="0" w:space="0" w:color="auto"/>
        <w:right w:val="none" w:sz="0" w:space="0" w:color="auto"/>
      </w:divBdr>
    </w:div>
    <w:div w:id="217056352">
      <w:bodyDiv w:val="1"/>
      <w:marLeft w:val="0"/>
      <w:marRight w:val="0"/>
      <w:marTop w:val="0"/>
      <w:marBottom w:val="0"/>
      <w:divBdr>
        <w:top w:val="none" w:sz="0" w:space="0" w:color="auto"/>
        <w:left w:val="none" w:sz="0" w:space="0" w:color="auto"/>
        <w:bottom w:val="none" w:sz="0" w:space="0" w:color="auto"/>
        <w:right w:val="none" w:sz="0" w:space="0" w:color="auto"/>
      </w:divBdr>
    </w:div>
    <w:div w:id="219949396">
      <w:bodyDiv w:val="1"/>
      <w:marLeft w:val="0"/>
      <w:marRight w:val="0"/>
      <w:marTop w:val="0"/>
      <w:marBottom w:val="0"/>
      <w:divBdr>
        <w:top w:val="none" w:sz="0" w:space="0" w:color="auto"/>
        <w:left w:val="none" w:sz="0" w:space="0" w:color="auto"/>
        <w:bottom w:val="none" w:sz="0" w:space="0" w:color="auto"/>
        <w:right w:val="none" w:sz="0" w:space="0" w:color="auto"/>
      </w:divBdr>
    </w:div>
    <w:div w:id="235241171">
      <w:bodyDiv w:val="1"/>
      <w:marLeft w:val="0"/>
      <w:marRight w:val="0"/>
      <w:marTop w:val="0"/>
      <w:marBottom w:val="0"/>
      <w:divBdr>
        <w:top w:val="none" w:sz="0" w:space="0" w:color="auto"/>
        <w:left w:val="none" w:sz="0" w:space="0" w:color="auto"/>
        <w:bottom w:val="none" w:sz="0" w:space="0" w:color="auto"/>
        <w:right w:val="none" w:sz="0" w:space="0" w:color="auto"/>
      </w:divBdr>
    </w:div>
    <w:div w:id="240256833">
      <w:bodyDiv w:val="1"/>
      <w:marLeft w:val="0"/>
      <w:marRight w:val="0"/>
      <w:marTop w:val="0"/>
      <w:marBottom w:val="0"/>
      <w:divBdr>
        <w:top w:val="none" w:sz="0" w:space="0" w:color="auto"/>
        <w:left w:val="none" w:sz="0" w:space="0" w:color="auto"/>
        <w:bottom w:val="none" w:sz="0" w:space="0" w:color="auto"/>
        <w:right w:val="none" w:sz="0" w:space="0" w:color="auto"/>
      </w:divBdr>
    </w:div>
    <w:div w:id="250701709">
      <w:bodyDiv w:val="1"/>
      <w:marLeft w:val="0"/>
      <w:marRight w:val="0"/>
      <w:marTop w:val="0"/>
      <w:marBottom w:val="0"/>
      <w:divBdr>
        <w:top w:val="none" w:sz="0" w:space="0" w:color="auto"/>
        <w:left w:val="none" w:sz="0" w:space="0" w:color="auto"/>
        <w:bottom w:val="none" w:sz="0" w:space="0" w:color="auto"/>
        <w:right w:val="none" w:sz="0" w:space="0" w:color="auto"/>
      </w:divBdr>
    </w:div>
    <w:div w:id="255097762">
      <w:bodyDiv w:val="1"/>
      <w:marLeft w:val="0"/>
      <w:marRight w:val="0"/>
      <w:marTop w:val="0"/>
      <w:marBottom w:val="0"/>
      <w:divBdr>
        <w:top w:val="none" w:sz="0" w:space="0" w:color="auto"/>
        <w:left w:val="none" w:sz="0" w:space="0" w:color="auto"/>
        <w:bottom w:val="none" w:sz="0" w:space="0" w:color="auto"/>
        <w:right w:val="none" w:sz="0" w:space="0" w:color="auto"/>
      </w:divBdr>
    </w:div>
    <w:div w:id="257098631">
      <w:bodyDiv w:val="1"/>
      <w:marLeft w:val="0"/>
      <w:marRight w:val="0"/>
      <w:marTop w:val="0"/>
      <w:marBottom w:val="0"/>
      <w:divBdr>
        <w:top w:val="none" w:sz="0" w:space="0" w:color="auto"/>
        <w:left w:val="none" w:sz="0" w:space="0" w:color="auto"/>
        <w:bottom w:val="none" w:sz="0" w:space="0" w:color="auto"/>
        <w:right w:val="none" w:sz="0" w:space="0" w:color="auto"/>
      </w:divBdr>
    </w:div>
    <w:div w:id="288052981">
      <w:bodyDiv w:val="1"/>
      <w:marLeft w:val="0"/>
      <w:marRight w:val="0"/>
      <w:marTop w:val="0"/>
      <w:marBottom w:val="0"/>
      <w:divBdr>
        <w:top w:val="none" w:sz="0" w:space="0" w:color="auto"/>
        <w:left w:val="none" w:sz="0" w:space="0" w:color="auto"/>
        <w:bottom w:val="none" w:sz="0" w:space="0" w:color="auto"/>
        <w:right w:val="none" w:sz="0" w:space="0" w:color="auto"/>
      </w:divBdr>
    </w:div>
    <w:div w:id="291986489">
      <w:bodyDiv w:val="1"/>
      <w:marLeft w:val="0"/>
      <w:marRight w:val="0"/>
      <w:marTop w:val="0"/>
      <w:marBottom w:val="0"/>
      <w:divBdr>
        <w:top w:val="none" w:sz="0" w:space="0" w:color="auto"/>
        <w:left w:val="none" w:sz="0" w:space="0" w:color="auto"/>
        <w:bottom w:val="none" w:sz="0" w:space="0" w:color="auto"/>
        <w:right w:val="none" w:sz="0" w:space="0" w:color="auto"/>
      </w:divBdr>
    </w:div>
    <w:div w:id="305936582">
      <w:bodyDiv w:val="1"/>
      <w:marLeft w:val="0"/>
      <w:marRight w:val="0"/>
      <w:marTop w:val="0"/>
      <w:marBottom w:val="0"/>
      <w:divBdr>
        <w:top w:val="none" w:sz="0" w:space="0" w:color="auto"/>
        <w:left w:val="none" w:sz="0" w:space="0" w:color="auto"/>
        <w:bottom w:val="none" w:sz="0" w:space="0" w:color="auto"/>
        <w:right w:val="none" w:sz="0" w:space="0" w:color="auto"/>
      </w:divBdr>
    </w:div>
    <w:div w:id="313262626">
      <w:bodyDiv w:val="1"/>
      <w:marLeft w:val="0"/>
      <w:marRight w:val="0"/>
      <w:marTop w:val="0"/>
      <w:marBottom w:val="0"/>
      <w:divBdr>
        <w:top w:val="none" w:sz="0" w:space="0" w:color="auto"/>
        <w:left w:val="none" w:sz="0" w:space="0" w:color="auto"/>
        <w:bottom w:val="none" w:sz="0" w:space="0" w:color="auto"/>
        <w:right w:val="none" w:sz="0" w:space="0" w:color="auto"/>
      </w:divBdr>
    </w:div>
    <w:div w:id="320426426">
      <w:bodyDiv w:val="1"/>
      <w:marLeft w:val="0"/>
      <w:marRight w:val="0"/>
      <w:marTop w:val="0"/>
      <w:marBottom w:val="0"/>
      <w:divBdr>
        <w:top w:val="none" w:sz="0" w:space="0" w:color="auto"/>
        <w:left w:val="none" w:sz="0" w:space="0" w:color="auto"/>
        <w:bottom w:val="none" w:sz="0" w:space="0" w:color="auto"/>
        <w:right w:val="none" w:sz="0" w:space="0" w:color="auto"/>
      </w:divBdr>
    </w:div>
    <w:div w:id="321549053">
      <w:bodyDiv w:val="1"/>
      <w:marLeft w:val="0"/>
      <w:marRight w:val="0"/>
      <w:marTop w:val="0"/>
      <w:marBottom w:val="0"/>
      <w:divBdr>
        <w:top w:val="none" w:sz="0" w:space="0" w:color="auto"/>
        <w:left w:val="none" w:sz="0" w:space="0" w:color="auto"/>
        <w:bottom w:val="none" w:sz="0" w:space="0" w:color="auto"/>
        <w:right w:val="none" w:sz="0" w:space="0" w:color="auto"/>
      </w:divBdr>
    </w:div>
    <w:div w:id="323701367">
      <w:bodyDiv w:val="1"/>
      <w:marLeft w:val="0"/>
      <w:marRight w:val="0"/>
      <w:marTop w:val="0"/>
      <w:marBottom w:val="0"/>
      <w:divBdr>
        <w:top w:val="none" w:sz="0" w:space="0" w:color="auto"/>
        <w:left w:val="none" w:sz="0" w:space="0" w:color="auto"/>
        <w:bottom w:val="none" w:sz="0" w:space="0" w:color="auto"/>
        <w:right w:val="none" w:sz="0" w:space="0" w:color="auto"/>
      </w:divBdr>
    </w:div>
    <w:div w:id="332801175">
      <w:bodyDiv w:val="1"/>
      <w:marLeft w:val="0"/>
      <w:marRight w:val="0"/>
      <w:marTop w:val="0"/>
      <w:marBottom w:val="0"/>
      <w:divBdr>
        <w:top w:val="none" w:sz="0" w:space="0" w:color="auto"/>
        <w:left w:val="none" w:sz="0" w:space="0" w:color="auto"/>
        <w:bottom w:val="none" w:sz="0" w:space="0" w:color="auto"/>
        <w:right w:val="none" w:sz="0" w:space="0" w:color="auto"/>
      </w:divBdr>
    </w:div>
    <w:div w:id="357779033">
      <w:bodyDiv w:val="1"/>
      <w:marLeft w:val="0"/>
      <w:marRight w:val="0"/>
      <w:marTop w:val="0"/>
      <w:marBottom w:val="0"/>
      <w:divBdr>
        <w:top w:val="none" w:sz="0" w:space="0" w:color="auto"/>
        <w:left w:val="none" w:sz="0" w:space="0" w:color="auto"/>
        <w:bottom w:val="none" w:sz="0" w:space="0" w:color="auto"/>
        <w:right w:val="none" w:sz="0" w:space="0" w:color="auto"/>
      </w:divBdr>
    </w:div>
    <w:div w:id="370422031">
      <w:bodyDiv w:val="1"/>
      <w:marLeft w:val="0"/>
      <w:marRight w:val="0"/>
      <w:marTop w:val="0"/>
      <w:marBottom w:val="0"/>
      <w:divBdr>
        <w:top w:val="none" w:sz="0" w:space="0" w:color="auto"/>
        <w:left w:val="none" w:sz="0" w:space="0" w:color="auto"/>
        <w:bottom w:val="none" w:sz="0" w:space="0" w:color="auto"/>
        <w:right w:val="none" w:sz="0" w:space="0" w:color="auto"/>
      </w:divBdr>
    </w:div>
    <w:div w:id="372920550">
      <w:bodyDiv w:val="1"/>
      <w:marLeft w:val="0"/>
      <w:marRight w:val="0"/>
      <w:marTop w:val="0"/>
      <w:marBottom w:val="0"/>
      <w:divBdr>
        <w:top w:val="none" w:sz="0" w:space="0" w:color="auto"/>
        <w:left w:val="none" w:sz="0" w:space="0" w:color="auto"/>
        <w:bottom w:val="none" w:sz="0" w:space="0" w:color="auto"/>
        <w:right w:val="none" w:sz="0" w:space="0" w:color="auto"/>
      </w:divBdr>
    </w:div>
    <w:div w:id="373889422">
      <w:bodyDiv w:val="1"/>
      <w:marLeft w:val="0"/>
      <w:marRight w:val="0"/>
      <w:marTop w:val="0"/>
      <w:marBottom w:val="0"/>
      <w:divBdr>
        <w:top w:val="none" w:sz="0" w:space="0" w:color="auto"/>
        <w:left w:val="none" w:sz="0" w:space="0" w:color="auto"/>
        <w:bottom w:val="none" w:sz="0" w:space="0" w:color="auto"/>
        <w:right w:val="none" w:sz="0" w:space="0" w:color="auto"/>
      </w:divBdr>
    </w:div>
    <w:div w:id="380057950">
      <w:bodyDiv w:val="1"/>
      <w:marLeft w:val="0"/>
      <w:marRight w:val="0"/>
      <w:marTop w:val="0"/>
      <w:marBottom w:val="0"/>
      <w:divBdr>
        <w:top w:val="none" w:sz="0" w:space="0" w:color="auto"/>
        <w:left w:val="none" w:sz="0" w:space="0" w:color="auto"/>
        <w:bottom w:val="none" w:sz="0" w:space="0" w:color="auto"/>
        <w:right w:val="none" w:sz="0" w:space="0" w:color="auto"/>
      </w:divBdr>
    </w:div>
    <w:div w:id="380323244">
      <w:bodyDiv w:val="1"/>
      <w:marLeft w:val="0"/>
      <w:marRight w:val="0"/>
      <w:marTop w:val="0"/>
      <w:marBottom w:val="0"/>
      <w:divBdr>
        <w:top w:val="none" w:sz="0" w:space="0" w:color="auto"/>
        <w:left w:val="none" w:sz="0" w:space="0" w:color="auto"/>
        <w:bottom w:val="none" w:sz="0" w:space="0" w:color="auto"/>
        <w:right w:val="none" w:sz="0" w:space="0" w:color="auto"/>
      </w:divBdr>
    </w:div>
    <w:div w:id="386733311">
      <w:bodyDiv w:val="1"/>
      <w:marLeft w:val="0"/>
      <w:marRight w:val="0"/>
      <w:marTop w:val="0"/>
      <w:marBottom w:val="0"/>
      <w:divBdr>
        <w:top w:val="none" w:sz="0" w:space="0" w:color="auto"/>
        <w:left w:val="none" w:sz="0" w:space="0" w:color="auto"/>
        <w:bottom w:val="none" w:sz="0" w:space="0" w:color="auto"/>
        <w:right w:val="none" w:sz="0" w:space="0" w:color="auto"/>
      </w:divBdr>
    </w:div>
    <w:div w:id="393353366">
      <w:bodyDiv w:val="1"/>
      <w:marLeft w:val="0"/>
      <w:marRight w:val="0"/>
      <w:marTop w:val="0"/>
      <w:marBottom w:val="0"/>
      <w:divBdr>
        <w:top w:val="none" w:sz="0" w:space="0" w:color="auto"/>
        <w:left w:val="none" w:sz="0" w:space="0" w:color="auto"/>
        <w:bottom w:val="none" w:sz="0" w:space="0" w:color="auto"/>
        <w:right w:val="none" w:sz="0" w:space="0" w:color="auto"/>
      </w:divBdr>
    </w:div>
    <w:div w:id="396629115">
      <w:bodyDiv w:val="1"/>
      <w:marLeft w:val="0"/>
      <w:marRight w:val="0"/>
      <w:marTop w:val="0"/>
      <w:marBottom w:val="0"/>
      <w:divBdr>
        <w:top w:val="none" w:sz="0" w:space="0" w:color="auto"/>
        <w:left w:val="none" w:sz="0" w:space="0" w:color="auto"/>
        <w:bottom w:val="none" w:sz="0" w:space="0" w:color="auto"/>
        <w:right w:val="none" w:sz="0" w:space="0" w:color="auto"/>
      </w:divBdr>
    </w:div>
    <w:div w:id="411783918">
      <w:bodyDiv w:val="1"/>
      <w:marLeft w:val="0"/>
      <w:marRight w:val="0"/>
      <w:marTop w:val="0"/>
      <w:marBottom w:val="0"/>
      <w:divBdr>
        <w:top w:val="none" w:sz="0" w:space="0" w:color="auto"/>
        <w:left w:val="none" w:sz="0" w:space="0" w:color="auto"/>
        <w:bottom w:val="none" w:sz="0" w:space="0" w:color="auto"/>
        <w:right w:val="none" w:sz="0" w:space="0" w:color="auto"/>
      </w:divBdr>
    </w:div>
    <w:div w:id="417597759">
      <w:bodyDiv w:val="1"/>
      <w:marLeft w:val="0"/>
      <w:marRight w:val="0"/>
      <w:marTop w:val="0"/>
      <w:marBottom w:val="0"/>
      <w:divBdr>
        <w:top w:val="none" w:sz="0" w:space="0" w:color="auto"/>
        <w:left w:val="none" w:sz="0" w:space="0" w:color="auto"/>
        <w:bottom w:val="none" w:sz="0" w:space="0" w:color="auto"/>
        <w:right w:val="none" w:sz="0" w:space="0" w:color="auto"/>
      </w:divBdr>
    </w:div>
    <w:div w:id="427967408">
      <w:bodyDiv w:val="1"/>
      <w:marLeft w:val="0"/>
      <w:marRight w:val="0"/>
      <w:marTop w:val="0"/>
      <w:marBottom w:val="0"/>
      <w:divBdr>
        <w:top w:val="none" w:sz="0" w:space="0" w:color="auto"/>
        <w:left w:val="none" w:sz="0" w:space="0" w:color="auto"/>
        <w:bottom w:val="none" w:sz="0" w:space="0" w:color="auto"/>
        <w:right w:val="none" w:sz="0" w:space="0" w:color="auto"/>
      </w:divBdr>
    </w:div>
    <w:div w:id="428890490">
      <w:bodyDiv w:val="1"/>
      <w:marLeft w:val="0"/>
      <w:marRight w:val="0"/>
      <w:marTop w:val="0"/>
      <w:marBottom w:val="0"/>
      <w:divBdr>
        <w:top w:val="none" w:sz="0" w:space="0" w:color="auto"/>
        <w:left w:val="none" w:sz="0" w:space="0" w:color="auto"/>
        <w:bottom w:val="none" w:sz="0" w:space="0" w:color="auto"/>
        <w:right w:val="none" w:sz="0" w:space="0" w:color="auto"/>
      </w:divBdr>
    </w:div>
    <w:div w:id="435440054">
      <w:bodyDiv w:val="1"/>
      <w:marLeft w:val="0"/>
      <w:marRight w:val="0"/>
      <w:marTop w:val="0"/>
      <w:marBottom w:val="0"/>
      <w:divBdr>
        <w:top w:val="none" w:sz="0" w:space="0" w:color="auto"/>
        <w:left w:val="none" w:sz="0" w:space="0" w:color="auto"/>
        <w:bottom w:val="none" w:sz="0" w:space="0" w:color="auto"/>
        <w:right w:val="none" w:sz="0" w:space="0" w:color="auto"/>
      </w:divBdr>
    </w:div>
    <w:div w:id="438332647">
      <w:bodyDiv w:val="1"/>
      <w:marLeft w:val="0"/>
      <w:marRight w:val="0"/>
      <w:marTop w:val="0"/>
      <w:marBottom w:val="0"/>
      <w:divBdr>
        <w:top w:val="none" w:sz="0" w:space="0" w:color="auto"/>
        <w:left w:val="none" w:sz="0" w:space="0" w:color="auto"/>
        <w:bottom w:val="none" w:sz="0" w:space="0" w:color="auto"/>
        <w:right w:val="none" w:sz="0" w:space="0" w:color="auto"/>
      </w:divBdr>
    </w:div>
    <w:div w:id="438643907">
      <w:bodyDiv w:val="1"/>
      <w:marLeft w:val="0"/>
      <w:marRight w:val="0"/>
      <w:marTop w:val="0"/>
      <w:marBottom w:val="0"/>
      <w:divBdr>
        <w:top w:val="none" w:sz="0" w:space="0" w:color="auto"/>
        <w:left w:val="none" w:sz="0" w:space="0" w:color="auto"/>
        <w:bottom w:val="none" w:sz="0" w:space="0" w:color="auto"/>
        <w:right w:val="none" w:sz="0" w:space="0" w:color="auto"/>
      </w:divBdr>
    </w:div>
    <w:div w:id="439227871">
      <w:bodyDiv w:val="1"/>
      <w:marLeft w:val="0"/>
      <w:marRight w:val="0"/>
      <w:marTop w:val="0"/>
      <w:marBottom w:val="0"/>
      <w:divBdr>
        <w:top w:val="none" w:sz="0" w:space="0" w:color="auto"/>
        <w:left w:val="none" w:sz="0" w:space="0" w:color="auto"/>
        <w:bottom w:val="none" w:sz="0" w:space="0" w:color="auto"/>
        <w:right w:val="none" w:sz="0" w:space="0" w:color="auto"/>
      </w:divBdr>
    </w:div>
    <w:div w:id="442312325">
      <w:bodyDiv w:val="1"/>
      <w:marLeft w:val="0"/>
      <w:marRight w:val="0"/>
      <w:marTop w:val="0"/>
      <w:marBottom w:val="0"/>
      <w:divBdr>
        <w:top w:val="none" w:sz="0" w:space="0" w:color="auto"/>
        <w:left w:val="none" w:sz="0" w:space="0" w:color="auto"/>
        <w:bottom w:val="none" w:sz="0" w:space="0" w:color="auto"/>
        <w:right w:val="none" w:sz="0" w:space="0" w:color="auto"/>
      </w:divBdr>
    </w:div>
    <w:div w:id="443580204">
      <w:bodyDiv w:val="1"/>
      <w:marLeft w:val="0"/>
      <w:marRight w:val="0"/>
      <w:marTop w:val="0"/>
      <w:marBottom w:val="0"/>
      <w:divBdr>
        <w:top w:val="none" w:sz="0" w:space="0" w:color="auto"/>
        <w:left w:val="none" w:sz="0" w:space="0" w:color="auto"/>
        <w:bottom w:val="none" w:sz="0" w:space="0" w:color="auto"/>
        <w:right w:val="none" w:sz="0" w:space="0" w:color="auto"/>
      </w:divBdr>
    </w:div>
    <w:div w:id="443883766">
      <w:bodyDiv w:val="1"/>
      <w:marLeft w:val="0"/>
      <w:marRight w:val="0"/>
      <w:marTop w:val="0"/>
      <w:marBottom w:val="0"/>
      <w:divBdr>
        <w:top w:val="none" w:sz="0" w:space="0" w:color="auto"/>
        <w:left w:val="none" w:sz="0" w:space="0" w:color="auto"/>
        <w:bottom w:val="none" w:sz="0" w:space="0" w:color="auto"/>
        <w:right w:val="none" w:sz="0" w:space="0" w:color="auto"/>
      </w:divBdr>
    </w:div>
    <w:div w:id="447163763">
      <w:bodyDiv w:val="1"/>
      <w:marLeft w:val="0"/>
      <w:marRight w:val="0"/>
      <w:marTop w:val="0"/>
      <w:marBottom w:val="0"/>
      <w:divBdr>
        <w:top w:val="none" w:sz="0" w:space="0" w:color="auto"/>
        <w:left w:val="none" w:sz="0" w:space="0" w:color="auto"/>
        <w:bottom w:val="none" w:sz="0" w:space="0" w:color="auto"/>
        <w:right w:val="none" w:sz="0" w:space="0" w:color="auto"/>
      </w:divBdr>
    </w:div>
    <w:div w:id="449401414">
      <w:bodyDiv w:val="1"/>
      <w:marLeft w:val="0"/>
      <w:marRight w:val="0"/>
      <w:marTop w:val="0"/>
      <w:marBottom w:val="0"/>
      <w:divBdr>
        <w:top w:val="none" w:sz="0" w:space="0" w:color="auto"/>
        <w:left w:val="none" w:sz="0" w:space="0" w:color="auto"/>
        <w:bottom w:val="none" w:sz="0" w:space="0" w:color="auto"/>
        <w:right w:val="none" w:sz="0" w:space="0" w:color="auto"/>
      </w:divBdr>
    </w:div>
    <w:div w:id="458647485">
      <w:bodyDiv w:val="1"/>
      <w:marLeft w:val="0"/>
      <w:marRight w:val="0"/>
      <w:marTop w:val="0"/>
      <w:marBottom w:val="0"/>
      <w:divBdr>
        <w:top w:val="none" w:sz="0" w:space="0" w:color="auto"/>
        <w:left w:val="none" w:sz="0" w:space="0" w:color="auto"/>
        <w:bottom w:val="none" w:sz="0" w:space="0" w:color="auto"/>
        <w:right w:val="none" w:sz="0" w:space="0" w:color="auto"/>
      </w:divBdr>
    </w:div>
    <w:div w:id="464658218">
      <w:bodyDiv w:val="1"/>
      <w:marLeft w:val="0"/>
      <w:marRight w:val="0"/>
      <w:marTop w:val="0"/>
      <w:marBottom w:val="0"/>
      <w:divBdr>
        <w:top w:val="none" w:sz="0" w:space="0" w:color="auto"/>
        <w:left w:val="none" w:sz="0" w:space="0" w:color="auto"/>
        <w:bottom w:val="none" w:sz="0" w:space="0" w:color="auto"/>
        <w:right w:val="none" w:sz="0" w:space="0" w:color="auto"/>
      </w:divBdr>
    </w:div>
    <w:div w:id="470295305">
      <w:bodyDiv w:val="1"/>
      <w:marLeft w:val="0"/>
      <w:marRight w:val="0"/>
      <w:marTop w:val="0"/>
      <w:marBottom w:val="0"/>
      <w:divBdr>
        <w:top w:val="none" w:sz="0" w:space="0" w:color="auto"/>
        <w:left w:val="none" w:sz="0" w:space="0" w:color="auto"/>
        <w:bottom w:val="none" w:sz="0" w:space="0" w:color="auto"/>
        <w:right w:val="none" w:sz="0" w:space="0" w:color="auto"/>
      </w:divBdr>
    </w:div>
    <w:div w:id="472255868">
      <w:bodyDiv w:val="1"/>
      <w:marLeft w:val="0"/>
      <w:marRight w:val="0"/>
      <w:marTop w:val="0"/>
      <w:marBottom w:val="0"/>
      <w:divBdr>
        <w:top w:val="none" w:sz="0" w:space="0" w:color="auto"/>
        <w:left w:val="none" w:sz="0" w:space="0" w:color="auto"/>
        <w:bottom w:val="none" w:sz="0" w:space="0" w:color="auto"/>
        <w:right w:val="none" w:sz="0" w:space="0" w:color="auto"/>
      </w:divBdr>
    </w:div>
    <w:div w:id="487986429">
      <w:bodyDiv w:val="1"/>
      <w:marLeft w:val="0"/>
      <w:marRight w:val="0"/>
      <w:marTop w:val="0"/>
      <w:marBottom w:val="0"/>
      <w:divBdr>
        <w:top w:val="none" w:sz="0" w:space="0" w:color="auto"/>
        <w:left w:val="none" w:sz="0" w:space="0" w:color="auto"/>
        <w:bottom w:val="none" w:sz="0" w:space="0" w:color="auto"/>
        <w:right w:val="none" w:sz="0" w:space="0" w:color="auto"/>
      </w:divBdr>
    </w:div>
    <w:div w:id="489909334">
      <w:bodyDiv w:val="1"/>
      <w:marLeft w:val="0"/>
      <w:marRight w:val="0"/>
      <w:marTop w:val="0"/>
      <w:marBottom w:val="0"/>
      <w:divBdr>
        <w:top w:val="none" w:sz="0" w:space="0" w:color="auto"/>
        <w:left w:val="none" w:sz="0" w:space="0" w:color="auto"/>
        <w:bottom w:val="none" w:sz="0" w:space="0" w:color="auto"/>
        <w:right w:val="none" w:sz="0" w:space="0" w:color="auto"/>
      </w:divBdr>
    </w:div>
    <w:div w:id="493224004">
      <w:bodyDiv w:val="1"/>
      <w:marLeft w:val="0"/>
      <w:marRight w:val="0"/>
      <w:marTop w:val="0"/>
      <w:marBottom w:val="0"/>
      <w:divBdr>
        <w:top w:val="none" w:sz="0" w:space="0" w:color="auto"/>
        <w:left w:val="none" w:sz="0" w:space="0" w:color="auto"/>
        <w:bottom w:val="none" w:sz="0" w:space="0" w:color="auto"/>
        <w:right w:val="none" w:sz="0" w:space="0" w:color="auto"/>
      </w:divBdr>
    </w:div>
    <w:div w:id="507716965">
      <w:bodyDiv w:val="1"/>
      <w:marLeft w:val="0"/>
      <w:marRight w:val="0"/>
      <w:marTop w:val="0"/>
      <w:marBottom w:val="0"/>
      <w:divBdr>
        <w:top w:val="none" w:sz="0" w:space="0" w:color="auto"/>
        <w:left w:val="none" w:sz="0" w:space="0" w:color="auto"/>
        <w:bottom w:val="none" w:sz="0" w:space="0" w:color="auto"/>
        <w:right w:val="none" w:sz="0" w:space="0" w:color="auto"/>
      </w:divBdr>
    </w:div>
    <w:div w:id="511603660">
      <w:bodyDiv w:val="1"/>
      <w:marLeft w:val="0"/>
      <w:marRight w:val="0"/>
      <w:marTop w:val="0"/>
      <w:marBottom w:val="0"/>
      <w:divBdr>
        <w:top w:val="none" w:sz="0" w:space="0" w:color="auto"/>
        <w:left w:val="none" w:sz="0" w:space="0" w:color="auto"/>
        <w:bottom w:val="none" w:sz="0" w:space="0" w:color="auto"/>
        <w:right w:val="none" w:sz="0" w:space="0" w:color="auto"/>
      </w:divBdr>
    </w:div>
    <w:div w:id="513569573">
      <w:bodyDiv w:val="1"/>
      <w:marLeft w:val="0"/>
      <w:marRight w:val="0"/>
      <w:marTop w:val="0"/>
      <w:marBottom w:val="0"/>
      <w:divBdr>
        <w:top w:val="none" w:sz="0" w:space="0" w:color="auto"/>
        <w:left w:val="none" w:sz="0" w:space="0" w:color="auto"/>
        <w:bottom w:val="none" w:sz="0" w:space="0" w:color="auto"/>
        <w:right w:val="none" w:sz="0" w:space="0" w:color="auto"/>
      </w:divBdr>
    </w:div>
    <w:div w:id="520778470">
      <w:bodyDiv w:val="1"/>
      <w:marLeft w:val="0"/>
      <w:marRight w:val="0"/>
      <w:marTop w:val="0"/>
      <w:marBottom w:val="0"/>
      <w:divBdr>
        <w:top w:val="none" w:sz="0" w:space="0" w:color="auto"/>
        <w:left w:val="none" w:sz="0" w:space="0" w:color="auto"/>
        <w:bottom w:val="none" w:sz="0" w:space="0" w:color="auto"/>
        <w:right w:val="none" w:sz="0" w:space="0" w:color="auto"/>
      </w:divBdr>
    </w:div>
    <w:div w:id="522936652">
      <w:bodyDiv w:val="1"/>
      <w:marLeft w:val="0"/>
      <w:marRight w:val="0"/>
      <w:marTop w:val="0"/>
      <w:marBottom w:val="0"/>
      <w:divBdr>
        <w:top w:val="none" w:sz="0" w:space="0" w:color="auto"/>
        <w:left w:val="none" w:sz="0" w:space="0" w:color="auto"/>
        <w:bottom w:val="none" w:sz="0" w:space="0" w:color="auto"/>
        <w:right w:val="none" w:sz="0" w:space="0" w:color="auto"/>
      </w:divBdr>
    </w:div>
    <w:div w:id="525288159">
      <w:bodyDiv w:val="1"/>
      <w:marLeft w:val="0"/>
      <w:marRight w:val="0"/>
      <w:marTop w:val="0"/>
      <w:marBottom w:val="0"/>
      <w:divBdr>
        <w:top w:val="none" w:sz="0" w:space="0" w:color="auto"/>
        <w:left w:val="none" w:sz="0" w:space="0" w:color="auto"/>
        <w:bottom w:val="none" w:sz="0" w:space="0" w:color="auto"/>
        <w:right w:val="none" w:sz="0" w:space="0" w:color="auto"/>
      </w:divBdr>
    </w:div>
    <w:div w:id="526063659">
      <w:bodyDiv w:val="1"/>
      <w:marLeft w:val="0"/>
      <w:marRight w:val="0"/>
      <w:marTop w:val="0"/>
      <w:marBottom w:val="0"/>
      <w:divBdr>
        <w:top w:val="none" w:sz="0" w:space="0" w:color="auto"/>
        <w:left w:val="none" w:sz="0" w:space="0" w:color="auto"/>
        <w:bottom w:val="none" w:sz="0" w:space="0" w:color="auto"/>
        <w:right w:val="none" w:sz="0" w:space="0" w:color="auto"/>
      </w:divBdr>
    </w:div>
    <w:div w:id="551186976">
      <w:bodyDiv w:val="1"/>
      <w:marLeft w:val="0"/>
      <w:marRight w:val="0"/>
      <w:marTop w:val="0"/>
      <w:marBottom w:val="0"/>
      <w:divBdr>
        <w:top w:val="none" w:sz="0" w:space="0" w:color="auto"/>
        <w:left w:val="none" w:sz="0" w:space="0" w:color="auto"/>
        <w:bottom w:val="none" w:sz="0" w:space="0" w:color="auto"/>
        <w:right w:val="none" w:sz="0" w:space="0" w:color="auto"/>
      </w:divBdr>
    </w:div>
    <w:div w:id="584996785">
      <w:bodyDiv w:val="1"/>
      <w:marLeft w:val="0"/>
      <w:marRight w:val="0"/>
      <w:marTop w:val="0"/>
      <w:marBottom w:val="0"/>
      <w:divBdr>
        <w:top w:val="none" w:sz="0" w:space="0" w:color="auto"/>
        <w:left w:val="none" w:sz="0" w:space="0" w:color="auto"/>
        <w:bottom w:val="none" w:sz="0" w:space="0" w:color="auto"/>
        <w:right w:val="none" w:sz="0" w:space="0" w:color="auto"/>
      </w:divBdr>
    </w:div>
    <w:div w:id="605649256">
      <w:bodyDiv w:val="1"/>
      <w:marLeft w:val="0"/>
      <w:marRight w:val="0"/>
      <w:marTop w:val="0"/>
      <w:marBottom w:val="0"/>
      <w:divBdr>
        <w:top w:val="none" w:sz="0" w:space="0" w:color="auto"/>
        <w:left w:val="none" w:sz="0" w:space="0" w:color="auto"/>
        <w:bottom w:val="none" w:sz="0" w:space="0" w:color="auto"/>
        <w:right w:val="none" w:sz="0" w:space="0" w:color="auto"/>
      </w:divBdr>
    </w:div>
    <w:div w:id="609095173">
      <w:bodyDiv w:val="1"/>
      <w:marLeft w:val="0"/>
      <w:marRight w:val="0"/>
      <w:marTop w:val="0"/>
      <w:marBottom w:val="0"/>
      <w:divBdr>
        <w:top w:val="none" w:sz="0" w:space="0" w:color="auto"/>
        <w:left w:val="none" w:sz="0" w:space="0" w:color="auto"/>
        <w:bottom w:val="none" w:sz="0" w:space="0" w:color="auto"/>
        <w:right w:val="none" w:sz="0" w:space="0" w:color="auto"/>
      </w:divBdr>
    </w:div>
    <w:div w:id="609237430">
      <w:bodyDiv w:val="1"/>
      <w:marLeft w:val="0"/>
      <w:marRight w:val="0"/>
      <w:marTop w:val="0"/>
      <w:marBottom w:val="0"/>
      <w:divBdr>
        <w:top w:val="none" w:sz="0" w:space="0" w:color="auto"/>
        <w:left w:val="none" w:sz="0" w:space="0" w:color="auto"/>
        <w:bottom w:val="none" w:sz="0" w:space="0" w:color="auto"/>
        <w:right w:val="none" w:sz="0" w:space="0" w:color="auto"/>
      </w:divBdr>
    </w:div>
    <w:div w:id="622033159">
      <w:bodyDiv w:val="1"/>
      <w:marLeft w:val="0"/>
      <w:marRight w:val="0"/>
      <w:marTop w:val="0"/>
      <w:marBottom w:val="0"/>
      <w:divBdr>
        <w:top w:val="none" w:sz="0" w:space="0" w:color="auto"/>
        <w:left w:val="none" w:sz="0" w:space="0" w:color="auto"/>
        <w:bottom w:val="none" w:sz="0" w:space="0" w:color="auto"/>
        <w:right w:val="none" w:sz="0" w:space="0" w:color="auto"/>
      </w:divBdr>
    </w:div>
    <w:div w:id="634414717">
      <w:bodyDiv w:val="1"/>
      <w:marLeft w:val="0"/>
      <w:marRight w:val="0"/>
      <w:marTop w:val="0"/>
      <w:marBottom w:val="0"/>
      <w:divBdr>
        <w:top w:val="none" w:sz="0" w:space="0" w:color="auto"/>
        <w:left w:val="none" w:sz="0" w:space="0" w:color="auto"/>
        <w:bottom w:val="none" w:sz="0" w:space="0" w:color="auto"/>
        <w:right w:val="none" w:sz="0" w:space="0" w:color="auto"/>
      </w:divBdr>
    </w:div>
    <w:div w:id="634990783">
      <w:bodyDiv w:val="1"/>
      <w:marLeft w:val="0"/>
      <w:marRight w:val="0"/>
      <w:marTop w:val="0"/>
      <w:marBottom w:val="0"/>
      <w:divBdr>
        <w:top w:val="none" w:sz="0" w:space="0" w:color="auto"/>
        <w:left w:val="none" w:sz="0" w:space="0" w:color="auto"/>
        <w:bottom w:val="none" w:sz="0" w:space="0" w:color="auto"/>
        <w:right w:val="none" w:sz="0" w:space="0" w:color="auto"/>
      </w:divBdr>
    </w:div>
    <w:div w:id="639110897">
      <w:bodyDiv w:val="1"/>
      <w:marLeft w:val="0"/>
      <w:marRight w:val="0"/>
      <w:marTop w:val="0"/>
      <w:marBottom w:val="0"/>
      <w:divBdr>
        <w:top w:val="none" w:sz="0" w:space="0" w:color="auto"/>
        <w:left w:val="none" w:sz="0" w:space="0" w:color="auto"/>
        <w:bottom w:val="none" w:sz="0" w:space="0" w:color="auto"/>
        <w:right w:val="none" w:sz="0" w:space="0" w:color="auto"/>
      </w:divBdr>
    </w:div>
    <w:div w:id="641738310">
      <w:bodyDiv w:val="1"/>
      <w:marLeft w:val="0"/>
      <w:marRight w:val="0"/>
      <w:marTop w:val="0"/>
      <w:marBottom w:val="0"/>
      <w:divBdr>
        <w:top w:val="none" w:sz="0" w:space="0" w:color="auto"/>
        <w:left w:val="none" w:sz="0" w:space="0" w:color="auto"/>
        <w:bottom w:val="none" w:sz="0" w:space="0" w:color="auto"/>
        <w:right w:val="none" w:sz="0" w:space="0" w:color="auto"/>
      </w:divBdr>
    </w:div>
    <w:div w:id="642127766">
      <w:bodyDiv w:val="1"/>
      <w:marLeft w:val="0"/>
      <w:marRight w:val="0"/>
      <w:marTop w:val="0"/>
      <w:marBottom w:val="0"/>
      <w:divBdr>
        <w:top w:val="none" w:sz="0" w:space="0" w:color="auto"/>
        <w:left w:val="none" w:sz="0" w:space="0" w:color="auto"/>
        <w:bottom w:val="none" w:sz="0" w:space="0" w:color="auto"/>
        <w:right w:val="none" w:sz="0" w:space="0" w:color="auto"/>
      </w:divBdr>
    </w:div>
    <w:div w:id="655959663">
      <w:bodyDiv w:val="1"/>
      <w:marLeft w:val="0"/>
      <w:marRight w:val="0"/>
      <w:marTop w:val="0"/>
      <w:marBottom w:val="0"/>
      <w:divBdr>
        <w:top w:val="none" w:sz="0" w:space="0" w:color="auto"/>
        <w:left w:val="none" w:sz="0" w:space="0" w:color="auto"/>
        <w:bottom w:val="none" w:sz="0" w:space="0" w:color="auto"/>
        <w:right w:val="none" w:sz="0" w:space="0" w:color="auto"/>
      </w:divBdr>
    </w:div>
    <w:div w:id="661127255">
      <w:bodyDiv w:val="1"/>
      <w:marLeft w:val="0"/>
      <w:marRight w:val="0"/>
      <w:marTop w:val="0"/>
      <w:marBottom w:val="0"/>
      <w:divBdr>
        <w:top w:val="none" w:sz="0" w:space="0" w:color="auto"/>
        <w:left w:val="none" w:sz="0" w:space="0" w:color="auto"/>
        <w:bottom w:val="none" w:sz="0" w:space="0" w:color="auto"/>
        <w:right w:val="none" w:sz="0" w:space="0" w:color="auto"/>
      </w:divBdr>
    </w:div>
    <w:div w:id="661130363">
      <w:bodyDiv w:val="1"/>
      <w:marLeft w:val="0"/>
      <w:marRight w:val="0"/>
      <w:marTop w:val="0"/>
      <w:marBottom w:val="0"/>
      <w:divBdr>
        <w:top w:val="none" w:sz="0" w:space="0" w:color="auto"/>
        <w:left w:val="none" w:sz="0" w:space="0" w:color="auto"/>
        <w:bottom w:val="none" w:sz="0" w:space="0" w:color="auto"/>
        <w:right w:val="none" w:sz="0" w:space="0" w:color="auto"/>
      </w:divBdr>
    </w:div>
    <w:div w:id="665520971">
      <w:bodyDiv w:val="1"/>
      <w:marLeft w:val="0"/>
      <w:marRight w:val="0"/>
      <w:marTop w:val="0"/>
      <w:marBottom w:val="0"/>
      <w:divBdr>
        <w:top w:val="none" w:sz="0" w:space="0" w:color="auto"/>
        <w:left w:val="none" w:sz="0" w:space="0" w:color="auto"/>
        <w:bottom w:val="none" w:sz="0" w:space="0" w:color="auto"/>
        <w:right w:val="none" w:sz="0" w:space="0" w:color="auto"/>
      </w:divBdr>
    </w:div>
    <w:div w:id="666204968">
      <w:bodyDiv w:val="1"/>
      <w:marLeft w:val="0"/>
      <w:marRight w:val="0"/>
      <w:marTop w:val="0"/>
      <w:marBottom w:val="0"/>
      <w:divBdr>
        <w:top w:val="none" w:sz="0" w:space="0" w:color="auto"/>
        <w:left w:val="none" w:sz="0" w:space="0" w:color="auto"/>
        <w:bottom w:val="none" w:sz="0" w:space="0" w:color="auto"/>
        <w:right w:val="none" w:sz="0" w:space="0" w:color="auto"/>
      </w:divBdr>
    </w:div>
    <w:div w:id="667757640">
      <w:bodyDiv w:val="1"/>
      <w:marLeft w:val="0"/>
      <w:marRight w:val="0"/>
      <w:marTop w:val="0"/>
      <w:marBottom w:val="0"/>
      <w:divBdr>
        <w:top w:val="none" w:sz="0" w:space="0" w:color="auto"/>
        <w:left w:val="none" w:sz="0" w:space="0" w:color="auto"/>
        <w:bottom w:val="none" w:sz="0" w:space="0" w:color="auto"/>
        <w:right w:val="none" w:sz="0" w:space="0" w:color="auto"/>
      </w:divBdr>
    </w:div>
    <w:div w:id="670522847">
      <w:bodyDiv w:val="1"/>
      <w:marLeft w:val="0"/>
      <w:marRight w:val="0"/>
      <w:marTop w:val="0"/>
      <w:marBottom w:val="0"/>
      <w:divBdr>
        <w:top w:val="none" w:sz="0" w:space="0" w:color="auto"/>
        <w:left w:val="none" w:sz="0" w:space="0" w:color="auto"/>
        <w:bottom w:val="none" w:sz="0" w:space="0" w:color="auto"/>
        <w:right w:val="none" w:sz="0" w:space="0" w:color="auto"/>
      </w:divBdr>
    </w:div>
    <w:div w:id="692609435">
      <w:bodyDiv w:val="1"/>
      <w:marLeft w:val="0"/>
      <w:marRight w:val="0"/>
      <w:marTop w:val="0"/>
      <w:marBottom w:val="0"/>
      <w:divBdr>
        <w:top w:val="none" w:sz="0" w:space="0" w:color="auto"/>
        <w:left w:val="none" w:sz="0" w:space="0" w:color="auto"/>
        <w:bottom w:val="none" w:sz="0" w:space="0" w:color="auto"/>
        <w:right w:val="none" w:sz="0" w:space="0" w:color="auto"/>
      </w:divBdr>
    </w:div>
    <w:div w:id="694617404">
      <w:bodyDiv w:val="1"/>
      <w:marLeft w:val="0"/>
      <w:marRight w:val="0"/>
      <w:marTop w:val="0"/>
      <w:marBottom w:val="0"/>
      <w:divBdr>
        <w:top w:val="none" w:sz="0" w:space="0" w:color="auto"/>
        <w:left w:val="none" w:sz="0" w:space="0" w:color="auto"/>
        <w:bottom w:val="none" w:sz="0" w:space="0" w:color="auto"/>
        <w:right w:val="none" w:sz="0" w:space="0" w:color="auto"/>
      </w:divBdr>
    </w:div>
    <w:div w:id="698624115">
      <w:bodyDiv w:val="1"/>
      <w:marLeft w:val="0"/>
      <w:marRight w:val="0"/>
      <w:marTop w:val="0"/>
      <w:marBottom w:val="0"/>
      <w:divBdr>
        <w:top w:val="none" w:sz="0" w:space="0" w:color="auto"/>
        <w:left w:val="none" w:sz="0" w:space="0" w:color="auto"/>
        <w:bottom w:val="none" w:sz="0" w:space="0" w:color="auto"/>
        <w:right w:val="none" w:sz="0" w:space="0" w:color="auto"/>
      </w:divBdr>
    </w:div>
    <w:div w:id="707485128">
      <w:bodyDiv w:val="1"/>
      <w:marLeft w:val="0"/>
      <w:marRight w:val="0"/>
      <w:marTop w:val="0"/>
      <w:marBottom w:val="0"/>
      <w:divBdr>
        <w:top w:val="none" w:sz="0" w:space="0" w:color="auto"/>
        <w:left w:val="none" w:sz="0" w:space="0" w:color="auto"/>
        <w:bottom w:val="none" w:sz="0" w:space="0" w:color="auto"/>
        <w:right w:val="none" w:sz="0" w:space="0" w:color="auto"/>
      </w:divBdr>
    </w:div>
    <w:div w:id="710882496">
      <w:bodyDiv w:val="1"/>
      <w:marLeft w:val="0"/>
      <w:marRight w:val="0"/>
      <w:marTop w:val="0"/>
      <w:marBottom w:val="0"/>
      <w:divBdr>
        <w:top w:val="none" w:sz="0" w:space="0" w:color="auto"/>
        <w:left w:val="none" w:sz="0" w:space="0" w:color="auto"/>
        <w:bottom w:val="none" w:sz="0" w:space="0" w:color="auto"/>
        <w:right w:val="none" w:sz="0" w:space="0" w:color="auto"/>
      </w:divBdr>
    </w:div>
    <w:div w:id="711419425">
      <w:bodyDiv w:val="1"/>
      <w:marLeft w:val="0"/>
      <w:marRight w:val="0"/>
      <w:marTop w:val="0"/>
      <w:marBottom w:val="0"/>
      <w:divBdr>
        <w:top w:val="none" w:sz="0" w:space="0" w:color="auto"/>
        <w:left w:val="none" w:sz="0" w:space="0" w:color="auto"/>
        <w:bottom w:val="none" w:sz="0" w:space="0" w:color="auto"/>
        <w:right w:val="none" w:sz="0" w:space="0" w:color="auto"/>
      </w:divBdr>
    </w:div>
    <w:div w:id="712385229">
      <w:bodyDiv w:val="1"/>
      <w:marLeft w:val="0"/>
      <w:marRight w:val="0"/>
      <w:marTop w:val="0"/>
      <w:marBottom w:val="0"/>
      <w:divBdr>
        <w:top w:val="none" w:sz="0" w:space="0" w:color="auto"/>
        <w:left w:val="none" w:sz="0" w:space="0" w:color="auto"/>
        <w:bottom w:val="none" w:sz="0" w:space="0" w:color="auto"/>
        <w:right w:val="none" w:sz="0" w:space="0" w:color="auto"/>
      </w:divBdr>
    </w:div>
    <w:div w:id="715356867">
      <w:bodyDiv w:val="1"/>
      <w:marLeft w:val="0"/>
      <w:marRight w:val="0"/>
      <w:marTop w:val="0"/>
      <w:marBottom w:val="0"/>
      <w:divBdr>
        <w:top w:val="none" w:sz="0" w:space="0" w:color="auto"/>
        <w:left w:val="none" w:sz="0" w:space="0" w:color="auto"/>
        <w:bottom w:val="none" w:sz="0" w:space="0" w:color="auto"/>
        <w:right w:val="none" w:sz="0" w:space="0" w:color="auto"/>
      </w:divBdr>
    </w:div>
    <w:div w:id="721245210">
      <w:bodyDiv w:val="1"/>
      <w:marLeft w:val="0"/>
      <w:marRight w:val="0"/>
      <w:marTop w:val="0"/>
      <w:marBottom w:val="0"/>
      <w:divBdr>
        <w:top w:val="none" w:sz="0" w:space="0" w:color="auto"/>
        <w:left w:val="none" w:sz="0" w:space="0" w:color="auto"/>
        <w:bottom w:val="none" w:sz="0" w:space="0" w:color="auto"/>
        <w:right w:val="none" w:sz="0" w:space="0" w:color="auto"/>
      </w:divBdr>
    </w:div>
    <w:div w:id="726610192">
      <w:bodyDiv w:val="1"/>
      <w:marLeft w:val="0"/>
      <w:marRight w:val="0"/>
      <w:marTop w:val="0"/>
      <w:marBottom w:val="0"/>
      <w:divBdr>
        <w:top w:val="none" w:sz="0" w:space="0" w:color="auto"/>
        <w:left w:val="none" w:sz="0" w:space="0" w:color="auto"/>
        <w:bottom w:val="none" w:sz="0" w:space="0" w:color="auto"/>
        <w:right w:val="none" w:sz="0" w:space="0" w:color="auto"/>
      </w:divBdr>
    </w:div>
    <w:div w:id="731277122">
      <w:bodyDiv w:val="1"/>
      <w:marLeft w:val="0"/>
      <w:marRight w:val="0"/>
      <w:marTop w:val="0"/>
      <w:marBottom w:val="0"/>
      <w:divBdr>
        <w:top w:val="none" w:sz="0" w:space="0" w:color="auto"/>
        <w:left w:val="none" w:sz="0" w:space="0" w:color="auto"/>
        <w:bottom w:val="none" w:sz="0" w:space="0" w:color="auto"/>
        <w:right w:val="none" w:sz="0" w:space="0" w:color="auto"/>
      </w:divBdr>
    </w:div>
    <w:div w:id="732238791">
      <w:bodyDiv w:val="1"/>
      <w:marLeft w:val="0"/>
      <w:marRight w:val="0"/>
      <w:marTop w:val="0"/>
      <w:marBottom w:val="0"/>
      <w:divBdr>
        <w:top w:val="none" w:sz="0" w:space="0" w:color="auto"/>
        <w:left w:val="none" w:sz="0" w:space="0" w:color="auto"/>
        <w:bottom w:val="none" w:sz="0" w:space="0" w:color="auto"/>
        <w:right w:val="none" w:sz="0" w:space="0" w:color="auto"/>
      </w:divBdr>
    </w:div>
    <w:div w:id="732503510">
      <w:bodyDiv w:val="1"/>
      <w:marLeft w:val="0"/>
      <w:marRight w:val="0"/>
      <w:marTop w:val="0"/>
      <w:marBottom w:val="0"/>
      <w:divBdr>
        <w:top w:val="none" w:sz="0" w:space="0" w:color="auto"/>
        <w:left w:val="none" w:sz="0" w:space="0" w:color="auto"/>
        <w:bottom w:val="none" w:sz="0" w:space="0" w:color="auto"/>
        <w:right w:val="none" w:sz="0" w:space="0" w:color="auto"/>
      </w:divBdr>
    </w:div>
    <w:div w:id="732657413">
      <w:bodyDiv w:val="1"/>
      <w:marLeft w:val="0"/>
      <w:marRight w:val="0"/>
      <w:marTop w:val="0"/>
      <w:marBottom w:val="0"/>
      <w:divBdr>
        <w:top w:val="none" w:sz="0" w:space="0" w:color="auto"/>
        <w:left w:val="none" w:sz="0" w:space="0" w:color="auto"/>
        <w:bottom w:val="none" w:sz="0" w:space="0" w:color="auto"/>
        <w:right w:val="none" w:sz="0" w:space="0" w:color="auto"/>
      </w:divBdr>
    </w:div>
    <w:div w:id="735395491">
      <w:bodyDiv w:val="1"/>
      <w:marLeft w:val="0"/>
      <w:marRight w:val="0"/>
      <w:marTop w:val="0"/>
      <w:marBottom w:val="0"/>
      <w:divBdr>
        <w:top w:val="none" w:sz="0" w:space="0" w:color="auto"/>
        <w:left w:val="none" w:sz="0" w:space="0" w:color="auto"/>
        <w:bottom w:val="none" w:sz="0" w:space="0" w:color="auto"/>
        <w:right w:val="none" w:sz="0" w:space="0" w:color="auto"/>
      </w:divBdr>
    </w:div>
    <w:div w:id="740761913">
      <w:bodyDiv w:val="1"/>
      <w:marLeft w:val="0"/>
      <w:marRight w:val="0"/>
      <w:marTop w:val="0"/>
      <w:marBottom w:val="0"/>
      <w:divBdr>
        <w:top w:val="none" w:sz="0" w:space="0" w:color="auto"/>
        <w:left w:val="none" w:sz="0" w:space="0" w:color="auto"/>
        <w:bottom w:val="none" w:sz="0" w:space="0" w:color="auto"/>
        <w:right w:val="none" w:sz="0" w:space="0" w:color="auto"/>
      </w:divBdr>
    </w:div>
    <w:div w:id="744960894">
      <w:bodyDiv w:val="1"/>
      <w:marLeft w:val="0"/>
      <w:marRight w:val="0"/>
      <w:marTop w:val="0"/>
      <w:marBottom w:val="0"/>
      <w:divBdr>
        <w:top w:val="none" w:sz="0" w:space="0" w:color="auto"/>
        <w:left w:val="none" w:sz="0" w:space="0" w:color="auto"/>
        <w:bottom w:val="none" w:sz="0" w:space="0" w:color="auto"/>
        <w:right w:val="none" w:sz="0" w:space="0" w:color="auto"/>
      </w:divBdr>
    </w:div>
    <w:div w:id="756362706">
      <w:bodyDiv w:val="1"/>
      <w:marLeft w:val="0"/>
      <w:marRight w:val="0"/>
      <w:marTop w:val="0"/>
      <w:marBottom w:val="0"/>
      <w:divBdr>
        <w:top w:val="none" w:sz="0" w:space="0" w:color="auto"/>
        <w:left w:val="none" w:sz="0" w:space="0" w:color="auto"/>
        <w:bottom w:val="none" w:sz="0" w:space="0" w:color="auto"/>
        <w:right w:val="none" w:sz="0" w:space="0" w:color="auto"/>
      </w:divBdr>
    </w:div>
    <w:div w:id="756828574">
      <w:bodyDiv w:val="1"/>
      <w:marLeft w:val="0"/>
      <w:marRight w:val="0"/>
      <w:marTop w:val="0"/>
      <w:marBottom w:val="0"/>
      <w:divBdr>
        <w:top w:val="none" w:sz="0" w:space="0" w:color="auto"/>
        <w:left w:val="none" w:sz="0" w:space="0" w:color="auto"/>
        <w:bottom w:val="none" w:sz="0" w:space="0" w:color="auto"/>
        <w:right w:val="none" w:sz="0" w:space="0" w:color="auto"/>
      </w:divBdr>
    </w:div>
    <w:div w:id="767890726">
      <w:bodyDiv w:val="1"/>
      <w:marLeft w:val="0"/>
      <w:marRight w:val="0"/>
      <w:marTop w:val="0"/>
      <w:marBottom w:val="0"/>
      <w:divBdr>
        <w:top w:val="none" w:sz="0" w:space="0" w:color="auto"/>
        <w:left w:val="none" w:sz="0" w:space="0" w:color="auto"/>
        <w:bottom w:val="none" w:sz="0" w:space="0" w:color="auto"/>
        <w:right w:val="none" w:sz="0" w:space="0" w:color="auto"/>
      </w:divBdr>
    </w:div>
    <w:div w:id="780685968">
      <w:bodyDiv w:val="1"/>
      <w:marLeft w:val="0"/>
      <w:marRight w:val="0"/>
      <w:marTop w:val="0"/>
      <w:marBottom w:val="0"/>
      <w:divBdr>
        <w:top w:val="none" w:sz="0" w:space="0" w:color="auto"/>
        <w:left w:val="none" w:sz="0" w:space="0" w:color="auto"/>
        <w:bottom w:val="none" w:sz="0" w:space="0" w:color="auto"/>
        <w:right w:val="none" w:sz="0" w:space="0" w:color="auto"/>
      </w:divBdr>
    </w:div>
    <w:div w:id="794256367">
      <w:bodyDiv w:val="1"/>
      <w:marLeft w:val="0"/>
      <w:marRight w:val="0"/>
      <w:marTop w:val="0"/>
      <w:marBottom w:val="0"/>
      <w:divBdr>
        <w:top w:val="none" w:sz="0" w:space="0" w:color="auto"/>
        <w:left w:val="none" w:sz="0" w:space="0" w:color="auto"/>
        <w:bottom w:val="none" w:sz="0" w:space="0" w:color="auto"/>
        <w:right w:val="none" w:sz="0" w:space="0" w:color="auto"/>
      </w:divBdr>
    </w:div>
    <w:div w:id="807282205">
      <w:bodyDiv w:val="1"/>
      <w:marLeft w:val="0"/>
      <w:marRight w:val="0"/>
      <w:marTop w:val="0"/>
      <w:marBottom w:val="0"/>
      <w:divBdr>
        <w:top w:val="none" w:sz="0" w:space="0" w:color="auto"/>
        <w:left w:val="none" w:sz="0" w:space="0" w:color="auto"/>
        <w:bottom w:val="none" w:sz="0" w:space="0" w:color="auto"/>
        <w:right w:val="none" w:sz="0" w:space="0" w:color="auto"/>
      </w:divBdr>
    </w:div>
    <w:div w:id="808480020">
      <w:bodyDiv w:val="1"/>
      <w:marLeft w:val="0"/>
      <w:marRight w:val="0"/>
      <w:marTop w:val="0"/>
      <w:marBottom w:val="0"/>
      <w:divBdr>
        <w:top w:val="none" w:sz="0" w:space="0" w:color="auto"/>
        <w:left w:val="none" w:sz="0" w:space="0" w:color="auto"/>
        <w:bottom w:val="none" w:sz="0" w:space="0" w:color="auto"/>
        <w:right w:val="none" w:sz="0" w:space="0" w:color="auto"/>
      </w:divBdr>
    </w:div>
    <w:div w:id="812068612">
      <w:bodyDiv w:val="1"/>
      <w:marLeft w:val="0"/>
      <w:marRight w:val="0"/>
      <w:marTop w:val="0"/>
      <w:marBottom w:val="0"/>
      <w:divBdr>
        <w:top w:val="none" w:sz="0" w:space="0" w:color="auto"/>
        <w:left w:val="none" w:sz="0" w:space="0" w:color="auto"/>
        <w:bottom w:val="none" w:sz="0" w:space="0" w:color="auto"/>
        <w:right w:val="none" w:sz="0" w:space="0" w:color="auto"/>
      </w:divBdr>
    </w:div>
    <w:div w:id="816264413">
      <w:bodyDiv w:val="1"/>
      <w:marLeft w:val="0"/>
      <w:marRight w:val="0"/>
      <w:marTop w:val="0"/>
      <w:marBottom w:val="0"/>
      <w:divBdr>
        <w:top w:val="none" w:sz="0" w:space="0" w:color="auto"/>
        <w:left w:val="none" w:sz="0" w:space="0" w:color="auto"/>
        <w:bottom w:val="none" w:sz="0" w:space="0" w:color="auto"/>
        <w:right w:val="none" w:sz="0" w:space="0" w:color="auto"/>
      </w:divBdr>
    </w:div>
    <w:div w:id="817502900">
      <w:bodyDiv w:val="1"/>
      <w:marLeft w:val="0"/>
      <w:marRight w:val="0"/>
      <w:marTop w:val="0"/>
      <w:marBottom w:val="0"/>
      <w:divBdr>
        <w:top w:val="none" w:sz="0" w:space="0" w:color="auto"/>
        <w:left w:val="none" w:sz="0" w:space="0" w:color="auto"/>
        <w:bottom w:val="none" w:sz="0" w:space="0" w:color="auto"/>
        <w:right w:val="none" w:sz="0" w:space="0" w:color="auto"/>
      </w:divBdr>
    </w:div>
    <w:div w:id="820119180">
      <w:bodyDiv w:val="1"/>
      <w:marLeft w:val="0"/>
      <w:marRight w:val="0"/>
      <w:marTop w:val="0"/>
      <w:marBottom w:val="0"/>
      <w:divBdr>
        <w:top w:val="none" w:sz="0" w:space="0" w:color="auto"/>
        <w:left w:val="none" w:sz="0" w:space="0" w:color="auto"/>
        <w:bottom w:val="none" w:sz="0" w:space="0" w:color="auto"/>
        <w:right w:val="none" w:sz="0" w:space="0" w:color="auto"/>
      </w:divBdr>
    </w:div>
    <w:div w:id="821652318">
      <w:bodyDiv w:val="1"/>
      <w:marLeft w:val="0"/>
      <w:marRight w:val="0"/>
      <w:marTop w:val="0"/>
      <w:marBottom w:val="0"/>
      <w:divBdr>
        <w:top w:val="none" w:sz="0" w:space="0" w:color="auto"/>
        <w:left w:val="none" w:sz="0" w:space="0" w:color="auto"/>
        <w:bottom w:val="none" w:sz="0" w:space="0" w:color="auto"/>
        <w:right w:val="none" w:sz="0" w:space="0" w:color="auto"/>
      </w:divBdr>
    </w:div>
    <w:div w:id="829444600">
      <w:bodyDiv w:val="1"/>
      <w:marLeft w:val="0"/>
      <w:marRight w:val="0"/>
      <w:marTop w:val="0"/>
      <w:marBottom w:val="0"/>
      <w:divBdr>
        <w:top w:val="none" w:sz="0" w:space="0" w:color="auto"/>
        <w:left w:val="none" w:sz="0" w:space="0" w:color="auto"/>
        <w:bottom w:val="none" w:sz="0" w:space="0" w:color="auto"/>
        <w:right w:val="none" w:sz="0" w:space="0" w:color="auto"/>
      </w:divBdr>
    </w:div>
    <w:div w:id="835650125">
      <w:bodyDiv w:val="1"/>
      <w:marLeft w:val="0"/>
      <w:marRight w:val="0"/>
      <w:marTop w:val="0"/>
      <w:marBottom w:val="0"/>
      <w:divBdr>
        <w:top w:val="none" w:sz="0" w:space="0" w:color="auto"/>
        <w:left w:val="none" w:sz="0" w:space="0" w:color="auto"/>
        <w:bottom w:val="none" w:sz="0" w:space="0" w:color="auto"/>
        <w:right w:val="none" w:sz="0" w:space="0" w:color="auto"/>
      </w:divBdr>
    </w:div>
    <w:div w:id="839004630">
      <w:bodyDiv w:val="1"/>
      <w:marLeft w:val="0"/>
      <w:marRight w:val="0"/>
      <w:marTop w:val="0"/>
      <w:marBottom w:val="0"/>
      <w:divBdr>
        <w:top w:val="none" w:sz="0" w:space="0" w:color="auto"/>
        <w:left w:val="none" w:sz="0" w:space="0" w:color="auto"/>
        <w:bottom w:val="none" w:sz="0" w:space="0" w:color="auto"/>
        <w:right w:val="none" w:sz="0" w:space="0" w:color="auto"/>
      </w:divBdr>
    </w:div>
    <w:div w:id="850995071">
      <w:bodyDiv w:val="1"/>
      <w:marLeft w:val="0"/>
      <w:marRight w:val="0"/>
      <w:marTop w:val="0"/>
      <w:marBottom w:val="0"/>
      <w:divBdr>
        <w:top w:val="none" w:sz="0" w:space="0" w:color="auto"/>
        <w:left w:val="none" w:sz="0" w:space="0" w:color="auto"/>
        <w:bottom w:val="none" w:sz="0" w:space="0" w:color="auto"/>
        <w:right w:val="none" w:sz="0" w:space="0" w:color="auto"/>
      </w:divBdr>
    </w:div>
    <w:div w:id="854422641">
      <w:bodyDiv w:val="1"/>
      <w:marLeft w:val="0"/>
      <w:marRight w:val="0"/>
      <w:marTop w:val="0"/>
      <w:marBottom w:val="0"/>
      <w:divBdr>
        <w:top w:val="none" w:sz="0" w:space="0" w:color="auto"/>
        <w:left w:val="none" w:sz="0" w:space="0" w:color="auto"/>
        <w:bottom w:val="none" w:sz="0" w:space="0" w:color="auto"/>
        <w:right w:val="none" w:sz="0" w:space="0" w:color="auto"/>
      </w:divBdr>
    </w:div>
    <w:div w:id="858540535">
      <w:bodyDiv w:val="1"/>
      <w:marLeft w:val="0"/>
      <w:marRight w:val="0"/>
      <w:marTop w:val="0"/>
      <w:marBottom w:val="0"/>
      <w:divBdr>
        <w:top w:val="none" w:sz="0" w:space="0" w:color="auto"/>
        <w:left w:val="none" w:sz="0" w:space="0" w:color="auto"/>
        <w:bottom w:val="none" w:sz="0" w:space="0" w:color="auto"/>
        <w:right w:val="none" w:sz="0" w:space="0" w:color="auto"/>
      </w:divBdr>
    </w:div>
    <w:div w:id="861434273">
      <w:bodyDiv w:val="1"/>
      <w:marLeft w:val="0"/>
      <w:marRight w:val="0"/>
      <w:marTop w:val="0"/>
      <w:marBottom w:val="0"/>
      <w:divBdr>
        <w:top w:val="none" w:sz="0" w:space="0" w:color="auto"/>
        <w:left w:val="none" w:sz="0" w:space="0" w:color="auto"/>
        <w:bottom w:val="none" w:sz="0" w:space="0" w:color="auto"/>
        <w:right w:val="none" w:sz="0" w:space="0" w:color="auto"/>
      </w:divBdr>
    </w:div>
    <w:div w:id="869033867">
      <w:bodyDiv w:val="1"/>
      <w:marLeft w:val="0"/>
      <w:marRight w:val="0"/>
      <w:marTop w:val="0"/>
      <w:marBottom w:val="0"/>
      <w:divBdr>
        <w:top w:val="none" w:sz="0" w:space="0" w:color="auto"/>
        <w:left w:val="none" w:sz="0" w:space="0" w:color="auto"/>
        <w:bottom w:val="none" w:sz="0" w:space="0" w:color="auto"/>
        <w:right w:val="none" w:sz="0" w:space="0" w:color="auto"/>
      </w:divBdr>
    </w:div>
    <w:div w:id="874973868">
      <w:bodyDiv w:val="1"/>
      <w:marLeft w:val="0"/>
      <w:marRight w:val="0"/>
      <w:marTop w:val="0"/>
      <w:marBottom w:val="0"/>
      <w:divBdr>
        <w:top w:val="none" w:sz="0" w:space="0" w:color="auto"/>
        <w:left w:val="none" w:sz="0" w:space="0" w:color="auto"/>
        <w:bottom w:val="none" w:sz="0" w:space="0" w:color="auto"/>
        <w:right w:val="none" w:sz="0" w:space="0" w:color="auto"/>
      </w:divBdr>
    </w:div>
    <w:div w:id="879586560">
      <w:bodyDiv w:val="1"/>
      <w:marLeft w:val="0"/>
      <w:marRight w:val="0"/>
      <w:marTop w:val="0"/>
      <w:marBottom w:val="0"/>
      <w:divBdr>
        <w:top w:val="none" w:sz="0" w:space="0" w:color="auto"/>
        <w:left w:val="none" w:sz="0" w:space="0" w:color="auto"/>
        <w:bottom w:val="none" w:sz="0" w:space="0" w:color="auto"/>
        <w:right w:val="none" w:sz="0" w:space="0" w:color="auto"/>
      </w:divBdr>
    </w:div>
    <w:div w:id="879785640">
      <w:bodyDiv w:val="1"/>
      <w:marLeft w:val="0"/>
      <w:marRight w:val="0"/>
      <w:marTop w:val="0"/>
      <w:marBottom w:val="0"/>
      <w:divBdr>
        <w:top w:val="none" w:sz="0" w:space="0" w:color="auto"/>
        <w:left w:val="none" w:sz="0" w:space="0" w:color="auto"/>
        <w:bottom w:val="none" w:sz="0" w:space="0" w:color="auto"/>
        <w:right w:val="none" w:sz="0" w:space="0" w:color="auto"/>
      </w:divBdr>
    </w:div>
    <w:div w:id="880164390">
      <w:bodyDiv w:val="1"/>
      <w:marLeft w:val="0"/>
      <w:marRight w:val="0"/>
      <w:marTop w:val="0"/>
      <w:marBottom w:val="0"/>
      <w:divBdr>
        <w:top w:val="none" w:sz="0" w:space="0" w:color="auto"/>
        <w:left w:val="none" w:sz="0" w:space="0" w:color="auto"/>
        <w:bottom w:val="none" w:sz="0" w:space="0" w:color="auto"/>
        <w:right w:val="none" w:sz="0" w:space="0" w:color="auto"/>
      </w:divBdr>
    </w:div>
    <w:div w:id="881014114">
      <w:bodyDiv w:val="1"/>
      <w:marLeft w:val="0"/>
      <w:marRight w:val="0"/>
      <w:marTop w:val="0"/>
      <w:marBottom w:val="0"/>
      <w:divBdr>
        <w:top w:val="none" w:sz="0" w:space="0" w:color="auto"/>
        <w:left w:val="none" w:sz="0" w:space="0" w:color="auto"/>
        <w:bottom w:val="none" w:sz="0" w:space="0" w:color="auto"/>
        <w:right w:val="none" w:sz="0" w:space="0" w:color="auto"/>
      </w:divBdr>
    </w:div>
    <w:div w:id="883491674">
      <w:bodyDiv w:val="1"/>
      <w:marLeft w:val="0"/>
      <w:marRight w:val="0"/>
      <w:marTop w:val="0"/>
      <w:marBottom w:val="0"/>
      <w:divBdr>
        <w:top w:val="none" w:sz="0" w:space="0" w:color="auto"/>
        <w:left w:val="none" w:sz="0" w:space="0" w:color="auto"/>
        <w:bottom w:val="none" w:sz="0" w:space="0" w:color="auto"/>
        <w:right w:val="none" w:sz="0" w:space="0" w:color="auto"/>
      </w:divBdr>
    </w:div>
    <w:div w:id="886263959">
      <w:bodyDiv w:val="1"/>
      <w:marLeft w:val="0"/>
      <w:marRight w:val="0"/>
      <w:marTop w:val="0"/>
      <w:marBottom w:val="0"/>
      <w:divBdr>
        <w:top w:val="none" w:sz="0" w:space="0" w:color="auto"/>
        <w:left w:val="none" w:sz="0" w:space="0" w:color="auto"/>
        <w:bottom w:val="none" w:sz="0" w:space="0" w:color="auto"/>
        <w:right w:val="none" w:sz="0" w:space="0" w:color="auto"/>
      </w:divBdr>
    </w:div>
    <w:div w:id="898790139">
      <w:bodyDiv w:val="1"/>
      <w:marLeft w:val="0"/>
      <w:marRight w:val="0"/>
      <w:marTop w:val="0"/>
      <w:marBottom w:val="0"/>
      <w:divBdr>
        <w:top w:val="none" w:sz="0" w:space="0" w:color="auto"/>
        <w:left w:val="none" w:sz="0" w:space="0" w:color="auto"/>
        <w:bottom w:val="none" w:sz="0" w:space="0" w:color="auto"/>
        <w:right w:val="none" w:sz="0" w:space="0" w:color="auto"/>
      </w:divBdr>
    </w:div>
    <w:div w:id="900019826">
      <w:bodyDiv w:val="1"/>
      <w:marLeft w:val="0"/>
      <w:marRight w:val="0"/>
      <w:marTop w:val="0"/>
      <w:marBottom w:val="0"/>
      <w:divBdr>
        <w:top w:val="none" w:sz="0" w:space="0" w:color="auto"/>
        <w:left w:val="none" w:sz="0" w:space="0" w:color="auto"/>
        <w:bottom w:val="none" w:sz="0" w:space="0" w:color="auto"/>
        <w:right w:val="none" w:sz="0" w:space="0" w:color="auto"/>
      </w:divBdr>
    </w:div>
    <w:div w:id="900409973">
      <w:bodyDiv w:val="1"/>
      <w:marLeft w:val="0"/>
      <w:marRight w:val="0"/>
      <w:marTop w:val="0"/>
      <w:marBottom w:val="0"/>
      <w:divBdr>
        <w:top w:val="none" w:sz="0" w:space="0" w:color="auto"/>
        <w:left w:val="none" w:sz="0" w:space="0" w:color="auto"/>
        <w:bottom w:val="none" w:sz="0" w:space="0" w:color="auto"/>
        <w:right w:val="none" w:sz="0" w:space="0" w:color="auto"/>
      </w:divBdr>
    </w:div>
    <w:div w:id="908417013">
      <w:bodyDiv w:val="1"/>
      <w:marLeft w:val="0"/>
      <w:marRight w:val="0"/>
      <w:marTop w:val="0"/>
      <w:marBottom w:val="0"/>
      <w:divBdr>
        <w:top w:val="none" w:sz="0" w:space="0" w:color="auto"/>
        <w:left w:val="none" w:sz="0" w:space="0" w:color="auto"/>
        <w:bottom w:val="none" w:sz="0" w:space="0" w:color="auto"/>
        <w:right w:val="none" w:sz="0" w:space="0" w:color="auto"/>
      </w:divBdr>
    </w:div>
    <w:div w:id="917445490">
      <w:bodyDiv w:val="1"/>
      <w:marLeft w:val="0"/>
      <w:marRight w:val="0"/>
      <w:marTop w:val="0"/>
      <w:marBottom w:val="0"/>
      <w:divBdr>
        <w:top w:val="none" w:sz="0" w:space="0" w:color="auto"/>
        <w:left w:val="none" w:sz="0" w:space="0" w:color="auto"/>
        <w:bottom w:val="none" w:sz="0" w:space="0" w:color="auto"/>
        <w:right w:val="none" w:sz="0" w:space="0" w:color="auto"/>
      </w:divBdr>
    </w:div>
    <w:div w:id="927301296">
      <w:bodyDiv w:val="1"/>
      <w:marLeft w:val="0"/>
      <w:marRight w:val="0"/>
      <w:marTop w:val="0"/>
      <w:marBottom w:val="0"/>
      <w:divBdr>
        <w:top w:val="none" w:sz="0" w:space="0" w:color="auto"/>
        <w:left w:val="none" w:sz="0" w:space="0" w:color="auto"/>
        <w:bottom w:val="none" w:sz="0" w:space="0" w:color="auto"/>
        <w:right w:val="none" w:sz="0" w:space="0" w:color="auto"/>
      </w:divBdr>
    </w:div>
    <w:div w:id="929390034">
      <w:bodyDiv w:val="1"/>
      <w:marLeft w:val="0"/>
      <w:marRight w:val="0"/>
      <w:marTop w:val="0"/>
      <w:marBottom w:val="0"/>
      <w:divBdr>
        <w:top w:val="none" w:sz="0" w:space="0" w:color="auto"/>
        <w:left w:val="none" w:sz="0" w:space="0" w:color="auto"/>
        <w:bottom w:val="none" w:sz="0" w:space="0" w:color="auto"/>
        <w:right w:val="none" w:sz="0" w:space="0" w:color="auto"/>
      </w:divBdr>
    </w:div>
    <w:div w:id="934753640">
      <w:bodyDiv w:val="1"/>
      <w:marLeft w:val="0"/>
      <w:marRight w:val="0"/>
      <w:marTop w:val="0"/>
      <w:marBottom w:val="0"/>
      <w:divBdr>
        <w:top w:val="none" w:sz="0" w:space="0" w:color="auto"/>
        <w:left w:val="none" w:sz="0" w:space="0" w:color="auto"/>
        <w:bottom w:val="none" w:sz="0" w:space="0" w:color="auto"/>
        <w:right w:val="none" w:sz="0" w:space="0" w:color="auto"/>
      </w:divBdr>
    </w:div>
    <w:div w:id="936015951">
      <w:bodyDiv w:val="1"/>
      <w:marLeft w:val="0"/>
      <w:marRight w:val="0"/>
      <w:marTop w:val="0"/>
      <w:marBottom w:val="0"/>
      <w:divBdr>
        <w:top w:val="none" w:sz="0" w:space="0" w:color="auto"/>
        <w:left w:val="none" w:sz="0" w:space="0" w:color="auto"/>
        <w:bottom w:val="none" w:sz="0" w:space="0" w:color="auto"/>
        <w:right w:val="none" w:sz="0" w:space="0" w:color="auto"/>
      </w:divBdr>
    </w:div>
    <w:div w:id="946084905">
      <w:bodyDiv w:val="1"/>
      <w:marLeft w:val="0"/>
      <w:marRight w:val="0"/>
      <w:marTop w:val="0"/>
      <w:marBottom w:val="0"/>
      <w:divBdr>
        <w:top w:val="none" w:sz="0" w:space="0" w:color="auto"/>
        <w:left w:val="none" w:sz="0" w:space="0" w:color="auto"/>
        <w:bottom w:val="none" w:sz="0" w:space="0" w:color="auto"/>
        <w:right w:val="none" w:sz="0" w:space="0" w:color="auto"/>
      </w:divBdr>
    </w:div>
    <w:div w:id="950745160">
      <w:bodyDiv w:val="1"/>
      <w:marLeft w:val="0"/>
      <w:marRight w:val="0"/>
      <w:marTop w:val="0"/>
      <w:marBottom w:val="0"/>
      <w:divBdr>
        <w:top w:val="none" w:sz="0" w:space="0" w:color="auto"/>
        <w:left w:val="none" w:sz="0" w:space="0" w:color="auto"/>
        <w:bottom w:val="none" w:sz="0" w:space="0" w:color="auto"/>
        <w:right w:val="none" w:sz="0" w:space="0" w:color="auto"/>
      </w:divBdr>
    </w:div>
    <w:div w:id="959342507">
      <w:bodyDiv w:val="1"/>
      <w:marLeft w:val="0"/>
      <w:marRight w:val="0"/>
      <w:marTop w:val="0"/>
      <w:marBottom w:val="0"/>
      <w:divBdr>
        <w:top w:val="none" w:sz="0" w:space="0" w:color="auto"/>
        <w:left w:val="none" w:sz="0" w:space="0" w:color="auto"/>
        <w:bottom w:val="none" w:sz="0" w:space="0" w:color="auto"/>
        <w:right w:val="none" w:sz="0" w:space="0" w:color="auto"/>
      </w:divBdr>
    </w:div>
    <w:div w:id="959460651">
      <w:bodyDiv w:val="1"/>
      <w:marLeft w:val="0"/>
      <w:marRight w:val="0"/>
      <w:marTop w:val="0"/>
      <w:marBottom w:val="0"/>
      <w:divBdr>
        <w:top w:val="none" w:sz="0" w:space="0" w:color="auto"/>
        <w:left w:val="none" w:sz="0" w:space="0" w:color="auto"/>
        <w:bottom w:val="none" w:sz="0" w:space="0" w:color="auto"/>
        <w:right w:val="none" w:sz="0" w:space="0" w:color="auto"/>
      </w:divBdr>
    </w:div>
    <w:div w:id="965508470">
      <w:bodyDiv w:val="1"/>
      <w:marLeft w:val="0"/>
      <w:marRight w:val="0"/>
      <w:marTop w:val="0"/>
      <w:marBottom w:val="0"/>
      <w:divBdr>
        <w:top w:val="none" w:sz="0" w:space="0" w:color="auto"/>
        <w:left w:val="none" w:sz="0" w:space="0" w:color="auto"/>
        <w:bottom w:val="none" w:sz="0" w:space="0" w:color="auto"/>
        <w:right w:val="none" w:sz="0" w:space="0" w:color="auto"/>
      </w:divBdr>
    </w:div>
    <w:div w:id="975329956">
      <w:bodyDiv w:val="1"/>
      <w:marLeft w:val="0"/>
      <w:marRight w:val="0"/>
      <w:marTop w:val="0"/>
      <w:marBottom w:val="0"/>
      <w:divBdr>
        <w:top w:val="none" w:sz="0" w:space="0" w:color="auto"/>
        <w:left w:val="none" w:sz="0" w:space="0" w:color="auto"/>
        <w:bottom w:val="none" w:sz="0" w:space="0" w:color="auto"/>
        <w:right w:val="none" w:sz="0" w:space="0" w:color="auto"/>
      </w:divBdr>
    </w:div>
    <w:div w:id="978921215">
      <w:bodyDiv w:val="1"/>
      <w:marLeft w:val="0"/>
      <w:marRight w:val="0"/>
      <w:marTop w:val="0"/>
      <w:marBottom w:val="0"/>
      <w:divBdr>
        <w:top w:val="none" w:sz="0" w:space="0" w:color="auto"/>
        <w:left w:val="none" w:sz="0" w:space="0" w:color="auto"/>
        <w:bottom w:val="none" w:sz="0" w:space="0" w:color="auto"/>
        <w:right w:val="none" w:sz="0" w:space="0" w:color="auto"/>
      </w:divBdr>
    </w:div>
    <w:div w:id="979533671">
      <w:bodyDiv w:val="1"/>
      <w:marLeft w:val="0"/>
      <w:marRight w:val="0"/>
      <w:marTop w:val="0"/>
      <w:marBottom w:val="0"/>
      <w:divBdr>
        <w:top w:val="none" w:sz="0" w:space="0" w:color="auto"/>
        <w:left w:val="none" w:sz="0" w:space="0" w:color="auto"/>
        <w:bottom w:val="none" w:sz="0" w:space="0" w:color="auto"/>
        <w:right w:val="none" w:sz="0" w:space="0" w:color="auto"/>
      </w:divBdr>
    </w:div>
    <w:div w:id="987048996">
      <w:bodyDiv w:val="1"/>
      <w:marLeft w:val="0"/>
      <w:marRight w:val="0"/>
      <w:marTop w:val="0"/>
      <w:marBottom w:val="0"/>
      <w:divBdr>
        <w:top w:val="none" w:sz="0" w:space="0" w:color="auto"/>
        <w:left w:val="none" w:sz="0" w:space="0" w:color="auto"/>
        <w:bottom w:val="none" w:sz="0" w:space="0" w:color="auto"/>
        <w:right w:val="none" w:sz="0" w:space="0" w:color="auto"/>
      </w:divBdr>
    </w:div>
    <w:div w:id="990400207">
      <w:bodyDiv w:val="1"/>
      <w:marLeft w:val="0"/>
      <w:marRight w:val="0"/>
      <w:marTop w:val="0"/>
      <w:marBottom w:val="0"/>
      <w:divBdr>
        <w:top w:val="none" w:sz="0" w:space="0" w:color="auto"/>
        <w:left w:val="none" w:sz="0" w:space="0" w:color="auto"/>
        <w:bottom w:val="none" w:sz="0" w:space="0" w:color="auto"/>
        <w:right w:val="none" w:sz="0" w:space="0" w:color="auto"/>
      </w:divBdr>
    </w:div>
    <w:div w:id="992637166">
      <w:bodyDiv w:val="1"/>
      <w:marLeft w:val="0"/>
      <w:marRight w:val="0"/>
      <w:marTop w:val="0"/>
      <w:marBottom w:val="0"/>
      <w:divBdr>
        <w:top w:val="none" w:sz="0" w:space="0" w:color="auto"/>
        <w:left w:val="none" w:sz="0" w:space="0" w:color="auto"/>
        <w:bottom w:val="none" w:sz="0" w:space="0" w:color="auto"/>
        <w:right w:val="none" w:sz="0" w:space="0" w:color="auto"/>
      </w:divBdr>
    </w:div>
    <w:div w:id="993874095">
      <w:bodyDiv w:val="1"/>
      <w:marLeft w:val="0"/>
      <w:marRight w:val="0"/>
      <w:marTop w:val="0"/>
      <w:marBottom w:val="0"/>
      <w:divBdr>
        <w:top w:val="none" w:sz="0" w:space="0" w:color="auto"/>
        <w:left w:val="none" w:sz="0" w:space="0" w:color="auto"/>
        <w:bottom w:val="none" w:sz="0" w:space="0" w:color="auto"/>
        <w:right w:val="none" w:sz="0" w:space="0" w:color="auto"/>
      </w:divBdr>
    </w:div>
    <w:div w:id="996107587">
      <w:bodyDiv w:val="1"/>
      <w:marLeft w:val="0"/>
      <w:marRight w:val="0"/>
      <w:marTop w:val="0"/>
      <w:marBottom w:val="0"/>
      <w:divBdr>
        <w:top w:val="none" w:sz="0" w:space="0" w:color="auto"/>
        <w:left w:val="none" w:sz="0" w:space="0" w:color="auto"/>
        <w:bottom w:val="none" w:sz="0" w:space="0" w:color="auto"/>
        <w:right w:val="none" w:sz="0" w:space="0" w:color="auto"/>
      </w:divBdr>
    </w:div>
    <w:div w:id="1006784040">
      <w:bodyDiv w:val="1"/>
      <w:marLeft w:val="0"/>
      <w:marRight w:val="0"/>
      <w:marTop w:val="0"/>
      <w:marBottom w:val="0"/>
      <w:divBdr>
        <w:top w:val="none" w:sz="0" w:space="0" w:color="auto"/>
        <w:left w:val="none" w:sz="0" w:space="0" w:color="auto"/>
        <w:bottom w:val="none" w:sz="0" w:space="0" w:color="auto"/>
        <w:right w:val="none" w:sz="0" w:space="0" w:color="auto"/>
      </w:divBdr>
    </w:div>
    <w:div w:id="1009143536">
      <w:bodyDiv w:val="1"/>
      <w:marLeft w:val="0"/>
      <w:marRight w:val="0"/>
      <w:marTop w:val="0"/>
      <w:marBottom w:val="0"/>
      <w:divBdr>
        <w:top w:val="none" w:sz="0" w:space="0" w:color="auto"/>
        <w:left w:val="none" w:sz="0" w:space="0" w:color="auto"/>
        <w:bottom w:val="none" w:sz="0" w:space="0" w:color="auto"/>
        <w:right w:val="none" w:sz="0" w:space="0" w:color="auto"/>
      </w:divBdr>
    </w:div>
    <w:div w:id="1009909841">
      <w:bodyDiv w:val="1"/>
      <w:marLeft w:val="0"/>
      <w:marRight w:val="0"/>
      <w:marTop w:val="0"/>
      <w:marBottom w:val="0"/>
      <w:divBdr>
        <w:top w:val="none" w:sz="0" w:space="0" w:color="auto"/>
        <w:left w:val="none" w:sz="0" w:space="0" w:color="auto"/>
        <w:bottom w:val="none" w:sz="0" w:space="0" w:color="auto"/>
        <w:right w:val="none" w:sz="0" w:space="0" w:color="auto"/>
      </w:divBdr>
    </w:div>
    <w:div w:id="1012684484">
      <w:bodyDiv w:val="1"/>
      <w:marLeft w:val="0"/>
      <w:marRight w:val="0"/>
      <w:marTop w:val="0"/>
      <w:marBottom w:val="0"/>
      <w:divBdr>
        <w:top w:val="none" w:sz="0" w:space="0" w:color="auto"/>
        <w:left w:val="none" w:sz="0" w:space="0" w:color="auto"/>
        <w:bottom w:val="none" w:sz="0" w:space="0" w:color="auto"/>
        <w:right w:val="none" w:sz="0" w:space="0" w:color="auto"/>
      </w:divBdr>
    </w:div>
    <w:div w:id="1021935010">
      <w:bodyDiv w:val="1"/>
      <w:marLeft w:val="0"/>
      <w:marRight w:val="0"/>
      <w:marTop w:val="0"/>
      <w:marBottom w:val="0"/>
      <w:divBdr>
        <w:top w:val="none" w:sz="0" w:space="0" w:color="auto"/>
        <w:left w:val="none" w:sz="0" w:space="0" w:color="auto"/>
        <w:bottom w:val="none" w:sz="0" w:space="0" w:color="auto"/>
        <w:right w:val="none" w:sz="0" w:space="0" w:color="auto"/>
      </w:divBdr>
    </w:div>
    <w:div w:id="1023634446">
      <w:bodyDiv w:val="1"/>
      <w:marLeft w:val="0"/>
      <w:marRight w:val="0"/>
      <w:marTop w:val="0"/>
      <w:marBottom w:val="0"/>
      <w:divBdr>
        <w:top w:val="none" w:sz="0" w:space="0" w:color="auto"/>
        <w:left w:val="none" w:sz="0" w:space="0" w:color="auto"/>
        <w:bottom w:val="none" w:sz="0" w:space="0" w:color="auto"/>
        <w:right w:val="none" w:sz="0" w:space="0" w:color="auto"/>
      </w:divBdr>
    </w:div>
    <w:div w:id="1024016063">
      <w:bodyDiv w:val="1"/>
      <w:marLeft w:val="0"/>
      <w:marRight w:val="0"/>
      <w:marTop w:val="0"/>
      <w:marBottom w:val="0"/>
      <w:divBdr>
        <w:top w:val="none" w:sz="0" w:space="0" w:color="auto"/>
        <w:left w:val="none" w:sz="0" w:space="0" w:color="auto"/>
        <w:bottom w:val="none" w:sz="0" w:space="0" w:color="auto"/>
        <w:right w:val="none" w:sz="0" w:space="0" w:color="auto"/>
      </w:divBdr>
    </w:div>
    <w:div w:id="1040862655">
      <w:bodyDiv w:val="1"/>
      <w:marLeft w:val="0"/>
      <w:marRight w:val="0"/>
      <w:marTop w:val="0"/>
      <w:marBottom w:val="0"/>
      <w:divBdr>
        <w:top w:val="none" w:sz="0" w:space="0" w:color="auto"/>
        <w:left w:val="none" w:sz="0" w:space="0" w:color="auto"/>
        <w:bottom w:val="none" w:sz="0" w:space="0" w:color="auto"/>
        <w:right w:val="none" w:sz="0" w:space="0" w:color="auto"/>
      </w:divBdr>
    </w:div>
    <w:div w:id="1052192823">
      <w:bodyDiv w:val="1"/>
      <w:marLeft w:val="0"/>
      <w:marRight w:val="0"/>
      <w:marTop w:val="0"/>
      <w:marBottom w:val="0"/>
      <w:divBdr>
        <w:top w:val="none" w:sz="0" w:space="0" w:color="auto"/>
        <w:left w:val="none" w:sz="0" w:space="0" w:color="auto"/>
        <w:bottom w:val="none" w:sz="0" w:space="0" w:color="auto"/>
        <w:right w:val="none" w:sz="0" w:space="0" w:color="auto"/>
      </w:divBdr>
    </w:div>
    <w:div w:id="1057707866">
      <w:bodyDiv w:val="1"/>
      <w:marLeft w:val="0"/>
      <w:marRight w:val="0"/>
      <w:marTop w:val="0"/>
      <w:marBottom w:val="0"/>
      <w:divBdr>
        <w:top w:val="none" w:sz="0" w:space="0" w:color="auto"/>
        <w:left w:val="none" w:sz="0" w:space="0" w:color="auto"/>
        <w:bottom w:val="none" w:sz="0" w:space="0" w:color="auto"/>
        <w:right w:val="none" w:sz="0" w:space="0" w:color="auto"/>
      </w:divBdr>
    </w:div>
    <w:div w:id="1070661662">
      <w:bodyDiv w:val="1"/>
      <w:marLeft w:val="0"/>
      <w:marRight w:val="0"/>
      <w:marTop w:val="0"/>
      <w:marBottom w:val="0"/>
      <w:divBdr>
        <w:top w:val="none" w:sz="0" w:space="0" w:color="auto"/>
        <w:left w:val="none" w:sz="0" w:space="0" w:color="auto"/>
        <w:bottom w:val="none" w:sz="0" w:space="0" w:color="auto"/>
        <w:right w:val="none" w:sz="0" w:space="0" w:color="auto"/>
      </w:divBdr>
    </w:div>
    <w:div w:id="1073970674">
      <w:bodyDiv w:val="1"/>
      <w:marLeft w:val="0"/>
      <w:marRight w:val="0"/>
      <w:marTop w:val="0"/>
      <w:marBottom w:val="0"/>
      <w:divBdr>
        <w:top w:val="none" w:sz="0" w:space="0" w:color="auto"/>
        <w:left w:val="none" w:sz="0" w:space="0" w:color="auto"/>
        <w:bottom w:val="none" w:sz="0" w:space="0" w:color="auto"/>
        <w:right w:val="none" w:sz="0" w:space="0" w:color="auto"/>
      </w:divBdr>
    </w:div>
    <w:div w:id="1090934106">
      <w:bodyDiv w:val="1"/>
      <w:marLeft w:val="0"/>
      <w:marRight w:val="0"/>
      <w:marTop w:val="0"/>
      <w:marBottom w:val="0"/>
      <w:divBdr>
        <w:top w:val="none" w:sz="0" w:space="0" w:color="auto"/>
        <w:left w:val="none" w:sz="0" w:space="0" w:color="auto"/>
        <w:bottom w:val="none" w:sz="0" w:space="0" w:color="auto"/>
        <w:right w:val="none" w:sz="0" w:space="0" w:color="auto"/>
      </w:divBdr>
    </w:div>
    <w:div w:id="1094013939">
      <w:bodyDiv w:val="1"/>
      <w:marLeft w:val="0"/>
      <w:marRight w:val="0"/>
      <w:marTop w:val="0"/>
      <w:marBottom w:val="0"/>
      <w:divBdr>
        <w:top w:val="none" w:sz="0" w:space="0" w:color="auto"/>
        <w:left w:val="none" w:sz="0" w:space="0" w:color="auto"/>
        <w:bottom w:val="none" w:sz="0" w:space="0" w:color="auto"/>
        <w:right w:val="none" w:sz="0" w:space="0" w:color="auto"/>
      </w:divBdr>
    </w:div>
    <w:div w:id="1097411249">
      <w:bodyDiv w:val="1"/>
      <w:marLeft w:val="0"/>
      <w:marRight w:val="0"/>
      <w:marTop w:val="0"/>
      <w:marBottom w:val="0"/>
      <w:divBdr>
        <w:top w:val="none" w:sz="0" w:space="0" w:color="auto"/>
        <w:left w:val="none" w:sz="0" w:space="0" w:color="auto"/>
        <w:bottom w:val="none" w:sz="0" w:space="0" w:color="auto"/>
        <w:right w:val="none" w:sz="0" w:space="0" w:color="auto"/>
      </w:divBdr>
    </w:div>
    <w:div w:id="1101994898">
      <w:bodyDiv w:val="1"/>
      <w:marLeft w:val="0"/>
      <w:marRight w:val="0"/>
      <w:marTop w:val="0"/>
      <w:marBottom w:val="0"/>
      <w:divBdr>
        <w:top w:val="none" w:sz="0" w:space="0" w:color="auto"/>
        <w:left w:val="none" w:sz="0" w:space="0" w:color="auto"/>
        <w:bottom w:val="none" w:sz="0" w:space="0" w:color="auto"/>
        <w:right w:val="none" w:sz="0" w:space="0" w:color="auto"/>
      </w:divBdr>
    </w:div>
    <w:div w:id="1108037933">
      <w:bodyDiv w:val="1"/>
      <w:marLeft w:val="0"/>
      <w:marRight w:val="0"/>
      <w:marTop w:val="0"/>
      <w:marBottom w:val="0"/>
      <w:divBdr>
        <w:top w:val="none" w:sz="0" w:space="0" w:color="auto"/>
        <w:left w:val="none" w:sz="0" w:space="0" w:color="auto"/>
        <w:bottom w:val="none" w:sz="0" w:space="0" w:color="auto"/>
        <w:right w:val="none" w:sz="0" w:space="0" w:color="auto"/>
      </w:divBdr>
    </w:div>
    <w:div w:id="1115563425">
      <w:bodyDiv w:val="1"/>
      <w:marLeft w:val="0"/>
      <w:marRight w:val="0"/>
      <w:marTop w:val="0"/>
      <w:marBottom w:val="0"/>
      <w:divBdr>
        <w:top w:val="none" w:sz="0" w:space="0" w:color="auto"/>
        <w:left w:val="none" w:sz="0" w:space="0" w:color="auto"/>
        <w:bottom w:val="none" w:sz="0" w:space="0" w:color="auto"/>
        <w:right w:val="none" w:sz="0" w:space="0" w:color="auto"/>
      </w:divBdr>
    </w:div>
    <w:div w:id="1134759695">
      <w:bodyDiv w:val="1"/>
      <w:marLeft w:val="0"/>
      <w:marRight w:val="0"/>
      <w:marTop w:val="0"/>
      <w:marBottom w:val="0"/>
      <w:divBdr>
        <w:top w:val="none" w:sz="0" w:space="0" w:color="auto"/>
        <w:left w:val="none" w:sz="0" w:space="0" w:color="auto"/>
        <w:bottom w:val="none" w:sz="0" w:space="0" w:color="auto"/>
        <w:right w:val="none" w:sz="0" w:space="0" w:color="auto"/>
      </w:divBdr>
    </w:div>
    <w:div w:id="1136751524">
      <w:bodyDiv w:val="1"/>
      <w:marLeft w:val="0"/>
      <w:marRight w:val="0"/>
      <w:marTop w:val="0"/>
      <w:marBottom w:val="0"/>
      <w:divBdr>
        <w:top w:val="none" w:sz="0" w:space="0" w:color="auto"/>
        <w:left w:val="none" w:sz="0" w:space="0" w:color="auto"/>
        <w:bottom w:val="none" w:sz="0" w:space="0" w:color="auto"/>
        <w:right w:val="none" w:sz="0" w:space="0" w:color="auto"/>
      </w:divBdr>
    </w:div>
    <w:div w:id="1138841240">
      <w:bodyDiv w:val="1"/>
      <w:marLeft w:val="0"/>
      <w:marRight w:val="0"/>
      <w:marTop w:val="0"/>
      <w:marBottom w:val="0"/>
      <w:divBdr>
        <w:top w:val="none" w:sz="0" w:space="0" w:color="auto"/>
        <w:left w:val="none" w:sz="0" w:space="0" w:color="auto"/>
        <w:bottom w:val="none" w:sz="0" w:space="0" w:color="auto"/>
        <w:right w:val="none" w:sz="0" w:space="0" w:color="auto"/>
      </w:divBdr>
    </w:div>
    <w:div w:id="1142625043">
      <w:bodyDiv w:val="1"/>
      <w:marLeft w:val="0"/>
      <w:marRight w:val="0"/>
      <w:marTop w:val="0"/>
      <w:marBottom w:val="0"/>
      <w:divBdr>
        <w:top w:val="none" w:sz="0" w:space="0" w:color="auto"/>
        <w:left w:val="none" w:sz="0" w:space="0" w:color="auto"/>
        <w:bottom w:val="none" w:sz="0" w:space="0" w:color="auto"/>
        <w:right w:val="none" w:sz="0" w:space="0" w:color="auto"/>
      </w:divBdr>
    </w:div>
    <w:div w:id="1147477752">
      <w:bodyDiv w:val="1"/>
      <w:marLeft w:val="0"/>
      <w:marRight w:val="0"/>
      <w:marTop w:val="0"/>
      <w:marBottom w:val="0"/>
      <w:divBdr>
        <w:top w:val="none" w:sz="0" w:space="0" w:color="auto"/>
        <w:left w:val="none" w:sz="0" w:space="0" w:color="auto"/>
        <w:bottom w:val="none" w:sz="0" w:space="0" w:color="auto"/>
        <w:right w:val="none" w:sz="0" w:space="0" w:color="auto"/>
      </w:divBdr>
    </w:div>
    <w:div w:id="1150051516">
      <w:bodyDiv w:val="1"/>
      <w:marLeft w:val="0"/>
      <w:marRight w:val="0"/>
      <w:marTop w:val="0"/>
      <w:marBottom w:val="0"/>
      <w:divBdr>
        <w:top w:val="none" w:sz="0" w:space="0" w:color="auto"/>
        <w:left w:val="none" w:sz="0" w:space="0" w:color="auto"/>
        <w:bottom w:val="none" w:sz="0" w:space="0" w:color="auto"/>
        <w:right w:val="none" w:sz="0" w:space="0" w:color="auto"/>
      </w:divBdr>
    </w:div>
    <w:div w:id="1170565362">
      <w:bodyDiv w:val="1"/>
      <w:marLeft w:val="0"/>
      <w:marRight w:val="0"/>
      <w:marTop w:val="0"/>
      <w:marBottom w:val="0"/>
      <w:divBdr>
        <w:top w:val="none" w:sz="0" w:space="0" w:color="auto"/>
        <w:left w:val="none" w:sz="0" w:space="0" w:color="auto"/>
        <w:bottom w:val="none" w:sz="0" w:space="0" w:color="auto"/>
        <w:right w:val="none" w:sz="0" w:space="0" w:color="auto"/>
      </w:divBdr>
    </w:div>
    <w:div w:id="1194001495">
      <w:bodyDiv w:val="1"/>
      <w:marLeft w:val="0"/>
      <w:marRight w:val="0"/>
      <w:marTop w:val="0"/>
      <w:marBottom w:val="0"/>
      <w:divBdr>
        <w:top w:val="none" w:sz="0" w:space="0" w:color="auto"/>
        <w:left w:val="none" w:sz="0" w:space="0" w:color="auto"/>
        <w:bottom w:val="none" w:sz="0" w:space="0" w:color="auto"/>
        <w:right w:val="none" w:sz="0" w:space="0" w:color="auto"/>
      </w:divBdr>
    </w:div>
    <w:div w:id="1196431866">
      <w:bodyDiv w:val="1"/>
      <w:marLeft w:val="0"/>
      <w:marRight w:val="0"/>
      <w:marTop w:val="0"/>
      <w:marBottom w:val="0"/>
      <w:divBdr>
        <w:top w:val="none" w:sz="0" w:space="0" w:color="auto"/>
        <w:left w:val="none" w:sz="0" w:space="0" w:color="auto"/>
        <w:bottom w:val="none" w:sz="0" w:space="0" w:color="auto"/>
        <w:right w:val="none" w:sz="0" w:space="0" w:color="auto"/>
      </w:divBdr>
    </w:div>
    <w:div w:id="1199663928">
      <w:bodyDiv w:val="1"/>
      <w:marLeft w:val="0"/>
      <w:marRight w:val="0"/>
      <w:marTop w:val="0"/>
      <w:marBottom w:val="0"/>
      <w:divBdr>
        <w:top w:val="none" w:sz="0" w:space="0" w:color="auto"/>
        <w:left w:val="none" w:sz="0" w:space="0" w:color="auto"/>
        <w:bottom w:val="none" w:sz="0" w:space="0" w:color="auto"/>
        <w:right w:val="none" w:sz="0" w:space="0" w:color="auto"/>
      </w:divBdr>
    </w:div>
    <w:div w:id="1224561186">
      <w:bodyDiv w:val="1"/>
      <w:marLeft w:val="0"/>
      <w:marRight w:val="0"/>
      <w:marTop w:val="0"/>
      <w:marBottom w:val="0"/>
      <w:divBdr>
        <w:top w:val="none" w:sz="0" w:space="0" w:color="auto"/>
        <w:left w:val="none" w:sz="0" w:space="0" w:color="auto"/>
        <w:bottom w:val="none" w:sz="0" w:space="0" w:color="auto"/>
        <w:right w:val="none" w:sz="0" w:space="0" w:color="auto"/>
      </w:divBdr>
    </w:div>
    <w:div w:id="1225222320">
      <w:bodyDiv w:val="1"/>
      <w:marLeft w:val="0"/>
      <w:marRight w:val="0"/>
      <w:marTop w:val="0"/>
      <w:marBottom w:val="0"/>
      <w:divBdr>
        <w:top w:val="none" w:sz="0" w:space="0" w:color="auto"/>
        <w:left w:val="none" w:sz="0" w:space="0" w:color="auto"/>
        <w:bottom w:val="none" w:sz="0" w:space="0" w:color="auto"/>
        <w:right w:val="none" w:sz="0" w:space="0" w:color="auto"/>
      </w:divBdr>
    </w:div>
    <w:div w:id="1225799195">
      <w:bodyDiv w:val="1"/>
      <w:marLeft w:val="0"/>
      <w:marRight w:val="0"/>
      <w:marTop w:val="0"/>
      <w:marBottom w:val="0"/>
      <w:divBdr>
        <w:top w:val="none" w:sz="0" w:space="0" w:color="auto"/>
        <w:left w:val="none" w:sz="0" w:space="0" w:color="auto"/>
        <w:bottom w:val="none" w:sz="0" w:space="0" w:color="auto"/>
        <w:right w:val="none" w:sz="0" w:space="0" w:color="auto"/>
      </w:divBdr>
    </w:div>
    <w:div w:id="1246115598">
      <w:bodyDiv w:val="1"/>
      <w:marLeft w:val="0"/>
      <w:marRight w:val="0"/>
      <w:marTop w:val="0"/>
      <w:marBottom w:val="0"/>
      <w:divBdr>
        <w:top w:val="none" w:sz="0" w:space="0" w:color="auto"/>
        <w:left w:val="none" w:sz="0" w:space="0" w:color="auto"/>
        <w:bottom w:val="none" w:sz="0" w:space="0" w:color="auto"/>
        <w:right w:val="none" w:sz="0" w:space="0" w:color="auto"/>
      </w:divBdr>
    </w:div>
    <w:div w:id="1248080777">
      <w:bodyDiv w:val="1"/>
      <w:marLeft w:val="0"/>
      <w:marRight w:val="0"/>
      <w:marTop w:val="0"/>
      <w:marBottom w:val="0"/>
      <w:divBdr>
        <w:top w:val="none" w:sz="0" w:space="0" w:color="auto"/>
        <w:left w:val="none" w:sz="0" w:space="0" w:color="auto"/>
        <w:bottom w:val="none" w:sz="0" w:space="0" w:color="auto"/>
        <w:right w:val="none" w:sz="0" w:space="0" w:color="auto"/>
      </w:divBdr>
    </w:div>
    <w:div w:id="1250774952">
      <w:bodyDiv w:val="1"/>
      <w:marLeft w:val="0"/>
      <w:marRight w:val="0"/>
      <w:marTop w:val="0"/>
      <w:marBottom w:val="0"/>
      <w:divBdr>
        <w:top w:val="none" w:sz="0" w:space="0" w:color="auto"/>
        <w:left w:val="none" w:sz="0" w:space="0" w:color="auto"/>
        <w:bottom w:val="none" w:sz="0" w:space="0" w:color="auto"/>
        <w:right w:val="none" w:sz="0" w:space="0" w:color="auto"/>
      </w:divBdr>
    </w:div>
    <w:div w:id="1265725294">
      <w:bodyDiv w:val="1"/>
      <w:marLeft w:val="0"/>
      <w:marRight w:val="0"/>
      <w:marTop w:val="0"/>
      <w:marBottom w:val="0"/>
      <w:divBdr>
        <w:top w:val="none" w:sz="0" w:space="0" w:color="auto"/>
        <w:left w:val="none" w:sz="0" w:space="0" w:color="auto"/>
        <w:bottom w:val="none" w:sz="0" w:space="0" w:color="auto"/>
        <w:right w:val="none" w:sz="0" w:space="0" w:color="auto"/>
      </w:divBdr>
    </w:div>
    <w:div w:id="1267807371">
      <w:bodyDiv w:val="1"/>
      <w:marLeft w:val="0"/>
      <w:marRight w:val="0"/>
      <w:marTop w:val="0"/>
      <w:marBottom w:val="0"/>
      <w:divBdr>
        <w:top w:val="none" w:sz="0" w:space="0" w:color="auto"/>
        <w:left w:val="none" w:sz="0" w:space="0" w:color="auto"/>
        <w:bottom w:val="none" w:sz="0" w:space="0" w:color="auto"/>
        <w:right w:val="none" w:sz="0" w:space="0" w:color="auto"/>
      </w:divBdr>
    </w:div>
    <w:div w:id="1267814736">
      <w:bodyDiv w:val="1"/>
      <w:marLeft w:val="0"/>
      <w:marRight w:val="0"/>
      <w:marTop w:val="0"/>
      <w:marBottom w:val="0"/>
      <w:divBdr>
        <w:top w:val="none" w:sz="0" w:space="0" w:color="auto"/>
        <w:left w:val="none" w:sz="0" w:space="0" w:color="auto"/>
        <w:bottom w:val="none" w:sz="0" w:space="0" w:color="auto"/>
        <w:right w:val="none" w:sz="0" w:space="0" w:color="auto"/>
      </w:divBdr>
    </w:div>
    <w:div w:id="1283154546">
      <w:bodyDiv w:val="1"/>
      <w:marLeft w:val="0"/>
      <w:marRight w:val="0"/>
      <w:marTop w:val="0"/>
      <w:marBottom w:val="0"/>
      <w:divBdr>
        <w:top w:val="none" w:sz="0" w:space="0" w:color="auto"/>
        <w:left w:val="none" w:sz="0" w:space="0" w:color="auto"/>
        <w:bottom w:val="none" w:sz="0" w:space="0" w:color="auto"/>
        <w:right w:val="none" w:sz="0" w:space="0" w:color="auto"/>
      </w:divBdr>
    </w:div>
    <w:div w:id="1295478850">
      <w:bodyDiv w:val="1"/>
      <w:marLeft w:val="0"/>
      <w:marRight w:val="0"/>
      <w:marTop w:val="0"/>
      <w:marBottom w:val="0"/>
      <w:divBdr>
        <w:top w:val="none" w:sz="0" w:space="0" w:color="auto"/>
        <w:left w:val="none" w:sz="0" w:space="0" w:color="auto"/>
        <w:bottom w:val="none" w:sz="0" w:space="0" w:color="auto"/>
        <w:right w:val="none" w:sz="0" w:space="0" w:color="auto"/>
      </w:divBdr>
    </w:div>
    <w:div w:id="1296983450">
      <w:bodyDiv w:val="1"/>
      <w:marLeft w:val="0"/>
      <w:marRight w:val="0"/>
      <w:marTop w:val="0"/>
      <w:marBottom w:val="0"/>
      <w:divBdr>
        <w:top w:val="none" w:sz="0" w:space="0" w:color="auto"/>
        <w:left w:val="none" w:sz="0" w:space="0" w:color="auto"/>
        <w:bottom w:val="none" w:sz="0" w:space="0" w:color="auto"/>
        <w:right w:val="none" w:sz="0" w:space="0" w:color="auto"/>
      </w:divBdr>
    </w:div>
    <w:div w:id="1303078730">
      <w:bodyDiv w:val="1"/>
      <w:marLeft w:val="0"/>
      <w:marRight w:val="0"/>
      <w:marTop w:val="0"/>
      <w:marBottom w:val="0"/>
      <w:divBdr>
        <w:top w:val="none" w:sz="0" w:space="0" w:color="auto"/>
        <w:left w:val="none" w:sz="0" w:space="0" w:color="auto"/>
        <w:bottom w:val="none" w:sz="0" w:space="0" w:color="auto"/>
        <w:right w:val="none" w:sz="0" w:space="0" w:color="auto"/>
      </w:divBdr>
    </w:div>
    <w:div w:id="1317953834">
      <w:bodyDiv w:val="1"/>
      <w:marLeft w:val="0"/>
      <w:marRight w:val="0"/>
      <w:marTop w:val="0"/>
      <w:marBottom w:val="0"/>
      <w:divBdr>
        <w:top w:val="none" w:sz="0" w:space="0" w:color="auto"/>
        <w:left w:val="none" w:sz="0" w:space="0" w:color="auto"/>
        <w:bottom w:val="none" w:sz="0" w:space="0" w:color="auto"/>
        <w:right w:val="none" w:sz="0" w:space="0" w:color="auto"/>
      </w:divBdr>
    </w:div>
    <w:div w:id="1318069503">
      <w:bodyDiv w:val="1"/>
      <w:marLeft w:val="0"/>
      <w:marRight w:val="0"/>
      <w:marTop w:val="0"/>
      <w:marBottom w:val="0"/>
      <w:divBdr>
        <w:top w:val="none" w:sz="0" w:space="0" w:color="auto"/>
        <w:left w:val="none" w:sz="0" w:space="0" w:color="auto"/>
        <w:bottom w:val="none" w:sz="0" w:space="0" w:color="auto"/>
        <w:right w:val="none" w:sz="0" w:space="0" w:color="auto"/>
      </w:divBdr>
    </w:div>
    <w:div w:id="1336881322">
      <w:bodyDiv w:val="1"/>
      <w:marLeft w:val="0"/>
      <w:marRight w:val="0"/>
      <w:marTop w:val="0"/>
      <w:marBottom w:val="0"/>
      <w:divBdr>
        <w:top w:val="none" w:sz="0" w:space="0" w:color="auto"/>
        <w:left w:val="none" w:sz="0" w:space="0" w:color="auto"/>
        <w:bottom w:val="none" w:sz="0" w:space="0" w:color="auto"/>
        <w:right w:val="none" w:sz="0" w:space="0" w:color="auto"/>
      </w:divBdr>
    </w:div>
    <w:div w:id="1344818843">
      <w:bodyDiv w:val="1"/>
      <w:marLeft w:val="0"/>
      <w:marRight w:val="0"/>
      <w:marTop w:val="0"/>
      <w:marBottom w:val="0"/>
      <w:divBdr>
        <w:top w:val="none" w:sz="0" w:space="0" w:color="auto"/>
        <w:left w:val="none" w:sz="0" w:space="0" w:color="auto"/>
        <w:bottom w:val="none" w:sz="0" w:space="0" w:color="auto"/>
        <w:right w:val="none" w:sz="0" w:space="0" w:color="auto"/>
      </w:divBdr>
    </w:div>
    <w:div w:id="1347050318">
      <w:bodyDiv w:val="1"/>
      <w:marLeft w:val="0"/>
      <w:marRight w:val="0"/>
      <w:marTop w:val="0"/>
      <w:marBottom w:val="0"/>
      <w:divBdr>
        <w:top w:val="none" w:sz="0" w:space="0" w:color="auto"/>
        <w:left w:val="none" w:sz="0" w:space="0" w:color="auto"/>
        <w:bottom w:val="none" w:sz="0" w:space="0" w:color="auto"/>
        <w:right w:val="none" w:sz="0" w:space="0" w:color="auto"/>
      </w:divBdr>
    </w:div>
    <w:div w:id="1352755822">
      <w:bodyDiv w:val="1"/>
      <w:marLeft w:val="0"/>
      <w:marRight w:val="0"/>
      <w:marTop w:val="0"/>
      <w:marBottom w:val="0"/>
      <w:divBdr>
        <w:top w:val="none" w:sz="0" w:space="0" w:color="auto"/>
        <w:left w:val="none" w:sz="0" w:space="0" w:color="auto"/>
        <w:bottom w:val="none" w:sz="0" w:space="0" w:color="auto"/>
        <w:right w:val="none" w:sz="0" w:space="0" w:color="auto"/>
      </w:divBdr>
    </w:div>
    <w:div w:id="1356076450">
      <w:bodyDiv w:val="1"/>
      <w:marLeft w:val="0"/>
      <w:marRight w:val="0"/>
      <w:marTop w:val="0"/>
      <w:marBottom w:val="0"/>
      <w:divBdr>
        <w:top w:val="none" w:sz="0" w:space="0" w:color="auto"/>
        <w:left w:val="none" w:sz="0" w:space="0" w:color="auto"/>
        <w:bottom w:val="none" w:sz="0" w:space="0" w:color="auto"/>
        <w:right w:val="none" w:sz="0" w:space="0" w:color="auto"/>
      </w:divBdr>
    </w:div>
    <w:div w:id="1359314506">
      <w:bodyDiv w:val="1"/>
      <w:marLeft w:val="0"/>
      <w:marRight w:val="0"/>
      <w:marTop w:val="0"/>
      <w:marBottom w:val="0"/>
      <w:divBdr>
        <w:top w:val="none" w:sz="0" w:space="0" w:color="auto"/>
        <w:left w:val="none" w:sz="0" w:space="0" w:color="auto"/>
        <w:bottom w:val="none" w:sz="0" w:space="0" w:color="auto"/>
        <w:right w:val="none" w:sz="0" w:space="0" w:color="auto"/>
      </w:divBdr>
    </w:div>
    <w:div w:id="1363167673">
      <w:bodyDiv w:val="1"/>
      <w:marLeft w:val="0"/>
      <w:marRight w:val="0"/>
      <w:marTop w:val="0"/>
      <w:marBottom w:val="0"/>
      <w:divBdr>
        <w:top w:val="none" w:sz="0" w:space="0" w:color="auto"/>
        <w:left w:val="none" w:sz="0" w:space="0" w:color="auto"/>
        <w:bottom w:val="none" w:sz="0" w:space="0" w:color="auto"/>
        <w:right w:val="none" w:sz="0" w:space="0" w:color="auto"/>
      </w:divBdr>
    </w:div>
    <w:div w:id="1369602724">
      <w:bodyDiv w:val="1"/>
      <w:marLeft w:val="0"/>
      <w:marRight w:val="0"/>
      <w:marTop w:val="0"/>
      <w:marBottom w:val="0"/>
      <w:divBdr>
        <w:top w:val="none" w:sz="0" w:space="0" w:color="auto"/>
        <w:left w:val="none" w:sz="0" w:space="0" w:color="auto"/>
        <w:bottom w:val="none" w:sz="0" w:space="0" w:color="auto"/>
        <w:right w:val="none" w:sz="0" w:space="0" w:color="auto"/>
      </w:divBdr>
    </w:div>
    <w:div w:id="1385375801">
      <w:bodyDiv w:val="1"/>
      <w:marLeft w:val="0"/>
      <w:marRight w:val="0"/>
      <w:marTop w:val="0"/>
      <w:marBottom w:val="0"/>
      <w:divBdr>
        <w:top w:val="none" w:sz="0" w:space="0" w:color="auto"/>
        <w:left w:val="none" w:sz="0" w:space="0" w:color="auto"/>
        <w:bottom w:val="none" w:sz="0" w:space="0" w:color="auto"/>
        <w:right w:val="none" w:sz="0" w:space="0" w:color="auto"/>
      </w:divBdr>
    </w:div>
    <w:div w:id="1387218013">
      <w:bodyDiv w:val="1"/>
      <w:marLeft w:val="0"/>
      <w:marRight w:val="0"/>
      <w:marTop w:val="0"/>
      <w:marBottom w:val="0"/>
      <w:divBdr>
        <w:top w:val="none" w:sz="0" w:space="0" w:color="auto"/>
        <w:left w:val="none" w:sz="0" w:space="0" w:color="auto"/>
        <w:bottom w:val="none" w:sz="0" w:space="0" w:color="auto"/>
        <w:right w:val="none" w:sz="0" w:space="0" w:color="auto"/>
      </w:divBdr>
    </w:div>
    <w:div w:id="1387416627">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404915806">
      <w:bodyDiv w:val="1"/>
      <w:marLeft w:val="0"/>
      <w:marRight w:val="0"/>
      <w:marTop w:val="0"/>
      <w:marBottom w:val="0"/>
      <w:divBdr>
        <w:top w:val="none" w:sz="0" w:space="0" w:color="auto"/>
        <w:left w:val="none" w:sz="0" w:space="0" w:color="auto"/>
        <w:bottom w:val="none" w:sz="0" w:space="0" w:color="auto"/>
        <w:right w:val="none" w:sz="0" w:space="0" w:color="auto"/>
      </w:divBdr>
    </w:div>
    <w:div w:id="1409232951">
      <w:bodyDiv w:val="1"/>
      <w:marLeft w:val="0"/>
      <w:marRight w:val="0"/>
      <w:marTop w:val="0"/>
      <w:marBottom w:val="0"/>
      <w:divBdr>
        <w:top w:val="none" w:sz="0" w:space="0" w:color="auto"/>
        <w:left w:val="none" w:sz="0" w:space="0" w:color="auto"/>
        <w:bottom w:val="none" w:sz="0" w:space="0" w:color="auto"/>
        <w:right w:val="none" w:sz="0" w:space="0" w:color="auto"/>
      </w:divBdr>
    </w:div>
    <w:div w:id="1436707894">
      <w:bodyDiv w:val="1"/>
      <w:marLeft w:val="0"/>
      <w:marRight w:val="0"/>
      <w:marTop w:val="0"/>
      <w:marBottom w:val="0"/>
      <w:divBdr>
        <w:top w:val="none" w:sz="0" w:space="0" w:color="auto"/>
        <w:left w:val="none" w:sz="0" w:space="0" w:color="auto"/>
        <w:bottom w:val="none" w:sz="0" w:space="0" w:color="auto"/>
        <w:right w:val="none" w:sz="0" w:space="0" w:color="auto"/>
      </w:divBdr>
    </w:div>
    <w:div w:id="1438523009">
      <w:bodyDiv w:val="1"/>
      <w:marLeft w:val="0"/>
      <w:marRight w:val="0"/>
      <w:marTop w:val="0"/>
      <w:marBottom w:val="0"/>
      <w:divBdr>
        <w:top w:val="none" w:sz="0" w:space="0" w:color="auto"/>
        <w:left w:val="none" w:sz="0" w:space="0" w:color="auto"/>
        <w:bottom w:val="none" w:sz="0" w:space="0" w:color="auto"/>
        <w:right w:val="none" w:sz="0" w:space="0" w:color="auto"/>
      </w:divBdr>
    </w:div>
    <w:div w:id="1441796945">
      <w:bodyDiv w:val="1"/>
      <w:marLeft w:val="0"/>
      <w:marRight w:val="0"/>
      <w:marTop w:val="0"/>
      <w:marBottom w:val="0"/>
      <w:divBdr>
        <w:top w:val="none" w:sz="0" w:space="0" w:color="auto"/>
        <w:left w:val="none" w:sz="0" w:space="0" w:color="auto"/>
        <w:bottom w:val="none" w:sz="0" w:space="0" w:color="auto"/>
        <w:right w:val="none" w:sz="0" w:space="0" w:color="auto"/>
      </w:divBdr>
    </w:div>
    <w:div w:id="1442339291">
      <w:bodyDiv w:val="1"/>
      <w:marLeft w:val="0"/>
      <w:marRight w:val="0"/>
      <w:marTop w:val="0"/>
      <w:marBottom w:val="0"/>
      <w:divBdr>
        <w:top w:val="none" w:sz="0" w:space="0" w:color="auto"/>
        <w:left w:val="none" w:sz="0" w:space="0" w:color="auto"/>
        <w:bottom w:val="none" w:sz="0" w:space="0" w:color="auto"/>
        <w:right w:val="none" w:sz="0" w:space="0" w:color="auto"/>
      </w:divBdr>
    </w:div>
    <w:div w:id="1444228631">
      <w:bodyDiv w:val="1"/>
      <w:marLeft w:val="0"/>
      <w:marRight w:val="0"/>
      <w:marTop w:val="0"/>
      <w:marBottom w:val="0"/>
      <w:divBdr>
        <w:top w:val="none" w:sz="0" w:space="0" w:color="auto"/>
        <w:left w:val="none" w:sz="0" w:space="0" w:color="auto"/>
        <w:bottom w:val="none" w:sz="0" w:space="0" w:color="auto"/>
        <w:right w:val="none" w:sz="0" w:space="0" w:color="auto"/>
      </w:divBdr>
    </w:div>
    <w:div w:id="1451976757">
      <w:bodyDiv w:val="1"/>
      <w:marLeft w:val="0"/>
      <w:marRight w:val="0"/>
      <w:marTop w:val="0"/>
      <w:marBottom w:val="0"/>
      <w:divBdr>
        <w:top w:val="none" w:sz="0" w:space="0" w:color="auto"/>
        <w:left w:val="none" w:sz="0" w:space="0" w:color="auto"/>
        <w:bottom w:val="none" w:sz="0" w:space="0" w:color="auto"/>
        <w:right w:val="none" w:sz="0" w:space="0" w:color="auto"/>
      </w:divBdr>
    </w:div>
    <w:div w:id="1460034676">
      <w:bodyDiv w:val="1"/>
      <w:marLeft w:val="0"/>
      <w:marRight w:val="0"/>
      <w:marTop w:val="0"/>
      <w:marBottom w:val="0"/>
      <w:divBdr>
        <w:top w:val="none" w:sz="0" w:space="0" w:color="auto"/>
        <w:left w:val="none" w:sz="0" w:space="0" w:color="auto"/>
        <w:bottom w:val="none" w:sz="0" w:space="0" w:color="auto"/>
        <w:right w:val="none" w:sz="0" w:space="0" w:color="auto"/>
      </w:divBdr>
    </w:div>
    <w:div w:id="1461222036">
      <w:bodyDiv w:val="1"/>
      <w:marLeft w:val="0"/>
      <w:marRight w:val="0"/>
      <w:marTop w:val="0"/>
      <w:marBottom w:val="0"/>
      <w:divBdr>
        <w:top w:val="none" w:sz="0" w:space="0" w:color="auto"/>
        <w:left w:val="none" w:sz="0" w:space="0" w:color="auto"/>
        <w:bottom w:val="none" w:sz="0" w:space="0" w:color="auto"/>
        <w:right w:val="none" w:sz="0" w:space="0" w:color="auto"/>
      </w:divBdr>
    </w:div>
    <w:div w:id="1463419552">
      <w:bodyDiv w:val="1"/>
      <w:marLeft w:val="0"/>
      <w:marRight w:val="0"/>
      <w:marTop w:val="0"/>
      <w:marBottom w:val="0"/>
      <w:divBdr>
        <w:top w:val="none" w:sz="0" w:space="0" w:color="auto"/>
        <w:left w:val="none" w:sz="0" w:space="0" w:color="auto"/>
        <w:bottom w:val="none" w:sz="0" w:space="0" w:color="auto"/>
        <w:right w:val="none" w:sz="0" w:space="0" w:color="auto"/>
      </w:divBdr>
    </w:div>
    <w:div w:id="1468350897">
      <w:bodyDiv w:val="1"/>
      <w:marLeft w:val="0"/>
      <w:marRight w:val="0"/>
      <w:marTop w:val="0"/>
      <w:marBottom w:val="0"/>
      <w:divBdr>
        <w:top w:val="none" w:sz="0" w:space="0" w:color="auto"/>
        <w:left w:val="none" w:sz="0" w:space="0" w:color="auto"/>
        <w:bottom w:val="none" w:sz="0" w:space="0" w:color="auto"/>
        <w:right w:val="none" w:sz="0" w:space="0" w:color="auto"/>
      </w:divBdr>
    </w:div>
    <w:div w:id="1485270749">
      <w:bodyDiv w:val="1"/>
      <w:marLeft w:val="0"/>
      <w:marRight w:val="0"/>
      <w:marTop w:val="0"/>
      <w:marBottom w:val="0"/>
      <w:divBdr>
        <w:top w:val="none" w:sz="0" w:space="0" w:color="auto"/>
        <w:left w:val="none" w:sz="0" w:space="0" w:color="auto"/>
        <w:bottom w:val="none" w:sz="0" w:space="0" w:color="auto"/>
        <w:right w:val="none" w:sz="0" w:space="0" w:color="auto"/>
      </w:divBdr>
    </w:div>
    <w:div w:id="1495294718">
      <w:bodyDiv w:val="1"/>
      <w:marLeft w:val="0"/>
      <w:marRight w:val="0"/>
      <w:marTop w:val="0"/>
      <w:marBottom w:val="0"/>
      <w:divBdr>
        <w:top w:val="none" w:sz="0" w:space="0" w:color="auto"/>
        <w:left w:val="none" w:sz="0" w:space="0" w:color="auto"/>
        <w:bottom w:val="none" w:sz="0" w:space="0" w:color="auto"/>
        <w:right w:val="none" w:sz="0" w:space="0" w:color="auto"/>
      </w:divBdr>
    </w:div>
    <w:div w:id="1497570004">
      <w:bodyDiv w:val="1"/>
      <w:marLeft w:val="0"/>
      <w:marRight w:val="0"/>
      <w:marTop w:val="0"/>
      <w:marBottom w:val="0"/>
      <w:divBdr>
        <w:top w:val="none" w:sz="0" w:space="0" w:color="auto"/>
        <w:left w:val="none" w:sz="0" w:space="0" w:color="auto"/>
        <w:bottom w:val="none" w:sz="0" w:space="0" w:color="auto"/>
        <w:right w:val="none" w:sz="0" w:space="0" w:color="auto"/>
      </w:divBdr>
    </w:div>
    <w:div w:id="1503201540">
      <w:bodyDiv w:val="1"/>
      <w:marLeft w:val="0"/>
      <w:marRight w:val="0"/>
      <w:marTop w:val="0"/>
      <w:marBottom w:val="0"/>
      <w:divBdr>
        <w:top w:val="none" w:sz="0" w:space="0" w:color="auto"/>
        <w:left w:val="none" w:sz="0" w:space="0" w:color="auto"/>
        <w:bottom w:val="none" w:sz="0" w:space="0" w:color="auto"/>
        <w:right w:val="none" w:sz="0" w:space="0" w:color="auto"/>
      </w:divBdr>
    </w:div>
    <w:div w:id="1524979686">
      <w:bodyDiv w:val="1"/>
      <w:marLeft w:val="0"/>
      <w:marRight w:val="0"/>
      <w:marTop w:val="0"/>
      <w:marBottom w:val="0"/>
      <w:divBdr>
        <w:top w:val="none" w:sz="0" w:space="0" w:color="auto"/>
        <w:left w:val="none" w:sz="0" w:space="0" w:color="auto"/>
        <w:bottom w:val="none" w:sz="0" w:space="0" w:color="auto"/>
        <w:right w:val="none" w:sz="0" w:space="0" w:color="auto"/>
      </w:divBdr>
    </w:div>
    <w:div w:id="1526794553">
      <w:bodyDiv w:val="1"/>
      <w:marLeft w:val="0"/>
      <w:marRight w:val="0"/>
      <w:marTop w:val="0"/>
      <w:marBottom w:val="0"/>
      <w:divBdr>
        <w:top w:val="none" w:sz="0" w:space="0" w:color="auto"/>
        <w:left w:val="none" w:sz="0" w:space="0" w:color="auto"/>
        <w:bottom w:val="none" w:sz="0" w:space="0" w:color="auto"/>
        <w:right w:val="none" w:sz="0" w:space="0" w:color="auto"/>
      </w:divBdr>
    </w:div>
    <w:div w:id="1536772940">
      <w:bodyDiv w:val="1"/>
      <w:marLeft w:val="0"/>
      <w:marRight w:val="0"/>
      <w:marTop w:val="0"/>
      <w:marBottom w:val="0"/>
      <w:divBdr>
        <w:top w:val="none" w:sz="0" w:space="0" w:color="auto"/>
        <w:left w:val="none" w:sz="0" w:space="0" w:color="auto"/>
        <w:bottom w:val="none" w:sz="0" w:space="0" w:color="auto"/>
        <w:right w:val="none" w:sz="0" w:space="0" w:color="auto"/>
      </w:divBdr>
    </w:div>
    <w:div w:id="1539851864">
      <w:bodyDiv w:val="1"/>
      <w:marLeft w:val="0"/>
      <w:marRight w:val="0"/>
      <w:marTop w:val="0"/>
      <w:marBottom w:val="0"/>
      <w:divBdr>
        <w:top w:val="none" w:sz="0" w:space="0" w:color="auto"/>
        <w:left w:val="none" w:sz="0" w:space="0" w:color="auto"/>
        <w:bottom w:val="none" w:sz="0" w:space="0" w:color="auto"/>
        <w:right w:val="none" w:sz="0" w:space="0" w:color="auto"/>
      </w:divBdr>
    </w:div>
    <w:div w:id="1540703868">
      <w:bodyDiv w:val="1"/>
      <w:marLeft w:val="0"/>
      <w:marRight w:val="0"/>
      <w:marTop w:val="0"/>
      <w:marBottom w:val="0"/>
      <w:divBdr>
        <w:top w:val="none" w:sz="0" w:space="0" w:color="auto"/>
        <w:left w:val="none" w:sz="0" w:space="0" w:color="auto"/>
        <w:bottom w:val="none" w:sz="0" w:space="0" w:color="auto"/>
        <w:right w:val="none" w:sz="0" w:space="0" w:color="auto"/>
      </w:divBdr>
    </w:div>
    <w:div w:id="1547640871">
      <w:bodyDiv w:val="1"/>
      <w:marLeft w:val="0"/>
      <w:marRight w:val="0"/>
      <w:marTop w:val="0"/>
      <w:marBottom w:val="0"/>
      <w:divBdr>
        <w:top w:val="none" w:sz="0" w:space="0" w:color="auto"/>
        <w:left w:val="none" w:sz="0" w:space="0" w:color="auto"/>
        <w:bottom w:val="none" w:sz="0" w:space="0" w:color="auto"/>
        <w:right w:val="none" w:sz="0" w:space="0" w:color="auto"/>
      </w:divBdr>
    </w:div>
    <w:div w:id="1560358295">
      <w:bodyDiv w:val="1"/>
      <w:marLeft w:val="0"/>
      <w:marRight w:val="0"/>
      <w:marTop w:val="0"/>
      <w:marBottom w:val="0"/>
      <w:divBdr>
        <w:top w:val="none" w:sz="0" w:space="0" w:color="auto"/>
        <w:left w:val="none" w:sz="0" w:space="0" w:color="auto"/>
        <w:bottom w:val="none" w:sz="0" w:space="0" w:color="auto"/>
        <w:right w:val="none" w:sz="0" w:space="0" w:color="auto"/>
      </w:divBdr>
    </w:div>
    <w:div w:id="1560823254">
      <w:bodyDiv w:val="1"/>
      <w:marLeft w:val="0"/>
      <w:marRight w:val="0"/>
      <w:marTop w:val="0"/>
      <w:marBottom w:val="0"/>
      <w:divBdr>
        <w:top w:val="none" w:sz="0" w:space="0" w:color="auto"/>
        <w:left w:val="none" w:sz="0" w:space="0" w:color="auto"/>
        <w:bottom w:val="none" w:sz="0" w:space="0" w:color="auto"/>
        <w:right w:val="none" w:sz="0" w:space="0" w:color="auto"/>
      </w:divBdr>
    </w:div>
    <w:div w:id="1564025598">
      <w:bodyDiv w:val="1"/>
      <w:marLeft w:val="0"/>
      <w:marRight w:val="0"/>
      <w:marTop w:val="0"/>
      <w:marBottom w:val="0"/>
      <w:divBdr>
        <w:top w:val="none" w:sz="0" w:space="0" w:color="auto"/>
        <w:left w:val="none" w:sz="0" w:space="0" w:color="auto"/>
        <w:bottom w:val="none" w:sz="0" w:space="0" w:color="auto"/>
        <w:right w:val="none" w:sz="0" w:space="0" w:color="auto"/>
      </w:divBdr>
    </w:div>
    <w:div w:id="1575551670">
      <w:bodyDiv w:val="1"/>
      <w:marLeft w:val="0"/>
      <w:marRight w:val="0"/>
      <w:marTop w:val="0"/>
      <w:marBottom w:val="0"/>
      <w:divBdr>
        <w:top w:val="none" w:sz="0" w:space="0" w:color="auto"/>
        <w:left w:val="none" w:sz="0" w:space="0" w:color="auto"/>
        <w:bottom w:val="none" w:sz="0" w:space="0" w:color="auto"/>
        <w:right w:val="none" w:sz="0" w:space="0" w:color="auto"/>
      </w:divBdr>
    </w:div>
    <w:div w:id="1579513424">
      <w:bodyDiv w:val="1"/>
      <w:marLeft w:val="0"/>
      <w:marRight w:val="0"/>
      <w:marTop w:val="0"/>
      <w:marBottom w:val="0"/>
      <w:divBdr>
        <w:top w:val="none" w:sz="0" w:space="0" w:color="auto"/>
        <w:left w:val="none" w:sz="0" w:space="0" w:color="auto"/>
        <w:bottom w:val="none" w:sz="0" w:space="0" w:color="auto"/>
        <w:right w:val="none" w:sz="0" w:space="0" w:color="auto"/>
      </w:divBdr>
    </w:div>
    <w:div w:id="1586919833">
      <w:bodyDiv w:val="1"/>
      <w:marLeft w:val="0"/>
      <w:marRight w:val="0"/>
      <w:marTop w:val="0"/>
      <w:marBottom w:val="0"/>
      <w:divBdr>
        <w:top w:val="none" w:sz="0" w:space="0" w:color="auto"/>
        <w:left w:val="none" w:sz="0" w:space="0" w:color="auto"/>
        <w:bottom w:val="none" w:sz="0" w:space="0" w:color="auto"/>
        <w:right w:val="none" w:sz="0" w:space="0" w:color="auto"/>
      </w:divBdr>
    </w:div>
    <w:div w:id="1595557065">
      <w:bodyDiv w:val="1"/>
      <w:marLeft w:val="0"/>
      <w:marRight w:val="0"/>
      <w:marTop w:val="0"/>
      <w:marBottom w:val="0"/>
      <w:divBdr>
        <w:top w:val="none" w:sz="0" w:space="0" w:color="auto"/>
        <w:left w:val="none" w:sz="0" w:space="0" w:color="auto"/>
        <w:bottom w:val="none" w:sz="0" w:space="0" w:color="auto"/>
        <w:right w:val="none" w:sz="0" w:space="0" w:color="auto"/>
      </w:divBdr>
    </w:div>
    <w:div w:id="1600258978">
      <w:bodyDiv w:val="1"/>
      <w:marLeft w:val="0"/>
      <w:marRight w:val="0"/>
      <w:marTop w:val="0"/>
      <w:marBottom w:val="0"/>
      <w:divBdr>
        <w:top w:val="none" w:sz="0" w:space="0" w:color="auto"/>
        <w:left w:val="none" w:sz="0" w:space="0" w:color="auto"/>
        <w:bottom w:val="none" w:sz="0" w:space="0" w:color="auto"/>
        <w:right w:val="none" w:sz="0" w:space="0" w:color="auto"/>
      </w:divBdr>
    </w:div>
    <w:div w:id="1600723804">
      <w:bodyDiv w:val="1"/>
      <w:marLeft w:val="0"/>
      <w:marRight w:val="0"/>
      <w:marTop w:val="0"/>
      <w:marBottom w:val="0"/>
      <w:divBdr>
        <w:top w:val="none" w:sz="0" w:space="0" w:color="auto"/>
        <w:left w:val="none" w:sz="0" w:space="0" w:color="auto"/>
        <w:bottom w:val="none" w:sz="0" w:space="0" w:color="auto"/>
        <w:right w:val="none" w:sz="0" w:space="0" w:color="auto"/>
      </w:divBdr>
    </w:div>
    <w:div w:id="1600944719">
      <w:bodyDiv w:val="1"/>
      <w:marLeft w:val="0"/>
      <w:marRight w:val="0"/>
      <w:marTop w:val="0"/>
      <w:marBottom w:val="0"/>
      <w:divBdr>
        <w:top w:val="none" w:sz="0" w:space="0" w:color="auto"/>
        <w:left w:val="none" w:sz="0" w:space="0" w:color="auto"/>
        <w:bottom w:val="none" w:sz="0" w:space="0" w:color="auto"/>
        <w:right w:val="none" w:sz="0" w:space="0" w:color="auto"/>
      </w:divBdr>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605191475">
      <w:bodyDiv w:val="1"/>
      <w:marLeft w:val="0"/>
      <w:marRight w:val="0"/>
      <w:marTop w:val="0"/>
      <w:marBottom w:val="0"/>
      <w:divBdr>
        <w:top w:val="none" w:sz="0" w:space="0" w:color="auto"/>
        <w:left w:val="none" w:sz="0" w:space="0" w:color="auto"/>
        <w:bottom w:val="none" w:sz="0" w:space="0" w:color="auto"/>
        <w:right w:val="none" w:sz="0" w:space="0" w:color="auto"/>
      </w:divBdr>
    </w:div>
    <w:div w:id="1607467790">
      <w:bodyDiv w:val="1"/>
      <w:marLeft w:val="0"/>
      <w:marRight w:val="0"/>
      <w:marTop w:val="0"/>
      <w:marBottom w:val="0"/>
      <w:divBdr>
        <w:top w:val="none" w:sz="0" w:space="0" w:color="auto"/>
        <w:left w:val="none" w:sz="0" w:space="0" w:color="auto"/>
        <w:bottom w:val="none" w:sz="0" w:space="0" w:color="auto"/>
        <w:right w:val="none" w:sz="0" w:space="0" w:color="auto"/>
      </w:divBdr>
    </w:div>
    <w:div w:id="1608074971">
      <w:bodyDiv w:val="1"/>
      <w:marLeft w:val="0"/>
      <w:marRight w:val="0"/>
      <w:marTop w:val="0"/>
      <w:marBottom w:val="0"/>
      <w:divBdr>
        <w:top w:val="none" w:sz="0" w:space="0" w:color="auto"/>
        <w:left w:val="none" w:sz="0" w:space="0" w:color="auto"/>
        <w:bottom w:val="none" w:sz="0" w:space="0" w:color="auto"/>
        <w:right w:val="none" w:sz="0" w:space="0" w:color="auto"/>
      </w:divBdr>
    </w:div>
    <w:div w:id="1610626887">
      <w:bodyDiv w:val="1"/>
      <w:marLeft w:val="0"/>
      <w:marRight w:val="0"/>
      <w:marTop w:val="0"/>
      <w:marBottom w:val="0"/>
      <w:divBdr>
        <w:top w:val="none" w:sz="0" w:space="0" w:color="auto"/>
        <w:left w:val="none" w:sz="0" w:space="0" w:color="auto"/>
        <w:bottom w:val="none" w:sz="0" w:space="0" w:color="auto"/>
        <w:right w:val="none" w:sz="0" w:space="0" w:color="auto"/>
      </w:divBdr>
    </w:div>
    <w:div w:id="1618098144">
      <w:bodyDiv w:val="1"/>
      <w:marLeft w:val="0"/>
      <w:marRight w:val="0"/>
      <w:marTop w:val="0"/>
      <w:marBottom w:val="0"/>
      <w:divBdr>
        <w:top w:val="none" w:sz="0" w:space="0" w:color="auto"/>
        <w:left w:val="none" w:sz="0" w:space="0" w:color="auto"/>
        <w:bottom w:val="none" w:sz="0" w:space="0" w:color="auto"/>
        <w:right w:val="none" w:sz="0" w:space="0" w:color="auto"/>
      </w:divBdr>
    </w:div>
    <w:div w:id="1628972981">
      <w:bodyDiv w:val="1"/>
      <w:marLeft w:val="0"/>
      <w:marRight w:val="0"/>
      <w:marTop w:val="0"/>
      <w:marBottom w:val="0"/>
      <w:divBdr>
        <w:top w:val="none" w:sz="0" w:space="0" w:color="auto"/>
        <w:left w:val="none" w:sz="0" w:space="0" w:color="auto"/>
        <w:bottom w:val="none" w:sz="0" w:space="0" w:color="auto"/>
        <w:right w:val="none" w:sz="0" w:space="0" w:color="auto"/>
      </w:divBdr>
    </w:div>
    <w:div w:id="1647934430">
      <w:bodyDiv w:val="1"/>
      <w:marLeft w:val="0"/>
      <w:marRight w:val="0"/>
      <w:marTop w:val="0"/>
      <w:marBottom w:val="0"/>
      <w:divBdr>
        <w:top w:val="none" w:sz="0" w:space="0" w:color="auto"/>
        <w:left w:val="none" w:sz="0" w:space="0" w:color="auto"/>
        <w:bottom w:val="none" w:sz="0" w:space="0" w:color="auto"/>
        <w:right w:val="none" w:sz="0" w:space="0" w:color="auto"/>
      </w:divBdr>
    </w:div>
    <w:div w:id="1662467438">
      <w:bodyDiv w:val="1"/>
      <w:marLeft w:val="0"/>
      <w:marRight w:val="0"/>
      <w:marTop w:val="0"/>
      <w:marBottom w:val="0"/>
      <w:divBdr>
        <w:top w:val="none" w:sz="0" w:space="0" w:color="auto"/>
        <w:left w:val="none" w:sz="0" w:space="0" w:color="auto"/>
        <w:bottom w:val="none" w:sz="0" w:space="0" w:color="auto"/>
        <w:right w:val="none" w:sz="0" w:space="0" w:color="auto"/>
      </w:divBdr>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
    <w:div w:id="1693799049">
      <w:bodyDiv w:val="1"/>
      <w:marLeft w:val="0"/>
      <w:marRight w:val="0"/>
      <w:marTop w:val="0"/>
      <w:marBottom w:val="0"/>
      <w:divBdr>
        <w:top w:val="none" w:sz="0" w:space="0" w:color="auto"/>
        <w:left w:val="none" w:sz="0" w:space="0" w:color="auto"/>
        <w:bottom w:val="none" w:sz="0" w:space="0" w:color="auto"/>
        <w:right w:val="none" w:sz="0" w:space="0" w:color="auto"/>
      </w:divBdr>
    </w:div>
    <w:div w:id="1697661380">
      <w:bodyDiv w:val="1"/>
      <w:marLeft w:val="0"/>
      <w:marRight w:val="0"/>
      <w:marTop w:val="0"/>
      <w:marBottom w:val="0"/>
      <w:divBdr>
        <w:top w:val="none" w:sz="0" w:space="0" w:color="auto"/>
        <w:left w:val="none" w:sz="0" w:space="0" w:color="auto"/>
        <w:bottom w:val="none" w:sz="0" w:space="0" w:color="auto"/>
        <w:right w:val="none" w:sz="0" w:space="0" w:color="auto"/>
      </w:divBdr>
    </w:div>
    <w:div w:id="1698116089">
      <w:bodyDiv w:val="1"/>
      <w:marLeft w:val="0"/>
      <w:marRight w:val="0"/>
      <w:marTop w:val="0"/>
      <w:marBottom w:val="0"/>
      <w:divBdr>
        <w:top w:val="none" w:sz="0" w:space="0" w:color="auto"/>
        <w:left w:val="none" w:sz="0" w:space="0" w:color="auto"/>
        <w:bottom w:val="none" w:sz="0" w:space="0" w:color="auto"/>
        <w:right w:val="none" w:sz="0" w:space="0" w:color="auto"/>
      </w:divBdr>
    </w:div>
    <w:div w:id="1699507627">
      <w:bodyDiv w:val="1"/>
      <w:marLeft w:val="0"/>
      <w:marRight w:val="0"/>
      <w:marTop w:val="0"/>
      <w:marBottom w:val="0"/>
      <w:divBdr>
        <w:top w:val="none" w:sz="0" w:space="0" w:color="auto"/>
        <w:left w:val="none" w:sz="0" w:space="0" w:color="auto"/>
        <w:bottom w:val="none" w:sz="0" w:space="0" w:color="auto"/>
        <w:right w:val="none" w:sz="0" w:space="0" w:color="auto"/>
      </w:divBdr>
    </w:div>
    <w:div w:id="1699508393">
      <w:bodyDiv w:val="1"/>
      <w:marLeft w:val="0"/>
      <w:marRight w:val="0"/>
      <w:marTop w:val="0"/>
      <w:marBottom w:val="0"/>
      <w:divBdr>
        <w:top w:val="none" w:sz="0" w:space="0" w:color="auto"/>
        <w:left w:val="none" w:sz="0" w:space="0" w:color="auto"/>
        <w:bottom w:val="none" w:sz="0" w:space="0" w:color="auto"/>
        <w:right w:val="none" w:sz="0" w:space="0" w:color="auto"/>
      </w:divBdr>
    </w:div>
    <w:div w:id="1719812961">
      <w:bodyDiv w:val="1"/>
      <w:marLeft w:val="0"/>
      <w:marRight w:val="0"/>
      <w:marTop w:val="0"/>
      <w:marBottom w:val="0"/>
      <w:divBdr>
        <w:top w:val="none" w:sz="0" w:space="0" w:color="auto"/>
        <w:left w:val="none" w:sz="0" w:space="0" w:color="auto"/>
        <w:bottom w:val="none" w:sz="0" w:space="0" w:color="auto"/>
        <w:right w:val="none" w:sz="0" w:space="0" w:color="auto"/>
      </w:divBdr>
    </w:div>
    <w:div w:id="1732002369">
      <w:bodyDiv w:val="1"/>
      <w:marLeft w:val="0"/>
      <w:marRight w:val="0"/>
      <w:marTop w:val="0"/>
      <w:marBottom w:val="0"/>
      <w:divBdr>
        <w:top w:val="none" w:sz="0" w:space="0" w:color="auto"/>
        <w:left w:val="none" w:sz="0" w:space="0" w:color="auto"/>
        <w:bottom w:val="none" w:sz="0" w:space="0" w:color="auto"/>
        <w:right w:val="none" w:sz="0" w:space="0" w:color="auto"/>
      </w:divBdr>
    </w:div>
    <w:div w:id="1732267517">
      <w:bodyDiv w:val="1"/>
      <w:marLeft w:val="0"/>
      <w:marRight w:val="0"/>
      <w:marTop w:val="0"/>
      <w:marBottom w:val="0"/>
      <w:divBdr>
        <w:top w:val="none" w:sz="0" w:space="0" w:color="auto"/>
        <w:left w:val="none" w:sz="0" w:space="0" w:color="auto"/>
        <w:bottom w:val="none" w:sz="0" w:space="0" w:color="auto"/>
        <w:right w:val="none" w:sz="0" w:space="0" w:color="auto"/>
      </w:divBdr>
    </w:div>
    <w:div w:id="1736588476">
      <w:bodyDiv w:val="1"/>
      <w:marLeft w:val="0"/>
      <w:marRight w:val="0"/>
      <w:marTop w:val="0"/>
      <w:marBottom w:val="0"/>
      <w:divBdr>
        <w:top w:val="none" w:sz="0" w:space="0" w:color="auto"/>
        <w:left w:val="none" w:sz="0" w:space="0" w:color="auto"/>
        <w:bottom w:val="none" w:sz="0" w:space="0" w:color="auto"/>
        <w:right w:val="none" w:sz="0" w:space="0" w:color="auto"/>
      </w:divBdr>
    </w:div>
    <w:div w:id="1742412825">
      <w:bodyDiv w:val="1"/>
      <w:marLeft w:val="0"/>
      <w:marRight w:val="0"/>
      <w:marTop w:val="0"/>
      <w:marBottom w:val="0"/>
      <w:divBdr>
        <w:top w:val="none" w:sz="0" w:space="0" w:color="auto"/>
        <w:left w:val="none" w:sz="0" w:space="0" w:color="auto"/>
        <w:bottom w:val="none" w:sz="0" w:space="0" w:color="auto"/>
        <w:right w:val="none" w:sz="0" w:space="0" w:color="auto"/>
      </w:divBdr>
    </w:div>
    <w:div w:id="1747192269">
      <w:bodyDiv w:val="1"/>
      <w:marLeft w:val="0"/>
      <w:marRight w:val="0"/>
      <w:marTop w:val="0"/>
      <w:marBottom w:val="0"/>
      <w:divBdr>
        <w:top w:val="none" w:sz="0" w:space="0" w:color="auto"/>
        <w:left w:val="none" w:sz="0" w:space="0" w:color="auto"/>
        <w:bottom w:val="none" w:sz="0" w:space="0" w:color="auto"/>
        <w:right w:val="none" w:sz="0" w:space="0" w:color="auto"/>
      </w:divBdr>
    </w:div>
    <w:div w:id="1751847107">
      <w:bodyDiv w:val="1"/>
      <w:marLeft w:val="0"/>
      <w:marRight w:val="0"/>
      <w:marTop w:val="0"/>
      <w:marBottom w:val="0"/>
      <w:divBdr>
        <w:top w:val="none" w:sz="0" w:space="0" w:color="auto"/>
        <w:left w:val="none" w:sz="0" w:space="0" w:color="auto"/>
        <w:bottom w:val="none" w:sz="0" w:space="0" w:color="auto"/>
        <w:right w:val="none" w:sz="0" w:space="0" w:color="auto"/>
      </w:divBdr>
    </w:div>
    <w:div w:id="1756245691">
      <w:bodyDiv w:val="1"/>
      <w:marLeft w:val="0"/>
      <w:marRight w:val="0"/>
      <w:marTop w:val="0"/>
      <w:marBottom w:val="0"/>
      <w:divBdr>
        <w:top w:val="none" w:sz="0" w:space="0" w:color="auto"/>
        <w:left w:val="none" w:sz="0" w:space="0" w:color="auto"/>
        <w:bottom w:val="none" w:sz="0" w:space="0" w:color="auto"/>
        <w:right w:val="none" w:sz="0" w:space="0" w:color="auto"/>
      </w:divBdr>
    </w:div>
    <w:div w:id="1757970147">
      <w:bodyDiv w:val="1"/>
      <w:marLeft w:val="0"/>
      <w:marRight w:val="0"/>
      <w:marTop w:val="0"/>
      <w:marBottom w:val="0"/>
      <w:divBdr>
        <w:top w:val="none" w:sz="0" w:space="0" w:color="auto"/>
        <w:left w:val="none" w:sz="0" w:space="0" w:color="auto"/>
        <w:bottom w:val="none" w:sz="0" w:space="0" w:color="auto"/>
        <w:right w:val="none" w:sz="0" w:space="0" w:color="auto"/>
      </w:divBdr>
    </w:div>
    <w:div w:id="1765804495">
      <w:bodyDiv w:val="1"/>
      <w:marLeft w:val="0"/>
      <w:marRight w:val="0"/>
      <w:marTop w:val="0"/>
      <w:marBottom w:val="0"/>
      <w:divBdr>
        <w:top w:val="none" w:sz="0" w:space="0" w:color="auto"/>
        <w:left w:val="none" w:sz="0" w:space="0" w:color="auto"/>
        <w:bottom w:val="none" w:sz="0" w:space="0" w:color="auto"/>
        <w:right w:val="none" w:sz="0" w:space="0" w:color="auto"/>
      </w:divBdr>
    </w:div>
    <w:div w:id="1768690109">
      <w:bodyDiv w:val="1"/>
      <w:marLeft w:val="0"/>
      <w:marRight w:val="0"/>
      <w:marTop w:val="0"/>
      <w:marBottom w:val="0"/>
      <w:divBdr>
        <w:top w:val="none" w:sz="0" w:space="0" w:color="auto"/>
        <w:left w:val="none" w:sz="0" w:space="0" w:color="auto"/>
        <w:bottom w:val="none" w:sz="0" w:space="0" w:color="auto"/>
        <w:right w:val="none" w:sz="0" w:space="0" w:color="auto"/>
      </w:divBdr>
    </w:div>
    <w:div w:id="1773353089">
      <w:bodyDiv w:val="1"/>
      <w:marLeft w:val="0"/>
      <w:marRight w:val="0"/>
      <w:marTop w:val="0"/>
      <w:marBottom w:val="0"/>
      <w:divBdr>
        <w:top w:val="none" w:sz="0" w:space="0" w:color="auto"/>
        <w:left w:val="none" w:sz="0" w:space="0" w:color="auto"/>
        <w:bottom w:val="none" w:sz="0" w:space="0" w:color="auto"/>
        <w:right w:val="none" w:sz="0" w:space="0" w:color="auto"/>
      </w:divBdr>
    </w:div>
    <w:div w:id="1780955306">
      <w:bodyDiv w:val="1"/>
      <w:marLeft w:val="0"/>
      <w:marRight w:val="0"/>
      <w:marTop w:val="0"/>
      <w:marBottom w:val="0"/>
      <w:divBdr>
        <w:top w:val="none" w:sz="0" w:space="0" w:color="auto"/>
        <w:left w:val="none" w:sz="0" w:space="0" w:color="auto"/>
        <w:bottom w:val="none" w:sz="0" w:space="0" w:color="auto"/>
        <w:right w:val="none" w:sz="0" w:space="0" w:color="auto"/>
      </w:divBdr>
    </w:div>
    <w:div w:id="1789935355">
      <w:bodyDiv w:val="1"/>
      <w:marLeft w:val="0"/>
      <w:marRight w:val="0"/>
      <w:marTop w:val="0"/>
      <w:marBottom w:val="0"/>
      <w:divBdr>
        <w:top w:val="none" w:sz="0" w:space="0" w:color="auto"/>
        <w:left w:val="none" w:sz="0" w:space="0" w:color="auto"/>
        <w:bottom w:val="none" w:sz="0" w:space="0" w:color="auto"/>
        <w:right w:val="none" w:sz="0" w:space="0" w:color="auto"/>
      </w:divBdr>
    </w:div>
    <w:div w:id="1791053529">
      <w:bodyDiv w:val="1"/>
      <w:marLeft w:val="0"/>
      <w:marRight w:val="0"/>
      <w:marTop w:val="0"/>
      <w:marBottom w:val="0"/>
      <w:divBdr>
        <w:top w:val="none" w:sz="0" w:space="0" w:color="auto"/>
        <w:left w:val="none" w:sz="0" w:space="0" w:color="auto"/>
        <w:bottom w:val="none" w:sz="0" w:space="0" w:color="auto"/>
        <w:right w:val="none" w:sz="0" w:space="0" w:color="auto"/>
      </w:divBdr>
    </w:div>
    <w:div w:id="1801220229">
      <w:bodyDiv w:val="1"/>
      <w:marLeft w:val="0"/>
      <w:marRight w:val="0"/>
      <w:marTop w:val="0"/>
      <w:marBottom w:val="0"/>
      <w:divBdr>
        <w:top w:val="none" w:sz="0" w:space="0" w:color="auto"/>
        <w:left w:val="none" w:sz="0" w:space="0" w:color="auto"/>
        <w:bottom w:val="none" w:sz="0" w:space="0" w:color="auto"/>
        <w:right w:val="none" w:sz="0" w:space="0" w:color="auto"/>
      </w:divBdr>
    </w:div>
    <w:div w:id="1805854456">
      <w:bodyDiv w:val="1"/>
      <w:marLeft w:val="0"/>
      <w:marRight w:val="0"/>
      <w:marTop w:val="0"/>
      <w:marBottom w:val="0"/>
      <w:divBdr>
        <w:top w:val="none" w:sz="0" w:space="0" w:color="auto"/>
        <w:left w:val="none" w:sz="0" w:space="0" w:color="auto"/>
        <w:bottom w:val="none" w:sz="0" w:space="0" w:color="auto"/>
        <w:right w:val="none" w:sz="0" w:space="0" w:color="auto"/>
      </w:divBdr>
    </w:div>
    <w:div w:id="1810366642">
      <w:bodyDiv w:val="1"/>
      <w:marLeft w:val="0"/>
      <w:marRight w:val="0"/>
      <w:marTop w:val="0"/>
      <w:marBottom w:val="0"/>
      <w:divBdr>
        <w:top w:val="none" w:sz="0" w:space="0" w:color="auto"/>
        <w:left w:val="none" w:sz="0" w:space="0" w:color="auto"/>
        <w:bottom w:val="none" w:sz="0" w:space="0" w:color="auto"/>
        <w:right w:val="none" w:sz="0" w:space="0" w:color="auto"/>
      </w:divBdr>
    </w:div>
    <w:div w:id="1829395443">
      <w:bodyDiv w:val="1"/>
      <w:marLeft w:val="0"/>
      <w:marRight w:val="0"/>
      <w:marTop w:val="0"/>
      <w:marBottom w:val="0"/>
      <w:divBdr>
        <w:top w:val="none" w:sz="0" w:space="0" w:color="auto"/>
        <w:left w:val="none" w:sz="0" w:space="0" w:color="auto"/>
        <w:bottom w:val="none" w:sz="0" w:space="0" w:color="auto"/>
        <w:right w:val="none" w:sz="0" w:space="0" w:color="auto"/>
      </w:divBdr>
    </w:div>
    <w:div w:id="1833910967">
      <w:bodyDiv w:val="1"/>
      <w:marLeft w:val="0"/>
      <w:marRight w:val="0"/>
      <w:marTop w:val="0"/>
      <w:marBottom w:val="0"/>
      <w:divBdr>
        <w:top w:val="none" w:sz="0" w:space="0" w:color="auto"/>
        <w:left w:val="none" w:sz="0" w:space="0" w:color="auto"/>
        <w:bottom w:val="none" w:sz="0" w:space="0" w:color="auto"/>
        <w:right w:val="none" w:sz="0" w:space="0" w:color="auto"/>
      </w:divBdr>
    </w:div>
    <w:div w:id="1834837833">
      <w:bodyDiv w:val="1"/>
      <w:marLeft w:val="0"/>
      <w:marRight w:val="0"/>
      <w:marTop w:val="0"/>
      <w:marBottom w:val="0"/>
      <w:divBdr>
        <w:top w:val="none" w:sz="0" w:space="0" w:color="auto"/>
        <w:left w:val="none" w:sz="0" w:space="0" w:color="auto"/>
        <w:bottom w:val="none" w:sz="0" w:space="0" w:color="auto"/>
        <w:right w:val="none" w:sz="0" w:space="0" w:color="auto"/>
      </w:divBdr>
    </w:div>
    <w:div w:id="1835103494">
      <w:bodyDiv w:val="1"/>
      <w:marLeft w:val="0"/>
      <w:marRight w:val="0"/>
      <w:marTop w:val="0"/>
      <w:marBottom w:val="0"/>
      <w:divBdr>
        <w:top w:val="none" w:sz="0" w:space="0" w:color="auto"/>
        <w:left w:val="none" w:sz="0" w:space="0" w:color="auto"/>
        <w:bottom w:val="none" w:sz="0" w:space="0" w:color="auto"/>
        <w:right w:val="none" w:sz="0" w:space="0" w:color="auto"/>
      </w:divBdr>
    </w:div>
    <w:div w:id="1835294055">
      <w:bodyDiv w:val="1"/>
      <w:marLeft w:val="0"/>
      <w:marRight w:val="0"/>
      <w:marTop w:val="0"/>
      <w:marBottom w:val="0"/>
      <w:divBdr>
        <w:top w:val="none" w:sz="0" w:space="0" w:color="auto"/>
        <w:left w:val="none" w:sz="0" w:space="0" w:color="auto"/>
        <w:bottom w:val="none" w:sz="0" w:space="0" w:color="auto"/>
        <w:right w:val="none" w:sz="0" w:space="0" w:color="auto"/>
      </w:divBdr>
    </w:div>
    <w:div w:id="1835487956">
      <w:bodyDiv w:val="1"/>
      <w:marLeft w:val="0"/>
      <w:marRight w:val="0"/>
      <w:marTop w:val="0"/>
      <w:marBottom w:val="0"/>
      <w:divBdr>
        <w:top w:val="none" w:sz="0" w:space="0" w:color="auto"/>
        <w:left w:val="none" w:sz="0" w:space="0" w:color="auto"/>
        <w:bottom w:val="none" w:sz="0" w:space="0" w:color="auto"/>
        <w:right w:val="none" w:sz="0" w:space="0" w:color="auto"/>
      </w:divBdr>
    </w:div>
    <w:div w:id="1843887546">
      <w:bodyDiv w:val="1"/>
      <w:marLeft w:val="0"/>
      <w:marRight w:val="0"/>
      <w:marTop w:val="0"/>
      <w:marBottom w:val="0"/>
      <w:divBdr>
        <w:top w:val="none" w:sz="0" w:space="0" w:color="auto"/>
        <w:left w:val="none" w:sz="0" w:space="0" w:color="auto"/>
        <w:bottom w:val="none" w:sz="0" w:space="0" w:color="auto"/>
        <w:right w:val="none" w:sz="0" w:space="0" w:color="auto"/>
      </w:divBdr>
    </w:div>
    <w:div w:id="1859929437">
      <w:bodyDiv w:val="1"/>
      <w:marLeft w:val="0"/>
      <w:marRight w:val="0"/>
      <w:marTop w:val="0"/>
      <w:marBottom w:val="0"/>
      <w:divBdr>
        <w:top w:val="none" w:sz="0" w:space="0" w:color="auto"/>
        <w:left w:val="none" w:sz="0" w:space="0" w:color="auto"/>
        <w:bottom w:val="none" w:sz="0" w:space="0" w:color="auto"/>
        <w:right w:val="none" w:sz="0" w:space="0" w:color="auto"/>
      </w:divBdr>
    </w:div>
    <w:div w:id="1871334252">
      <w:bodyDiv w:val="1"/>
      <w:marLeft w:val="0"/>
      <w:marRight w:val="0"/>
      <w:marTop w:val="0"/>
      <w:marBottom w:val="0"/>
      <w:divBdr>
        <w:top w:val="none" w:sz="0" w:space="0" w:color="auto"/>
        <w:left w:val="none" w:sz="0" w:space="0" w:color="auto"/>
        <w:bottom w:val="none" w:sz="0" w:space="0" w:color="auto"/>
        <w:right w:val="none" w:sz="0" w:space="0" w:color="auto"/>
      </w:divBdr>
    </w:div>
    <w:div w:id="1878472002">
      <w:bodyDiv w:val="1"/>
      <w:marLeft w:val="0"/>
      <w:marRight w:val="0"/>
      <w:marTop w:val="0"/>
      <w:marBottom w:val="0"/>
      <w:divBdr>
        <w:top w:val="none" w:sz="0" w:space="0" w:color="auto"/>
        <w:left w:val="none" w:sz="0" w:space="0" w:color="auto"/>
        <w:bottom w:val="none" w:sz="0" w:space="0" w:color="auto"/>
        <w:right w:val="none" w:sz="0" w:space="0" w:color="auto"/>
      </w:divBdr>
    </w:div>
    <w:div w:id="1882329070">
      <w:bodyDiv w:val="1"/>
      <w:marLeft w:val="0"/>
      <w:marRight w:val="0"/>
      <w:marTop w:val="0"/>
      <w:marBottom w:val="0"/>
      <w:divBdr>
        <w:top w:val="none" w:sz="0" w:space="0" w:color="auto"/>
        <w:left w:val="none" w:sz="0" w:space="0" w:color="auto"/>
        <w:bottom w:val="none" w:sz="0" w:space="0" w:color="auto"/>
        <w:right w:val="none" w:sz="0" w:space="0" w:color="auto"/>
      </w:divBdr>
    </w:div>
    <w:div w:id="1889367470">
      <w:bodyDiv w:val="1"/>
      <w:marLeft w:val="0"/>
      <w:marRight w:val="0"/>
      <w:marTop w:val="0"/>
      <w:marBottom w:val="0"/>
      <w:divBdr>
        <w:top w:val="none" w:sz="0" w:space="0" w:color="auto"/>
        <w:left w:val="none" w:sz="0" w:space="0" w:color="auto"/>
        <w:bottom w:val="none" w:sz="0" w:space="0" w:color="auto"/>
        <w:right w:val="none" w:sz="0" w:space="0" w:color="auto"/>
      </w:divBdr>
    </w:div>
    <w:div w:id="1894386567">
      <w:bodyDiv w:val="1"/>
      <w:marLeft w:val="0"/>
      <w:marRight w:val="0"/>
      <w:marTop w:val="0"/>
      <w:marBottom w:val="0"/>
      <w:divBdr>
        <w:top w:val="none" w:sz="0" w:space="0" w:color="auto"/>
        <w:left w:val="none" w:sz="0" w:space="0" w:color="auto"/>
        <w:bottom w:val="none" w:sz="0" w:space="0" w:color="auto"/>
        <w:right w:val="none" w:sz="0" w:space="0" w:color="auto"/>
      </w:divBdr>
    </w:div>
    <w:div w:id="1894586013">
      <w:bodyDiv w:val="1"/>
      <w:marLeft w:val="0"/>
      <w:marRight w:val="0"/>
      <w:marTop w:val="0"/>
      <w:marBottom w:val="0"/>
      <w:divBdr>
        <w:top w:val="none" w:sz="0" w:space="0" w:color="auto"/>
        <w:left w:val="none" w:sz="0" w:space="0" w:color="auto"/>
        <w:bottom w:val="none" w:sz="0" w:space="0" w:color="auto"/>
        <w:right w:val="none" w:sz="0" w:space="0" w:color="auto"/>
      </w:divBdr>
    </w:div>
    <w:div w:id="1894657491">
      <w:bodyDiv w:val="1"/>
      <w:marLeft w:val="0"/>
      <w:marRight w:val="0"/>
      <w:marTop w:val="0"/>
      <w:marBottom w:val="0"/>
      <w:divBdr>
        <w:top w:val="none" w:sz="0" w:space="0" w:color="auto"/>
        <w:left w:val="none" w:sz="0" w:space="0" w:color="auto"/>
        <w:bottom w:val="none" w:sz="0" w:space="0" w:color="auto"/>
        <w:right w:val="none" w:sz="0" w:space="0" w:color="auto"/>
      </w:divBdr>
    </w:div>
    <w:div w:id="1926383109">
      <w:bodyDiv w:val="1"/>
      <w:marLeft w:val="0"/>
      <w:marRight w:val="0"/>
      <w:marTop w:val="0"/>
      <w:marBottom w:val="0"/>
      <w:divBdr>
        <w:top w:val="none" w:sz="0" w:space="0" w:color="auto"/>
        <w:left w:val="none" w:sz="0" w:space="0" w:color="auto"/>
        <w:bottom w:val="none" w:sz="0" w:space="0" w:color="auto"/>
        <w:right w:val="none" w:sz="0" w:space="0" w:color="auto"/>
      </w:divBdr>
    </w:div>
    <w:div w:id="1926452053">
      <w:bodyDiv w:val="1"/>
      <w:marLeft w:val="0"/>
      <w:marRight w:val="0"/>
      <w:marTop w:val="0"/>
      <w:marBottom w:val="0"/>
      <w:divBdr>
        <w:top w:val="none" w:sz="0" w:space="0" w:color="auto"/>
        <w:left w:val="none" w:sz="0" w:space="0" w:color="auto"/>
        <w:bottom w:val="none" w:sz="0" w:space="0" w:color="auto"/>
        <w:right w:val="none" w:sz="0" w:space="0" w:color="auto"/>
      </w:divBdr>
    </w:div>
    <w:div w:id="1926647121">
      <w:bodyDiv w:val="1"/>
      <w:marLeft w:val="0"/>
      <w:marRight w:val="0"/>
      <w:marTop w:val="0"/>
      <w:marBottom w:val="0"/>
      <w:divBdr>
        <w:top w:val="none" w:sz="0" w:space="0" w:color="auto"/>
        <w:left w:val="none" w:sz="0" w:space="0" w:color="auto"/>
        <w:bottom w:val="none" w:sz="0" w:space="0" w:color="auto"/>
        <w:right w:val="none" w:sz="0" w:space="0" w:color="auto"/>
      </w:divBdr>
    </w:div>
    <w:div w:id="1929580110">
      <w:bodyDiv w:val="1"/>
      <w:marLeft w:val="0"/>
      <w:marRight w:val="0"/>
      <w:marTop w:val="0"/>
      <w:marBottom w:val="0"/>
      <w:divBdr>
        <w:top w:val="none" w:sz="0" w:space="0" w:color="auto"/>
        <w:left w:val="none" w:sz="0" w:space="0" w:color="auto"/>
        <w:bottom w:val="none" w:sz="0" w:space="0" w:color="auto"/>
        <w:right w:val="none" w:sz="0" w:space="0" w:color="auto"/>
      </w:divBdr>
    </w:div>
    <w:div w:id="1941789902">
      <w:bodyDiv w:val="1"/>
      <w:marLeft w:val="0"/>
      <w:marRight w:val="0"/>
      <w:marTop w:val="0"/>
      <w:marBottom w:val="0"/>
      <w:divBdr>
        <w:top w:val="none" w:sz="0" w:space="0" w:color="auto"/>
        <w:left w:val="none" w:sz="0" w:space="0" w:color="auto"/>
        <w:bottom w:val="none" w:sz="0" w:space="0" w:color="auto"/>
        <w:right w:val="none" w:sz="0" w:space="0" w:color="auto"/>
      </w:divBdr>
    </w:div>
    <w:div w:id="1942030005">
      <w:bodyDiv w:val="1"/>
      <w:marLeft w:val="0"/>
      <w:marRight w:val="0"/>
      <w:marTop w:val="0"/>
      <w:marBottom w:val="0"/>
      <w:divBdr>
        <w:top w:val="none" w:sz="0" w:space="0" w:color="auto"/>
        <w:left w:val="none" w:sz="0" w:space="0" w:color="auto"/>
        <w:bottom w:val="none" w:sz="0" w:space="0" w:color="auto"/>
        <w:right w:val="none" w:sz="0" w:space="0" w:color="auto"/>
      </w:divBdr>
    </w:div>
    <w:div w:id="1943294936">
      <w:bodyDiv w:val="1"/>
      <w:marLeft w:val="0"/>
      <w:marRight w:val="0"/>
      <w:marTop w:val="0"/>
      <w:marBottom w:val="0"/>
      <w:divBdr>
        <w:top w:val="none" w:sz="0" w:space="0" w:color="auto"/>
        <w:left w:val="none" w:sz="0" w:space="0" w:color="auto"/>
        <w:bottom w:val="none" w:sz="0" w:space="0" w:color="auto"/>
        <w:right w:val="none" w:sz="0" w:space="0" w:color="auto"/>
      </w:divBdr>
    </w:div>
    <w:div w:id="1944067239">
      <w:bodyDiv w:val="1"/>
      <w:marLeft w:val="0"/>
      <w:marRight w:val="0"/>
      <w:marTop w:val="0"/>
      <w:marBottom w:val="0"/>
      <w:divBdr>
        <w:top w:val="none" w:sz="0" w:space="0" w:color="auto"/>
        <w:left w:val="none" w:sz="0" w:space="0" w:color="auto"/>
        <w:bottom w:val="none" w:sz="0" w:space="0" w:color="auto"/>
        <w:right w:val="none" w:sz="0" w:space="0" w:color="auto"/>
      </w:divBdr>
    </w:div>
    <w:div w:id="1948343025">
      <w:bodyDiv w:val="1"/>
      <w:marLeft w:val="0"/>
      <w:marRight w:val="0"/>
      <w:marTop w:val="0"/>
      <w:marBottom w:val="0"/>
      <w:divBdr>
        <w:top w:val="none" w:sz="0" w:space="0" w:color="auto"/>
        <w:left w:val="none" w:sz="0" w:space="0" w:color="auto"/>
        <w:bottom w:val="none" w:sz="0" w:space="0" w:color="auto"/>
        <w:right w:val="none" w:sz="0" w:space="0" w:color="auto"/>
      </w:divBdr>
    </w:div>
    <w:div w:id="1948461386">
      <w:bodyDiv w:val="1"/>
      <w:marLeft w:val="0"/>
      <w:marRight w:val="0"/>
      <w:marTop w:val="0"/>
      <w:marBottom w:val="0"/>
      <w:divBdr>
        <w:top w:val="none" w:sz="0" w:space="0" w:color="auto"/>
        <w:left w:val="none" w:sz="0" w:space="0" w:color="auto"/>
        <w:bottom w:val="none" w:sz="0" w:space="0" w:color="auto"/>
        <w:right w:val="none" w:sz="0" w:space="0" w:color="auto"/>
      </w:divBdr>
    </w:div>
    <w:div w:id="1952124151">
      <w:bodyDiv w:val="1"/>
      <w:marLeft w:val="0"/>
      <w:marRight w:val="0"/>
      <w:marTop w:val="0"/>
      <w:marBottom w:val="0"/>
      <w:divBdr>
        <w:top w:val="none" w:sz="0" w:space="0" w:color="auto"/>
        <w:left w:val="none" w:sz="0" w:space="0" w:color="auto"/>
        <w:bottom w:val="none" w:sz="0" w:space="0" w:color="auto"/>
        <w:right w:val="none" w:sz="0" w:space="0" w:color="auto"/>
      </w:divBdr>
    </w:div>
    <w:div w:id="1958680586">
      <w:bodyDiv w:val="1"/>
      <w:marLeft w:val="0"/>
      <w:marRight w:val="0"/>
      <w:marTop w:val="0"/>
      <w:marBottom w:val="0"/>
      <w:divBdr>
        <w:top w:val="none" w:sz="0" w:space="0" w:color="auto"/>
        <w:left w:val="none" w:sz="0" w:space="0" w:color="auto"/>
        <w:bottom w:val="none" w:sz="0" w:space="0" w:color="auto"/>
        <w:right w:val="none" w:sz="0" w:space="0" w:color="auto"/>
      </w:divBdr>
    </w:div>
    <w:div w:id="1982534630">
      <w:bodyDiv w:val="1"/>
      <w:marLeft w:val="0"/>
      <w:marRight w:val="0"/>
      <w:marTop w:val="0"/>
      <w:marBottom w:val="0"/>
      <w:divBdr>
        <w:top w:val="none" w:sz="0" w:space="0" w:color="auto"/>
        <w:left w:val="none" w:sz="0" w:space="0" w:color="auto"/>
        <w:bottom w:val="none" w:sz="0" w:space="0" w:color="auto"/>
        <w:right w:val="none" w:sz="0" w:space="0" w:color="auto"/>
      </w:divBdr>
    </w:div>
    <w:div w:id="1991521023">
      <w:bodyDiv w:val="1"/>
      <w:marLeft w:val="0"/>
      <w:marRight w:val="0"/>
      <w:marTop w:val="0"/>
      <w:marBottom w:val="0"/>
      <w:divBdr>
        <w:top w:val="none" w:sz="0" w:space="0" w:color="auto"/>
        <w:left w:val="none" w:sz="0" w:space="0" w:color="auto"/>
        <w:bottom w:val="none" w:sz="0" w:space="0" w:color="auto"/>
        <w:right w:val="none" w:sz="0" w:space="0" w:color="auto"/>
      </w:divBdr>
    </w:div>
    <w:div w:id="1996758290">
      <w:bodyDiv w:val="1"/>
      <w:marLeft w:val="0"/>
      <w:marRight w:val="0"/>
      <w:marTop w:val="0"/>
      <w:marBottom w:val="0"/>
      <w:divBdr>
        <w:top w:val="none" w:sz="0" w:space="0" w:color="auto"/>
        <w:left w:val="none" w:sz="0" w:space="0" w:color="auto"/>
        <w:bottom w:val="none" w:sz="0" w:space="0" w:color="auto"/>
        <w:right w:val="none" w:sz="0" w:space="0" w:color="auto"/>
      </w:divBdr>
    </w:div>
    <w:div w:id="1996956837">
      <w:bodyDiv w:val="1"/>
      <w:marLeft w:val="0"/>
      <w:marRight w:val="0"/>
      <w:marTop w:val="0"/>
      <w:marBottom w:val="0"/>
      <w:divBdr>
        <w:top w:val="none" w:sz="0" w:space="0" w:color="auto"/>
        <w:left w:val="none" w:sz="0" w:space="0" w:color="auto"/>
        <w:bottom w:val="none" w:sz="0" w:space="0" w:color="auto"/>
        <w:right w:val="none" w:sz="0" w:space="0" w:color="auto"/>
      </w:divBdr>
    </w:div>
    <w:div w:id="1997486833">
      <w:bodyDiv w:val="1"/>
      <w:marLeft w:val="0"/>
      <w:marRight w:val="0"/>
      <w:marTop w:val="0"/>
      <w:marBottom w:val="0"/>
      <w:divBdr>
        <w:top w:val="none" w:sz="0" w:space="0" w:color="auto"/>
        <w:left w:val="none" w:sz="0" w:space="0" w:color="auto"/>
        <w:bottom w:val="none" w:sz="0" w:space="0" w:color="auto"/>
        <w:right w:val="none" w:sz="0" w:space="0" w:color="auto"/>
      </w:divBdr>
    </w:div>
    <w:div w:id="1998265838">
      <w:bodyDiv w:val="1"/>
      <w:marLeft w:val="0"/>
      <w:marRight w:val="0"/>
      <w:marTop w:val="0"/>
      <w:marBottom w:val="0"/>
      <w:divBdr>
        <w:top w:val="none" w:sz="0" w:space="0" w:color="auto"/>
        <w:left w:val="none" w:sz="0" w:space="0" w:color="auto"/>
        <w:bottom w:val="none" w:sz="0" w:space="0" w:color="auto"/>
        <w:right w:val="none" w:sz="0" w:space="0" w:color="auto"/>
      </w:divBdr>
    </w:div>
    <w:div w:id="2013751771">
      <w:bodyDiv w:val="1"/>
      <w:marLeft w:val="0"/>
      <w:marRight w:val="0"/>
      <w:marTop w:val="0"/>
      <w:marBottom w:val="0"/>
      <w:divBdr>
        <w:top w:val="none" w:sz="0" w:space="0" w:color="auto"/>
        <w:left w:val="none" w:sz="0" w:space="0" w:color="auto"/>
        <w:bottom w:val="none" w:sz="0" w:space="0" w:color="auto"/>
        <w:right w:val="none" w:sz="0" w:space="0" w:color="auto"/>
      </w:divBdr>
    </w:div>
    <w:div w:id="2030645339">
      <w:bodyDiv w:val="1"/>
      <w:marLeft w:val="0"/>
      <w:marRight w:val="0"/>
      <w:marTop w:val="0"/>
      <w:marBottom w:val="0"/>
      <w:divBdr>
        <w:top w:val="none" w:sz="0" w:space="0" w:color="auto"/>
        <w:left w:val="none" w:sz="0" w:space="0" w:color="auto"/>
        <w:bottom w:val="none" w:sz="0" w:space="0" w:color="auto"/>
        <w:right w:val="none" w:sz="0" w:space="0" w:color="auto"/>
      </w:divBdr>
    </w:div>
    <w:div w:id="2036534160">
      <w:bodyDiv w:val="1"/>
      <w:marLeft w:val="0"/>
      <w:marRight w:val="0"/>
      <w:marTop w:val="0"/>
      <w:marBottom w:val="0"/>
      <w:divBdr>
        <w:top w:val="none" w:sz="0" w:space="0" w:color="auto"/>
        <w:left w:val="none" w:sz="0" w:space="0" w:color="auto"/>
        <w:bottom w:val="none" w:sz="0" w:space="0" w:color="auto"/>
        <w:right w:val="none" w:sz="0" w:space="0" w:color="auto"/>
      </w:divBdr>
    </w:div>
    <w:div w:id="2047484291">
      <w:bodyDiv w:val="1"/>
      <w:marLeft w:val="0"/>
      <w:marRight w:val="0"/>
      <w:marTop w:val="0"/>
      <w:marBottom w:val="0"/>
      <w:divBdr>
        <w:top w:val="none" w:sz="0" w:space="0" w:color="auto"/>
        <w:left w:val="none" w:sz="0" w:space="0" w:color="auto"/>
        <w:bottom w:val="none" w:sz="0" w:space="0" w:color="auto"/>
        <w:right w:val="none" w:sz="0" w:space="0" w:color="auto"/>
      </w:divBdr>
    </w:div>
    <w:div w:id="2053652864">
      <w:bodyDiv w:val="1"/>
      <w:marLeft w:val="0"/>
      <w:marRight w:val="0"/>
      <w:marTop w:val="0"/>
      <w:marBottom w:val="0"/>
      <w:divBdr>
        <w:top w:val="none" w:sz="0" w:space="0" w:color="auto"/>
        <w:left w:val="none" w:sz="0" w:space="0" w:color="auto"/>
        <w:bottom w:val="none" w:sz="0" w:space="0" w:color="auto"/>
        <w:right w:val="none" w:sz="0" w:space="0" w:color="auto"/>
      </w:divBdr>
    </w:div>
    <w:div w:id="2057511972">
      <w:bodyDiv w:val="1"/>
      <w:marLeft w:val="0"/>
      <w:marRight w:val="0"/>
      <w:marTop w:val="0"/>
      <w:marBottom w:val="0"/>
      <w:divBdr>
        <w:top w:val="none" w:sz="0" w:space="0" w:color="auto"/>
        <w:left w:val="none" w:sz="0" w:space="0" w:color="auto"/>
        <w:bottom w:val="none" w:sz="0" w:space="0" w:color="auto"/>
        <w:right w:val="none" w:sz="0" w:space="0" w:color="auto"/>
      </w:divBdr>
    </w:div>
    <w:div w:id="2065444727">
      <w:bodyDiv w:val="1"/>
      <w:marLeft w:val="0"/>
      <w:marRight w:val="0"/>
      <w:marTop w:val="0"/>
      <w:marBottom w:val="0"/>
      <w:divBdr>
        <w:top w:val="none" w:sz="0" w:space="0" w:color="auto"/>
        <w:left w:val="none" w:sz="0" w:space="0" w:color="auto"/>
        <w:bottom w:val="none" w:sz="0" w:space="0" w:color="auto"/>
        <w:right w:val="none" w:sz="0" w:space="0" w:color="auto"/>
      </w:divBdr>
    </w:div>
    <w:div w:id="2066440501">
      <w:bodyDiv w:val="1"/>
      <w:marLeft w:val="0"/>
      <w:marRight w:val="0"/>
      <w:marTop w:val="0"/>
      <w:marBottom w:val="0"/>
      <w:divBdr>
        <w:top w:val="none" w:sz="0" w:space="0" w:color="auto"/>
        <w:left w:val="none" w:sz="0" w:space="0" w:color="auto"/>
        <w:bottom w:val="none" w:sz="0" w:space="0" w:color="auto"/>
        <w:right w:val="none" w:sz="0" w:space="0" w:color="auto"/>
      </w:divBdr>
    </w:div>
    <w:div w:id="2066683576">
      <w:bodyDiv w:val="1"/>
      <w:marLeft w:val="0"/>
      <w:marRight w:val="0"/>
      <w:marTop w:val="0"/>
      <w:marBottom w:val="0"/>
      <w:divBdr>
        <w:top w:val="none" w:sz="0" w:space="0" w:color="auto"/>
        <w:left w:val="none" w:sz="0" w:space="0" w:color="auto"/>
        <w:bottom w:val="none" w:sz="0" w:space="0" w:color="auto"/>
        <w:right w:val="none" w:sz="0" w:space="0" w:color="auto"/>
      </w:divBdr>
    </w:div>
    <w:div w:id="2067604753">
      <w:bodyDiv w:val="1"/>
      <w:marLeft w:val="0"/>
      <w:marRight w:val="0"/>
      <w:marTop w:val="0"/>
      <w:marBottom w:val="0"/>
      <w:divBdr>
        <w:top w:val="none" w:sz="0" w:space="0" w:color="auto"/>
        <w:left w:val="none" w:sz="0" w:space="0" w:color="auto"/>
        <w:bottom w:val="none" w:sz="0" w:space="0" w:color="auto"/>
        <w:right w:val="none" w:sz="0" w:space="0" w:color="auto"/>
      </w:divBdr>
    </w:div>
    <w:div w:id="2076851367">
      <w:bodyDiv w:val="1"/>
      <w:marLeft w:val="0"/>
      <w:marRight w:val="0"/>
      <w:marTop w:val="0"/>
      <w:marBottom w:val="0"/>
      <w:divBdr>
        <w:top w:val="none" w:sz="0" w:space="0" w:color="auto"/>
        <w:left w:val="none" w:sz="0" w:space="0" w:color="auto"/>
        <w:bottom w:val="none" w:sz="0" w:space="0" w:color="auto"/>
        <w:right w:val="none" w:sz="0" w:space="0" w:color="auto"/>
      </w:divBdr>
    </w:div>
    <w:div w:id="2079353470">
      <w:bodyDiv w:val="1"/>
      <w:marLeft w:val="0"/>
      <w:marRight w:val="0"/>
      <w:marTop w:val="0"/>
      <w:marBottom w:val="0"/>
      <w:divBdr>
        <w:top w:val="none" w:sz="0" w:space="0" w:color="auto"/>
        <w:left w:val="none" w:sz="0" w:space="0" w:color="auto"/>
        <w:bottom w:val="none" w:sz="0" w:space="0" w:color="auto"/>
        <w:right w:val="none" w:sz="0" w:space="0" w:color="auto"/>
      </w:divBdr>
    </w:div>
    <w:div w:id="2086758634">
      <w:bodyDiv w:val="1"/>
      <w:marLeft w:val="0"/>
      <w:marRight w:val="0"/>
      <w:marTop w:val="0"/>
      <w:marBottom w:val="0"/>
      <w:divBdr>
        <w:top w:val="none" w:sz="0" w:space="0" w:color="auto"/>
        <w:left w:val="none" w:sz="0" w:space="0" w:color="auto"/>
        <w:bottom w:val="none" w:sz="0" w:space="0" w:color="auto"/>
        <w:right w:val="none" w:sz="0" w:space="0" w:color="auto"/>
      </w:divBdr>
    </w:div>
    <w:div w:id="2088915189">
      <w:bodyDiv w:val="1"/>
      <w:marLeft w:val="0"/>
      <w:marRight w:val="0"/>
      <w:marTop w:val="0"/>
      <w:marBottom w:val="0"/>
      <w:divBdr>
        <w:top w:val="none" w:sz="0" w:space="0" w:color="auto"/>
        <w:left w:val="none" w:sz="0" w:space="0" w:color="auto"/>
        <w:bottom w:val="none" w:sz="0" w:space="0" w:color="auto"/>
        <w:right w:val="none" w:sz="0" w:space="0" w:color="auto"/>
      </w:divBdr>
    </w:div>
    <w:div w:id="2089112046">
      <w:bodyDiv w:val="1"/>
      <w:marLeft w:val="0"/>
      <w:marRight w:val="0"/>
      <w:marTop w:val="0"/>
      <w:marBottom w:val="0"/>
      <w:divBdr>
        <w:top w:val="none" w:sz="0" w:space="0" w:color="auto"/>
        <w:left w:val="none" w:sz="0" w:space="0" w:color="auto"/>
        <w:bottom w:val="none" w:sz="0" w:space="0" w:color="auto"/>
        <w:right w:val="none" w:sz="0" w:space="0" w:color="auto"/>
      </w:divBdr>
    </w:div>
    <w:div w:id="2093700716">
      <w:bodyDiv w:val="1"/>
      <w:marLeft w:val="0"/>
      <w:marRight w:val="0"/>
      <w:marTop w:val="0"/>
      <w:marBottom w:val="0"/>
      <w:divBdr>
        <w:top w:val="none" w:sz="0" w:space="0" w:color="auto"/>
        <w:left w:val="none" w:sz="0" w:space="0" w:color="auto"/>
        <w:bottom w:val="none" w:sz="0" w:space="0" w:color="auto"/>
        <w:right w:val="none" w:sz="0" w:space="0" w:color="auto"/>
      </w:divBdr>
    </w:div>
    <w:div w:id="2097246015">
      <w:bodyDiv w:val="1"/>
      <w:marLeft w:val="0"/>
      <w:marRight w:val="0"/>
      <w:marTop w:val="0"/>
      <w:marBottom w:val="0"/>
      <w:divBdr>
        <w:top w:val="none" w:sz="0" w:space="0" w:color="auto"/>
        <w:left w:val="none" w:sz="0" w:space="0" w:color="auto"/>
        <w:bottom w:val="none" w:sz="0" w:space="0" w:color="auto"/>
        <w:right w:val="none" w:sz="0" w:space="0" w:color="auto"/>
      </w:divBdr>
    </w:div>
    <w:div w:id="2103452433">
      <w:bodyDiv w:val="1"/>
      <w:marLeft w:val="0"/>
      <w:marRight w:val="0"/>
      <w:marTop w:val="0"/>
      <w:marBottom w:val="0"/>
      <w:divBdr>
        <w:top w:val="none" w:sz="0" w:space="0" w:color="auto"/>
        <w:left w:val="none" w:sz="0" w:space="0" w:color="auto"/>
        <w:bottom w:val="none" w:sz="0" w:space="0" w:color="auto"/>
        <w:right w:val="none" w:sz="0" w:space="0" w:color="auto"/>
      </w:divBdr>
    </w:div>
    <w:div w:id="2108965126">
      <w:bodyDiv w:val="1"/>
      <w:marLeft w:val="0"/>
      <w:marRight w:val="0"/>
      <w:marTop w:val="0"/>
      <w:marBottom w:val="0"/>
      <w:divBdr>
        <w:top w:val="none" w:sz="0" w:space="0" w:color="auto"/>
        <w:left w:val="none" w:sz="0" w:space="0" w:color="auto"/>
        <w:bottom w:val="none" w:sz="0" w:space="0" w:color="auto"/>
        <w:right w:val="none" w:sz="0" w:space="0" w:color="auto"/>
      </w:divBdr>
    </w:div>
    <w:div w:id="2120031013">
      <w:bodyDiv w:val="1"/>
      <w:marLeft w:val="0"/>
      <w:marRight w:val="0"/>
      <w:marTop w:val="0"/>
      <w:marBottom w:val="0"/>
      <w:divBdr>
        <w:top w:val="none" w:sz="0" w:space="0" w:color="auto"/>
        <w:left w:val="none" w:sz="0" w:space="0" w:color="auto"/>
        <w:bottom w:val="none" w:sz="0" w:space="0" w:color="auto"/>
        <w:right w:val="none" w:sz="0" w:space="0" w:color="auto"/>
      </w:divBdr>
    </w:div>
    <w:div w:id="2130733856">
      <w:bodyDiv w:val="1"/>
      <w:marLeft w:val="0"/>
      <w:marRight w:val="0"/>
      <w:marTop w:val="0"/>
      <w:marBottom w:val="0"/>
      <w:divBdr>
        <w:top w:val="none" w:sz="0" w:space="0" w:color="auto"/>
        <w:left w:val="none" w:sz="0" w:space="0" w:color="auto"/>
        <w:bottom w:val="none" w:sz="0" w:space="0" w:color="auto"/>
        <w:right w:val="none" w:sz="0" w:space="0" w:color="auto"/>
      </w:divBdr>
    </w:div>
    <w:div w:id="2144276003">
      <w:bodyDiv w:val="1"/>
      <w:marLeft w:val="0"/>
      <w:marRight w:val="0"/>
      <w:marTop w:val="0"/>
      <w:marBottom w:val="0"/>
      <w:divBdr>
        <w:top w:val="none" w:sz="0" w:space="0" w:color="auto"/>
        <w:left w:val="none" w:sz="0" w:space="0" w:color="auto"/>
        <w:bottom w:val="none" w:sz="0" w:space="0" w:color="auto"/>
        <w:right w:val="none" w:sz="0" w:space="0" w:color="auto"/>
      </w:divBdr>
    </w:div>
    <w:div w:id="21443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nancialservices@melt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D4F0-DB66-4738-84D4-BA1C5217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33636</Words>
  <Characters>182838</Characters>
  <Application>Microsoft Office Word</Application>
  <DocSecurity>12</DocSecurity>
  <Lines>1523</Lines>
  <Paragraphs>432</Paragraphs>
  <ScaleCrop>false</ScaleCrop>
  <HeadingPairs>
    <vt:vector size="2" baseType="variant">
      <vt:variant>
        <vt:lpstr>Title</vt:lpstr>
      </vt:variant>
      <vt:variant>
        <vt:i4>1</vt:i4>
      </vt:variant>
    </vt:vector>
  </HeadingPairs>
  <TitlesOfParts>
    <vt:vector size="1" baseType="lpstr">
      <vt:lpstr>Statement of Accounts 2020-2021 Subject to Audit</vt:lpstr>
    </vt:vector>
  </TitlesOfParts>
  <Company>MELTON BOROUGH COUNCIL</Company>
  <LinksUpToDate>false</LinksUpToDate>
  <CharactersWithSpaces>216042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Accounts 2020-2021 Subject to Audit</dc:title>
  <dc:creator>Melton Borough Council</dc:creator>
  <cp:lastModifiedBy>Amy Staff</cp:lastModifiedBy>
  <cp:revision>2</cp:revision>
  <cp:lastPrinted>2023-06-06T13:38:00Z</cp:lastPrinted>
  <dcterms:created xsi:type="dcterms:W3CDTF">2023-06-06T13:45:00Z</dcterms:created>
  <dcterms:modified xsi:type="dcterms:W3CDTF">2023-06-06T13:45:00Z</dcterms:modified>
</cp:coreProperties>
</file>